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xmlns:pic="http://schemas.openxmlformats.org/drawingml/2006/picture" mc:Ignorable="w14 w15 w16se w16cid w16 w16cex w16sdtdh w16sdtfl w16du wp14">
  <w:body>
    <w:p w:rsidRPr="008D1918" w:rsidR="003A3FCC" w:rsidP="00584F45" w:rsidRDefault="005755A7" w14:paraId="4FADA5DC" w14:textId="355C2531">
      <w:pPr>
        <w:pStyle w:val="Heading1"/>
        <w:spacing w:before="2760"/>
        <w:rPr>
          <w:color w:val="auto"/>
        </w:rPr>
      </w:pPr>
      <w:bookmarkStart w:name="_Toc223428320" w:id="0"/>
      <w:bookmarkStart w:name="_Toc223445779" w:id="1"/>
      <w:bookmarkStart w:name="_Toc223539576" w:id="2"/>
      <w:bookmarkStart w:name="_Toc223539790" w:id="3"/>
      <w:bookmarkStart w:name="_Toc223540258" w:id="4"/>
      <w:bookmarkStart w:name="_Toc223540474" w:id="5"/>
      <w:bookmarkStart w:name="_Toc223604179" w:id="6"/>
      <w:bookmarkStart w:name="_Toc223604417" w:id="7"/>
      <w:bookmarkStart w:name="_Toc223618498" w:id="8"/>
      <w:bookmarkStart w:name="_Toc223702744" w:id="9"/>
      <w:bookmarkStart w:name="_Toc227337017" w:id="10"/>
      <w:r w:rsidRPr="008D1918">
        <w:rPr>
          <w:noProof/>
        </w:rPr>
        <mc:AlternateContent>
          <mc:Choice Requires="wps">
            <w:drawing>
              <wp:anchor distT="0" distB="0" distL="114300" distR="114300" simplePos="0" relativeHeight="251658241" behindDoc="1" locked="0" layoutInCell="1" allowOverlap="1" wp14:anchorId="7DC69EF1" wp14:editId="5AD54CD2">
                <wp:simplePos x="0" y="0"/>
                <wp:positionH relativeFrom="page">
                  <wp:align>center</wp:align>
                </wp:positionH>
                <wp:positionV relativeFrom="page">
                  <wp:align>center</wp:align>
                </wp:positionV>
                <wp:extent cx="7668000" cy="10688400"/>
                <wp:effectExtent l="0" t="0" r="9525"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68000" cy="10688400"/>
                        </a:xfrm>
                        <a:prstGeom prst="rect">
                          <a:avLst/>
                        </a:prstGeom>
                        <a:blipFill>
                          <a:blip r:embed="rId12" cstate="print">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9D6E1A" w:rsidR="009D6E1A" w:rsidP="009D6E1A" w:rsidRDefault="009D6E1A" w14:paraId="4D052E7D" w14:textId="0D7B4BC3">
                            <w:pPr>
                              <w:jc w:val="center"/>
                              <w:rPr>
                                <w:lang w:val="en-AU"/>
                              </w:rPr>
                            </w:pPr>
                          </w:p>
                        </w:txbxContent>
                      </wps:txbx>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134E68E3">
              <v:rect id="Rectangle 7" style="position:absolute;margin-left:0;margin-top:0;width:603.8pt;height:841.6pt;z-index:-251658239;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middle" alt="&quot;&quot;" o:spid="_x0000_s1026" stroked="f" strokeweight="1pt" w14:anchorId="7DC69EF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Looor9IP0Q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nQ/wCtX/eFNp0P&#10;+tX/AHhQB/Qn8M/+Sb+H/wDsB2n/AKJStusT4Z/8k38P/wDYDtP/AESlbdfnMviZ+ey+JhRRRUkh&#10;RRRQB/OfRRRX6Qfog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T6V/yFLb/r&#10;4T/0IVBU+lf8hS2/6+E/9CFD2B7H9Y/gL/kRdF/7BNt/6KWtasnwF/yIui/9gm2/9FLWtX4rL4mf&#10;isviYUUUVJIUUUUAfyN0UUV+2H7Y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U+lf8AIUtv+vhP/QhUFT6V/wAhS2/6+E/9CFD2B7H9Y/gL/kRdF/7BNt/6KWtasnwF/wAiLov/&#10;AGCbb/0Uta1fisviZ+Ky+JhRRRUkhRRRQB/I3RRRX7Yftg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T6V/yFLb/r4T/wBCFQVPpX/IUtv+vhP/AEIUPYHsf1j+Av8AkRdF/wCw&#10;Tbf+ilrWrJ8Bf8iLov8A2Cbb/wBFLWtX4rL4mfisviYUUUVJIUUUUAfyN0UUV+2H7Y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U+lf8hS2/wCvhP8A0IVBU+lf8hS2/wCvhP8A&#10;0IUPYHsf1j+Av+RF0X/sE23/AKKWtasnwF/yIui/9gm2/wDRS1rV+Ky+Jn4rL4mFFFFSSFFFFAH8&#10;jdFFFfth+2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PpX/IUtv+vhP/Qh&#10;UFT6V/yFLb/r4T/0IUPYHsf1j+Av+RF0X/sE23/opa1qyfAX/Ii6L/2Cbb/0Uta1fisviZ+Ky+Jh&#10;RRRUkhRRRQB/I3RRRX7Yftg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T6V&#10;/wAhS2/6+E/9CFQVPpX/ACFLb/r4T/0IUPYHsf1j+Av+RF0X/sE23/opa1qyfAX/ACIui/8AYJtv&#10;/RS1rV+Ky+Jn4rL4mFFFFSSFFFFAH8jdFFFfth+2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PpX/IUtv+vhP/AEIVBU+lf8hS2/6+E/8AQhQ9gex/WP4C/wCRF0X/ALBNt/6K&#10;WtasnwF/yIui/wDYJtv/AEUta1fisviZ+Ky+JhRRRUkhRRRQB/I3RRRX7Yftg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T6V/yFLb/AK+E/wDQhUFT6V/yFLb/AK+E/wDQhQ9g&#10;ex/WP4C/5EXRf+wTbf8Aopa1qyfAX/Ii6L/2Cbb/ANFLWtX4rL4mfisviYUUUVJIUUUUAfyN0UUV&#10;+2H7Y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U+lf8hS2/6+E/9CFQVPpX/IUt&#10;v+vhP/QhQ9gex/WP4C/5EXRf+wTbf+ilrWrJ8Bf8iLov/YJtv/RS1rV+Ky+Jn4rL4mFFFFSSFFFF&#10;AH8jdFFFfth+2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PpX/ACFLb/r4&#10;T/0IVBU+lf8AIUtv+vhP/QhQ9gex/WP4C/5EXRf+wTbf+ilrWrJ8Bf8AIi6L/wBgm2/9FLWtX4rL&#10;4mfisviYUUUVJIUUUUAfyN0UUV+2H7Y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U+lf8hS2/6+E/8AQhUFWNIUvq9rGvVrmMD/AL6FD2E9j+sbwF/yIui/9gm2/wDRS1rVmeCr&#10;eS08HaTazAb4tNgRsHjIjUGtOvxSXxM/FZfEwooopCCiiigD+Ruiiiv2w/b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u+GYJLrxPpttEpLSX8KqqjJJLqBgd6pV3/AOyh4Sfx&#10;9+1L8NfA8Ue5tY8faPZAf9db2FPUf3vUfWoqSUKbk+iIqSUKbk+iP6ntNtTY6dBZF93kwqm7GM4G&#10;M1PSLjHFLX4sfiwUUUUAFFFFAH8jdFFFfth+2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9Nf8EcPAo8f/APBSr4VadJHuisNdfVJDtzt+y28s6H/vtE57ZzXzLX6F/wDBtp8M&#10;bnxd+3FrHxBe2LWvhTwTcyGbss9xLFDGv1KGYj/cNefmtX2OW1Z/3X+Oh5+a1fY5bVl/df46H7sJ&#10;90UtIucc0tfkZ+RhRRRQAUUUUAfyN0UUV+2H7Y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CN0r9rv8Ag2P+EA8O/s2+PfjPcWu2bxT4phsYZSPvQWUJIx/20uZfy9q/FLaz4RAS&#10;ScAAda/ps/4Jl/s+wfsxfsMfDn4TmIrexeH47/WCy4Y3t2TdTqfXY8pjB/uotfM8VYhUsuVLrN/g&#10;tfzsfMcVYhUsuVPrNr7lr+dj3gAgc0UUV+cn50FFFFABRRRQB/I3RRRX7Yftg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e5f8E0/wBmuf8Aav8A22fAXwhkhL6ZJrKahrxI4Fha&#10;/v51PpvVPLB7NIK/pvhhSCNYYkCoqhVVRgADtX5Q/wDBs1+ymml+GPF/7YfiSzPn6nL/AMI/4Z3r&#10;92CMrJdSj13SeUgI6eU471+sNfm/E+M+sZh7OL0grfPr/l8j834nxn1jMPZxekFb59f0XyCiiivm&#10;z5sKKKKACiiigD+Ruiiiv2w/b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Z+G/w&#10;/wDFPxX+Ieh/DDwVpsl5q3iDVYNP022iUkyTTOEUfTLcnsMmsYkDrX6k/wDBt3+xReeKPiNq/wC2&#10;1400pRpnh5ZdJ8HmZcma+kTbczqD0EcT+WG7mZgPuGuLMcZDAYOVaXTbzfRHFmOMhgMHKtLpt5vo&#10;j9Wv2WvgD4S/Zc/Z+8JfATwXaoln4a0eK1eVBg3NxjdPcN/tSStJIfdzjA4r0GgdKK/IpzlUm5Sd&#10;29WfkU5yqTc5O7erCiiipJCiiigAooooA/kbooor9sP2w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Pp/KgDtv2cfgD4+/ah+N/hz4E/DTTnuNV8Q6ilujqhZbaLOZZ5MdI40DOx9FNf05/&#10;s2/s/wDgL9l/4H+HPgR8NLHyNJ8O6cltE7gGS4k+9JPIR1eRyzsfVjjAwK+Jf+CBH/BOZ/2c/hC3&#10;7U/xX0SSLxp45sV/si0uo9raVpDYdBg8rJOcO2eiLGMA7s/oqAFGAK/OOJMz+uYn2NN+5D8X/wAD&#10;b7z844kzP65ifY037kPxfX7tl8wooor5o+aCiiigAooooAKKKKAP5G6KKK/bD9s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">
                <v:fill type="frame" o:title="" recolor="t" rotate="t" r:id="rId13"/>
                <v:textbox inset="2.5mm">
                  <w:txbxContent>
                    <w:p w:rsidRPr="009D6E1A" w:rsidR="009D6E1A" w:rsidP="009D6E1A" w:rsidRDefault="009D6E1A" w14:paraId="672A6659" w14:textId="0D7B4BC3">
                      <w:pPr>
                        <w:jc w:val="center"/>
                        <w:rPr>
                          <w:lang w:val="en-AU"/>
                        </w:rPr>
                      </w:pPr>
                    </w:p>
                  </w:txbxContent>
                </v:textbox>
                <w10:wrap anchorx="page" anchory="page"/>
              </v:rect>
            </w:pict>
          </mc:Fallback>
        </mc:AlternateContent>
      </w:r>
      <w:r w:rsidRPr="008D1918" w:rsidR="00337E33">
        <w:rPr>
          <w:color w:val="auto"/>
        </w:rPr>
        <w:t>A</w:t>
      </w:r>
      <w:r w:rsidRPr="008D1918" w:rsidR="7BB0EAFF">
        <w:rPr>
          <w:color w:val="auto"/>
        </w:rPr>
        <w:t>nnual Pricing Review</w:t>
      </w:r>
      <w:bookmarkEnd w:id="0"/>
      <w:bookmarkEnd w:id="1"/>
      <w:bookmarkEnd w:id="2"/>
      <w:bookmarkEnd w:id="3"/>
      <w:bookmarkEnd w:id="4"/>
      <w:bookmarkEnd w:id="5"/>
      <w:bookmarkEnd w:id="6"/>
      <w:bookmarkEnd w:id="7"/>
      <w:bookmarkEnd w:id="8"/>
      <w:bookmarkEnd w:id="9"/>
      <w:bookmarkEnd w:id="10"/>
      <w:r w:rsidRPr="008D1918" w:rsidR="00337E33">
        <w:rPr>
          <w:color w:val="auto"/>
        </w:rPr>
        <w:t xml:space="preserve"> </w:t>
      </w:r>
      <w:r w:rsidRPr="008D1918" w:rsidR="00BD5E7F">
        <w:rPr>
          <w:color w:val="auto"/>
        </w:rPr>
        <w:t>for 2026</w:t>
      </w:r>
      <w:r w:rsidRPr="008D1918" w:rsidR="00D10B56">
        <w:rPr>
          <w:color w:val="auto"/>
        </w:rPr>
        <w:t xml:space="preserve">–27 </w:t>
      </w:r>
      <w:r w:rsidRPr="008D1918" w:rsidR="00BD5E7F">
        <w:rPr>
          <w:color w:val="auto"/>
        </w:rPr>
        <w:t>prices</w:t>
      </w:r>
      <w:r w:rsidRPr="008D1918" w:rsidR="00337E33">
        <w:rPr>
          <w:color w:val="auto"/>
        </w:rPr>
        <w:t xml:space="preserve"> </w:t>
      </w:r>
    </w:p>
    <w:tbl>
      <w:tblPr>
        <w:tblStyle w:val="Coverpagetable"/>
        <w:tblpPr w:leftFromText="181" w:rightFromText="181" w:bottomFromText="851" w:vertAnchor="text" w:tblpY="1"/>
        <w:tblOverlap w:val="never"/>
        <w:tblW w:w="9010" w:type="dxa"/>
        <w:tblCellMar>
          <w:left w:w="0" w:type="dxa"/>
        </w:tblCellMar>
        <w:tblLook w:val="04A0" w:firstRow="1" w:lastRow="0" w:firstColumn="1" w:lastColumn="0" w:noHBand="0" w:noVBand="1"/>
      </w:tblPr>
      <w:tblGrid>
        <w:gridCol w:w="1555"/>
        <w:gridCol w:w="7455"/>
      </w:tblGrid>
      <w:tr w:rsidRPr="008D1918" w:rsidR="00D03C3D" w14:paraId="3B62F718" w14:textId="77777777">
        <w:trPr>
          <w:trHeight w:val="510"/>
        </w:trPr>
        <w:tc>
          <w:tcPr>
            <w:tcW w:w="1555" w:type="dxa"/>
          </w:tcPr>
          <w:p w:rsidRPr="008D1918" w:rsidR="003A3FCC" w:rsidP="00863C7F" w:rsidRDefault="003A3FCC" w14:paraId="53C0CC47" w14:textId="77777777">
            <w:pPr>
              <w:rPr>
                <w:b/>
                <w:color w:val="auto"/>
                <w:lang w:val="en-AU"/>
              </w:rPr>
            </w:pPr>
            <w:bookmarkStart w:name="RowTitle_1" w:colFirst="0" w:colLast="0" w:id="11"/>
            <w:r w:rsidRPr="008D1918">
              <w:rPr>
                <w:b/>
                <w:color w:val="auto"/>
                <w:lang w:val="en-AU"/>
              </w:rPr>
              <w:t>Version:</w:t>
            </w:r>
          </w:p>
        </w:tc>
        <w:tc>
          <w:tcPr>
            <w:tcW w:w="7455" w:type="dxa"/>
          </w:tcPr>
          <w:p w:rsidRPr="008D1918" w:rsidR="003A3FCC" w:rsidP="00863C7F" w:rsidRDefault="003A3FCC" w14:paraId="26699417" w14:textId="77777777">
            <w:pPr>
              <w:rPr>
                <w:color w:val="auto"/>
                <w:lang w:val="en-AU"/>
              </w:rPr>
            </w:pPr>
            <w:r w:rsidRPr="008D1918">
              <w:rPr>
                <w:color w:val="auto"/>
                <w:lang w:val="en-AU"/>
              </w:rPr>
              <w:t>1</w:t>
            </w:r>
          </w:p>
        </w:tc>
      </w:tr>
      <w:tr w:rsidRPr="008D1918" w:rsidR="00D03C3D" w14:paraId="441CA8A6" w14:textId="77777777">
        <w:trPr>
          <w:trHeight w:val="510"/>
        </w:trPr>
        <w:tc>
          <w:tcPr>
            <w:tcW w:w="1555" w:type="dxa"/>
          </w:tcPr>
          <w:p w:rsidRPr="008D1918" w:rsidR="003A3FCC" w:rsidP="00863C7F" w:rsidRDefault="003A3FCC" w14:paraId="5EAE2B29" w14:textId="77777777">
            <w:pPr>
              <w:rPr>
                <w:b/>
                <w:color w:val="auto"/>
                <w:lang w:val="en-AU"/>
              </w:rPr>
            </w:pPr>
            <w:r w:rsidRPr="008D1918">
              <w:rPr>
                <w:b/>
                <w:color w:val="auto"/>
                <w:lang w:val="en-AU"/>
              </w:rPr>
              <w:t>Date:</w:t>
            </w:r>
          </w:p>
        </w:tc>
        <w:tc>
          <w:tcPr>
            <w:tcW w:w="7455" w:type="dxa"/>
          </w:tcPr>
          <w:p w:rsidRPr="008D1918" w:rsidR="003A3FCC" w:rsidP="00863C7F" w:rsidRDefault="00F47B2D" w14:paraId="5ABA9CC2" w14:textId="2800ACD7">
            <w:pPr>
              <w:rPr>
                <w:color w:val="auto"/>
                <w:lang w:val="en-AU"/>
              </w:rPr>
            </w:pPr>
            <w:r>
              <w:rPr>
                <w:color w:val="auto"/>
                <w:lang w:val="en-AU"/>
              </w:rPr>
              <w:t>June</w:t>
            </w:r>
            <w:r w:rsidRPr="008D1918">
              <w:rPr>
                <w:color w:val="auto"/>
                <w:lang w:val="en-AU"/>
              </w:rPr>
              <w:t xml:space="preserve"> </w:t>
            </w:r>
            <w:r w:rsidRPr="008D1918" w:rsidR="003A3FCC">
              <w:rPr>
                <w:color w:val="auto"/>
                <w:lang w:val="en-AU"/>
              </w:rPr>
              <w:t>20</w:t>
            </w:r>
            <w:r w:rsidRPr="008D1918" w:rsidR="000C1CC4">
              <w:rPr>
                <w:color w:val="auto"/>
                <w:lang w:val="en-AU"/>
              </w:rPr>
              <w:t>26</w:t>
            </w:r>
          </w:p>
        </w:tc>
      </w:tr>
      <w:bookmarkEnd w:id="11"/>
    </w:tbl>
    <w:p w:rsidRPr="008D1918" w:rsidR="00337E33" w:rsidRDefault="00337E33" w14:paraId="517816AC" w14:textId="77777777">
      <w:pPr>
        <w:spacing w:after="0" w:line="240" w:lineRule="auto"/>
        <w:rPr>
          <w:lang w:val="en-AU"/>
        </w:rPr>
      </w:pPr>
      <w:r w:rsidRPr="008D1918">
        <w:rPr>
          <w:lang w:val="en-AU"/>
        </w:rPr>
        <w:br w:type="page"/>
      </w:r>
    </w:p>
    <w:p w:rsidRPr="008D1918" w:rsidR="00337E33" w:rsidP="003071D0" w:rsidRDefault="00337E33" w14:paraId="5393A4F0" w14:textId="77777777">
      <w:pPr>
        <w:pStyle w:val="SmallH2"/>
      </w:pPr>
      <w:bookmarkStart w:name="_Toc156922188" w:id="12"/>
      <w:bookmarkStart w:name="_Toc162963467" w:id="13"/>
      <w:bookmarkStart w:name="_Toc164970179" w:id="14"/>
      <w:bookmarkStart w:name="_Toc200103424" w:id="15"/>
      <w:bookmarkStart w:name="_Toc200271539" w:id="16"/>
      <w:bookmarkStart w:name="_Toc223428321" w:id="17"/>
      <w:bookmarkStart w:name="_Toc223445780" w:id="18"/>
      <w:bookmarkStart w:name="_Toc223539577" w:id="19"/>
      <w:bookmarkStart w:name="_Toc223539791" w:id="20"/>
      <w:bookmarkStart w:name="_Toc223540259" w:id="21"/>
      <w:bookmarkStart w:name="_Toc223540475" w:id="22"/>
      <w:bookmarkStart w:name="_Toc223604180" w:id="23"/>
      <w:bookmarkStart w:name="_Toc223604418" w:id="24"/>
      <w:bookmarkStart w:name="_Toc223604629" w:id="25"/>
      <w:bookmarkStart w:name="_Toc223618499" w:id="26"/>
      <w:r w:rsidRPr="008D1918">
        <w:t>Acknowledgement</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Pr="008D1918" w:rsidR="00337E33" w:rsidP="00337E33" w:rsidRDefault="00337E33" w14:paraId="622B66F9" w14:textId="5F6C1558">
      <w:pPr>
        <w:rPr>
          <w:lang w:val="en-AU"/>
        </w:rPr>
      </w:pPr>
      <w:r w:rsidRPr="008D1918">
        <w:rPr>
          <w:lang w:val="en-AU"/>
        </w:rPr>
        <w:t>The National Disability Insurance Agency acknowledges the Aboriginal and Torres Strait Islander people</w:t>
      </w:r>
      <w:r w:rsidRPr="008D1918" w:rsidR="001C4CED">
        <w:rPr>
          <w:lang w:val="en-AU"/>
        </w:rPr>
        <w:t>s</w:t>
      </w:r>
      <w:r w:rsidRPr="008D1918">
        <w:rPr>
          <w:lang w:val="en-AU"/>
        </w:rPr>
        <w:t xml:space="preserve"> of this nation and the Traditional Custodians of the lands across which our Agency conducts our business. We pay our respects to the custodians of the land on which we work as well as their ancestors and Elders, past, present and emerging. </w:t>
      </w:r>
    </w:p>
    <w:p w:rsidRPr="008D1918" w:rsidR="00337E33" w:rsidP="00863C7F" w:rsidRDefault="00337E33" w14:paraId="3CA86BDB" w14:textId="2772E252">
      <w:pPr>
        <w:rPr>
          <w:lang w:val="en-AU"/>
        </w:rPr>
      </w:pPr>
      <w:r w:rsidRPr="008D1918">
        <w:rPr>
          <w:lang w:val="en-AU"/>
        </w:rPr>
        <w:t xml:space="preserve">The </w:t>
      </w:r>
      <w:r w:rsidRPr="008D1918" w:rsidR="00E67223">
        <w:rPr>
          <w:lang w:val="en-AU"/>
        </w:rPr>
        <w:t>National Disability Insurance Agency</w:t>
      </w:r>
      <w:r w:rsidRPr="008D1918">
        <w:rPr>
          <w:lang w:val="en-AU"/>
        </w:rPr>
        <w:t xml:space="preserve"> is committed to honouring Aboriginal and Torres Strait Islander </w:t>
      </w:r>
      <w:r w:rsidRPr="008D1918" w:rsidR="006D3A4F">
        <w:rPr>
          <w:lang w:val="en-AU"/>
        </w:rPr>
        <w:t>p</w:t>
      </w:r>
      <w:r w:rsidRPr="008D1918">
        <w:rPr>
          <w:lang w:val="en-AU"/>
        </w:rPr>
        <w:t>eoples’ unique cultural and spiritual relationships to the land, waters, and seas and their rich contribution to society.</w:t>
      </w:r>
      <w:r w:rsidRPr="008D1918" w:rsidR="00B76F2E">
        <w:rPr>
          <w:lang w:val="en-AU"/>
        </w:rPr>
        <w:t xml:space="preserve"> </w:t>
      </w:r>
    </w:p>
    <w:p w:rsidRPr="008D1918" w:rsidR="00337E33" w:rsidP="003071D0" w:rsidRDefault="00337E33" w14:paraId="15F77853" w14:textId="77777777">
      <w:pPr>
        <w:pStyle w:val="SmallH2"/>
        <w:spacing w:before="720"/>
      </w:pPr>
      <w:bookmarkStart w:name="_Toc200103425" w:id="27"/>
      <w:bookmarkStart w:name="_Toc200271540" w:id="28"/>
      <w:bookmarkStart w:name="_Toc223428322" w:id="29"/>
      <w:bookmarkStart w:name="_Toc223445781" w:id="30"/>
      <w:bookmarkStart w:name="_Toc223539578" w:id="31"/>
      <w:bookmarkStart w:name="_Toc223539792" w:id="32"/>
      <w:bookmarkStart w:name="_Toc223540260" w:id="33"/>
      <w:bookmarkStart w:name="_Toc223540476" w:id="34"/>
      <w:bookmarkStart w:name="_Toc223604181" w:id="35"/>
      <w:bookmarkStart w:name="_Toc223604419" w:id="36"/>
      <w:bookmarkStart w:name="_Toc223604630" w:id="37"/>
      <w:bookmarkStart w:name="_Toc223618500" w:id="38"/>
      <w:r w:rsidRPr="008D1918">
        <w:t>Copyright and use of the material in this document</w:t>
      </w:r>
      <w:bookmarkEnd w:id="27"/>
      <w:bookmarkEnd w:id="28"/>
      <w:bookmarkEnd w:id="29"/>
      <w:bookmarkEnd w:id="30"/>
      <w:bookmarkEnd w:id="31"/>
      <w:bookmarkEnd w:id="32"/>
      <w:bookmarkEnd w:id="33"/>
      <w:bookmarkEnd w:id="34"/>
      <w:bookmarkEnd w:id="35"/>
      <w:bookmarkEnd w:id="36"/>
      <w:bookmarkEnd w:id="37"/>
      <w:bookmarkEnd w:id="38"/>
    </w:p>
    <w:p w:rsidRPr="008D1918" w:rsidR="00337E33" w:rsidP="00337E33" w:rsidRDefault="00337E33" w14:paraId="51CFC31F" w14:textId="05FB393C">
      <w:pPr>
        <w:rPr>
          <w:lang w:val="en-AU"/>
        </w:rPr>
      </w:pPr>
      <w:r w:rsidRPr="008D1918">
        <w:rPr>
          <w:lang w:val="en-AU"/>
        </w:rPr>
        <w:t>Copyright in the material in this document, with the exception of third-party material, is owned and protected by the National Disability Insurance Agency. </w:t>
      </w:r>
    </w:p>
    <w:p w:rsidRPr="008D1918" w:rsidR="00337E33" w:rsidP="00337E33" w:rsidRDefault="00337E33" w14:paraId="2A7D543B" w14:textId="36FA4F6F">
      <w:pPr>
        <w:rPr>
          <w:lang w:val="en-AU"/>
        </w:rPr>
      </w:pPr>
      <w:r w:rsidRPr="008D1918">
        <w:rPr>
          <w:lang w:val="en-AU"/>
        </w:rPr>
        <w:t xml:space="preserve">The material in this document, with the exception of logos, trademarks, third party material and other content as specified is licensed under Creative Commons Attribution Non-Commercial No Derivatives (CC BY NC ND) licence, version 4.0 International. You may share, copy and redistribute the document in any format. You must acknowledge the National Disability Insurance Agency as the owner of all intellectual property rights in the reproduced material by using ‘© National Disability </w:t>
      </w:r>
      <w:r w:rsidRPr="008D1918">
        <w:rPr>
          <w:spacing w:val="-2"/>
          <w:lang w:val="en-AU"/>
        </w:rPr>
        <w:t>Insurance Agency 202</w:t>
      </w:r>
      <w:r w:rsidRPr="008D1918" w:rsidR="005A0B82">
        <w:rPr>
          <w:spacing w:val="-2"/>
          <w:lang w:val="en-AU"/>
        </w:rPr>
        <w:t>6</w:t>
      </w:r>
      <w:r w:rsidRPr="008D1918">
        <w:rPr>
          <w:spacing w:val="-2"/>
          <w:lang w:val="en-AU"/>
        </w:rPr>
        <w:t>’ and you must not use the material for commercial purposes. </w:t>
      </w:r>
    </w:p>
    <w:p w:rsidRPr="008D1918" w:rsidR="00337E33" w:rsidP="00337E33" w:rsidRDefault="00337E33" w14:paraId="2515185A" w14:textId="6ACA6C94">
      <w:pPr>
        <w:rPr>
          <w:lang w:val="en-AU"/>
        </w:rPr>
      </w:pPr>
      <w:r w:rsidRPr="008D1918">
        <w:rPr>
          <w:lang w:val="en-AU"/>
        </w:rPr>
        <w:t>Reproduction of any material contained in this document is subject to the CC BY NC ND licence conditions available on the Creative Commons Australia site, as is the full legal code for this material.</w:t>
      </w:r>
    </w:p>
    <w:p w:rsidRPr="008D1918" w:rsidR="00921329" w:rsidP="00863C7F" w:rsidRDefault="00337E33" w14:paraId="4DFAD2D6" w14:textId="6F155913">
      <w:pPr>
        <w:rPr>
          <w:lang w:val="en-AU"/>
        </w:rPr>
      </w:pPr>
      <w:r w:rsidRPr="008D1918">
        <w:rPr>
          <w:lang w:val="en-AU"/>
        </w:rPr>
        <w:t>The National Disability Insurance Agency expects that you will only use the information in this document to benefit people with disability.</w:t>
      </w:r>
    </w:p>
    <w:p w:rsidRPr="008D1918" w:rsidR="00921329" w:rsidRDefault="00921329" w14:paraId="2107130F" w14:textId="77777777">
      <w:pPr>
        <w:spacing w:after="0" w:line="240" w:lineRule="auto"/>
        <w:rPr>
          <w:lang w:val="en-AU"/>
        </w:rPr>
      </w:pPr>
      <w:r w:rsidRPr="008D1918">
        <w:rPr>
          <w:lang w:val="en-AU"/>
        </w:rPr>
        <w:br w:type="page"/>
      </w:r>
    </w:p>
    <w:p w:rsidRPr="008D1918" w:rsidR="00337E33" w:rsidP="00076C80" w:rsidRDefault="00337E33" w14:paraId="49BE96C4" w14:textId="0AF2EF3A">
      <w:pPr>
        <w:pStyle w:val="Heading2"/>
        <w:tabs>
          <w:tab w:val="left" w:pos="3720"/>
        </w:tabs>
        <w:spacing w:after="240"/>
        <w:rPr>
          <w:rFonts w:eastAsiaTheme="minorEastAsia" w:cstheme="minorBidi"/>
          <w:color w:val="000000" w:themeColor="accent6"/>
          <w:sz w:val="24"/>
          <w:szCs w:val="24"/>
          <w:shd w:val="clear" w:color="auto" w:fill="auto"/>
          <w:lang w:val="en-AU"/>
        </w:rPr>
      </w:pPr>
      <w:bookmarkStart w:name="_Toc200103426" w:id="39"/>
      <w:bookmarkStart w:name="_Toc200271541" w:id="40"/>
      <w:bookmarkStart w:name="_Toc223445782" w:id="41"/>
      <w:bookmarkStart w:name="_Toc223539579" w:id="42"/>
      <w:bookmarkStart w:name="_Toc223539793" w:id="43"/>
      <w:bookmarkStart w:name="_Toc223540261" w:id="44"/>
      <w:bookmarkStart w:name="_Toc223540477" w:id="45"/>
      <w:bookmarkStart w:name="_Toc223604182" w:id="46"/>
      <w:bookmarkStart w:name="_Toc223604420" w:id="47"/>
      <w:bookmarkStart w:name="_Toc223604631" w:id="48"/>
      <w:bookmarkStart w:name="_Toc223618501" w:id="49"/>
      <w:bookmarkStart w:name="_Toc223702745" w:id="50"/>
      <w:bookmarkStart w:name="_Toc227337018" w:id="51"/>
      <w:r w:rsidRPr="008D1918">
        <w:rPr>
          <w:rFonts w:eastAsiaTheme="minorEastAsia" w:cstheme="minorBidi"/>
          <w:color w:val="000000" w:themeColor="accent6"/>
          <w:sz w:val="24"/>
          <w:szCs w:val="24"/>
          <w:shd w:val="clear" w:color="auto" w:fill="auto"/>
          <w:lang w:val="en-AU"/>
        </w:rPr>
        <w:t>Terms we use</w:t>
      </w:r>
      <w:bookmarkEnd w:id="39"/>
      <w:bookmarkEnd w:id="40"/>
      <w:bookmarkEnd w:id="41"/>
      <w:bookmarkEnd w:id="42"/>
      <w:bookmarkEnd w:id="43"/>
      <w:bookmarkEnd w:id="44"/>
      <w:bookmarkEnd w:id="45"/>
      <w:bookmarkEnd w:id="46"/>
      <w:bookmarkEnd w:id="47"/>
      <w:bookmarkEnd w:id="48"/>
      <w:bookmarkEnd w:id="49"/>
      <w:bookmarkEnd w:id="50"/>
      <w:bookmarkEnd w:id="51"/>
      <w:r w:rsidRPr="008D1918" w:rsidR="00076C80">
        <w:rPr>
          <w:rFonts w:eastAsiaTheme="minorEastAsia" w:cstheme="minorBidi"/>
          <w:color w:val="000000" w:themeColor="accent6"/>
          <w:sz w:val="24"/>
          <w:szCs w:val="24"/>
          <w:shd w:val="clear" w:color="auto" w:fill="auto"/>
          <w:lang w:val="en-AU"/>
        </w:rPr>
        <w:tab/>
      </w:r>
    </w:p>
    <w:tbl>
      <w:tblPr>
        <w:tblStyle w:val="GridTable4-Accent1"/>
        <w:tblW w:w="9014" w:type="dxa"/>
        <w:tblLook w:val="04A0" w:firstRow="1" w:lastRow="0" w:firstColumn="1" w:lastColumn="0" w:noHBand="0" w:noVBand="1"/>
      </w:tblPr>
      <w:tblGrid>
        <w:gridCol w:w="2263"/>
        <w:gridCol w:w="6751"/>
      </w:tblGrid>
      <w:tr w:rsidRPr="008D1918" w:rsidR="00173A73" w:rsidTr="36A82F41" w14:paraId="00389205"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263" w:type="dxa"/>
            <w:hideMark/>
          </w:tcPr>
          <w:p w:rsidRPr="008D1918" w:rsidR="00337E33" w:rsidRDefault="00337E33" w14:paraId="2FAAC308" w14:textId="77777777">
            <w:pPr>
              <w:spacing w:before="200"/>
              <w:ind w:left="113"/>
              <w:rPr>
                <w:lang w:val="en-AU"/>
              </w:rPr>
            </w:pPr>
            <w:r w:rsidRPr="008D1918">
              <w:rPr>
                <w:lang w:val="en-AU"/>
              </w:rPr>
              <w:t>Acronym</w:t>
            </w:r>
          </w:p>
        </w:tc>
        <w:tc>
          <w:tcPr>
            <w:tcW w:w="6751" w:type="dxa"/>
            <w:hideMark/>
          </w:tcPr>
          <w:p w:rsidRPr="008D1918" w:rsidR="00337E33" w:rsidRDefault="00337E33" w14:paraId="4508DDFA" w14:textId="77777777">
            <w:pPr>
              <w:spacing w:before="200"/>
              <w:ind w:left="113"/>
              <w:cnfStyle w:val="100000000000" w:firstRow="1" w:lastRow="0" w:firstColumn="0" w:lastColumn="0" w:oddVBand="0" w:evenVBand="0" w:oddHBand="0" w:evenHBand="0" w:firstRowFirstColumn="0" w:firstRowLastColumn="0" w:lastRowFirstColumn="0" w:lastRowLastColumn="0"/>
              <w:rPr>
                <w:lang w:val="en-AU"/>
              </w:rPr>
            </w:pPr>
            <w:r w:rsidRPr="008D1918">
              <w:rPr>
                <w:lang w:val="en-AU"/>
              </w:rPr>
              <w:t>Meaning</w:t>
            </w:r>
          </w:p>
        </w:tc>
      </w:tr>
      <w:tr w:rsidRPr="008D1918" w:rsidR="00FE3F50" w:rsidTr="36A82F41" w14:paraId="51375D9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hideMark/>
          </w:tcPr>
          <w:p w:rsidRPr="008D1918" w:rsidR="00337E33" w:rsidRDefault="00337E33" w14:paraId="15468743" w14:textId="77777777">
            <w:pPr>
              <w:spacing w:before="200"/>
              <w:ind w:left="113"/>
              <w:rPr>
                <w:b w:val="0"/>
                <w:bCs w:val="0"/>
                <w:lang w:val="en-AU"/>
              </w:rPr>
            </w:pPr>
            <w:r w:rsidRPr="008D1918">
              <w:rPr>
                <w:b w:val="0"/>
                <w:bCs w:val="0"/>
                <w:lang w:val="en-AU"/>
              </w:rPr>
              <w:t>ABS</w:t>
            </w:r>
          </w:p>
        </w:tc>
        <w:tc>
          <w:tcPr>
            <w:tcW w:w="6751" w:type="dxa"/>
            <w:hideMark/>
          </w:tcPr>
          <w:p w:rsidRPr="008D1918" w:rsidR="00337E33" w:rsidRDefault="00337E33" w14:paraId="4DBFC6B8" w14:textId="77777777">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lang w:val="en-AU"/>
              </w:rPr>
              <w:t>Australian Bureau of Statistics</w:t>
            </w:r>
          </w:p>
        </w:tc>
      </w:tr>
      <w:tr w:rsidRPr="008D1918" w:rsidR="00D03C3D" w:rsidTr="36A82F41" w14:paraId="18B6775A" w14:textId="77777777">
        <w:trPr>
          <w:trHeight w:val="567"/>
        </w:trPr>
        <w:tc>
          <w:tcPr>
            <w:cnfStyle w:val="001000000000" w:firstRow="0" w:lastRow="0" w:firstColumn="1" w:lastColumn="0" w:oddVBand="0" w:evenVBand="0" w:oddHBand="0" w:evenHBand="0" w:firstRowFirstColumn="0" w:firstRowLastColumn="0" w:lastRowFirstColumn="0" w:lastRowLastColumn="0"/>
            <w:tcW w:w="2263" w:type="dxa"/>
            <w:hideMark/>
          </w:tcPr>
          <w:p w:rsidRPr="008D1918" w:rsidR="00337E33" w:rsidRDefault="00337E33" w14:paraId="540E2041" w14:textId="77777777">
            <w:pPr>
              <w:spacing w:before="200"/>
              <w:ind w:left="113"/>
              <w:rPr>
                <w:b w:val="0"/>
                <w:lang w:val="en-AU"/>
              </w:rPr>
            </w:pPr>
            <w:r w:rsidRPr="008D1918">
              <w:rPr>
                <w:b w:val="0"/>
                <w:bCs w:val="0"/>
                <w:lang w:val="en-AU"/>
              </w:rPr>
              <w:t>APR</w:t>
            </w:r>
          </w:p>
        </w:tc>
        <w:tc>
          <w:tcPr>
            <w:tcW w:w="6751" w:type="dxa"/>
            <w:hideMark/>
          </w:tcPr>
          <w:p w:rsidRPr="008D1918" w:rsidR="00337E33" w:rsidRDefault="00337E33" w14:paraId="3CF83282" w14:textId="77777777">
            <w:pPr>
              <w:spacing w:before="200"/>
              <w:ind w:left="113"/>
              <w:cnfStyle w:val="000000000000" w:firstRow="0" w:lastRow="0" w:firstColumn="0" w:lastColumn="0" w:oddVBand="0" w:evenVBand="0" w:oddHBand="0" w:evenHBand="0" w:firstRowFirstColumn="0" w:firstRowLastColumn="0" w:lastRowFirstColumn="0" w:lastRowLastColumn="0"/>
              <w:rPr>
                <w:lang w:val="en-AU"/>
              </w:rPr>
            </w:pPr>
            <w:r w:rsidRPr="008D1918">
              <w:rPr>
                <w:lang w:val="en-AU"/>
              </w:rPr>
              <w:t>Annual Pricing Review</w:t>
            </w:r>
          </w:p>
        </w:tc>
      </w:tr>
      <w:tr w:rsidRPr="008D1918" w:rsidR="00FE3F50" w:rsidTr="36A82F41" w14:paraId="1851BA0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hideMark/>
          </w:tcPr>
          <w:p w:rsidRPr="008D1918" w:rsidR="00337E33" w:rsidRDefault="00337E33" w14:paraId="2B0D6E2B" w14:textId="77777777">
            <w:pPr>
              <w:spacing w:before="200"/>
              <w:ind w:left="113"/>
              <w:rPr>
                <w:b w:val="0"/>
                <w:bCs w:val="0"/>
                <w:lang w:val="en-AU"/>
              </w:rPr>
            </w:pPr>
            <w:r w:rsidRPr="008D1918">
              <w:rPr>
                <w:b w:val="0"/>
                <w:bCs w:val="0"/>
                <w:lang w:val="en-AU"/>
              </w:rPr>
              <w:t>CPI</w:t>
            </w:r>
          </w:p>
        </w:tc>
        <w:tc>
          <w:tcPr>
            <w:tcW w:w="6751" w:type="dxa"/>
            <w:hideMark/>
          </w:tcPr>
          <w:p w:rsidRPr="008D1918" w:rsidR="00337E33" w:rsidRDefault="00337E33" w14:paraId="3D48437C" w14:textId="77777777">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lang w:val="en-AU"/>
              </w:rPr>
              <w:t>Consumer Price Index</w:t>
            </w:r>
          </w:p>
        </w:tc>
      </w:tr>
      <w:tr w:rsidRPr="008D1918" w:rsidR="00BB5872" w:rsidTr="36A82F41" w14:paraId="52F7B2C8" w14:textId="77777777">
        <w:trPr>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BB5872" w:rsidRDefault="00BB5872" w14:paraId="0E021A88" w14:textId="55FB8394">
            <w:pPr>
              <w:spacing w:before="200"/>
              <w:ind w:left="113"/>
              <w:rPr>
                <w:b w:val="0"/>
                <w:lang w:val="en-AU"/>
              </w:rPr>
            </w:pPr>
            <w:r w:rsidRPr="008D1918">
              <w:rPr>
                <w:b w:val="0"/>
                <w:lang w:val="en-AU"/>
              </w:rPr>
              <w:t>DHDA</w:t>
            </w:r>
          </w:p>
        </w:tc>
        <w:tc>
          <w:tcPr>
            <w:tcW w:w="6751" w:type="dxa"/>
          </w:tcPr>
          <w:p w:rsidRPr="008D1918" w:rsidR="00BB5872" w:rsidRDefault="00BB5872" w14:paraId="01C08D41" w14:textId="1F1BD9BE">
            <w:pPr>
              <w:spacing w:before="200"/>
              <w:ind w:left="113"/>
              <w:cnfStyle w:val="000000000000" w:firstRow="0" w:lastRow="0" w:firstColumn="0" w:lastColumn="0" w:oddVBand="0" w:evenVBand="0" w:oddHBand="0" w:evenHBand="0" w:firstRowFirstColumn="0" w:firstRowLastColumn="0" w:lastRowFirstColumn="0" w:lastRowLastColumn="0"/>
              <w:rPr>
                <w:lang w:val="en-AU"/>
              </w:rPr>
            </w:pPr>
            <w:r w:rsidRPr="008D1918">
              <w:rPr>
                <w:lang w:val="en-AU"/>
              </w:rPr>
              <w:t>Department of Health, Disability and Ageing</w:t>
            </w:r>
          </w:p>
        </w:tc>
      </w:tr>
      <w:tr w:rsidRPr="008D1918" w:rsidR="00FE3F50" w:rsidTr="36A82F41" w14:paraId="675EF0F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hideMark/>
          </w:tcPr>
          <w:p w:rsidRPr="008D1918" w:rsidR="00337E33" w:rsidRDefault="00337E33" w14:paraId="125B3B93" w14:textId="77777777">
            <w:pPr>
              <w:spacing w:before="200"/>
              <w:ind w:left="113"/>
              <w:rPr>
                <w:b w:val="0"/>
                <w:lang w:val="en-AU"/>
              </w:rPr>
            </w:pPr>
            <w:r w:rsidRPr="008D1918">
              <w:rPr>
                <w:b w:val="0"/>
                <w:bCs w:val="0"/>
                <w:lang w:val="en-AU"/>
              </w:rPr>
              <w:t>DSW</w:t>
            </w:r>
          </w:p>
        </w:tc>
        <w:tc>
          <w:tcPr>
            <w:tcW w:w="6751" w:type="dxa"/>
            <w:hideMark/>
          </w:tcPr>
          <w:p w:rsidRPr="008D1918" w:rsidR="00337E33" w:rsidRDefault="00337E33" w14:paraId="51092861" w14:textId="77777777">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lang w:val="en-AU"/>
              </w:rPr>
              <w:t>Disability Support Worker</w:t>
            </w:r>
          </w:p>
        </w:tc>
      </w:tr>
      <w:tr w:rsidRPr="008D1918" w:rsidR="00BB5872" w:rsidTr="36A82F41" w14:paraId="3572F1EA" w14:textId="77777777">
        <w:trPr>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BB5872" w:rsidRDefault="00BB5872" w14:paraId="71787F71" w14:textId="0C430698">
            <w:pPr>
              <w:spacing w:before="200"/>
              <w:ind w:left="113"/>
              <w:rPr>
                <w:b w:val="0"/>
                <w:lang w:val="en-AU"/>
              </w:rPr>
            </w:pPr>
            <w:r w:rsidRPr="008D1918">
              <w:rPr>
                <w:b w:val="0"/>
                <w:lang w:val="en-AU"/>
              </w:rPr>
              <w:t>EBA</w:t>
            </w:r>
          </w:p>
        </w:tc>
        <w:tc>
          <w:tcPr>
            <w:tcW w:w="6751" w:type="dxa"/>
          </w:tcPr>
          <w:p w:rsidRPr="008D1918" w:rsidR="00BB5872" w:rsidRDefault="00BB5872" w14:paraId="36BE1686" w14:textId="2DA07138">
            <w:pPr>
              <w:spacing w:before="200"/>
              <w:ind w:left="113"/>
              <w:cnfStyle w:val="000000000000" w:firstRow="0" w:lastRow="0" w:firstColumn="0" w:lastColumn="0" w:oddVBand="0" w:evenVBand="0" w:oddHBand="0" w:evenHBand="0" w:firstRowFirstColumn="0" w:firstRowLastColumn="0" w:lastRowFirstColumn="0" w:lastRowLastColumn="0"/>
              <w:rPr>
                <w:lang w:val="en-AU"/>
              </w:rPr>
            </w:pPr>
            <w:r w:rsidRPr="008D1918">
              <w:rPr>
                <w:lang w:val="en-AU"/>
              </w:rPr>
              <w:t>Enterprise Bargaining Agreement</w:t>
            </w:r>
          </w:p>
        </w:tc>
      </w:tr>
      <w:tr w:rsidRPr="008D1918" w:rsidR="00FE3F50" w:rsidTr="36A82F41" w14:paraId="38B8330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hideMark/>
          </w:tcPr>
          <w:p w:rsidRPr="008D1918" w:rsidR="00337E33" w:rsidRDefault="00337E33" w14:paraId="405045B9" w14:textId="77777777">
            <w:pPr>
              <w:spacing w:before="200"/>
              <w:ind w:left="113"/>
              <w:rPr>
                <w:b w:val="0"/>
                <w:bCs w:val="0"/>
                <w:lang w:val="en-AU"/>
              </w:rPr>
            </w:pPr>
            <w:r w:rsidRPr="008D1918">
              <w:rPr>
                <w:b w:val="0"/>
                <w:bCs w:val="0"/>
                <w:lang w:val="en-AU"/>
              </w:rPr>
              <w:t>FWC</w:t>
            </w:r>
          </w:p>
        </w:tc>
        <w:tc>
          <w:tcPr>
            <w:tcW w:w="6751" w:type="dxa"/>
            <w:hideMark/>
          </w:tcPr>
          <w:p w:rsidRPr="008D1918" w:rsidR="00337E33" w:rsidRDefault="00337E33" w14:paraId="628F90F0" w14:textId="77777777">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lang w:val="en-AU"/>
              </w:rPr>
              <w:t>Fair Work Commission</w:t>
            </w:r>
          </w:p>
        </w:tc>
      </w:tr>
      <w:tr w:rsidRPr="008D1918" w:rsidR="008375E4" w:rsidTr="36A82F41" w14:paraId="2326A263" w14:textId="77777777">
        <w:trPr>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8375E4" w:rsidRDefault="008375E4" w14:paraId="3B44841F" w14:textId="2C71FC24">
            <w:pPr>
              <w:spacing w:before="200"/>
              <w:ind w:left="113"/>
              <w:rPr>
                <w:b w:val="0"/>
                <w:lang w:val="en-AU"/>
              </w:rPr>
            </w:pPr>
            <w:r w:rsidRPr="008D1918">
              <w:rPr>
                <w:b w:val="0"/>
                <w:lang w:val="en-AU"/>
              </w:rPr>
              <w:t>GDP</w:t>
            </w:r>
          </w:p>
        </w:tc>
        <w:tc>
          <w:tcPr>
            <w:tcW w:w="6751" w:type="dxa"/>
          </w:tcPr>
          <w:p w:rsidRPr="008D1918" w:rsidR="008375E4" w:rsidRDefault="008375E4" w14:paraId="4E8D70A1" w14:textId="3700A475">
            <w:pPr>
              <w:spacing w:before="200"/>
              <w:ind w:left="113"/>
              <w:cnfStyle w:val="000000000000" w:firstRow="0" w:lastRow="0" w:firstColumn="0" w:lastColumn="0" w:oddVBand="0" w:evenVBand="0" w:oddHBand="0" w:evenHBand="0" w:firstRowFirstColumn="0" w:firstRowLastColumn="0" w:lastRowFirstColumn="0" w:lastRowLastColumn="0"/>
              <w:rPr>
                <w:lang w:val="en-AU"/>
              </w:rPr>
            </w:pPr>
            <w:r w:rsidRPr="008D1918">
              <w:rPr>
                <w:lang w:val="en-AU"/>
              </w:rPr>
              <w:t>Gross Domestic Product</w:t>
            </w:r>
          </w:p>
        </w:tc>
      </w:tr>
      <w:tr w:rsidRPr="008D1918" w:rsidR="00FE3F50" w:rsidTr="36A82F41" w14:paraId="6FE3896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337E33" w:rsidRDefault="00337E33" w14:paraId="0D89BC2E" w14:textId="77777777">
            <w:pPr>
              <w:spacing w:before="200"/>
              <w:ind w:left="113"/>
              <w:rPr>
                <w:b w:val="0"/>
                <w:lang w:val="en-AU"/>
              </w:rPr>
            </w:pPr>
            <w:r w:rsidRPr="008D1918">
              <w:rPr>
                <w:b w:val="0"/>
                <w:bCs w:val="0"/>
                <w:lang w:val="en-AU"/>
              </w:rPr>
              <w:t>HCSA</w:t>
            </w:r>
          </w:p>
        </w:tc>
        <w:tc>
          <w:tcPr>
            <w:tcW w:w="6751" w:type="dxa"/>
          </w:tcPr>
          <w:p w:rsidRPr="008D1918" w:rsidR="00337E33" w:rsidRDefault="00337E33" w14:paraId="7804EC20" w14:textId="59C8728F">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lang w:val="en-AU"/>
              </w:rPr>
              <w:t>Health</w:t>
            </w:r>
            <w:r w:rsidRPr="008D1918" w:rsidR="007F3C84">
              <w:rPr>
                <w:lang w:val="en-AU"/>
              </w:rPr>
              <w:t xml:space="preserve"> C</w:t>
            </w:r>
            <w:r w:rsidRPr="008D1918">
              <w:rPr>
                <w:lang w:val="en-AU"/>
              </w:rPr>
              <w:t>are and Social Assistance</w:t>
            </w:r>
          </w:p>
        </w:tc>
      </w:tr>
      <w:tr w:rsidRPr="008D1918" w:rsidR="00E928FF" w:rsidTr="36A82F41" w14:paraId="70BDF6DE" w14:textId="77777777">
        <w:trPr>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337E33" w:rsidRDefault="00337E33" w14:paraId="071AFEFA" w14:textId="51FEACA5">
            <w:pPr>
              <w:spacing w:before="200"/>
              <w:ind w:left="113"/>
              <w:rPr>
                <w:b w:val="0"/>
                <w:bCs w:val="0"/>
                <w:lang w:val="en-AU"/>
              </w:rPr>
            </w:pPr>
            <w:r w:rsidRPr="008D1918">
              <w:rPr>
                <w:b w:val="0"/>
                <w:bCs w:val="0"/>
                <w:lang w:val="en-AU"/>
              </w:rPr>
              <w:t>HPSS</w:t>
            </w:r>
            <w:r w:rsidRPr="008D1918" w:rsidR="00BB3423">
              <w:rPr>
                <w:b w:val="0"/>
                <w:bCs w:val="0"/>
                <w:lang w:val="en-AU"/>
              </w:rPr>
              <w:t xml:space="preserve"> Award</w:t>
            </w:r>
          </w:p>
        </w:tc>
        <w:tc>
          <w:tcPr>
            <w:tcW w:w="6751" w:type="dxa"/>
          </w:tcPr>
          <w:p w:rsidRPr="008D1918" w:rsidR="00337E33" w:rsidRDefault="00337E33" w14:paraId="31B4661B" w14:textId="77777777">
            <w:pPr>
              <w:spacing w:before="200"/>
              <w:ind w:left="113"/>
              <w:cnfStyle w:val="000000000000" w:firstRow="0" w:lastRow="0" w:firstColumn="0" w:lastColumn="0" w:oddVBand="0" w:evenVBand="0" w:oddHBand="0" w:evenHBand="0" w:firstRowFirstColumn="0" w:firstRowLastColumn="0" w:lastRowFirstColumn="0" w:lastRowLastColumn="0"/>
              <w:rPr>
                <w:i/>
                <w:lang w:val="en-AU"/>
              </w:rPr>
            </w:pPr>
            <w:r w:rsidRPr="008D1918">
              <w:rPr>
                <w:i/>
                <w:lang w:val="en-AU"/>
              </w:rPr>
              <w:t>Health Professionals and Support Services Award 2020</w:t>
            </w:r>
          </w:p>
        </w:tc>
      </w:tr>
      <w:tr w:rsidRPr="008D1918" w:rsidR="00FE3F50" w:rsidTr="36A82F41" w14:paraId="39A642C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AC7D10" w:rsidRDefault="00AC7D10" w14:paraId="4307FE7F" w14:textId="6EA15BAF">
            <w:pPr>
              <w:spacing w:before="200"/>
              <w:ind w:left="113"/>
              <w:rPr>
                <w:b w:val="0"/>
                <w:bCs w:val="0"/>
                <w:lang w:val="en-AU"/>
              </w:rPr>
            </w:pPr>
            <w:r w:rsidRPr="008D1918">
              <w:rPr>
                <w:b w:val="0"/>
                <w:bCs w:val="0"/>
                <w:lang w:val="en-AU"/>
              </w:rPr>
              <w:t>ITM</w:t>
            </w:r>
          </w:p>
        </w:tc>
        <w:tc>
          <w:tcPr>
            <w:tcW w:w="6751" w:type="dxa"/>
          </w:tcPr>
          <w:p w:rsidRPr="008D1918" w:rsidR="00AC7D10" w:rsidRDefault="00AC7D10" w14:paraId="24BB1F23" w14:textId="4ECA0003">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rFonts w:eastAsia="Arial" w:cs="Arial"/>
                <w:color w:val="000000" w:themeColor="accent6"/>
                <w:lang w:val="en-AU"/>
              </w:rPr>
              <w:t>Isolated Towns Modification</w:t>
            </w:r>
          </w:p>
        </w:tc>
      </w:tr>
      <w:tr w:rsidRPr="008D1918" w:rsidR="00FF0A37" w:rsidTr="36A82F41" w14:paraId="51DA1A46" w14:textId="77777777">
        <w:trPr>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FF0A37" w:rsidRDefault="00FF0A37" w14:paraId="2CAB204C" w14:textId="127440D7">
            <w:pPr>
              <w:spacing w:before="200"/>
              <w:ind w:left="113"/>
              <w:rPr>
                <w:b w:val="0"/>
                <w:lang w:val="en-AU"/>
              </w:rPr>
            </w:pPr>
            <w:r w:rsidRPr="008D1918">
              <w:rPr>
                <w:b w:val="0"/>
                <w:lang w:val="en-AU"/>
              </w:rPr>
              <w:t>MBS</w:t>
            </w:r>
          </w:p>
        </w:tc>
        <w:tc>
          <w:tcPr>
            <w:tcW w:w="6751" w:type="dxa"/>
          </w:tcPr>
          <w:p w:rsidRPr="008D1918" w:rsidR="00FF0A37" w:rsidRDefault="00FF0A37" w14:paraId="3C02C8B2" w14:textId="14008104">
            <w:pPr>
              <w:spacing w:before="200"/>
              <w:ind w:left="113"/>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rPr>
            </w:pPr>
            <w:r w:rsidRPr="008D1918">
              <w:rPr>
                <w:rFonts w:eastAsia="Arial" w:cs="Arial"/>
                <w:color w:val="000000" w:themeColor="accent6"/>
                <w:lang w:val="en-AU"/>
              </w:rPr>
              <w:t>Medicare Benefits Schedule</w:t>
            </w:r>
          </w:p>
        </w:tc>
      </w:tr>
      <w:tr w:rsidRPr="008D1918" w:rsidR="00FE3F50" w:rsidTr="36A82F41" w14:paraId="3A0AA33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3F27D8" w:rsidRDefault="003F27D8" w14:paraId="2D79B5BF" w14:textId="28732B81">
            <w:pPr>
              <w:spacing w:before="200"/>
              <w:ind w:left="113"/>
              <w:rPr>
                <w:b w:val="0"/>
                <w:bCs w:val="0"/>
                <w:lang w:val="en-AU"/>
              </w:rPr>
            </w:pPr>
            <w:r w:rsidRPr="008D1918">
              <w:rPr>
                <w:b w:val="0"/>
                <w:bCs w:val="0"/>
                <w:lang w:val="en-AU"/>
              </w:rPr>
              <w:t>MMM</w:t>
            </w:r>
          </w:p>
        </w:tc>
        <w:tc>
          <w:tcPr>
            <w:tcW w:w="6751" w:type="dxa"/>
          </w:tcPr>
          <w:p w:rsidRPr="008D1918" w:rsidR="003F27D8" w:rsidRDefault="003F27D8" w14:paraId="313E31D6" w14:textId="5621C1B3">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lang w:val="en-AU"/>
              </w:rPr>
              <w:t>Modified Monash Model</w:t>
            </w:r>
          </w:p>
        </w:tc>
      </w:tr>
      <w:tr w:rsidRPr="008D1918" w:rsidR="00ED0A90" w:rsidTr="36A82F41" w14:paraId="6E804125" w14:textId="77777777">
        <w:trPr>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ED0A90" w:rsidRDefault="00ED0A90" w14:paraId="6A828C48" w14:textId="2A0FEE5E">
            <w:pPr>
              <w:spacing w:before="200"/>
              <w:ind w:left="113"/>
              <w:rPr>
                <w:b w:val="0"/>
                <w:lang w:val="en-AU"/>
              </w:rPr>
            </w:pPr>
            <w:r w:rsidRPr="008D1918">
              <w:rPr>
                <w:b w:val="0"/>
                <w:lang w:val="en-AU"/>
              </w:rPr>
              <w:t>MM</w:t>
            </w:r>
          </w:p>
        </w:tc>
        <w:tc>
          <w:tcPr>
            <w:tcW w:w="6751" w:type="dxa"/>
          </w:tcPr>
          <w:p w:rsidRPr="008D1918" w:rsidR="00ED0A90" w:rsidRDefault="00ED0A90" w14:paraId="2D4C986C" w14:textId="04E29C3B">
            <w:pPr>
              <w:spacing w:before="200"/>
              <w:ind w:left="113"/>
              <w:cnfStyle w:val="000000000000" w:firstRow="0" w:lastRow="0" w:firstColumn="0" w:lastColumn="0" w:oddVBand="0" w:evenVBand="0" w:oddHBand="0" w:evenHBand="0" w:firstRowFirstColumn="0" w:firstRowLastColumn="0" w:lastRowFirstColumn="0" w:lastRowLastColumn="0"/>
              <w:rPr>
                <w:lang w:val="en-AU"/>
              </w:rPr>
            </w:pPr>
            <w:r w:rsidRPr="008D1918">
              <w:rPr>
                <w:lang w:val="en-AU"/>
              </w:rPr>
              <w:t>Modified Monash category</w:t>
            </w:r>
          </w:p>
        </w:tc>
      </w:tr>
      <w:tr w:rsidRPr="008D1918" w:rsidR="00FE3F50" w:rsidTr="36A82F41" w14:paraId="5AA3719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184831" w:rsidRDefault="00184831" w14:paraId="1A86DCDE" w14:textId="7B9A77A4">
            <w:pPr>
              <w:spacing w:before="200"/>
              <w:ind w:left="113"/>
              <w:rPr>
                <w:b w:val="0"/>
                <w:lang w:val="en-AU"/>
              </w:rPr>
            </w:pPr>
            <w:r w:rsidRPr="008D1918">
              <w:rPr>
                <w:b w:val="0"/>
                <w:lang w:val="en-AU"/>
              </w:rPr>
              <w:t>MTA</w:t>
            </w:r>
          </w:p>
        </w:tc>
        <w:tc>
          <w:tcPr>
            <w:tcW w:w="6751" w:type="dxa"/>
          </w:tcPr>
          <w:p w:rsidRPr="008D1918" w:rsidR="00184831" w:rsidRDefault="00184831" w14:paraId="42D403D2" w14:textId="38520DA4">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lang w:val="en-AU"/>
              </w:rPr>
              <w:t>Medium Term Accommodation</w:t>
            </w:r>
          </w:p>
        </w:tc>
      </w:tr>
      <w:tr w:rsidRPr="008D1918" w:rsidR="00D03C3D" w:rsidTr="36A82F41" w14:paraId="17E3066F" w14:textId="77777777">
        <w:trPr>
          <w:trHeight w:val="567"/>
        </w:trPr>
        <w:tc>
          <w:tcPr>
            <w:cnfStyle w:val="001000000000" w:firstRow="0" w:lastRow="0" w:firstColumn="1" w:lastColumn="0" w:oddVBand="0" w:evenVBand="0" w:oddHBand="0" w:evenHBand="0" w:firstRowFirstColumn="0" w:firstRowLastColumn="0" w:lastRowFirstColumn="0" w:lastRowLastColumn="0"/>
            <w:tcW w:w="2263" w:type="dxa"/>
            <w:hideMark/>
          </w:tcPr>
          <w:p w:rsidRPr="008D1918" w:rsidR="00337E33" w:rsidRDefault="00337E33" w14:paraId="42B4936A" w14:textId="30CF1083">
            <w:pPr>
              <w:spacing w:before="200"/>
              <w:ind w:left="113"/>
              <w:rPr>
                <w:b w:val="0"/>
                <w:bCs w:val="0"/>
                <w:lang w:val="en-AU"/>
              </w:rPr>
            </w:pPr>
            <w:r w:rsidRPr="008D1918">
              <w:rPr>
                <w:b w:val="0"/>
                <w:bCs w:val="0"/>
                <w:lang w:val="en-AU"/>
              </w:rPr>
              <w:t>NDIA</w:t>
            </w:r>
            <w:r w:rsidRPr="008D1918" w:rsidR="000A6F8A">
              <w:rPr>
                <w:b w:val="0"/>
                <w:bCs w:val="0"/>
                <w:lang w:val="en-AU"/>
              </w:rPr>
              <w:t xml:space="preserve"> or Agency</w:t>
            </w:r>
          </w:p>
        </w:tc>
        <w:tc>
          <w:tcPr>
            <w:tcW w:w="6751" w:type="dxa"/>
            <w:hideMark/>
          </w:tcPr>
          <w:p w:rsidRPr="008D1918" w:rsidR="00337E33" w:rsidRDefault="00337E33" w14:paraId="24883196" w14:textId="77777777">
            <w:pPr>
              <w:spacing w:before="200"/>
              <w:ind w:left="113"/>
              <w:cnfStyle w:val="000000000000" w:firstRow="0" w:lastRow="0" w:firstColumn="0" w:lastColumn="0" w:oddVBand="0" w:evenVBand="0" w:oddHBand="0" w:evenHBand="0" w:firstRowFirstColumn="0" w:firstRowLastColumn="0" w:lastRowFirstColumn="0" w:lastRowLastColumn="0"/>
              <w:rPr>
                <w:lang w:val="en-AU"/>
              </w:rPr>
            </w:pPr>
            <w:r w:rsidRPr="008D1918">
              <w:rPr>
                <w:lang w:val="en-AU"/>
              </w:rPr>
              <w:t>National Disability Insurance Agency</w:t>
            </w:r>
          </w:p>
        </w:tc>
      </w:tr>
      <w:tr w:rsidRPr="008D1918" w:rsidR="00FE3F50" w:rsidTr="36A82F41" w14:paraId="14B1D19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hideMark/>
          </w:tcPr>
          <w:p w:rsidRPr="008D1918" w:rsidR="00337E33" w:rsidRDefault="00337E33" w14:paraId="7B7A99FA" w14:textId="68AE42F5">
            <w:pPr>
              <w:spacing w:before="200"/>
              <w:ind w:left="113"/>
              <w:rPr>
                <w:b w:val="0"/>
                <w:bCs w:val="0"/>
                <w:lang w:val="en-AU"/>
              </w:rPr>
            </w:pPr>
            <w:r w:rsidRPr="008D1918">
              <w:rPr>
                <w:b w:val="0"/>
                <w:bCs w:val="0"/>
                <w:lang w:val="en-AU"/>
              </w:rPr>
              <w:t xml:space="preserve">NDIS </w:t>
            </w:r>
            <w:r w:rsidRPr="008D1918" w:rsidR="000A6F8A">
              <w:rPr>
                <w:b w:val="0"/>
                <w:bCs w:val="0"/>
                <w:lang w:val="en-AU"/>
              </w:rPr>
              <w:t xml:space="preserve">or Scheme </w:t>
            </w:r>
          </w:p>
        </w:tc>
        <w:tc>
          <w:tcPr>
            <w:tcW w:w="6751" w:type="dxa"/>
            <w:hideMark/>
          </w:tcPr>
          <w:p w:rsidRPr="008D1918" w:rsidR="00337E33" w:rsidRDefault="00337E33" w14:paraId="2971FADE" w14:textId="77777777">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lang w:val="en-AU"/>
              </w:rPr>
              <w:t>National Disability Insurance Scheme</w:t>
            </w:r>
          </w:p>
        </w:tc>
      </w:tr>
      <w:tr w:rsidRPr="008D1918" w:rsidR="00D03C3D" w:rsidTr="36A82F41" w14:paraId="05BE8281" w14:textId="77777777">
        <w:trPr>
          <w:trHeight w:val="567"/>
        </w:trPr>
        <w:tc>
          <w:tcPr>
            <w:cnfStyle w:val="001000000000" w:firstRow="0" w:lastRow="0" w:firstColumn="1" w:lastColumn="0" w:oddVBand="0" w:evenVBand="0" w:oddHBand="0" w:evenHBand="0" w:firstRowFirstColumn="0" w:firstRowLastColumn="0" w:lastRowFirstColumn="0" w:lastRowLastColumn="0"/>
            <w:tcW w:w="2263" w:type="dxa"/>
            <w:hideMark/>
          </w:tcPr>
          <w:p w:rsidRPr="008D1918" w:rsidR="00337E33" w:rsidRDefault="00337E33" w14:paraId="04C3725E" w14:textId="00ED75BA">
            <w:pPr>
              <w:spacing w:before="200"/>
              <w:ind w:left="113"/>
              <w:rPr>
                <w:b w:val="0"/>
                <w:bCs w:val="0"/>
                <w:lang w:val="en-AU"/>
              </w:rPr>
            </w:pPr>
            <w:r w:rsidRPr="008D1918">
              <w:rPr>
                <w:b w:val="0"/>
                <w:bCs w:val="0"/>
                <w:lang w:val="en-AU"/>
              </w:rPr>
              <w:t xml:space="preserve">NDIS </w:t>
            </w:r>
            <w:r w:rsidRPr="008D1918" w:rsidR="00617A10">
              <w:rPr>
                <w:b w:val="0"/>
                <w:bCs w:val="0"/>
                <w:lang w:val="en-AU"/>
              </w:rPr>
              <w:t>Commission</w:t>
            </w:r>
            <w:r w:rsidRPr="008D1918" w:rsidR="00631CFF">
              <w:rPr>
                <w:b w:val="0"/>
                <w:bCs w:val="0"/>
                <w:lang w:val="en-AU"/>
              </w:rPr>
              <w:t xml:space="preserve"> </w:t>
            </w:r>
          </w:p>
        </w:tc>
        <w:tc>
          <w:tcPr>
            <w:tcW w:w="6751" w:type="dxa"/>
            <w:hideMark/>
          </w:tcPr>
          <w:p w:rsidRPr="008D1918" w:rsidR="00337E33" w:rsidRDefault="00337E33" w14:paraId="59073D10" w14:textId="77777777">
            <w:pPr>
              <w:spacing w:before="200"/>
              <w:ind w:left="113"/>
              <w:cnfStyle w:val="000000000000" w:firstRow="0" w:lastRow="0" w:firstColumn="0" w:lastColumn="0" w:oddVBand="0" w:evenVBand="0" w:oddHBand="0" w:evenHBand="0" w:firstRowFirstColumn="0" w:firstRowLastColumn="0" w:lastRowFirstColumn="0" w:lastRowLastColumn="0"/>
              <w:rPr>
                <w:lang w:val="en-AU"/>
              </w:rPr>
            </w:pPr>
            <w:r w:rsidRPr="008D1918">
              <w:rPr>
                <w:lang w:val="en-AU"/>
              </w:rPr>
              <w:t>National Disability Insurance Scheme Quality and Safeguards Commission</w:t>
            </w:r>
          </w:p>
        </w:tc>
      </w:tr>
      <w:tr w:rsidRPr="008D1918" w:rsidR="00FE3F50" w:rsidTr="36A82F41" w14:paraId="6BBC397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1B6A04" w:rsidRDefault="001B6A04" w14:paraId="01CB3CDA" w14:textId="54F5816A">
            <w:pPr>
              <w:spacing w:before="200"/>
              <w:ind w:left="113"/>
              <w:rPr>
                <w:b w:val="0"/>
                <w:lang w:val="en-AU"/>
              </w:rPr>
            </w:pPr>
            <w:r w:rsidRPr="008D1918">
              <w:rPr>
                <w:b w:val="0"/>
                <w:lang w:val="en-AU"/>
              </w:rPr>
              <w:t>OMS</w:t>
            </w:r>
          </w:p>
        </w:tc>
        <w:tc>
          <w:tcPr>
            <w:tcW w:w="6751" w:type="dxa"/>
          </w:tcPr>
          <w:p w:rsidRPr="008D1918" w:rsidR="001B6A04" w:rsidRDefault="001B6A04" w14:paraId="6CEA1889" w14:textId="4FFEC0F7">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lang w:val="en-AU"/>
              </w:rPr>
              <w:t>Orientation and Mobility Specialists</w:t>
            </w:r>
          </w:p>
        </w:tc>
      </w:tr>
      <w:tr w:rsidRPr="008D1918" w:rsidR="00A41050" w:rsidTr="36A82F41" w14:paraId="51F123C1" w14:textId="77777777">
        <w:trPr>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93220D" w:rsidRDefault="0093220D" w14:paraId="52497D69" w14:textId="1FD07CF7">
            <w:pPr>
              <w:spacing w:before="200"/>
              <w:ind w:left="113"/>
              <w:rPr>
                <w:b w:val="0"/>
                <w:lang w:val="en-AU"/>
              </w:rPr>
            </w:pPr>
            <w:r w:rsidRPr="008D1918">
              <w:rPr>
                <w:b w:val="0"/>
                <w:lang w:val="en-AU"/>
              </w:rPr>
              <w:t>PHI</w:t>
            </w:r>
          </w:p>
        </w:tc>
        <w:tc>
          <w:tcPr>
            <w:tcW w:w="6751" w:type="dxa"/>
          </w:tcPr>
          <w:p w:rsidRPr="008D1918" w:rsidR="0093220D" w:rsidRDefault="0093220D" w14:paraId="685CFA09" w14:textId="6ABD4FE6">
            <w:pPr>
              <w:spacing w:before="200"/>
              <w:ind w:left="113"/>
              <w:cnfStyle w:val="000000000000" w:firstRow="0" w:lastRow="0" w:firstColumn="0" w:lastColumn="0" w:oddVBand="0" w:evenVBand="0" w:oddHBand="0" w:evenHBand="0" w:firstRowFirstColumn="0" w:firstRowLastColumn="0" w:lastRowFirstColumn="0" w:lastRowLastColumn="0"/>
              <w:rPr>
                <w:lang w:val="en-AU"/>
              </w:rPr>
            </w:pPr>
            <w:r w:rsidRPr="008D1918">
              <w:rPr>
                <w:lang w:val="en-AU"/>
              </w:rPr>
              <w:t>Private health insurance</w:t>
            </w:r>
          </w:p>
        </w:tc>
      </w:tr>
      <w:tr w:rsidRPr="008D1918" w:rsidR="00603DFD" w:rsidTr="36A82F41" w14:paraId="1CD541C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603DFD" w:rsidRDefault="00603DFD" w14:paraId="7F2CED3F" w14:textId="4AAB6516">
            <w:pPr>
              <w:spacing w:before="200"/>
              <w:ind w:left="113"/>
              <w:rPr>
                <w:b w:val="0"/>
                <w:lang w:val="en-AU"/>
              </w:rPr>
            </w:pPr>
            <w:r w:rsidRPr="008D1918">
              <w:rPr>
                <w:b w:val="0"/>
                <w:lang w:val="en-AU"/>
              </w:rPr>
              <w:t>RBA</w:t>
            </w:r>
          </w:p>
        </w:tc>
        <w:tc>
          <w:tcPr>
            <w:tcW w:w="6751" w:type="dxa"/>
          </w:tcPr>
          <w:p w:rsidRPr="008D1918" w:rsidR="00603DFD" w:rsidRDefault="00603DFD" w14:paraId="79967A0D" w14:textId="22FFCED5">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lang w:val="en-AU"/>
              </w:rPr>
              <w:t>Reserve Bank of Australia</w:t>
            </w:r>
          </w:p>
        </w:tc>
      </w:tr>
      <w:tr w:rsidRPr="008D1918" w:rsidR="00D0597F" w:rsidTr="36A82F41" w14:paraId="4D4930D1" w14:textId="77777777">
        <w:trPr>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FE279E" w:rsidRDefault="00FE279E" w14:paraId="1A8448A8" w14:textId="2B3D1DB4">
            <w:pPr>
              <w:spacing w:before="200"/>
              <w:ind w:left="113"/>
              <w:rPr>
                <w:b w:val="0"/>
                <w:lang w:val="en-AU"/>
              </w:rPr>
            </w:pPr>
            <w:r w:rsidRPr="008D1918">
              <w:rPr>
                <w:b w:val="0"/>
                <w:lang w:val="en-AU"/>
              </w:rPr>
              <w:t>SA2</w:t>
            </w:r>
          </w:p>
        </w:tc>
        <w:tc>
          <w:tcPr>
            <w:tcW w:w="6751" w:type="dxa"/>
          </w:tcPr>
          <w:p w:rsidRPr="008D1918" w:rsidR="00FE279E" w:rsidRDefault="00FE279E" w14:paraId="5FE41D69" w14:textId="4A2A1AD6">
            <w:pPr>
              <w:spacing w:before="200"/>
              <w:ind w:left="113"/>
              <w:cnfStyle w:val="000000000000" w:firstRow="0" w:lastRow="0" w:firstColumn="0" w:lastColumn="0" w:oddVBand="0" w:evenVBand="0" w:oddHBand="0" w:evenHBand="0" w:firstRowFirstColumn="0" w:firstRowLastColumn="0" w:lastRowFirstColumn="0" w:lastRowLastColumn="0"/>
              <w:rPr>
                <w:lang w:val="en-AU"/>
              </w:rPr>
            </w:pPr>
            <w:r w:rsidRPr="008D1918">
              <w:rPr>
                <w:lang w:val="en-AU"/>
              </w:rPr>
              <w:t>Statistical Area Level 2</w:t>
            </w:r>
          </w:p>
        </w:tc>
      </w:tr>
      <w:tr w:rsidRPr="008D1918" w:rsidR="00284CBB" w:rsidTr="36A82F41" w14:paraId="39590FC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284CBB" w:rsidRDefault="00284CBB" w14:paraId="1D8AF7C0" w14:textId="2CBF220C">
            <w:pPr>
              <w:spacing w:before="200"/>
              <w:ind w:left="113"/>
              <w:rPr>
                <w:b w:val="0"/>
                <w:lang w:val="en-AU"/>
              </w:rPr>
            </w:pPr>
            <w:r w:rsidRPr="008D1918">
              <w:rPr>
                <w:b w:val="0"/>
                <w:lang w:val="en-AU"/>
              </w:rPr>
              <w:t>SAL</w:t>
            </w:r>
          </w:p>
        </w:tc>
        <w:tc>
          <w:tcPr>
            <w:tcW w:w="6751" w:type="dxa"/>
          </w:tcPr>
          <w:p w:rsidRPr="008D1918" w:rsidR="00284CBB" w:rsidRDefault="00284CBB" w14:paraId="774F5411" w14:textId="137F44F9">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lang w:val="en-AU"/>
              </w:rPr>
              <w:t>Suburbs and Localities</w:t>
            </w:r>
          </w:p>
        </w:tc>
      </w:tr>
      <w:tr w:rsidRPr="008D1918" w:rsidR="00A41050" w:rsidTr="36A82F41" w14:paraId="3C24D4F7" w14:textId="77777777">
        <w:trPr>
          <w:trHeight w:val="567"/>
        </w:trPr>
        <w:tc>
          <w:tcPr>
            <w:cnfStyle w:val="001000000000" w:firstRow="0" w:lastRow="0" w:firstColumn="1" w:lastColumn="0" w:oddVBand="0" w:evenVBand="0" w:oddHBand="0" w:evenHBand="0" w:firstRowFirstColumn="0" w:firstRowLastColumn="0" w:lastRowFirstColumn="0" w:lastRowLastColumn="0"/>
            <w:tcW w:w="2263" w:type="dxa"/>
            <w:hideMark/>
          </w:tcPr>
          <w:p w:rsidRPr="008D1918" w:rsidR="00337E33" w:rsidRDefault="00337E33" w14:paraId="78A153B8" w14:textId="77777777">
            <w:pPr>
              <w:spacing w:before="200"/>
              <w:ind w:left="113"/>
              <w:rPr>
                <w:b w:val="0"/>
                <w:bCs w:val="0"/>
                <w:lang w:val="en-AU"/>
              </w:rPr>
            </w:pPr>
            <w:r w:rsidRPr="008D1918">
              <w:rPr>
                <w:b w:val="0"/>
                <w:bCs w:val="0"/>
                <w:lang w:val="en-AU"/>
              </w:rPr>
              <w:t>SCHADS Award</w:t>
            </w:r>
          </w:p>
        </w:tc>
        <w:tc>
          <w:tcPr>
            <w:tcW w:w="6751" w:type="dxa"/>
            <w:hideMark/>
          </w:tcPr>
          <w:p w:rsidRPr="008D1918" w:rsidR="00337E33" w:rsidRDefault="00337E33" w14:paraId="6015B746" w14:textId="77777777">
            <w:pPr>
              <w:spacing w:before="200"/>
              <w:ind w:left="113"/>
              <w:cnfStyle w:val="000000000000" w:firstRow="0" w:lastRow="0" w:firstColumn="0" w:lastColumn="0" w:oddVBand="0" w:evenVBand="0" w:oddHBand="0" w:evenHBand="0" w:firstRowFirstColumn="0" w:firstRowLastColumn="0" w:lastRowFirstColumn="0" w:lastRowLastColumn="0"/>
              <w:rPr>
                <w:i/>
                <w:lang w:val="en-AU"/>
              </w:rPr>
            </w:pPr>
            <w:r w:rsidRPr="008D1918">
              <w:rPr>
                <w:i/>
                <w:lang w:val="en-AU"/>
              </w:rPr>
              <w:t>Social, Community, Home Care and Disability Services Industry Award 2010</w:t>
            </w:r>
          </w:p>
        </w:tc>
      </w:tr>
      <w:tr w:rsidRPr="008D1918" w:rsidR="000C08C5" w:rsidTr="36A82F41" w14:paraId="372285E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0C08C5" w:rsidRDefault="000C08C5" w14:paraId="49C333EC" w14:textId="1DDACF58">
            <w:pPr>
              <w:spacing w:before="200"/>
              <w:ind w:left="113"/>
              <w:rPr>
                <w:b w:val="0"/>
                <w:lang w:val="en-AU"/>
              </w:rPr>
            </w:pPr>
            <w:r w:rsidRPr="008D1918">
              <w:rPr>
                <w:b w:val="0"/>
                <w:lang w:val="en-AU"/>
              </w:rPr>
              <w:t>SC</w:t>
            </w:r>
            <w:r w:rsidRPr="008D1918" w:rsidR="005A77AD">
              <w:rPr>
                <w:b w:val="0"/>
                <w:lang w:val="en-AU"/>
              </w:rPr>
              <w:t>C</w:t>
            </w:r>
            <w:r w:rsidRPr="008D1918">
              <w:rPr>
                <w:b w:val="0"/>
                <w:lang w:val="en-AU"/>
              </w:rPr>
              <w:t>P</w:t>
            </w:r>
          </w:p>
        </w:tc>
        <w:tc>
          <w:tcPr>
            <w:tcW w:w="6751" w:type="dxa"/>
          </w:tcPr>
          <w:p w:rsidRPr="008D1918" w:rsidR="000C08C5" w:rsidRDefault="000C08C5" w14:paraId="60ABBA9A" w14:textId="0139B4D4">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lang w:val="en-AU"/>
              </w:rPr>
              <w:t>Social</w:t>
            </w:r>
            <w:r w:rsidRPr="008D1918" w:rsidR="0074709E">
              <w:rPr>
                <w:lang w:val="en-AU"/>
              </w:rPr>
              <w:t xml:space="preserve">, </w:t>
            </w:r>
            <w:r w:rsidRPr="008D1918">
              <w:rPr>
                <w:lang w:val="en-AU"/>
              </w:rPr>
              <w:t xml:space="preserve">Community </w:t>
            </w:r>
            <w:r w:rsidRPr="008D1918" w:rsidR="0074709E">
              <w:rPr>
                <w:lang w:val="en-AU"/>
              </w:rPr>
              <w:t xml:space="preserve">and Civic </w:t>
            </w:r>
            <w:r w:rsidRPr="008D1918">
              <w:rPr>
                <w:lang w:val="en-AU"/>
              </w:rPr>
              <w:t>Participation</w:t>
            </w:r>
          </w:p>
        </w:tc>
      </w:tr>
      <w:tr w:rsidRPr="008D1918" w:rsidR="00173A73" w:rsidTr="36A82F41" w14:paraId="763D3079" w14:textId="77777777">
        <w:trPr>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5315A2" w:rsidRDefault="005315A2" w14:paraId="7EA4FCD8" w14:textId="53A7F514">
            <w:pPr>
              <w:spacing w:before="200"/>
              <w:ind w:left="113"/>
              <w:rPr>
                <w:b w:val="0"/>
                <w:lang w:val="en-AU"/>
              </w:rPr>
            </w:pPr>
            <w:r w:rsidRPr="008D1918">
              <w:rPr>
                <w:b w:val="0"/>
                <w:lang w:val="en-AU"/>
              </w:rPr>
              <w:t>SEIFA</w:t>
            </w:r>
          </w:p>
        </w:tc>
        <w:tc>
          <w:tcPr>
            <w:tcW w:w="6751" w:type="dxa"/>
          </w:tcPr>
          <w:p w:rsidRPr="008D1918" w:rsidR="005315A2" w:rsidRDefault="005315A2" w14:paraId="1A84DDC9" w14:textId="377B045B">
            <w:pPr>
              <w:spacing w:before="200"/>
              <w:ind w:left="113"/>
              <w:cnfStyle w:val="000000000000" w:firstRow="0" w:lastRow="0" w:firstColumn="0" w:lastColumn="0" w:oddVBand="0" w:evenVBand="0" w:oddHBand="0" w:evenHBand="0" w:firstRowFirstColumn="0" w:firstRowLastColumn="0" w:lastRowFirstColumn="0" w:lastRowLastColumn="0"/>
              <w:rPr>
                <w:lang w:val="en-AU"/>
              </w:rPr>
            </w:pPr>
            <w:r w:rsidRPr="008D1918">
              <w:rPr>
                <w:lang w:val="en-AU"/>
              </w:rPr>
              <w:t>Socio-Economic Indexes for Areas</w:t>
            </w:r>
          </w:p>
        </w:tc>
      </w:tr>
      <w:tr w:rsidRPr="008D1918" w:rsidR="00D03C3D" w:rsidTr="36A82F41" w14:paraId="48C5865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hideMark/>
          </w:tcPr>
          <w:p w:rsidRPr="008D1918" w:rsidR="00337E33" w:rsidRDefault="00337E33" w14:paraId="6C0AEE15" w14:textId="77777777">
            <w:pPr>
              <w:spacing w:before="200"/>
              <w:ind w:left="113"/>
              <w:rPr>
                <w:b w:val="0"/>
                <w:bCs w:val="0"/>
                <w:lang w:val="en-AU"/>
              </w:rPr>
            </w:pPr>
            <w:r w:rsidRPr="008D1918">
              <w:rPr>
                <w:b w:val="0"/>
                <w:bCs w:val="0"/>
                <w:lang w:val="en-AU"/>
              </w:rPr>
              <w:t>SIL</w:t>
            </w:r>
          </w:p>
        </w:tc>
        <w:tc>
          <w:tcPr>
            <w:tcW w:w="6751" w:type="dxa"/>
            <w:hideMark/>
          </w:tcPr>
          <w:p w:rsidRPr="008D1918" w:rsidR="00337E33" w:rsidRDefault="00337E33" w14:paraId="7A5C7A1C" w14:textId="77777777">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lang w:val="en-AU"/>
              </w:rPr>
              <w:t>Supported Independent Living</w:t>
            </w:r>
          </w:p>
        </w:tc>
      </w:tr>
      <w:tr w:rsidRPr="008D1918" w:rsidR="0043505C" w:rsidTr="36A82F41" w14:paraId="509147B9" w14:textId="77777777">
        <w:trPr>
          <w:trHeight w:val="567"/>
        </w:trPr>
        <w:tc>
          <w:tcPr>
            <w:cnfStyle w:val="001000000000" w:firstRow="0" w:lastRow="0" w:firstColumn="1" w:lastColumn="0" w:oddVBand="0" w:evenVBand="0" w:oddHBand="0" w:evenHBand="0" w:firstRowFirstColumn="0" w:firstRowLastColumn="0" w:lastRowFirstColumn="0" w:lastRowLastColumn="0"/>
            <w:tcW w:w="2263" w:type="dxa"/>
          </w:tcPr>
          <w:p w:rsidRPr="008D1918" w:rsidR="00184831" w:rsidRDefault="00184831" w14:paraId="6EF15EE0" w14:textId="135C341E">
            <w:pPr>
              <w:spacing w:before="200"/>
              <w:ind w:left="113"/>
              <w:rPr>
                <w:b w:val="0"/>
                <w:lang w:val="en-AU"/>
              </w:rPr>
            </w:pPr>
            <w:r w:rsidRPr="008D1918">
              <w:rPr>
                <w:b w:val="0"/>
                <w:lang w:val="en-AU"/>
              </w:rPr>
              <w:t>STA</w:t>
            </w:r>
          </w:p>
        </w:tc>
        <w:tc>
          <w:tcPr>
            <w:tcW w:w="6751" w:type="dxa"/>
          </w:tcPr>
          <w:p w:rsidRPr="008D1918" w:rsidR="00184831" w:rsidRDefault="00184831" w14:paraId="3CD19D6E" w14:textId="4B2ECCC1">
            <w:pPr>
              <w:spacing w:before="200"/>
              <w:ind w:left="113"/>
              <w:cnfStyle w:val="000000000000" w:firstRow="0" w:lastRow="0" w:firstColumn="0" w:lastColumn="0" w:oddVBand="0" w:evenVBand="0" w:oddHBand="0" w:evenHBand="0" w:firstRowFirstColumn="0" w:firstRowLastColumn="0" w:lastRowFirstColumn="0" w:lastRowLastColumn="0"/>
              <w:rPr>
                <w:lang w:val="en-AU"/>
              </w:rPr>
            </w:pPr>
            <w:r w:rsidRPr="008D1918">
              <w:rPr>
                <w:lang w:val="en-AU"/>
              </w:rPr>
              <w:t>Short Term Accommodation</w:t>
            </w:r>
          </w:p>
        </w:tc>
      </w:tr>
      <w:tr w:rsidRPr="008D1918" w:rsidR="00236CDB" w:rsidTr="36A82F41" w14:paraId="709A60A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hideMark/>
          </w:tcPr>
          <w:p w:rsidRPr="008D1918" w:rsidR="00337E33" w:rsidRDefault="00337E33" w14:paraId="5CBEE542" w14:textId="77777777">
            <w:pPr>
              <w:spacing w:before="200"/>
              <w:ind w:left="113"/>
              <w:rPr>
                <w:b w:val="0"/>
                <w:bCs w:val="0"/>
                <w:lang w:val="en-AU"/>
              </w:rPr>
            </w:pPr>
            <w:r w:rsidRPr="008D1918">
              <w:rPr>
                <w:b w:val="0"/>
                <w:bCs w:val="0"/>
                <w:lang w:val="en-AU"/>
              </w:rPr>
              <w:t>WPI</w:t>
            </w:r>
          </w:p>
        </w:tc>
        <w:tc>
          <w:tcPr>
            <w:tcW w:w="6751" w:type="dxa"/>
            <w:hideMark/>
          </w:tcPr>
          <w:p w:rsidRPr="008D1918" w:rsidR="00337E33" w:rsidRDefault="00337E33" w14:paraId="226DFD47" w14:textId="77777777">
            <w:pPr>
              <w:spacing w:before="200"/>
              <w:ind w:left="113"/>
              <w:cnfStyle w:val="000000100000" w:firstRow="0" w:lastRow="0" w:firstColumn="0" w:lastColumn="0" w:oddVBand="0" w:evenVBand="0" w:oddHBand="1" w:evenHBand="0" w:firstRowFirstColumn="0" w:firstRowLastColumn="0" w:lastRowFirstColumn="0" w:lastRowLastColumn="0"/>
              <w:rPr>
                <w:lang w:val="en-AU"/>
              </w:rPr>
            </w:pPr>
            <w:r w:rsidRPr="008D1918">
              <w:rPr>
                <w:lang w:val="en-AU"/>
              </w:rPr>
              <w:t>Wage Price Index</w:t>
            </w:r>
          </w:p>
        </w:tc>
      </w:tr>
    </w:tbl>
    <w:p w:rsidRPr="008D1918" w:rsidR="003A3FCC" w:rsidP="00863C7F" w:rsidRDefault="003A3FCC" w14:paraId="29C47266" w14:textId="1ABFFF9A">
      <w:pPr>
        <w:rPr>
          <w:lang w:val="en-AU"/>
        </w:rPr>
      </w:pPr>
      <w:r w:rsidRPr="008D1918">
        <w:rPr>
          <w:lang w:val="en-AU"/>
        </w:rPr>
        <w:br w:type="page"/>
      </w:r>
    </w:p>
    <w:p w:rsidRPr="008D1918" w:rsidR="00373C38" w:rsidP="003071D0" w:rsidRDefault="007219F1" w14:paraId="6B7DBCF2" w14:textId="0DAF8F91">
      <w:pPr>
        <w:pStyle w:val="TableofContentsheading"/>
        <w:rPr>
          <w:noProof/>
        </w:rPr>
      </w:pPr>
      <w:bookmarkStart w:name="_Toc223604421" w:id="52"/>
      <w:bookmarkStart w:name="_Toc223618502" w:id="53"/>
      <w:bookmarkStart w:name="_Toc223702746" w:id="54"/>
      <w:bookmarkStart w:name="_Toc227337019" w:id="55"/>
      <w:bookmarkStart w:name="_Toc223428324" w:id="56"/>
      <w:bookmarkStart w:name="_Toc223539580" w:id="57"/>
      <w:bookmarkStart w:name="_Toc223539794" w:id="58"/>
      <w:bookmarkStart w:name="_Toc223540262" w:id="59"/>
      <w:bookmarkStart w:name="_Toc223540478" w:id="60"/>
      <w:r w:rsidRPr="008D1918">
        <w:t>Contents</w:t>
      </w:r>
      <w:r w:rsidRPr="008D1918" w:rsidR="006608D4">
        <w:rPr>
          <w:rFonts w:asciiTheme="minorHAnsi" w:hAnsiTheme="minorHAnsi" w:eastAsiaTheme="minorEastAsia" w:cstheme="minorBidi"/>
          <w:kern w:val="2"/>
          <w:sz w:val="22"/>
          <w:szCs w:val="22"/>
          <w:lang w:eastAsia="en-AU"/>
          <w14:ligatures w14:val="standardContextual"/>
        </w:rPr>
        <w:fldChar w:fldCharType="begin"/>
      </w:r>
      <w:r w:rsidRPr="008D1918" w:rsidR="006608D4">
        <w:instrText xml:space="preserve"> TOC \o "1-5" \h \z \u </w:instrText>
      </w:r>
      <w:r w:rsidRPr="008D1918" w:rsidR="006608D4">
        <w:rPr>
          <w:rFonts w:asciiTheme="minorHAnsi" w:hAnsiTheme="minorHAnsi" w:eastAsiaTheme="minorEastAsia" w:cstheme="minorBidi"/>
          <w:kern w:val="2"/>
          <w:sz w:val="22"/>
          <w:szCs w:val="22"/>
          <w:lang w:eastAsia="en-AU"/>
          <w14:ligatures w14:val="standardContextual"/>
        </w:rPr>
        <w:fldChar w:fldCharType="separate"/>
      </w:r>
    </w:p>
    <w:p w:rsidRPr="008D1918" w:rsidR="00373C38" w:rsidP="00C31FF4" w:rsidRDefault="00373C38" w14:paraId="4985A30C" w14:textId="63474422">
      <w:pPr>
        <w:pStyle w:val="TOC2"/>
        <w:spacing w:before="480" w:after="0"/>
        <w:rPr>
          <w:rFonts w:asciiTheme="minorHAnsi" w:hAnsiTheme="minorHAnsi" w:eastAsiaTheme="minorEastAsia" w:cstheme="minorBidi"/>
          <w:noProof/>
          <w:kern w:val="2"/>
          <w:lang w:val="en-AU" w:eastAsia="en-AU"/>
          <w14:ligatures w14:val="standardContextual"/>
        </w:rPr>
      </w:pPr>
      <w:hyperlink w:history="1" w:anchor="_Toc227337020">
        <w:r w:rsidRPr="008D1918">
          <w:rPr>
            <w:rStyle w:val="Hyperlink"/>
            <w:noProof/>
          </w:rPr>
          <w:t>1.</w:t>
        </w:r>
        <w:r w:rsidRPr="008D1918">
          <w:rPr>
            <w:rFonts w:asciiTheme="minorHAnsi" w:hAnsiTheme="minorHAnsi" w:eastAsiaTheme="minorEastAsia" w:cstheme="minorBidi"/>
            <w:noProof/>
            <w:kern w:val="2"/>
            <w:lang w:val="en-AU" w:eastAsia="en-AU"/>
            <w14:ligatures w14:val="standardContextual"/>
          </w:rPr>
          <w:tab/>
        </w:r>
        <w:r w:rsidRPr="008D1918">
          <w:rPr>
            <w:rStyle w:val="Hyperlink"/>
            <w:noProof/>
          </w:rPr>
          <w:t>Executive summary</w:t>
        </w:r>
        <w:r w:rsidRPr="008D1918">
          <w:rPr>
            <w:noProof/>
            <w:webHidden/>
          </w:rPr>
          <w:tab/>
        </w:r>
        <w:r w:rsidRPr="008D1918">
          <w:rPr>
            <w:noProof/>
            <w:webHidden/>
          </w:rPr>
          <w:fldChar w:fldCharType="begin"/>
        </w:r>
        <w:r w:rsidRPr="008D1918">
          <w:rPr>
            <w:noProof/>
            <w:webHidden/>
          </w:rPr>
          <w:instrText xml:space="preserve"> PAGEREF _Toc227337020 \h </w:instrText>
        </w:r>
        <w:r w:rsidRPr="008D1918">
          <w:rPr>
            <w:noProof/>
            <w:webHidden/>
          </w:rPr>
        </w:r>
        <w:r w:rsidRPr="008D1918">
          <w:rPr>
            <w:noProof/>
            <w:webHidden/>
          </w:rPr>
          <w:fldChar w:fldCharType="separate"/>
        </w:r>
        <w:r w:rsidR="008F56A2">
          <w:rPr>
            <w:noProof/>
            <w:webHidden/>
          </w:rPr>
          <w:t>6</w:t>
        </w:r>
        <w:r w:rsidRPr="008D1918">
          <w:rPr>
            <w:noProof/>
            <w:webHidden/>
          </w:rPr>
          <w:fldChar w:fldCharType="end"/>
        </w:r>
      </w:hyperlink>
    </w:p>
    <w:p w:rsidRPr="008D1918" w:rsidR="00373C38" w:rsidP="00C31FF4" w:rsidRDefault="00373C38" w14:paraId="6849913E" w14:textId="477F770C">
      <w:pPr>
        <w:pStyle w:val="TOC2"/>
        <w:spacing w:before="480" w:after="0"/>
        <w:rPr>
          <w:rFonts w:asciiTheme="minorHAnsi" w:hAnsiTheme="minorHAnsi" w:eastAsiaTheme="minorEastAsia" w:cstheme="minorBidi"/>
          <w:noProof/>
          <w:kern w:val="2"/>
          <w:lang w:val="en-AU" w:eastAsia="en-AU"/>
          <w14:ligatures w14:val="standardContextual"/>
        </w:rPr>
      </w:pPr>
      <w:hyperlink w:history="1" w:anchor="_Toc227337040">
        <w:r w:rsidRPr="008D1918">
          <w:rPr>
            <w:rStyle w:val="Hyperlink"/>
            <w:noProof/>
          </w:rPr>
          <w:t>2.</w:t>
        </w:r>
        <w:r w:rsidRPr="008D1918">
          <w:rPr>
            <w:rFonts w:asciiTheme="minorHAnsi" w:hAnsiTheme="minorHAnsi" w:eastAsiaTheme="minorEastAsia" w:cstheme="minorBidi"/>
            <w:noProof/>
            <w:kern w:val="2"/>
            <w:lang w:val="en-AU" w:eastAsia="en-AU"/>
            <w14:ligatures w14:val="standardContextual"/>
          </w:rPr>
          <w:tab/>
        </w:r>
        <w:r w:rsidRPr="008D1918">
          <w:rPr>
            <w:rStyle w:val="Hyperlink"/>
            <w:noProof/>
          </w:rPr>
          <w:t>Introduction</w:t>
        </w:r>
        <w:r w:rsidRPr="008D1918">
          <w:rPr>
            <w:noProof/>
            <w:webHidden/>
          </w:rPr>
          <w:tab/>
        </w:r>
        <w:r w:rsidRPr="008D1918">
          <w:rPr>
            <w:noProof/>
            <w:webHidden/>
          </w:rPr>
          <w:fldChar w:fldCharType="begin"/>
        </w:r>
        <w:r w:rsidRPr="008D1918">
          <w:rPr>
            <w:noProof/>
            <w:webHidden/>
          </w:rPr>
          <w:instrText xml:space="preserve"> PAGEREF _Toc227337040 \h </w:instrText>
        </w:r>
        <w:r w:rsidRPr="008D1918">
          <w:rPr>
            <w:noProof/>
            <w:webHidden/>
          </w:rPr>
        </w:r>
        <w:r w:rsidRPr="008D1918">
          <w:rPr>
            <w:noProof/>
            <w:webHidden/>
          </w:rPr>
          <w:fldChar w:fldCharType="separate"/>
        </w:r>
        <w:r w:rsidR="008F56A2">
          <w:rPr>
            <w:noProof/>
            <w:webHidden/>
          </w:rPr>
          <w:t>17</w:t>
        </w:r>
        <w:r w:rsidRPr="008D1918">
          <w:rPr>
            <w:noProof/>
            <w:webHidden/>
          </w:rPr>
          <w:fldChar w:fldCharType="end"/>
        </w:r>
      </w:hyperlink>
    </w:p>
    <w:p w:rsidRPr="008D1918" w:rsidR="00373C38" w:rsidP="00C31FF4" w:rsidRDefault="00373C38" w14:paraId="418FEDC7" w14:textId="20B58D53">
      <w:pPr>
        <w:pStyle w:val="TOC2"/>
        <w:spacing w:before="480" w:after="0"/>
        <w:rPr>
          <w:rFonts w:asciiTheme="minorHAnsi" w:hAnsiTheme="minorHAnsi" w:eastAsiaTheme="minorEastAsia" w:cstheme="minorBidi"/>
          <w:noProof/>
          <w:kern w:val="2"/>
          <w:lang w:val="en-AU" w:eastAsia="en-AU"/>
          <w14:ligatures w14:val="standardContextual"/>
        </w:rPr>
      </w:pPr>
      <w:hyperlink w:history="1" w:anchor="_Toc227337050">
        <w:r w:rsidRPr="008D1918">
          <w:rPr>
            <w:rStyle w:val="Hyperlink"/>
            <w:noProof/>
          </w:rPr>
          <w:t>3.</w:t>
        </w:r>
        <w:r w:rsidRPr="008D1918">
          <w:rPr>
            <w:rFonts w:asciiTheme="minorHAnsi" w:hAnsiTheme="minorHAnsi" w:eastAsiaTheme="minorEastAsia" w:cstheme="minorBidi"/>
            <w:noProof/>
            <w:kern w:val="2"/>
            <w:lang w:val="en-AU" w:eastAsia="en-AU"/>
            <w14:ligatures w14:val="standardContextual"/>
          </w:rPr>
          <w:tab/>
        </w:r>
        <w:r w:rsidRPr="008D1918">
          <w:rPr>
            <w:rStyle w:val="Hyperlink"/>
            <w:noProof/>
          </w:rPr>
          <w:t>Domestic economic conditions</w:t>
        </w:r>
        <w:r w:rsidRPr="008D1918">
          <w:rPr>
            <w:noProof/>
            <w:webHidden/>
          </w:rPr>
          <w:tab/>
        </w:r>
        <w:r w:rsidRPr="008D1918">
          <w:rPr>
            <w:noProof/>
            <w:webHidden/>
          </w:rPr>
          <w:fldChar w:fldCharType="begin"/>
        </w:r>
        <w:r w:rsidRPr="008D1918">
          <w:rPr>
            <w:noProof/>
            <w:webHidden/>
          </w:rPr>
          <w:instrText xml:space="preserve"> PAGEREF _Toc227337050 \h </w:instrText>
        </w:r>
        <w:r w:rsidRPr="008D1918">
          <w:rPr>
            <w:noProof/>
            <w:webHidden/>
          </w:rPr>
        </w:r>
        <w:r w:rsidRPr="008D1918">
          <w:rPr>
            <w:noProof/>
            <w:webHidden/>
          </w:rPr>
          <w:fldChar w:fldCharType="separate"/>
        </w:r>
        <w:r w:rsidR="008F56A2">
          <w:rPr>
            <w:noProof/>
            <w:webHidden/>
          </w:rPr>
          <w:t>21</w:t>
        </w:r>
        <w:r w:rsidRPr="008D1918">
          <w:rPr>
            <w:noProof/>
            <w:webHidden/>
          </w:rPr>
          <w:fldChar w:fldCharType="end"/>
        </w:r>
      </w:hyperlink>
    </w:p>
    <w:p w:rsidRPr="008D1918" w:rsidR="00373C38" w:rsidP="00C31FF4" w:rsidRDefault="00373C38" w14:paraId="707064EF" w14:textId="1D113E47">
      <w:pPr>
        <w:pStyle w:val="TOC2"/>
        <w:spacing w:before="480" w:after="0"/>
        <w:rPr>
          <w:rFonts w:asciiTheme="minorHAnsi" w:hAnsiTheme="minorHAnsi" w:eastAsiaTheme="minorEastAsia" w:cstheme="minorBidi"/>
          <w:noProof/>
          <w:kern w:val="2"/>
          <w:lang w:val="en-AU" w:eastAsia="en-AU"/>
          <w14:ligatures w14:val="standardContextual"/>
        </w:rPr>
      </w:pPr>
      <w:hyperlink w:history="1" w:anchor="_Toc227337056">
        <w:r w:rsidRPr="008D1918">
          <w:rPr>
            <w:rStyle w:val="Hyperlink"/>
            <w:noProof/>
          </w:rPr>
          <w:t>4.</w:t>
        </w:r>
        <w:r w:rsidRPr="008D1918">
          <w:rPr>
            <w:rFonts w:asciiTheme="minorHAnsi" w:hAnsiTheme="minorHAnsi" w:eastAsiaTheme="minorEastAsia" w:cstheme="minorBidi"/>
            <w:noProof/>
            <w:kern w:val="2"/>
            <w:lang w:val="en-AU" w:eastAsia="en-AU"/>
            <w14:ligatures w14:val="standardContextual"/>
          </w:rPr>
          <w:tab/>
        </w:r>
        <w:r w:rsidRPr="008D1918">
          <w:rPr>
            <w:rStyle w:val="Hyperlink"/>
            <w:noProof/>
          </w:rPr>
          <w:t>Participant considerations for pricing improvement</w:t>
        </w:r>
        <w:r w:rsidRPr="008D1918">
          <w:rPr>
            <w:noProof/>
            <w:webHidden/>
          </w:rPr>
          <w:tab/>
        </w:r>
        <w:r w:rsidRPr="008D1918">
          <w:rPr>
            <w:noProof/>
            <w:webHidden/>
          </w:rPr>
          <w:fldChar w:fldCharType="begin"/>
        </w:r>
        <w:r w:rsidRPr="008D1918">
          <w:rPr>
            <w:noProof/>
            <w:webHidden/>
          </w:rPr>
          <w:instrText xml:space="preserve"> PAGEREF _Toc227337056 \h </w:instrText>
        </w:r>
        <w:r w:rsidRPr="008D1918">
          <w:rPr>
            <w:noProof/>
            <w:webHidden/>
          </w:rPr>
        </w:r>
        <w:r w:rsidRPr="008D1918">
          <w:rPr>
            <w:noProof/>
            <w:webHidden/>
          </w:rPr>
          <w:fldChar w:fldCharType="separate"/>
        </w:r>
        <w:r w:rsidR="008F56A2">
          <w:rPr>
            <w:noProof/>
            <w:webHidden/>
          </w:rPr>
          <w:t>28</w:t>
        </w:r>
        <w:r w:rsidRPr="008D1918">
          <w:rPr>
            <w:noProof/>
            <w:webHidden/>
          </w:rPr>
          <w:fldChar w:fldCharType="end"/>
        </w:r>
      </w:hyperlink>
    </w:p>
    <w:p w:rsidRPr="008D1918" w:rsidR="00373C38" w:rsidP="00C31FF4" w:rsidRDefault="00373C38" w14:paraId="28EC0A65" w14:textId="3A246238">
      <w:pPr>
        <w:pStyle w:val="TOC2"/>
        <w:spacing w:before="480" w:after="0"/>
        <w:rPr>
          <w:rFonts w:asciiTheme="minorHAnsi" w:hAnsiTheme="minorHAnsi" w:eastAsiaTheme="minorEastAsia" w:cstheme="minorBidi"/>
          <w:noProof/>
          <w:kern w:val="2"/>
          <w:lang w:val="en-AU" w:eastAsia="en-AU"/>
          <w14:ligatures w14:val="standardContextual"/>
        </w:rPr>
      </w:pPr>
      <w:hyperlink w:history="1" w:anchor="_Toc227337063">
        <w:r w:rsidRPr="008D1918">
          <w:rPr>
            <w:rStyle w:val="Hyperlink"/>
            <w:noProof/>
          </w:rPr>
          <w:t>5.</w:t>
        </w:r>
        <w:r w:rsidRPr="008D1918">
          <w:rPr>
            <w:rFonts w:asciiTheme="minorHAnsi" w:hAnsiTheme="minorHAnsi" w:eastAsiaTheme="minorEastAsia" w:cstheme="minorBidi"/>
            <w:noProof/>
            <w:kern w:val="2"/>
            <w:lang w:val="en-AU" w:eastAsia="en-AU"/>
            <w14:ligatures w14:val="standardContextual"/>
          </w:rPr>
          <w:tab/>
        </w:r>
        <w:r w:rsidRPr="008D1918">
          <w:rPr>
            <w:rStyle w:val="Hyperlink"/>
            <w:noProof/>
          </w:rPr>
          <w:t>Differentiated pricing</w:t>
        </w:r>
        <w:r w:rsidRPr="008D1918">
          <w:rPr>
            <w:noProof/>
            <w:webHidden/>
          </w:rPr>
          <w:tab/>
        </w:r>
        <w:r w:rsidRPr="008D1918">
          <w:rPr>
            <w:noProof/>
            <w:webHidden/>
          </w:rPr>
          <w:fldChar w:fldCharType="begin"/>
        </w:r>
        <w:r w:rsidRPr="008D1918">
          <w:rPr>
            <w:noProof/>
            <w:webHidden/>
          </w:rPr>
          <w:instrText xml:space="preserve"> PAGEREF _Toc227337063 \h </w:instrText>
        </w:r>
        <w:r w:rsidRPr="008D1918">
          <w:rPr>
            <w:noProof/>
            <w:webHidden/>
          </w:rPr>
        </w:r>
        <w:r w:rsidRPr="008D1918">
          <w:rPr>
            <w:noProof/>
            <w:webHidden/>
          </w:rPr>
          <w:fldChar w:fldCharType="separate"/>
        </w:r>
        <w:r w:rsidR="008F56A2">
          <w:rPr>
            <w:noProof/>
            <w:webHidden/>
          </w:rPr>
          <w:t>32</w:t>
        </w:r>
        <w:r w:rsidRPr="008D1918">
          <w:rPr>
            <w:noProof/>
            <w:webHidden/>
          </w:rPr>
          <w:fldChar w:fldCharType="end"/>
        </w:r>
      </w:hyperlink>
    </w:p>
    <w:p w:rsidRPr="008D1918" w:rsidR="00373C38" w:rsidP="00C31FF4" w:rsidRDefault="00373C38" w14:paraId="3A0CFCD6" w14:textId="3A7A0E48">
      <w:pPr>
        <w:pStyle w:val="TOC2"/>
        <w:spacing w:before="480" w:after="0"/>
        <w:rPr>
          <w:rFonts w:asciiTheme="minorHAnsi" w:hAnsiTheme="minorHAnsi" w:eastAsiaTheme="minorEastAsia" w:cstheme="minorBidi"/>
          <w:noProof/>
          <w:kern w:val="2"/>
          <w:lang w:val="en-AU" w:eastAsia="en-AU"/>
          <w14:ligatures w14:val="standardContextual"/>
        </w:rPr>
      </w:pPr>
      <w:hyperlink w:history="1" w:anchor="_Toc227337071">
        <w:r w:rsidRPr="008D1918">
          <w:rPr>
            <w:rStyle w:val="Hyperlink"/>
            <w:noProof/>
          </w:rPr>
          <w:t>6.</w:t>
        </w:r>
        <w:r w:rsidRPr="008D1918">
          <w:rPr>
            <w:rFonts w:asciiTheme="minorHAnsi" w:hAnsiTheme="minorHAnsi" w:eastAsiaTheme="minorEastAsia" w:cstheme="minorBidi"/>
            <w:noProof/>
            <w:kern w:val="2"/>
            <w:lang w:val="en-AU" w:eastAsia="en-AU"/>
            <w14:ligatures w14:val="standardContextual"/>
          </w:rPr>
          <w:tab/>
        </w:r>
        <w:r w:rsidRPr="008D1918">
          <w:rPr>
            <w:rStyle w:val="Hyperlink"/>
            <w:noProof/>
          </w:rPr>
          <w:t>Pricing context for this APR</w:t>
        </w:r>
        <w:r w:rsidRPr="008D1918">
          <w:rPr>
            <w:noProof/>
            <w:webHidden/>
          </w:rPr>
          <w:tab/>
        </w:r>
        <w:r w:rsidRPr="008D1918">
          <w:rPr>
            <w:noProof/>
            <w:webHidden/>
          </w:rPr>
          <w:fldChar w:fldCharType="begin"/>
        </w:r>
        <w:r w:rsidRPr="008D1918">
          <w:rPr>
            <w:noProof/>
            <w:webHidden/>
          </w:rPr>
          <w:instrText xml:space="preserve"> PAGEREF _Toc227337071 \h </w:instrText>
        </w:r>
        <w:r w:rsidRPr="008D1918">
          <w:rPr>
            <w:noProof/>
            <w:webHidden/>
          </w:rPr>
        </w:r>
        <w:r w:rsidRPr="008D1918">
          <w:rPr>
            <w:noProof/>
            <w:webHidden/>
          </w:rPr>
          <w:fldChar w:fldCharType="separate"/>
        </w:r>
        <w:r w:rsidR="008F56A2">
          <w:rPr>
            <w:noProof/>
            <w:webHidden/>
          </w:rPr>
          <w:t>36</w:t>
        </w:r>
        <w:r w:rsidRPr="008D1918">
          <w:rPr>
            <w:noProof/>
            <w:webHidden/>
          </w:rPr>
          <w:fldChar w:fldCharType="end"/>
        </w:r>
      </w:hyperlink>
    </w:p>
    <w:p w:rsidRPr="008D1918" w:rsidR="00373C38" w:rsidP="00C31FF4" w:rsidRDefault="00373C38" w14:paraId="1F4C5F15" w14:textId="6AF2D6A7">
      <w:pPr>
        <w:pStyle w:val="TOC2"/>
        <w:spacing w:before="480" w:after="0"/>
        <w:rPr>
          <w:rFonts w:asciiTheme="minorHAnsi" w:hAnsiTheme="minorHAnsi" w:eastAsiaTheme="minorEastAsia" w:cstheme="minorBidi"/>
          <w:noProof/>
          <w:kern w:val="2"/>
          <w:lang w:val="en-AU" w:eastAsia="en-AU"/>
          <w14:ligatures w14:val="standardContextual"/>
        </w:rPr>
      </w:pPr>
      <w:hyperlink w:history="1" w:anchor="_Toc227337072">
        <w:r w:rsidRPr="008D1918">
          <w:rPr>
            <w:rStyle w:val="Hyperlink"/>
            <w:noProof/>
          </w:rPr>
          <w:t>7.</w:t>
        </w:r>
        <w:r w:rsidRPr="008D1918">
          <w:rPr>
            <w:rFonts w:asciiTheme="minorHAnsi" w:hAnsiTheme="minorHAnsi" w:eastAsiaTheme="minorEastAsia" w:cstheme="minorBidi"/>
            <w:noProof/>
            <w:kern w:val="2"/>
            <w:lang w:val="en-AU" w:eastAsia="en-AU"/>
            <w14:ligatures w14:val="standardContextual"/>
          </w:rPr>
          <w:tab/>
        </w:r>
        <w:r w:rsidRPr="008D1918">
          <w:rPr>
            <w:rStyle w:val="Hyperlink"/>
            <w:noProof/>
          </w:rPr>
          <w:t>Disability Support Worker-related supports</w:t>
        </w:r>
        <w:r w:rsidRPr="008D1918">
          <w:rPr>
            <w:noProof/>
            <w:webHidden/>
          </w:rPr>
          <w:tab/>
        </w:r>
        <w:r w:rsidRPr="008D1918">
          <w:rPr>
            <w:noProof/>
            <w:webHidden/>
          </w:rPr>
          <w:fldChar w:fldCharType="begin"/>
        </w:r>
        <w:r w:rsidRPr="008D1918">
          <w:rPr>
            <w:noProof/>
            <w:webHidden/>
          </w:rPr>
          <w:instrText xml:space="preserve"> PAGEREF _Toc227337072 \h </w:instrText>
        </w:r>
        <w:r w:rsidRPr="008D1918">
          <w:rPr>
            <w:noProof/>
            <w:webHidden/>
          </w:rPr>
        </w:r>
        <w:r w:rsidRPr="008D1918">
          <w:rPr>
            <w:noProof/>
            <w:webHidden/>
          </w:rPr>
          <w:fldChar w:fldCharType="separate"/>
        </w:r>
        <w:r w:rsidR="008F56A2">
          <w:rPr>
            <w:noProof/>
            <w:webHidden/>
          </w:rPr>
          <w:t>37</w:t>
        </w:r>
        <w:r w:rsidRPr="008D1918">
          <w:rPr>
            <w:noProof/>
            <w:webHidden/>
          </w:rPr>
          <w:fldChar w:fldCharType="end"/>
        </w:r>
      </w:hyperlink>
    </w:p>
    <w:p w:rsidRPr="008D1918" w:rsidR="00373C38" w:rsidP="00C31FF4" w:rsidRDefault="00373C38" w14:paraId="2B7CC815" w14:textId="07CF6DA9">
      <w:pPr>
        <w:pStyle w:val="TOC2"/>
        <w:spacing w:before="480" w:after="0"/>
        <w:rPr>
          <w:rFonts w:asciiTheme="minorHAnsi" w:hAnsiTheme="minorHAnsi" w:eastAsiaTheme="minorEastAsia" w:cstheme="minorBidi"/>
          <w:noProof/>
          <w:kern w:val="2"/>
          <w:lang w:val="en-AU" w:eastAsia="en-AU"/>
          <w14:ligatures w14:val="standardContextual"/>
        </w:rPr>
      </w:pPr>
      <w:hyperlink w:history="1" w:anchor="_Toc227337091">
        <w:r w:rsidRPr="008D1918">
          <w:rPr>
            <w:rStyle w:val="Hyperlink"/>
            <w:noProof/>
          </w:rPr>
          <w:t>8.</w:t>
        </w:r>
        <w:r w:rsidRPr="008D1918">
          <w:rPr>
            <w:rFonts w:asciiTheme="minorHAnsi" w:hAnsiTheme="minorHAnsi" w:eastAsiaTheme="minorEastAsia" w:cstheme="minorBidi"/>
            <w:noProof/>
            <w:kern w:val="2"/>
            <w:lang w:val="en-AU" w:eastAsia="en-AU"/>
            <w14:ligatures w14:val="standardContextual"/>
          </w:rPr>
          <w:tab/>
        </w:r>
        <w:r w:rsidRPr="008D1918">
          <w:rPr>
            <w:rStyle w:val="Hyperlink"/>
            <w:noProof/>
          </w:rPr>
          <w:t>Therapy supports</w:t>
        </w:r>
        <w:r w:rsidRPr="008D1918">
          <w:rPr>
            <w:noProof/>
            <w:webHidden/>
          </w:rPr>
          <w:tab/>
        </w:r>
        <w:r w:rsidRPr="008D1918">
          <w:rPr>
            <w:noProof/>
            <w:webHidden/>
          </w:rPr>
          <w:fldChar w:fldCharType="begin"/>
        </w:r>
        <w:r w:rsidRPr="008D1918">
          <w:rPr>
            <w:noProof/>
            <w:webHidden/>
          </w:rPr>
          <w:instrText xml:space="preserve"> PAGEREF _Toc227337091 \h </w:instrText>
        </w:r>
        <w:r w:rsidRPr="008D1918">
          <w:rPr>
            <w:noProof/>
            <w:webHidden/>
          </w:rPr>
        </w:r>
        <w:r w:rsidRPr="008D1918">
          <w:rPr>
            <w:noProof/>
            <w:webHidden/>
          </w:rPr>
          <w:fldChar w:fldCharType="separate"/>
        </w:r>
        <w:r w:rsidR="008F56A2">
          <w:rPr>
            <w:noProof/>
            <w:webHidden/>
          </w:rPr>
          <w:t>60</w:t>
        </w:r>
        <w:r w:rsidRPr="008D1918">
          <w:rPr>
            <w:noProof/>
            <w:webHidden/>
          </w:rPr>
          <w:fldChar w:fldCharType="end"/>
        </w:r>
      </w:hyperlink>
    </w:p>
    <w:p w:rsidRPr="008D1918" w:rsidR="00373C38" w:rsidP="00C31FF4" w:rsidRDefault="00373C38" w14:paraId="274D3128" w14:textId="32DF4637">
      <w:pPr>
        <w:pStyle w:val="TOC2"/>
        <w:spacing w:before="480" w:after="0"/>
        <w:rPr>
          <w:rFonts w:asciiTheme="minorHAnsi" w:hAnsiTheme="minorHAnsi" w:eastAsiaTheme="minorEastAsia" w:cstheme="minorBidi"/>
          <w:noProof/>
          <w:kern w:val="2"/>
          <w:lang w:val="en-AU" w:eastAsia="en-AU"/>
          <w14:ligatures w14:val="standardContextual"/>
        </w:rPr>
      </w:pPr>
      <w:hyperlink w:history="1" w:anchor="_Toc227337130">
        <w:r w:rsidRPr="008D1918">
          <w:rPr>
            <w:rStyle w:val="Hyperlink"/>
            <w:noProof/>
          </w:rPr>
          <w:t>9.</w:t>
        </w:r>
        <w:r w:rsidRPr="008D1918">
          <w:rPr>
            <w:rFonts w:asciiTheme="minorHAnsi" w:hAnsiTheme="minorHAnsi" w:eastAsiaTheme="minorEastAsia" w:cstheme="minorBidi"/>
            <w:noProof/>
            <w:kern w:val="2"/>
            <w:lang w:val="en-AU" w:eastAsia="en-AU"/>
            <w14:ligatures w14:val="standardContextual"/>
          </w:rPr>
          <w:tab/>
        </w:r>
        <w:r w:rsidRPr="008D1918">
          <w:rPr>
            <w:rStyle w:val="Hyperlink"/>
            <w:noProof/>
          </w:rPr>
          <w:t>Support Coordination</w:t>
        </w:r>
        <w:r w:rsidRPr="008D1918">
          <w:rPr>
            <w:noProof/>
            <w:webHidden/>
          </w:rPr>
          <w:tab/>
        </w:r>
        <w:r w:rsidRPr="008D1918">
          <w:rPr>
            <w:noProof/>
            <w:webHidden/>
          </w:rPr>
          <w:fldChar w:fldCharType="begin"/>
        </w:r>
        <w:r w:rsidRPr="008D1918">
          <w:rPr>
            <w:noProof/>
            <w:webHidden/>
          </w:rPr>
          <w:instrText xml:space="preserve"> PAGEREF _Toc227337130 \h </w:instrText>
        </w:r>
        <w:r w:rsidRPr="008D1918">
          <w:rPr>
            <w:noProof/>
            <w:webHidden/>
          </w:rPr>
        </w:r>
        <w:r w:rsidRPr="008D1918">
          <w:rPr>
            <w:noProof/>
            <w:webHidden/>
          </w:rPr>
          <w:fldChar w:fldCharType="separate"/>
        </w:r>
        <w:r w:rsidR="008F56A2">
          <w:rPr>
            <w:noProof/>
            <w:webHidden/>
          </w:rPr>
          <w:t>99</w:t>
        </w:r>
        <w:r w:rsidRPr="008D1918">
          <w:rPr>
            <w:noProof/>
            <w:webHidden/>
          </w:rPr>
          <w:fldChar w:fldCharType="end"/>
        </w:r>
      </w:hyperlink>
    </w:p>
    <w:p w:rsidRPr="008D1918" w:rsidR="00373C38" w:rsidP="00C31FF4" w:rsidRDefault="00373C38" w14:paraId="23DCAE4C" w14:textId="143606BC">
      <w:pPr>
        <w:pStyle w:val="TOC2"/>
        <w:spacing w:before="480" w:after="0"/>
        <w:rPr>
          <w:rFonts w:asciiTheme="minorHAnsi" w:hAnsiTheme="minorHAnsi" w:eastAsiaTheme="minorEastAsia" w:cstheme="minorBidi"/>
          <w:noProof/>
          <w:kern w:val="2"/>
          <w:lang w:val="en-AU" w:eastAsia="en-AU"/>
          <w14:ligatures w14:val="standardContextual"/>
        </w:rPr>
      </w:pPr>
      <w:hyperlink w:history="1" w:anchor="_Toc227337147">
        <w:r w:rsidRPr="008D1918">
          <w:rPr>
            <w:rStyle w:val="Hyperlink"/>
            <w:noProof/>
          </w:rPr>
          <w:t>10.</w:t>
        </w:r>
        <w:r w:rsidRPr="008D1918">
          <w:rPr>
            <w:rFonts w:asciiTheme="minorHAnsi" w:hAnsiTheme="minorHAnsi" w:eastAsiaTheme="minorEastAsia" w:cstheme="minorBidi"/>
            <w:noProof/>
            <w:kern w:val="2"/>
            <w:lang w:val="en-AU" w:eastAsia="en-AU"/>
            <w14:ligatures w14:val="standardContextual"/>
          </w:rPr>
          <w:tab/>
        </w:r>
        <w:r w:rsidRPr="008D1918">
          <w:rPr>
            <w:rStyle w:val="Hyperlink"/>
            <w:noProof/>
          </w:rPr>
          <w:t>Plan Management</w:t>
        </w:r>
        <w:r w:rsidRPr="008D1918">
          <w:rPr>
            <w:noProof/>
            <w:webHidden/>
          </w:rPr>
          <w:tab/>
        </w:r>
        <w:r w:rsidRPr="008D1918">
          <w:rPr>
            <w:noProof/>
            <w:webHidden/>
          </w:rPr>
          <w:fldChar w:fldCharType="begin"/>
        </w:r>
        <w:r w:rsidRPr="008D1918">
          <w:rPr>
            <w:noProof/>
            <w:webHidden/>
          </w:rPr>
          <w:instrText xml:space="preserve"> PAGEREF _Toc227337147 \h </w:instrText>
        </w:r>
        <w:r w:rsidRPr="008D1918">
          <w:rPr>
            <w:noProof/>
            <w:webHidden/>
          </w:rPr>
        </w:r>
        <w:r w:rsidRPr="008D1918">
          <w:rPr>
            <w:noProof/>
            <w:webHidden/>
          </w:rPr>
          <w:fldChar w:fldCharType="separate"/>
        </w:r>
        <w:r w:rsidR="008F56A2">
          <w:rPr>
            <w:noProof/>
            <w:webHidden/>
          </w:rPr>
          <w:t>117</w:t>
        </w:r>
        <w:r w:rsidRPr="008D1918">
          <w:rPr>
            <w:noProof/>
            <w:webHidden/>
          </w:rPr>
          <w:fldChar w:fldCharType="end"/>
        </w:r>
      </w:hyperlink>
    </w:p>
    <w:p w:rsidRPr="008D1918" w:rsidR="00373C38" w:rsidP="00C31FF4" w:rsidRDefault="00373C38" w14:paraId="548FE28F" w14:textId="439A6640">
      <w:pPr>
        <w:pStyle w:val="TOC2"/>
        <w:spacing w:before="480" w:after="0"/>
        <w:rPr>
          <w:rFonts w:asciiTheme="minorHAnsi" w:hAnsiTheme="minorHAnsi" w:eastAsiaTheme="minorEastAsia" w:cstheme="minorBidi"/>
          <w:noProof/>
          <w:kern w:val="2"/>
          <w:lang w:val="en-AU" w:eastAsia="en-AU"/>
          <w14:ligatures w14:val="standardContextual"/>
        </w:rPr>
      </w:pPr>
      <w:hyperlink w:history="1" w:anchor="_Toc227337166">
        <w:r w:rsidRPr="008D1918">
          <w:rPr>
            <w:rStyle w:val="Hyperlink"/>
            <w:noProof/>
          </w:rPr>
          <w:t>11.</w:t>
        </w:r>
        <w:r w:rsidRPr="008D1918">
          <w:rPr>
            <w:rFonts w:asciiTheme="minorHAnsi" w:hAnsiTheme="minorHAnsi" w:eastAsiaTheme="minorEastAsia" w:cstheme="minorBidi"/>
            <w:noProof/>
            <w:kern w:val="2"/>
            <w:lang w:val="en-AU" w:eastAsia="en-AU"/>
            <w14:ligatures w14:val="standardContextual"/>
          </w:rPr>
          <w:tab/>
        </w:r>
        <w:r w:rsidRPr="008D1918">
          <w:rPr>
            <w:rStyle w:val="Hyperlink"/>
            <w:noProof/>
          </w:rPr>
          <w:t>Social, Community and Civic Participation</w:t>
        </w:r>
        <w:r w:rsidRPr="008D1918">
          <w:rPr>
            <w:noProof/>
            <w:webHidden/>
          </w:rPr>
          <w:tab/>
        </w:r>
        <w:r w:rsidRPr="008D1918">
          <w:rPr>
            <w:noProof/>
            <w:webHidden/>
          </w:rPr>
          <w:fldChar w:fldCharType="begin"/>
        </w:r>
        <w:r w:rsidRPr="008D1918">
          <w:rPr>
            <w:noProof/>
            <w:webHidden/>
          </w:rPr>
          <w:instrText xml:space="preserve"> PAGEREF _Toc227337166 \h </w:instrText>
        </w:r>
        <w:r w:rsidRPr="008D1918">
          <w:rPr>
            <w:noProof/>
            <w:webHidden/>
          </w:rPr>
        </w:r>
        <w:r w:rsidRPr="008D1918">
          <w:rPr>
            <w:noProof/>
            <w:webHidden/>
          </w:rPr>
          <w:fldChar w:fldCharType="separate"/>
        </w:r>
        <w:r w:rsidR="008F56A2">
          <w:rPr>
            <w:noProof/>
            <w:webHidden/>
          </w:rPr>
          <w:t>136</w:t>
        </w:r>
        <w:r w:rsidRPr="008D1918">
          <w:rPr>
            <w:noProof/>
            <w:webHidden/>
          </w:rPr>
          <w:fldChar w:fldCharType="end"/>
        </w:r>
      </w:hyperlink>
    </w:p>
    <w:p w:rsidRPr="008D1918" w:rsidR="00373C38" w:rsidP="00C31FF4" w:rsidRDefault="00373C38" w14:paraId="3BAA76CF" w14:textId="727427CD">
      <w:pPr>
        <w:pStyle w:val="TOC2"/>
        <w:spacing w:before="480" w:after="0"/>
        <w:rPr>
          <w:rFonts w:asciiTheme="minorHAnsi" w:hAnsiTheme="minorHAnsi" w:eastAsiaTheme="minorEastAsia" w:cstheme="minorBidi"/>
          <w:noProof/>
          <w:kern w:val="2"/>
          <w:lang w:val="en-AU" w:eastAsia="en-AU"/>
          <w14:ligatures w14:val="standardContextual"/>
        </w:rPr>
      </w:pPr>
      <w:hyperlink w:history="1" w:anchor="_Toc227337183">
        <w:r w:rsidRPr="008D1918">
          <w:rPr>
            <w:rStyle w:val="Hyperlink"/>
            <w:noProof/>
          </w:rPr>
          <w:t>12.</w:t>
        </w:r>
        <w:r w:rsidRPr="008D1918">
          <w:rPr>
            <w:rFonts w:asciiTheme="minorHAnsi" w:hAnsiTheme="minorHAnsi" w:eastAsiaTheme="minorEastAsia" w:cstheme="minorBidi"/>
            <w:noProof/>
            <w:kern w:val="2"/>
            <w:lang w:val="en-AU" w:eastAsia="en-AU"/>
            <w14:ligatures w14:val="standardContextual"/>
          </w:rPr>
          <w:tab/>
        </w:r>
        <w:r w:rsidRPr="008D1918">
          <w:rPr>
            <w:rStyle w:val="Hyperlink"/>
            <w:noProof/>
          </w:rPr>
          <w:t>Isolated towns</w:t>
        </w:r>
        <w:r w:rsidRPr="008D1918">
          <w:rPr>
            <w:noProof/>
            <w:webHidden/>
          </w:rPr>
          <w:tab/>
        </w:r>
        <w:r w:rsidRPr="008D1918">
          <w:rPr>
            <w:noProof/>
            <w:webHidden/>
          </w:rPr>
          <w:fldChar w:fldCharType="begin"/>
        </w:r>
        <w:r w:rsidRPr="008D1918">
          <w:rPr>
            <w:noProof/>
            <w:webHidden/>
          </w:rPr>
          <w:instrText xml:space="preserve"> PAGEREF _Toc227337183 \h </w:instrText>
        </w:r>
        <w:r w:rsidRPr="008D1918">
          <w:rPr>
            <w:noProof/>
            <w:webHidden/>
          </w:rPr>
        </w:r>
        <w:r w:rsidRPr="008D1918">
          <w:rPr>
            <w:noProof/>
            <w:webHidden/>
          </w:rPr>
          <w:fldChar w:fldCharType="separate"/>
        </w:r>
        <w:r w:rsidR="008F56A2">
          <w:rPr>
            <w:noProof/>
            <w:webHidden/>
          </w:rPr>
          <w:t>156</w:t>
        </w:r>
        <w:r w:rsidRPr="008D1918">
          <w:rPr>
            <w:noProof/>
            <w:webHidden/>
          </w:rPr>
          <w:fldChar w:fldCharType="end"/>
        </w:r>
      </w:hyperlink>
    </w:p>
    <w:p w:rsidRPr="008D1918" w:rsidR="00373C38" w:rsidP="00C31FF4" w:rsidRDefault="00373C38" w14:paraId="672888C1" w14:textId="2C39CDE9">
      <w:pPr>
        <w:pStyle w:val="TOC2"/>
        <w:spacing w:before="480" w:after="0"/>
        <w:rPr>
          <w:rFonts w:asciiTheme="minorHAnsi" w:hAnsiTheme="minorHAnsi" w:eastAsiaTheme="minorEastAsia" w:cstheme="minorBidi"/>
          <w:noProof/>
          <w:kern w:val="2"/>
          <w:lang w:val="en-AU" w:eastAsia="en-AU"/>
          <w14:ligatures w14:val="standardContextual"/>
        </w:rPr>
      </w:pPr>
      <w:hyperlink w:history="1" w:anchor="_Toc227337200">
        <w:r w:rsidRPr="008D1918">
          <w:rPr>
            <w:rStyle w:val="Hyperlink"/>
            <w:noProof/>
            <w:lang w:val="en-AU"/>
          </w:rPr>
          <w:t>Appendix A: DSW Cost Model</w:t>
        </w:r>
        <w:r w:rsidRPr="008D1918">
          <w:rPr>
            <w:noProof/>
            <w:webHidden/>
          </w:rPr>
          <w:tab/>
        </w:r>
        <w:r w:rsidRPr="008D1918">
          <w:rPr>
            <w:noProof/>
            <w:webHidden/>
          </w:rPr>
          <w:fldChar w:fldCharType="begin"/>
        </w:r>
        <w:r w:rsidRPr="008D1918">
          <w:rPr>
            <w:noProof/>
            <w:webHidden/>
          </w:rPr>
          <w:instrText xml:space="preserve"> PAGEREF _Toc227337200 \h </w:instrText>
        </w:r>
        <w:r w:rsidRPr="008D1918">
          <w:rPr>
            <w:noProof/>
            <w:webHidden/>
          </w:rPr>
        </w:r>
        <w:r w:rsidRPr="008D1918">
          <w:rPr>
            <w:noProof/>
            <w:webHidden/>
          </w:rPr>
          <w:fldChar w:fldCharType="separate"/>
        </w:r>
        <w:r w:rsidR="008F56A2">
          <w:rPr>
            <w:noProof/>
            <w:webHidden/>
          </w:rPr>
          <w:t>177</w:t>
        </w:r>
        <w:r w:rsidRPr="008D1918">
          <w:rPr>
            <w:noProof/>
            <w:webHidden/>
          </w:rPr>
          <w:fldChar w:fldCharType="end"/>
        </w:r>
      </w:hyperlink>
    </w:p>
    <w:p w:rsidRPr="008D1918" w:rsidR="00373C38" w:rsidP="00C31FF4" w:rsidRDefault="00373C38" w14:paraId="13C1EE2E" w14:textId="67A9399E">
      <w:pPr>
        <w:pStyle w:val="TOC2"/>
        <w:spacing w:before="480" w:after="0"/>
        <w:rPr>
          <w:rFonts w:asciiTheme="minorHAnsi" w:hAnsiTheme="minorHAnsi" w:eastAsiaTheme="minorEastAsia" w:cstheme="minorBidi"/>
          <w:noProof/>
          <w:kern w:val="2"/>
          <w:lang w:val="en-AU" w:eastAsia="en-AU"/>
          <w14:ligatures w14:val="standardContextual"/>
        </w:rPr>
      </w:pPr>
      <w:hyperlink w:history="1" w:anchor="_Toc227337201">
        <w:r w:rsidRPr="008D1918">
          <w:rPr>
            <w:rStyle w:val="Hyperlink"/>
            <w:noProof/>
            <w:lang w:val="en-AU"/>
          </w:rPr>
          <w:t>Appendix B: Details of MBS and PHI implied hourly price rate conversions</w:t>
        </w:r>
        <w:r w:rsidRPr="008D1918">
          <w:rPr>
            <w:noProof/>
            <w:webHidden/>
          </w:rPr>
          <w:tab/>
        </w:r>
        <w:r w:rsidRPr="008D1918">
          <w:rPr>
            <w:noProof/>
            <w:webHidden/>
          </w:rPr>
          <w:fldChar w:fldCharType="begin"/>
        </w:r>
        <w:r w:rsidRPr="008D1918">
          <w:rPr>
            <w:noProof/>
            <w:webHidden/>
          </w:rPr>
          <w:instrText xml:space="preserve"> PAGEREF _Toc227337201 \h </w:instrText>
        </w:r>
        <w:r w:rsidRPr="008D1918">
          <w:rPr>
            <w:noProof/>
            <w:webHidden/>
          </w:rPr>
        </w:r>
        <w:r w:rsidRPr="008D1918">
          <w:rPr>
            <w:noProof/>
            <w:webHidden/>
          </w:rPr>
          <w:fldChar w:fldCharType="separate"/>
        </w:r>
        <w:r w:rsidR="008F56A2">
          <w:rPr>
            <w:noProof/>
            <w:webHidden/>
          </w:rPr>
          <w:t>180</w:t>
        </w:r>
        <w:r w:rsidRPr="008D1918">
          <w:rPr>
            <w:noProof/>
            <w:webHidden/>
          </w:rPr>
          <w:fldChar w:fldCharType="end"/>
        </w:r>
      </w:hyperlink>
    </w:p>
    <w:p w:rsidRPr="008D1918" w:rsidR="00F759CC" w:rsidP="00BB675F" w:rsidRDefault="006608D4" w14:paraId="1E3EB735" w14:textId="11DB214C">
      <w:pPr>
        <w:pStyle w:val="TOC2"/>
        <w:ind w:left="0"/>
        <w:rPr>
          <w:lang w:val="en-AU"/>
        </w:rPr>
      </w:pPr>
      <w:r w:rsidRPr="008D1918">
        <w:rPr>
          <w:lang w:val="en-AU"/>
        </w:rPr>
        <w:fldChar w:fldCharType="end"/>
      </w:r>
      <w:bookmarkEnd w:id="52"/>
      <w:bookmarkEnd w:id="53"/>
      <w:bookmarkEnd w:id="54"/>
      <w:bookmarkEnd w:id="55"/>
      <w:r w:rsidRPr="008D1918" w:rsidR="00F759CC">
        <w:rPr>
          <w:lang w:val="en-AU"/>
        </w:rPr>
        <w:br w:type="page"/>
      </w:r>
      <w:bookmarkStart w:name="_Toc220423755" w:id="61"/>
      <w:bookmarkStart w:name="_Toc223539581" w:id="62"/>
      <w:bookmarkStart w:name="_Toc223539795" w:id="63"/>
      <w:bookmarkStart w:name="_Toc223540263" w:id="64"/>
      <w:bookmarkStart w:name="_Toc223540479" w:id="65"/>
      <w:bookmarkStart w:name="_Toc223604183" w:id="66"/>
      <w:bookmarkStart w:name="_Toc223604422" w:id="67"/>
      <w:bookmarkEnd w:id="56"/>
      <w:bookmarkEnd w:id="57"/>
      <w:bookmarkEnd w:id="58"/>
      <w:bookmarkEnd w:id="59"/>
      <w:bookmarkEnd w:id="60"/>
    </w:p>
    <w:p w:rsidRPr="008D1918" w:rsidR="009051FC" w:rsidP="00657622" w:rsidRDefault="009051FC" w14:paraId="689A224A" w14:textId="77777777">
      <w:pPr>
        <w:pStyle w:val="Heading21"/>
        <w:ind w:left="1077" w:hanging="720"/>
      </w:pPr>
      <w:bookmarkStart w:name="_Toc227337020" w:id="68"/>
      <w:r w:rsidRPr="008D1918">
        <w:t>Executive summary</w:t>
      </w:r>
      <w:bookmarkEnd w:id="61"/>
      <w:bookmarkEnd w:id="62"/>
      <w:bookmarkEnd w:id="63"/>
      <w:bookmarkEnd w:id="64"/>
      <w:bookmarkEnd w:id="65"/>
      <w:bookmarkEnd w:id="66"/>
      <w:bookmarkEnd w:id="67"/>
      <w:bookmarkEnd w:id="68"/>
    </w:p>
    <w:p w:rsidRPr="008D1918" w:rsidR="00C97966" w:rsidP="36A82F41" w:rsidRDefault="00C1133E" w14:paraId="7EC531D5" w14:textId="2001518F">
      <w:pPr>
        <w:rPr>
          <w:rFonts w:eastAsia="Segoe UI"/>
          <w:lang w:val="en-AU"/>
        </w:rPr>
      </w:pPr>
      <w:r w:rsidRPr="008D1918">
        <w:rPr>
          <w:rFonts w:eastAsia="Segoe UI"/>
          <w:lang w:val="en-AU"/>
        </w:rPr>
        <w:t xml:space="preserve">The Annual Pricing Review (APR) is the primary mechanism </w:t>
      </w:r>
      <w:r w:rsidRPr="008D1918" w:rsidR="002D67DF">
        <w:rPr>
          <w:rFonts w:eastAsia="Segoe UI"/>
          <w:lang w:val="en-AU"/>
        </w:rPr>
        <w:t>through which the National Disability Insurance Agency</w:t>
      </w:r>
      <w:r w:rsidRPr="008D1918" w:rsidR="00F00C3B">
        <w:rPr>
          <w:rFonts w:eastAsia="Segoe UI"/>
          <w:lang w:val="en-AU"/>
        </w:rPr>
        <w:t xml:space="preserve"> (NDIA) </w:t>
      </w:r>
      <w:r w:rsidRPr="008D1918" w:rsidR="003A3022">
        <w:rPr>
          <w:rFonts w:eastAsia="Segoe UI"/>
          <w:lang w:val="en-AU"/>
        </w:rPr>
        <w:t xml:space="preserve">considers </w:t>
      </w:r>
      <w:r w:rsidRPr="008D1918" w:rsidR="00F00C3B">
        <w:rPr>
          <w:rFonts w:eastAsia="Segoe UI"/>
          <w:lang w:val="en-AU"/>
        </w:rPr>
        <w:t>whether National Disability Insurance Scheme (NDIS) price</w:t>
      </w:r>
      <w:r w:rsidRPr="008D1918" w:rsidR="11BA1A85">
        <w:rPr>
          <w:rFonts w:eastAsia="Segoe UI"/>
          <w:lang w:val="en-AU"/>
        </w:rPr>
        <w:t>s</w:t>
      </w:r>
      <w:r w:rsidRPr="008D1918" w:rsidR="00F00C3B">
        <w:rPr>
          <w:rFonts w:eastAsia="Segoe UI"/>
          <w:lang w:val="en-AU"/>
        </w:rPr>
        <w:t xml:space="preserve"> </w:t>
      </w:r>
      <w:r w:rsidRPr="008D1918" w:rsidR="003A3022">
        <w:rPr>
          <w:rFonts w:eastAsia="Segoe UI"/>
          <w:lang w:val="en-AU"/>
        </w:rPr>
        <w:t xml:space="preserve">are </w:t>
      </w:r>
      <w:r w:rsidRPr="008D1918" w:rsidR="00F00C3B">
        <w:rPr>
          <w:rFonts w:eastAsia="Segoe UI"/>
          <w:lang w:val="en-AU"/>
        </w:rPr>
        <w:t>appropriate.</w:t>
      </w:r>
      <w:r w:rsidRPr="008D1918" w:rsidR="004C001B">
        <w:rPr>
          <w:rFonts w:eastAsia="Segoe UI"/>
          <w:lang w:val="en-AU"/>
        </w:rPr>
        <w:t xml:space="preserve"> </w:t>
      </w:r>
      <w:r w:rsidRPr="008D1918" w:rsidR="2A2DCB07">
        <w:rPr>
          <w:rFonts w:eastAsia="Segoe UI"/>
          <w:lang w:val="en-AU"/>
        </w:rPr>
        <w:t>D</w:t>
      </w:r>
      <w:r w:rsidRPr="008D1918" w:rsidR="2A2DCB07">
        <w:rPr>
          <w:rFonts w:eastAsia="Arial" w:cs="Arial"/>
          <w:color w:val="000000" w:themeColor="accent6"/>
          <w:lang w:val="en-GB"/>
        </w:rPr>
        <w:t>etailed analysis is undertaken</w:t>
      </w:r>
      <w:r w:rsidR="00D45555">
        <w:rPr>
          <w:rFonts w:eastAsia="Arial" w:cs="Arial"/>
          <w:color w:val="000000" w:themeColor="accent6"/>
          <w:lang w:val="en-GB"/>
        </w:rPr>
        <w:t xml:space="preserve"> to </w:t>
      </w:r>
      <w:r w:rsidR="00871895">
        <w:rPr>
          <w:rFonts w:eastAsia="Arial" w:cs="Arial"/>
          <w:color w:val="000000" w:themeColor="accent6"/>
          <w:lang w:val="en-GB"/>
        </w:rPr>
        <w:t xml:space="preserve">assess NDIS prices and what, if any, changes </w:t>
      </w:r>
      <w:r w:rsidRPr="008D1918" w:rsidR="008009CD">
        <w:rPr>
          <w:rFonts w:eastAsia="Arial" w:cs="Arial"/>
          <w:color w:val="000000" w:themeColor="accent6"/>
          <w:lang w:val="en-GB"/>
        </w:rPr>
        <w:t xml:space="preserve">the NDIA considers </w:t>
      </w:r>
      <w:r w:rsidRPr="008D1918" w:rsidR="00BC14AE">
        <w:rPr>
          <w:rFonts w:eastAsia="Arial" w:cs="Arial"/>
          <w:color w:val="000000" w:themeColor="accent6"/>
          <w:lang w:val="en-GB"/>
        </w:rPr>
        <w:t>are appropriate</w:t>
      </w:r>
      <w:r w:rsidRPr="008D1918" w:rsidR="2A2DCB07">
        <w:rPr>
          <w:rFonts w:eastAsia="Arial" w:cs="Arial"/>
          <w:color w:val="000000" w:themeColor="accent6"/>
          <w:lang w:val="en-GB"/>
        </w:rPr>
        <w:t>.</w:t>
      </w:r>
      <w:r w:rsidRPr="008D1918" w:rsidR="2A2DCB07">
        <w:rPr>
          <w:rFonts w:eastAsia="Arial" w:cs="Arial"/>
          <w:lang w:val="en-AU"/>
        </w:rPr>
        <w:t xml:space="preserve"> </w:t>
      </w:r>
      <w:r w:rsidRPr="008D1918" w:rsidR="004C001B">
        <w:rPr>
          <w:rFonts w:eastAsia="Segoe UI"/>
          <w:lang w:val="en-AU"/>
        </w:rPr>
        <w:t xml:space="preserve">It considers how markets are functioning, how providers are responding to existing </w:t>
      </w:r>
      <w:r w:rsidRPr="008D1918" w:rsidR="004222EF">
        <w:rPr>
          <w:rFonts w:eastAsia="Segoe UI"/>
          <w:lang w:val="en-AU"/>
        </w:rPr>
        <w:t>settings, and whether pricing continues to support participant outcomes and access to quality supports. Price</w:t>
      </w:r>
      <w:r w:rsidRPr="008D1918" w:rsidR="1435BE1F">
        <w:rPr>
          <w:rFonts w:eastAsia="Segoe UI"/>
          <w:lang w:val="en-AU"/>
        </w:rPr>
        <w:t>s</w:t>
      </w:r>
      <w:r w:rsidRPr="008D1918" w:rsidR="004222EF">
        <w:rPr>
          <w:rFonts w:eastAsia="Segoe UI"/>
          <w:lang w:val="en-AU"/>
        </w:rPr>
        <w:t xml:space="preserve"> shape provider behaviour, workforce investment and the range of service models available to participants. Pricing complements regulatory and policy settings managed through other agencies</w:t>
      </w:r>
      <w:r w:rsidRPr="008D1918" w:rsidR="00914C3A">
        <w:rPr>
          <w:rFonts w:eastAsia="Segoe UI"/>
          <w:lang w:val="en-AU"/>
        </w:rPr>
        <w:t>, all</w:t>
      </w:r>
      <w:r w:rsidRPr="008D1918" w:rsidR="004222EF">
        <w:rPr>
          <w:rFonts w:eastAsia="Segoe UI"/>
          <w:lang w:val="en-AU"/>
        </w:rPr>
        <w:t xml:space="preserve"> within the shared market stewardship framework led by the Department of Health, Disability and Ageing (DHDA</w:t>
      </w:r>
      <w:r w:rsidRPr="008D1918" w:rsidR="002E0135">
        <w:rPr>
          <w:rFonts w:eastAsia="Segoe UI"/>
          <w:lang w:val="en-AU"/>
        </w:rPr>
        <w:t xml:space="preserve">). </w:t>
      </w:r>
    </w:p>
    <w:p w:rsidRPr="008D1918" w:rsidR="00BC14AE" w:rsidP="36A82F41" w:rsidRDefault="00BC14AE" w14:paraId="6F4D60B0" w14:textId="1C8BB132">
      <w:pPr>
        <w:rPr>
          <w:rFonts w:eastAsia="Segoe UI"/>
        </w:rPr>
      </w:pPr>
      <w:r w:rsidRPr="008D1918">
        <w:rPr>
          <w:rFonts w:eastAsia="Segoe UI"/>
        </w:rPr>
        <w:t xml:space="preserve">This year’s APR is </w:t>
      </w:r>
      <w:r w:rsidRPr="008D1918" w:rsidR="00C94248">
        <w:rPr>
          <w:rFonts w:eastAsia="Segoe UI"/>
        </w:rPr>
        <w:t xml:space="preserve">published </w:t>
      </w:r>
      <w:r w:rsidRPr="008D1918">
        <w:rPr>
          <w:rFonts w:eastAsia="Segoe UI"/>
        </w:rPr>
        <w:t xml:space="preserve">against the backdrop of </w:t>
      </w:r>
      <w:r w:rsidRPr="008D1918" w:rsidR="00FF2687">
        <w:rPr>
          <w:rFonts w:eastAsia="Segoe UI"/>
        </w:rPr>
        <w:t>the National Disability Insurance Scheme Amendment (Securing the NDIS for Future Generations) Bill 2026</w:t>
      </w:r>
      <w:r w:rsidRPr="008D1918">
        <w:rPr>
          <w:rFonts w:eastAsia="Segoe UI"/>
        </w:rPr>
        <w:t xml:space="preserve"> (Bill), which</w:t>
      </w:r>
      <w:r w:rsidRPr="008D1918" w:rsidR="00FF2687">
        <w:rPr>
          <w:rFonts w:eastAsia="Segoe UI"/>
        </w:rPr>
        <w:t xml:space="preserve"> was introduced into Parliament</w:t>
      </w:r>
      <w:r w:rsidRPr="008D1918">
        <w:rPr>
          <w:rFonts w:eastAsia="Segoe UI"/>
        </w:rPr>
        <w:t xml:space="preserve"> on 14 May 2026</w:t>
      </w:r>
      <w:r w:rsidRPr="008D1918" w:rsidR="00FF2687">
        <w:rPr>
          <w:rFonts w:eastAsia="Segoe UI"/>
        </w:rPr>
        <w:t xml:space="preserve">. </w:t>
      </w:r>
      <w:r w:rsidRPr="008D1918">
        <w:rPr>
          <w:rFonts w:eastAsia="Segoe UI"/>
        </w:rPr>
        <w:t>Amongst other things, t</w:t>
      </w:r>
      <w:r w:rsidRPr="008D1918" w:rsidR="00FF2687">
        <w:rPr>
          <w:rFonts w:eastAsia="Segoe UI"/>
        </w:rPr>
        <w:t xml:space="preserve">he Bill proposes to amend the </w:t>
      </w:r>
      <w:r w:rsidRPr="008D1918" w:rsidR="00FF2687">
        <w:rPr>
          <w:rFonts w:eastAsia="Segoe UI"/>
          <w:i/>
          <w:iCs/>
        </w:rPr>
        <w:t>National Disability Insurance Scheme Act 2013</w:t>
      </w:r>
      <w:r w:rsidRPr="008D1918" w:rsidR="00FF2687">
        <w:rPr>
          <w:rFonts w:eastAsia="Segoe UI"/>
        </w:rPr>
        <w:t xml:space="preserve"> (NDIS Act) to provide the Minister </w:t>
      </w:r>
      <w:r w:rsidR="00C00E88">
        <w:rPr>
          <w:rFonts w:eastAsia="Segoe UI"/>
        </w:rPr>
        <w:t xml:space="preserve">for the National Disability Insurance Scheme </w:t>
      </w:r>
      <w:r w:rsidRPr="008D1918" w:rsidR="00FF2687">
        <w:rPr>
          <w:rFonts w:eastAsia="Segoe UI"/>
        </w:rPr>
        <w:t>with the power to make a pricing determination</w:t>
      </w:r>
      <w:r w:rsidRPr="008D1918">
        <w:rPr>
          <w:rFonts w:eastAsia="Segoe UI"/>
        </w:rPr>
        <w:t>. It would also confer the NDIA with a specific function to provide advice to the Minister for the purposes of making a pricing determination.</w:t>
      </w:r>
      <w:r w:rsidRPr="008D1918" w:rsidR="00FF2687">
        <w:rPr>
          <w:rFonts w:eastAsia="Segoe UI"/>
        </w:rPr>
        <w:t xml:space="preserve">  </w:t>
      </w:r>
    </w:p>
    <w:p w:rsidRPr="008D1918" w:rsidR="002E0135" w:rsidP="36A82F41" w:rsidRDefault="00FF2687" w14:paraId="5010C171" w14:textId="2A4EBEF1">
      <w:r w:rsidRPr="008D1918">
        <w:rPr>
          <w:rFonts w:eastAsia="Segoe UI"/>
        </w:rPr>
        <w:t xml:space="preserve">Consistent with the NDIA’s existing functions, this year’s </w:t>
      </w:r>
      <w:r w:rsidRPr="008D1918" w:rsidR="00BC14AE">
        <w:rPr>
          <w:rFonts w:eastAsia="Segoe UI"/>
        </w:rPr>
        <w:t>APR sets out guidance and views regarding appropriate</w:t>
      </w:r>
      <w:r w:rsidRPr="008D1918">
        <w:rPr>
          <w:rFonts w:eastAsia="Segoe UI"/>
        </w:rPr>
        <w:t xml:space="preserve"> NDIS prices. If the Bill is subsequently passed, it is anticipated the APR will </w:t>
      </w:r>
      <w:r w:rsidRPr="008D1918" w:rsidR="00BC14AE">
        <w:rPr>
          <w:rFonts w:eastAsia="Segoe UI"/>
        </w:rPr>
        <w:t xml:space="preserve">then be used to </w:t>
      </w:r>
      <w:r w:rsidRPr="008D1918">
        <w:rPr>
          <w:rFonts w:eastAsia="Segoe UI"/>
        </w:rPr>
        <w:t xml:space="preserve">inform advice provided </w:t>
      </w:r>
      <w:r w:rsidRPr="008D1918" w:rsidR="00BC14AE">
        <w:rPr>
          <w:rFonts w:eastAsia="Segoe UI"/>
        </w:rPr>
        <w:t xml:space="preserve">by the NDIA </w:t>
      </w:r>
      <w:r w:rsidRPr="008D1918">
        <w:rPr>
          <w:rFonts w:eastAsia="Segoe UI"/>
        </w:rPr>
        <w:t>to the Minister for the purposes of making a pricing determination.</w:t>
      </w:r>
      <w:r w:rsidRPr="008D1918" w:rsidR="002E0135">
        <w:rPr>
          <w:rFonts w:eastAsia="Segoe UI"/>
          <w:lang w:val="en-AU"/>
        </w:rPr>
        <w:t xml:space="preserve"> </w:t>
      </w:r>
    </w:p>
    <w:p w:rsidRPr="008D1918" w:rsidR="36A82F41" w:rsidP="36A82F41" w:rsidRDefault="002E0135" w14:paraId="372E7C73" w14:textId="09904153">
      <w:pPr>
        <w:rPr>
          <w:rFonts w:eastAsia="Segoe UI"/>
          <w:lang w:val="en-AU"/>
        </w:rPr>
      </w:pPr>
      <w:r w:rsidRPr="008D1918">
        <w:rPr>
          <w:rFonts w:eastAsia="Segoe UI"/>
          <w:lang w:val="en-AU"/>
        </w:rPr>
        <w:t xml:space="preserve">Evidence informing this </w:t>
      </w:r>
      <w:r w:rsidRPr="008D1918" w:rsidR="00AD42AE">
        <w:rPr>
          <w:rFonts w:eastAsia="Segoe UI"/>
          <w:lang w:val="en-AU"/>
        </w:rPr>
        <w:t>year’s</w:t>
      </w:r>
      <w:r w:rsidRPr="008D1918">
        <w:rPr>
          <w:rFonts w:eastAsia="Segoe UI"/>
          <w:lang w:val="en-AU"/>
        </w:rPr>
        <w:t xml:space="preserve"> APR includes administrative and claiming data, expanded benchmarking against broader health and social services markets, and insights from the NDIA’s Quality Supports P</w:t>
      </w:r>
      <w:r w:rsidRPr="008D1918" w:rsidR="00E208B4">
        <w:rPr>
          <w:rFonts w:eastAsia="Segoe UI"/>
          <w:lang w:val="en-AU"/>
        </w:rPr>
        <w:t>rogram p</w:t>
      </w:r>
      <w:r w:rsidRPr="008D1918">
        <w:rPr>
          <w:rFonts w:eastAsia="Segoe UI"/>
          <w:lang w:val="en-AU"/>
        </w:rPr>
        <w:t xml:space="preserve">ilots. </w:t>
      </w:r>
    </w:p>
    <w:p w:rsidRPr="008D1918" w:rsidR="009051FC" w:rsidP="002A73A8" w:rsidRDefault="009051FC" w14:paraId="2AC1A3A3" w14:textId="252A7107">
      <w:pPr>
        <w:pStyle w:val="Heading31"/>
        <w:ind w:left="1077" w:hanging="720"/>
      </w:pPr>
      <w:bookmarkStart w:name="_Toc220423758" w:id="69"/>
      <w:bookmarkStart w:name="_Toc223539589" w:id="70"/>
      <w:bookmarkStart w:name="_Toc223539803" w:id="71"/>
      <w:bookmarkStart w:name="_Toc223540271" w:id="72"/>
      <w:bookmarkStart w:name="_Toc223540487" w:id="73"/>
      <w:bookmarkStart w:name="_Toc223604186" w:id="74"/>
      <w:bookmarkStart w:name="_Toc223604425" w:id="75"/>
      <w:bookmarkStart w:name="_Toc227337022" w:id="76"/>
      <w:r w:rsidRPr="008D1918">
        <w:t xml:space="preserve">Disability Support </w:t>
      </w:r>
      <w:r w:rsidRPr="008D1918" w:rsidR="000544A5">
        <w:t>Worker-</w:t>
      </w:r>
      <w:r w:rsidRPr="008D1918" w:rsidR="000E56D3">
        <w:t>r</w:t>
      </w:r>
      <w:r w:rsidRPr="008D1918">
        <w:t xml:space="preserve">elated </w:t>
      </w:r>
      <w:r w:rsidRPr="008D1918" w:rsidR="000E56D3">
        <w:t>s</w:t>
      </w:r>
      <w:r w:rsidRPr="008D1918">
        <w:t>upports</w:t>
      </w:r>
      <w:bookmarkEnd w:id="69"/>
      <w:bookmarkEnd w:id="70"/>
      <w:bookmarkEnd w:id="71"/>
      <w:bookmarkEnd w:id="72"/>
      <w:bookmarkEnd w:id="73"/>
      <w:bookmarkEnd w:id="74"/>
      <w:bookmarkEnd w:id="75"/>
      <w:bookmarkEnd w:id="76"/>
    </w:p>
    <w:p w:rsidRPr="008D1918" w:rsidR="006C29FA" w:rsidP="009051FC" w:rsidRDefault="007D6E00" w14:paraId="56309DB9" w14:textId="2DE57964">
      <w:pPr>
        <w:rPr>
          <w:rFonts w:eastAsia="Segoe UI"/>
          <w:lang w:val="en-AU"/>
        </w:rPr>
      </w:pPr>
      <w:r w:rsidRPr="008D1918">
        <w:rPr>
          <w:rFonts w:eastAsia="Segoe UI"/>
          <w:lang w:val="en-AU"/>
        </w:rPr>
        <w:t>From</w:t>
      </w:r>
      <w:r w:rsidRPr="008D1918" w:rsidR="006C29FA">
        <w:rPr>
          <w:rFonts w:eastAsia="Segoe UI"/>
          <w:lang w:val="en-AU"/>
        </w:rPr>
        <w:t xml:space="preserve"> </w:t>
      </w:r>
      <w:r w:rsidRPr="008D1918">
        <w:rPr>
          <w:rFonts w:eastAsia="Segoe UI"/>
          <w:lang w:val="en-AU"/>
        </w:rPr>
        <w:t xml:space="preserve">1 </w:t>
      </w:r>
      <w:r w:rsidRPr="008D1918" w:rsidR="006C29FA">
        <w:rPr>
          <w:rFonts w:eastAsia="Segoe UI"/>
          <w:lang w:val="en-AU"/>
        </w:rPr>
        <w:t xml:space="preserve">July </w:t>
      </w:r>
      <w:r w:rsidRPr="008D1918">
        <w:rPr>
          <w:rFonts w:eastAsia="Segoe UI"/>
          <w:lang w:val="en-AU"/>
        </w:rPr>
        <w:t>to 31</w:t>
      </w:r>
      <w:r w:rsidRPr="008D1918" w:rsidR="006C29FA">
        <w:rPr>
          <w:rFonts w:eastAsia="Segoe UI"/>
          <w:lang w:val="en-AU"/>
        </w:rPr>
        <w:t xml:space="preserve"> December 2025,</w:t>
      </w:r>
      <w:r w:rsidRPr="008D1918" w:rsidR="00F44012">
        <w:rPr>
          <w:rFonts w:eastAsia="Segoe UI"/>
          <w:lang w:val="en-AU"/>
        </w:rPr>
        <w:t xml:space="preserve"> more than 325,000 participants </w:t>
      </w:r>
      <w:r w:rsidRPr="008D1918" w:rsidR="0069659F">
        <w:rPr>
          <w:rFonts w:eastAsia="Segoe UI"/>
          <w:lang w:val="en-AU"/>
        </w:rPr>
        <w:t>–</w:t>
      </w:r>
      <w:r w:rsidRPr="008D1918" w:rsidR="00F44012">
        <w:rPr>
          <w:rFonts w:eastAsia="Segoe UI"/>
          <w:lang w:val="en-AU"/>
        </w:rPr>
        <w:t xml:space="preserve"> 43</w:t>
      </w:r>
      <w:r w:rsidRPr="008D1918" w:rsidR="0069659F">
        <w:rPr>
          <w:rFonts w:eastAsia="Segoe UI"/>
          <w:lang w:val="en-AU"/>
        </w:rPr>
        <w:t xml:space="preserve">% of all active participants – </w:t>
      </w:r>
      <w:r w:rsidRPr="008D1918" w:rsidR="00F44012">
        <w:rPr>
          <w:rFonts w:eastAsia="Segoe UI"/>
          <w:lang w:val="en-AU"/>
        </w:rPr>
        <w:t>claimed DSW-related supports</w:t>
      </w:r>
      <w:r w:rsidRPr="008D1918" w:rsidR="0069659F">
        <w:rPr>
          <w:rFonts w:eastAsia="Segoe UI"/>
          <w:lang w:val="en-AU"/>
        </w:rPr>
        <w:t>,</w:t>
      </w:r>
      <w:r w:rsidRPr="008D1918" w:rsidR="00846D72">
        <w:rPr>
          <w:rFonts w:eastAsia="Segoe UI"/>
          <w:lang w:val="en-AU"/>
        </w:rPr>
        <w:t xml:space="preserve"> </w:t>
      </w:r>
      <w:r w:rsidRPr="008D1918" w:rsidR="0069659F">
        <w:rPr>
          <w:rFonts w:eastAsia="Segoe UI"/>
          <w:lang w:val="en-AU"/>
        </w:rPr>
        <w:t>delivered by more than</w:t>
      </w:r>
      <w:r w:rsidRPr="008D1918" w:rsidR="006C29FA">
        <w:rPr>
          <w:rFonts w:eastAsia="Segoe UI"/>
          <w:lang w:val="en-AU"/>
        </w:rPr>
        <w:t xml:space="preserve"> 144,750 providers. </w:t>
      </w:r>
      <w:r w:rsidRPr="008D1918" w:rsidR="00146598">
        <w:rPr>
          <w:rFonts w:eastAsia="Segoe UI"/>
          <w:lang w:val="en-AU"/>
        </w:rPr>
        <w:t>Both registered and unregistered provider</w:t>
      </w:r>
      <w:r w:rsidRPr="008D1918" w:rsidR="00071AAB">
        <w:rPr>
          <w:rFonts w:eastAsia="Segoe UI"/>
          <w:lang w:val="en-AU"/>
        </w:rPr>
        <w:t xml:space="preserve"> segments had an increase in total payments</w:t>
      </w:r>
      <w:r w:rsidRPr="008D1918" w:rsidR="00093A9A">
        <w:rPr>
          <w:rFonts w:eastAsia="Segoe UI"/>
          <w:lang w:val="en-AU"/>
        </w:rPr>
        <w:t>. R</w:t>
      </w:r>
      <w:r w:rsidRPr="008D1918" w:rsidR="006C29FA">
        <w:rPr>
          <w:rFonts w:eastAsia="Segoe UI"/>
          <w:lang w:val="en-AU"/>
        </w:rPr>
        <w:t xml:space="preserve">egistered provider numbers grew by 20% to 12,555, with total payments increasing </w:t>
      </w:r>
      <w:r w:rsidRPr="008D1918" w:rsidR="00701A1E">
        <w:rPr>
          <w:rFonts w:eastAsia="Segoe UI"/>
          <w:lang w:val="en-AU"/>
        </w:rPr>
        <w:t xml:space="preserve">by </w:t>
      </w:r>
      <w:r w:rsidRPr="008D1918" w:rsidR="006C29FA">
        <w:rPr>
          <w:rFonts w:eastAsia="Segoe UI"/>
          <w:lang w:val="en-AU"/>
        </w:rPr>
        <w:t>15% to</w:t>
      </w:r>
      <w:r w:rsidRPr="008D1918" w:rsidR="00846D72">
        <w:rPr>
          <w:rFonts w:eastAsia="Segoe UI"/>
          <w:lang w:val="en-AU"/>
        </w:rPr>
        <w:t xml:space="preserve"> </w:t>
      </w:r>
      <w:r w:rsidRPr="008D1918" w:rsidR="006C29FA">
        <w:rPr>
          <w:rFonts w:eastAsia="Segoe UI"/>
          <w:lang w:val="en-AU"/>
        </w:rPr>
        <w:t>$12.3 billion</w:t>
      </w:r>
      <w:r w:rsidRPr="008D1918" w:rsidR="000618DA">
        <w:rPr>
          <w:rFonts w:eastAsia="Segoe UI"/>
          <w:lang w:val="en-AU"/>
        </w:rPr>
        <w:t>. U</w:t>
      </w:r>
      <w:r w:rsidRPr="008D1918" w:rsidR="006C29FA">
        <w:rPr>
          <w:rFonts w:eastAsia="Segoe UI"/>
          <w:lang w:val="en-AU"/>
        </w:rPr>
        <w:t xml:space="preserve">nregistered provider numbers grew by 5% to 133,348, with payments up </w:t>
      </w:r>
      <w:r w:rsidRPr="008D1918" w:rsidR="000618DA">
        <w:rPr>
          <w:rFonts w:eastAsia="Segoe UI"/>
          <w:lang w:val="en-AU"/>
        </w:rPr>
        <w:t xml:space="preserve">by </w:t>
      </w:r>
      <w:r w:rsidRPr="008D1918" w:rsidR="006C29FA">
        <w:rPr>
          <w:rFonts w:eastAsia="Segoe UI"/>
          <w:lang w:val="en-AU"/>
        </w:rPr>
        <w:t>12% to</w:t>
      </w:r>
      <w:r w:rsidRPr="008D1918" w:rsidR="000A6943">
        <w:rPr>
          <w:rFonts w:eastAsia="Segoe UI"/>
          <w:lang w:val="en-AU"/>
        </w:rPr>
        <w:t xml:space="preserve"> </w:t>
      </w:r>
      <w:r w:rsidRPr="008D1918" w:rsidR="006C29FA">
        <w:rPr>
          <w:rFonts w:eastAsia="Segoe UI"/>
          <w:lang w:val="en-AU"/>
        </w:rPr>
        <w:t xml:space="preserve">$4.7 billion. </w:t>
      </w:r>
      <w:r w:rsidRPr="008D1918" w:rsidR="005C6C20">
        <w:rPr>
          <w:rFonts w:eastAsia="Segoe UI"/>
          <w:lang w:val="en-AU"/>
        </w:rPr>
        <w:t>While a</w:t>
      </w:r>
      <w:r w:rsidRPr="008D1918" w:rsidR="006C29FA">
        <w:rPr>
          <w:rFonts w:eastAsia="Segoe UI"/>
          <w:lang w:val="en-AU"/>
        </w:rPr>
        <w:t xml:space="preserve">verage claims per registered provider </w:t>
      </w:r>
      <w:r w:rsidRPr="008D1918" w:rsidR="00242090">
        <w:rPr>
          <w:rFonts w:eastAsia="Segoe UI"/>
          <w:lang w:val="en-AU"/>
        </w:rPr>
        <w:t>decreased</w:t>
      </w:r>
      <w:r w:rsidRPr="008D1918" w:rsidR="006C29FA">
        <w:rPr>
          <w:rFonts w:eastAsia="Segoe UI"/>
          <w:lang w:val="en-AU"/>
        </w:rPr>
        <w:t xml:space="preserve">, average claims per unregistered provider </w:t>
      </w:r>
      <w:r w:rsidRPr="008D1918" w:rsidR="00242090">
        <w:rPr>
          <w:rFonts w:eastAsia="Segoe UI"/>
          <w:lang w:val="en-AU"/>
        </w:rPr>
        <w:t>increased</w:t>
      </w:r>
      <w:r w:rsidRPr="008D1918" w:rsidR="006C29FA">
        <w:rPr>
          <w:rFonts w:eastAsia="Segoe UI"/>
          <w:lang w:val="en-AU"/>
        </w:rPr>
        <w:t xml:space="preserve">, </w:t>
      </w:r>
      <w:r w:rsidRPr="008D1918" w:rsidR="0042748A">
        <w:rPr>
          <w:rFonts w:eastAsia="Segoe UI"/>
          <w:lang w:val="en-AU"/>
        </w:rPr>
        <w:t xml:space="preserve">indicating the </w:t>
      </w:r>
      <w:r w:rsidRPr="008D1918" w:rsidR="002B49C6">
        <w:rPr>
          <w:rFonts w:eastAsia="Segoe UI"/>
          <w:lang w:val="en-AU"/>
        </w:rPr>
        <w:t xml:space="preserve">2 </w:t>
      </w:r>
      <w:r w:rsidRPr="008D1918" w:rsidR="0042748A">
        <w:rPr>
          <w:rFonts w:eastAsia="Segoe UI"/>
          <w:lang w:val="en-AU"/>
        </w:rPr>
        <w:t>market segments are divergin</w:t>
      </w:r>
      <w:r w:rsidRPr="008D1918" w:rsidR="006741EF">
        <w:rPr>
          <w:rFonts w:eastAsia="Segoe UI"/>
          <w:lang w:val="en-AU"/>
        </w:rPr>
        <w:t xml:space="preserve">g in scale and structure. </w:t>
      </w:r>
    </w:p>
    <w:p w:rsidRPr="008D1918" w:rsidR="004124A2" w:rsidP="009051FC" w:rsidRDefault="009F1744" w14:paraId="478159B8" w14:textId="691419B7">
      <w:pPr>
        <w:rPr>
          <w:rFonts w:eastAsia="Segoe UI"/>
          <w:lang w:val="en-AU"/>
        </w:rPr>
      </w:pPr>
      <w:r w:rsidRPr="008D1918">
        <w:rPr>
          <w:rFonts w:eastAsia="Segoe UI"/>
          <w:lang w:val="en-AU"/>
        </w:rPr>
        <w:t>Most</w:t>
      </w:r>
      <w:r w:rsidRPr="008D1918" w:rsidR="00C83ECF">
        <w:rPr>
          <w:rFonts w:eastAsia="Segoe UI"/>
          <w:lang w:val="en-AU"/>
        </w:rPr>
        <w:t xml:space="preserve"> claims </w:t>
      </w:r>
      <w:r w:rsidRPr="008D1918" w:rsidR="00691CD7">
        <w:rPr>
          <w:rFonts w:eastAsia="Segoe UI"/>
          <w:lang w:val="en-AU"/>
        </w:rPr>
        <w:t xml:space="preserve">are submitted at the </w:t>
      </w:r>
      <w:r w:rsidRPr="00441EFE">
        <w:rPr>
          <w:rFonts w:eastAsia="Segoe UI"/>
          <w:lang w:val="en-AU"/>
        </w:rPr>
        <w:t>maximum</w:t>
      </w:r>
      <w:r w:rsidRPr="008D1918">
        <w:rPr>
          <w:rFonts w:eastAsia="Segoe UI"/>
          <w:lang w:val="en-AU"/>
        </w:rPr>
        <w:t xml:space="preserve"> </w:t>
      </w:r>
      <w:r w:rsidRPr="008D1918" w:rsidR="00691CD7">
        <w:rPr>
          <w:rFonts w:eastAsia="Segoe UI"/>
          <w:lang w:val="en-AU"/>
        </w:rPr>
        <w:t xml:space="preserve">price </w:t>
      </w:r>
      <w:r w:rsidRPr="008D1918" w:rsidR="544BEBA7">
        <w:rPr>
          <w:rFonts w:eastAsia="Segoe UI"/>
          <w:lang w:val="en-AU"/>
        </w:rPr>
        <w:t>published on the NDIS website</w:t>
      </w:r>
      <w:r w:rsidRPr="008D1918" w:rsidR="00691CD7">
        <w:rPr>
          <w:rFonts w:eastAsia="Segoe UI"/>
          <w:lang w:val="en-AU"/>
        </w:rPr>
        <w:t xml:space="preserve">. </w:t>
      </w:r>
      <w:r w:rsidRPr="008D1918" w:rsidR="00CB3BBC">
        <w:rPr>
          <w:rFonts w:eastAsia="Segoe UI"/>
          <w:lang w:val="en-AU"/>
        </w:rPr>
        <w:t xml:space="preserve">In the </w:t>
      </w:r>
      <w:r w:rsidRPr="008D1918" w:rsidR="002B49C6">
        <w:rPr>
          <w:rFonts w:eastAsia="Segoe UI"/>
          <w:lang w:val="en-AU"/>
        </w:rPr>
        <w:t xml:space="preserve">6 </w:t>
      </w:r>
      <w:r w:rsidRPr="008D1918" w:rsidR="00CB3BBC">
        <w:rPr>
          <w:rFonts w:eastAsia="Segoe UI"/>
          <w:lang w:val="en-AU"/>
        </w:rPr>
        <w:t xml:space="preserve">months to </w:t>
      </w:r>
      <w:r w:rsidRPr="008D1918" w:rsidR="002B49C6">
        <w:rPr>
          <w:rFonts w:eastAsia="Segoe UI"/>
          <w:lang w:val="en-AU"/>
        </w:rPr>
        <w:t xml:space="preserve">31 </w:t>
      </w:r>
      <w:r w:rsidRPr="008D1918" w:rsidR="00CB3BBC">
        <w:rPr>
          <w:rFonts w:eastAsia="Segoe UI"/>
          <w:lang w:val="en-AU"/>
        </w:rPr>
        <w:t>December</w:t>
      </w:r>
      <w:r w:rsidRPr="008D1918" w:rsidR="003C7371">
        <w:rPr>
          <w:rFonts w:eastAsia="Segoe UI"/>
          <w:lang w:val="en-AU"/>
        </w:rPr>
        <w:t xml:space="preserve"> </w:t>
      </w:r>
      <w:r w:rsidRPr="008D1918" w:rsidR="00CB3BBC">
        <w:rPr>
          <w:rFonts w:eastAsia="Segoe UI"/>
          <w:lang w:val="en-AU"/>
        </w:rPr>
        <w:t xml:space="preserve">2025, </w:t>
      </w:r>
      <w:r w:rsidRPr="008D1918" w:rsidR="006C29FA">
        <w:rPr>
          <w:rFonts w:eastAsia="Segoe UI"/>
          <w:lang w:val="en-AU"/>
        </w:rPr>
        <w:t xml:space="preserve">69% </w:t>
      </w:r>
      <w:r w:rsidRPr="008D1918" w:rsidR="00CB3BBC">
        <w:rPr>
          <w:rFonts w:eastAsia="Segoe UI"/>
          <w:lang w:val="en-AU"/>
        </w:rPr>
        <w:t>of claims were made at th</w:t>
      </w:r>
      <w:r w:rsidRPr="008D1918" w:rsidR="00C94248">
        <w:rPr>
          <w:rFonts w:eastAsia="Segoe UI"/>
          <w:lang w:val="en-AU"/>
        </w:rPr>
        <w:t>is</w:t>
      </w:r>
      <w:r w:rsidRPr="008D1918" w:rsidR="00CB3BBC">
        <w:rPr>
          <w:rFonts w:eastAsia="Segoe UI"/>
          <w:lang w:val="en-AU"/>
        </w:rPr>
        <w:t xml:space="preserve"> </w:t>
      </w:r>
      <w:r w:rsidRPr="008D1918" w:rsidR="00C94248">
        <w:rPr>
          <w:rFonts w:eastAsia="Segoe UI"/>
          <w:lang w:val="en-AU"/>
        </w:rPr>
        <w:t>published</w:t>
      </w:r>
      <w:r w:rsidRPr="008D1918" w:rsidR="7FE7A5ED">
        <w:rPr>
          <w:rFonts w:eastAsia="Segoe UI"/>
          <w:lang w:val="en-AU"/>
        </w:rPr>
        <w:t xml:space="preserve"> </w:t>
      </w:r>
      <w:r w:rsidRPr="008D1918" w:rsidR="00CB3BBC">
        <w:rPr>
          <w:rFonts w:eastAsia="Segoe UI"/>
          <w:lang w:val="en-AU"/>
        </w:rPr>
        <w:t>price</w:t>
      </w:r>
      <w:r w:rsidRPr="008D1918" w:rsidR="006C29FA">
        <w:rPr>
          <w:rFonts w:eastAsia="Segoe UI"/>
          <w:lang w:val="en-AU"/>
        </w:rPr>
        <w:t>,</w:t>
      </w:r>
      <w:r w:rsidRPr="008D1918" w:rsidR="00FB2D58">
        <w:rPr>
          <w:rFonts w:eastAsia="Segoe UI"/>
          <w:lang w:val="en-AU"/>
        </w:rPr>
        <w:t xml:space="preserve"> </w:t>
      </w:r>
      <w:r w:rsidRPr="008D1918" w:rsidR="006C29FA">
        <w:rPr>
          <w:rFonts w:eastAsia="Segoe UI"/>
          <w:lang w:val="en-AU"/>
        </w:rPr>
        <w:t xml:space="preserve">up from </w:t>
      </w:r>
      <w:r w:rsidRPr="008D1918" w:rsidR="00EA7708">
        <w:rPr>
          <w:rFonts w:eastAsia="Segoe UI"/>
          <w:lang w:val="en-AU"/>
        </w:rPr>
        <w:t>66</w:t>
      </w:r>
      <w:r w:rsidRPr="008D1918" w:rsidR="006C29FA">
        <w:rPr>
          <w:rFonts w:eastAsia="Segoe UI"/>
          <w:lang w:val="en-AU"/>
        </w:rPr>
        <w:t xml:space="preserve">% </w:t>
      </w:r>
      <w:r w:rsidRPr="008D1918" w:rsidR="002B49C6">
        <w:rPr>
          <w:rFonts w:eastAsia="Segoe UI"/>
          <w:lang w:val="en-AU"/>
        </w:rPr>
        <w:t xml:space="preserve">in </w:t>
      </w:r>
      <w:r w:rsidRPr="008D1918" w:rsidR="006C29FA">
        <w:rPr>
          <w:rFonts w:eastAsia="Segoe UI"/>
          <w:lang w:val="en-AU"/>
        </w:rPr>
        <w:t>the previous year</w:t>
      </w:r>
      <w:r w:rsidRPr="008D1918" w:rsidR="00FB2D58">
        <w:rPr>
          <w:rFonts w:eastAsia="Segoe UI"/>
          <w:lang w:val="en-AU"/>
        </w:rPr>
        <w:t>. R</w:t>
      </w:r>
      <w:r w:rsidRPr="008D1918" w:rsidR="006C29FA">
        <w:rPr>
          <w:rFonts w:eastAsia="Segoe UI"/>
          <w:lang w:val="en-AU"/>
        </w:rPr>
        <w:t>egistered providers claim</w:t>
      </w:r>
      <w:r w:rsidRPr="008D1918" w:rsidR="00FB2D58">
        <w:rPr>
          <w:rFonts w:eastAsia="Segoe UI"/>
          <w:lang w:val="en-AU"/>
        </w:rPr>
        <w:t>ed</w:t>
      </w:r>
      <w:r w:rsidRPr="008D1918" w:rsidR="006C29FA">
        <w:rPr>
          <w:rFonts w:eastAsia="Segoe UI"/>
          <w:lang w:val="en-AU"/>
        </w:rPr>
        <w:t xml:space="preserve"> at the </w:t>
      </w:r>
      <w:r w:rsidRPr="008D1918" w:rsidR="00C94248">
        <w:rPr>
          <w:rFonts w:eastAsia="Segoe UI"/>
          <w:lang w:val="en-AU"/>
        </w:rPr>
        <w:t>published</w:t>
      </w:r>
      <w:r w:rsidRPr="008D1918" w:rsidR="3B42B77C">
        <w:rPr>
          <w:rFonts w:eastAsia="Segoe UI"/>
          <w:lang w:val="en-AU"/>
        </w:rPr>
        <w:t xml:space="preserve"> price </w:t>
      </w:r>
      <w:r w:rsidRPr="008D1918" w:rsidR="00EA7708">
        <w:rPr>
          <w:rFonts w:eastAsia="Segoe UI"/>
          <w:lang w:val="en-AU"/>
        </w:rPr>
        <w:t>73</w:t>
      </w:r>
      <w:r w:rsidRPr="008D1918" w:rsidR="006C29FA">
        <w:rPr>
          <w:rFonts w:eastAsia="Segoe UI"/>
          <w:lang w:val="en-AU"/>
        </w:rPr>
        <w:t>% of the time</w:t>
      </w:r>
      <w:r w:rsidRPr="008D1918" w:rsidR="00FB2D58">
        <w:rPr>
          <w:rFonts w:eastAsia="Segoe UI"/>
          <w:lang w:val="en-AU"/>
        </w:rPr>
        <w:t>, while</w:t>
      </w:r>
      <w:r w:rsidRPr="008D1918" w:rsidR="006C29FA">
        <w:rPr>
          <w:rFonts w:eastAsia="Segoe UI"/>
          <w:lang w:val="en-AU"/>
        </w:rPr>
        <w:t xml:space="preserve"> unregistered providers</w:t>
      </w:r>
      <w:r w:rsidRPr="008D1918" w:rsidR="00243985">
        <w:rPr>
          <w:rFonts w:eastAsia="Segoe UI"/>
          <w:lang w:val="en-AU"/>
        </w:rPr>
        <w:t xml:space="preserve"> did so </w:t>
      </w:r>
      <w:r w:rsidRPr="008D1918" w:rsidR="00EA7708">
        <w:rPr>
          <w:rFonts w:eastAsia="Segoe UI"/>
          <w:lang w:val="en-AU"/>
        </w:rPr>
        <w:t>61</w:t>
      </w:r>
      <w:r w:rsidRPr="008D1918" w:rsidR="00243985">
        <w:rPr>
          <w:rFonts w:eastAsia="Segoe UI"/>
          <w:lang w:val="en-AU"/>
        </w:rPr>
        <w:t>% of the time</w:t>
      </w:r>
      <w:r w:rsidRPr="008D1918" w:rsidR="006C29FA">
        <w:rPr>
          <w:rFonts w:eastAsia="Segoe UI"/>
          <w:lang w:val="en-AU"/>
        </w:rPr>
        <w:t xml:space="preserve">. </w:t>
      </w:r>
      <w:r w:rsidRPr="008D1918" w:rsidR="00B114A2">
        <w:rPr>
          <w:rFonts w:eastAsia="Segoe UI"/>
          <w:lang w:val="en-AU"/>
        </w:rPr>
        <w:t xml:space="preserve">These trends indicate the </w:t>
      </w:r>
      <w:r w:rsidRPr="008D1918" w:rsidR="05CED241">
        <w:rPr>
          <w:rFonts w:eastAsia="Segoe UI"/>
          <w:lang w:val="en-AU"/>
        </w:rPr>
        <w:t xml:space="preserve">published </w:t>
      </w:r>
      <w:r w:rsidRPr="008D1918" w:rsidR="00B114A2">
        <w:rPr>
          <w:rFonts w:eastAsia="Segoe UI"/>
          <w:lang w:val="en-AU"/>
        </w:rPr>
        <w:t xml:space="preserve">price functions as the prevailing rate for most providers. The implications for pricing design are examined in </w:t>
      </w:r>
      <w:r w:rsidRPr="008D1918" w:rsidR="003614A9">
        <w:rPr>
          <w:rFonts w:eastAsia="Segoe UI"/>
          <w:lang w:val="en-AU"/>
        </w:rPr>
        <w:t>Chapters 5 and 7.</w:t>
      </w:r>
      <w:r w:rsidRPr="008D1918" w:rsidR="000A6943">
        <w:rPr>
          <w:rFonts w:eastAsia="Segoe UI"/>
          <w:lang w:val="en-AU"/>
        </w:rPr>
        <w:t xml:space="preserve"> </w:t>
      </w:r>
    </w:p>
    <w:p w:rsidRPr="008D1918" w:rsidR="009051FC" w:rsidP="36A82F41" w:rsidRDefault="009051FC" w14:paraId="3E1AB2DE" w14:textId="17F0A927">
      <w:pPr>
        <w:pStyle w:val="StyleStyle112pt"/>
        <w:numPr>
          <w:ilvl w:val="0"/>
          <w:numId w:val="0"/>
        </w:numPr>
      </w:pPr>
      <w:bookmarkStart w:name="_Toc220423759" w:id="77"/>
      <w:bookmarkStart w:name="_Toc223345344" w:id="78"/>
      <w:bookmarkStart w:name="_Toc223428329" w:id="79"/>
      <w:bookmarkStart w:name="_Toc223445788" w:id="80"/>
      <w:bookmarkStart w:name="_Toc223539590" w:id="81"/>
      <w:bookmarkStart w:name="_Toc223539804" w:id="82"/>
      <w:bookmarkStart w:name="_Toc223540272" w:id="83"/>
      <w:bookmarkStart w:name="_Toc223540488" w:id="84"/>
      <w:bookmarkStart w:name="_Toc223604187" w:id="85"/>
      <w:bookmarkStart w:name="_Toc223604426" w:id="86"/>
      <w:bookmarkStart w:name="_Toc223604637" w:id="87"/>
      <w:bookmarkStart w:name="_Toc223618507" w:id="88"/>
      <w:bookmarkStart w:name="_Toc223702751" w:id="89"/>
      <w:bookmarkStart w:name="_Toc227130814" w:id="90"/>
      <w:bookmarkStart w:name="_Toc227318655" w:id="91"/>
      <w:bookmarkStart w:name="_Toc227337023" w:id="92"/>
      <w:r w:rsidRPr="008D1918">
        <w:t xml:space="preserve">DSW Cost Model </w:t>
      </w:r>
      <w:r w:rsidRPr="008D1918" w:rsidR="00303C08">
        <w:t>i</w:t>
      </w:r>
      <w:r w:rsidRPr="008D1918">
        <w:t>ndexation</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Pr="008D1918" w:rsidR="006A237E" w:rsidP="36A82F41" w:rsidRDefault="006A237E" w14:paraId="45918E4B" w14:textId="51478A0D">
      <w:pPr>
        <w:rPr>
          <w:rFonts w:eastAsia="Segoe UI"/>
          <w:b/>
          <w:bCs/>
          <w:lang w:val="en-AU"/>
        </w:rPr>
      </w:pPr>
      <w:r w:rsidRPr="008D1918">
        <w:rPr>
          <w:rFonts w:eastAsia="Segoe UI"/>
          <w:lang w:val="en-AU"/>
        </w:rPr>
        <w:t>The DSW Cost Model</w:t>
      </w:r>
      <w:r w:rsidRPr="008D1918" w:rsidR="00D17EBD">
        <w:rPr>
          <w:rFonts w:eastAsia="Segoe UI"/>
          <w:lang w:val="en-AU"/>
        </w:rPr>
        <w:t xml:space="preserve"> </w:t>
      </w:r>
      <w:r w:rsidRPr="008D1918">
        <w:rPr>
          <w:rFonts w:eastAsia="Segoe UI"/>
          <w:lang w:val="en-AU"/>
        </w:rPr>
        <w:t>links</w:t>
      </w:r>
      <w:r w:rsidRPr="008D1918" w:rsidR="00D17EBD">
        <w:rPr>
          <w:rFonts w:eastAsia="Segoe UI"/>
          <w:lang w:val="en-AU"/>
        </w:rPr>
        <w:t xml:space="preserve"> </w:t>
      </w:r>
      <w:r w:rsidRPr="008D1918">
        <w:rPr>
          <w:rFonts w:eastAsia="Segoe UI"/>
          <w:lang w:val="en-AU"/>
        </w:rPr>
        <w:t>price</w:t>
      </w:r>
      <w:r w:rsidRPr="008D1918" w:rsidR="00C94248">
        <w:rPr>
          <w:rFonts w:eastAsia="Segoe UI"/>
          <w:lang w:val="en-AU"/>
        </w:rPr>
        <w:t>s</w:t>
      </w:r>
      <w:r w:rsidRPr="008D1918">
        <w:rPr>
          <w:rFonts w:eastAsia="Segoe UI"/>
          <w:lang w:val="en-AU"/>
        </w:rPr>
        <w:t xml:space="preserve"> to wage rates under the</w:t>
      </w:r>
      <w:r w:rsidRPr="008D1918" w:rsidR="00D17EBD">
        <w:rPr>
          <w:rFonts w:eastAsia="Segoe UI"/>
          <w:lang w:val="en-AU"/>
        </w:rPr>
        <w:t xml:space="preserve"> </w:t>
      </w:r>
      <w:r w:rsidRPr="008D1918">
        <w:rPr>
          <w:rFonts w:eastAsia="Segoe UI"/>
          <w:i/>
          <w:iCs/>
          <w:lang w:val="en-AU"/>
        </w:rPr>
        <w:t>Social, Community</w:t>
      </w:r>
      <w:r w:rsidR="00F87F07">
        <w:rPr>
          <w:rFonts w:eastAsia="Segoe UI"/>
          <w:i/>
          <w:iCs/>
          <w:lang w:val="en-AU"/>
        </w:rPr>
        <w:t>, Home Care</w:t>
      </w:r>
      <w:r w:rsidRPr="008D1918">
        <w:rPr>
          <w:rFonts w:eastAsia="Segoe UI"/>
          <w:i/>
          <w:iCs/>
          <w:lang w:val="en-AU"/>
        </w:rPr>
        <w:t xml:space="preserve"> and Disability Services Industry Award 2010</w:t>
      </w:r>
      <w:r w:rsidRPr="008D1918" w:rsidR="00441B99">
        <w:rPr>
          <w:rFonts w:eastAsia="Segoe UI"/>
          <w:lang w:val="en-AU"/>
        </w:rPr>
        <w:t xml:space="preserve"> </w:t>
      </w:r>
      <w:r w:rsidRPr="008D1918" w:rsidR="000B4FDF">
        <w:rPr>
          <w:rFonts w:eastAsia="Segoe UI"/>
          <w:lang w:val="en-AU"/>
        </w:rPr>
        <w:t xml:space="preserve">(SCHADS Award) </w:t>
      </w:r>
      <w:r w:rsidRPr="008D1918">
        <w:rPr>
          <w:rFonts w:eastAsia="Segoe UI"/>
          <w:lang w:val="en-AU"/>
        </w:rPr>
        <w:t xml:space="preserve">and </w:t>
      </w:r>
      <w:r w:rsidRPr="008D1918" w:rsidR="008D010F">
        <w:rPr>
          <w:rFonts w:eastAsia="Segoe UI"/>
          <w:lang w:val="en-AU"/>
        </w:rPr>
        <w:t xml:space="preserve">is </w:t>
      </w:r>
      <w:r w:rsidRPr="008D1918">
        <w:rPr>
          <w:rFonts w:eastAsia="Segoe UI"/>
          <w:lang w:val="en-AU"/>
        </w:rPr>
        <w:t>adjust</w:t>
      </w:r>
      <w:r w:rsidRPr="008D1918" w:rsidR="008D010F">
        <w:rPr>
          <w:rFonts w:eastAsia="Segoe UI"/>
          <w:lang w:val="en-AU"/>
        </w:rPr>
        <w:t>ed</w:t>
      </w:r>
      <w:r w:rsidRPr="008D1918">
        <w:rPr>
          <w:rFonts w:eastAsia="Segoe UI"/>
          <w:lang w:val="en-AU"/>
        </w:rPr>
        <w:t xml:space="preserve"> annually for minimum wage decisions. The </w:t>
      </w:r>
      <w:r w:rsidRPr="008D1918" w:rsidR="00BF1574">
        <w:rPr>
          <w:rFonts w:eastAsia="Segoe UI"/>
          <w:lang w:val="en-AU"/>
        </w:rPr>
        <w:t xml:space="preserve">NDIA’s guidance on </w:t>
      </w:r>
      <w:r w:rsidR="00AA2D48">
        <w:rPr>
          <w:rFonts w:eastAsia="Segoe UI"/>
          <w:lang w:val="en-AU"/>
        </w:rPr>
        <w:t>2026-27</w:t>
      </w:r>
      <w:r w:rsidRPr="008D1918">
        <w:rPr>
          <w:rFonts w:eastAsia="Segoe UI"/>
          <w:lang w:val="en-AU"/>
        </w:rPr>
        <w:t xml:space="preserve"> adjustments</w:t>
      </w:r>
      <w:r w:rsidRPr="008D1918" w:rsidR="00D17EBD">
        <w:rPr>
          <w:rFonts w:eastAsia="Segoe UI"/>
          <w:lang w:val="en-AU"/>
        </w:rPr>
        <w:t xml:space="preserve"> </w:t>
      </w:r>
      <w:r w:rsidRPr="008D1918">
        <w:rPr>
          <w:rFonts w:eastAsia="Segoe UI"/>
          <w:lang w:val="en-AU"/>
        </w:rPr>
        <w:t>reflect</w:t>
      </w:r>
      <w:r w:rsidRPr="008D1918" w:rsidR="00D17EBD">
        <w:rPr>
          <w:rFonts w:eastAsia="Segoe UI"/>
          <w:lang w:val="en-AU"/>
        </w:rPr>
        <w:t xml:space="preserve"> </w:t>
      </w:r>
      <w:r w:rsidRPr="008D1918">
        <w:rPr>
          <w:rFonts w:eastAsia="Segoe UI"/>
          <w:lang w:val="en-AU"/>
        </w:rPr>
        <w:t>these inputs and</w:t>
      </w:r>
      <w:r w:rsidRPr="008D1918" w:rsidR="00D17EBD">
        <w:rPr>
          <w:rFonts w:eastAsia="Segoe UI"/>
          <w:lang w:val="en-AU"/>
        </w:rPr>
        <w:t xml:space="preserve"> </w:t>
      </w:r>
      <w:r w:rsidRPr="008D1918">
        <w:rPr>
          <w:rFonts w:eastAsia="Segoe UI"/>
          <w:lang w:val="en-AU"/>
        </w:rPr>
        <w:t>maintain</w:t>
      </w:r>
      <w:r w:rsidRPr="008D1918" w:rsidR="00D17EBD">
        <w:rPr>
          <w:rFonts w:eastAsia="Segoe UI"/>
          <w:lang w:val="en-AU"/>
        </w:rPr>
        <w:t xml:space="preserve"> </w:t>
      </w:r>
      <w:r w:rsidRPr="008D1918">
        <w:rPr>
          <w:rFonts w:eastAsia="Segoe UI"/>
          <w:lang w:val="en-AU"/>
        </w:rPr>
        <w:t>consistency with the model’s established</w:t>
      </w:r>
      <w:r w:rsidRPr="008D1918" w:rsidR="00865D42">
        <w:rPr>
          <w:rFonts w:eastAsia="Segoe UI"/>
          <w:lang w:val="en-AU"/>
        </w:rPr>
        <w:t xml:space="preserve"> </w:t>
      </w:r>
      <w:r w:rsidRPr="008D1918">
        <w:rPr>
          <w:rFonts w:eastAsia="Segoe UI"/>
          <w:lang w:val="en-AU"/>
        </w:rPr>
        <w:t>methodology.</w:t>
      </w:r>
    </w:p>
    <w:p w:rsidRPr="008D1918" w:rsidR="009051FC" w:rsidP="0071361A" w:rsidRDefault="009051FC" w14:paraId="1AF91D79" w14:textId="2855FDA6">
      <w:pPr>
        <w:pStyle w:val="RecommendationH5"/>
      </w:pPr>
      <w:r w:rsidRPr="008D1918">
        <w:t xml:space="preserve">Recommendation </w:t>
      </w:r>
      <w:r w:rsidRPr="008D1918" w:rsidR="001D1C9C">
        <w:t>1</w:t>
      </w:r>
      <w:r w:rsidRPr="008D1918">
        <w:t xml:space="preserve">: </w:t>
      </w:r>
    </w:p>
    <w:p w:rsidRPr="008D1918" w:rsidR="00B77608" w:rsidP="00600B12" w:rsidRDefault="00063D57" w14:paraId="0F7611CC" w14:textId="0757B473">
      <w:pPr>
        <w:pStyle w:val="Normalrecommendationtext"/>
      </w:pPr>
      <w:bookmarkStart w:name="_Toc220423760" w:id="93"/>
      <w:bookmarkStart w:name="_Toc223345345" w:id="94"/>
      <w:bookmarkStart w:name="_Toc223428330" w:id="95"/>
      <w:bookmarkStart w:name="_Toc223445789" w:id="96"/>
      <w:r w:rsidRPr="008D1918">
        <w:t xml:space="preserve">Prices for supports determined by the NDIS Disability Support Worker Cost Model should be adjusted to reflect changes in the minimum wage specified in the </w:t>
      </w:r>
      <w:r w:rsidRPr="008D1918">
        <w:rPr>
          <w:rFonts w:eastAsia="Segoe UI"/>
          <w:i/>
          <w:iCs/>
        </w:rPr>
        <w:t>Social, Community</w:t>
      </w:r>
      <w:r w:rsidR="002375B0">
        <w:rPr>
          <w:rFonts w:eastAsia="Segoe UI"/>
          <w:i/>
          <w:iCs/>
        </w:rPr>
        <w:t>, Home Care</w:t>
      </w:r>
      <w:r w:rsidRPr="008D1918">
        <w:rPr>
          <w:rFonts w:eastAsia="Segoe UI"/>
          <w:i/>
          <w:iCs/>
        </w:rPr>
        <w:t xml:space="preserve"> and Disability Services Industry Award 2010</w:t>
      </w:r>
      <w:r w:rsidRPr="008D1918">
        <w:rPr>
          <w:rFonts w:eastAsia="Segoe UI"/>
        </w:rPr>
        <w:t xml:space="preserve"> (SCHADS Award)</w:t>
      </w:r>
      <w:r w:rsidRPr="008D1918">
        <w:t>, as determined by the Fair Work Commission’s Annual Wage Review determination on 2 June 2026.</w:t>
      </w:r>
    </w:p>
    <w:p w:rsidRPr="008D1918" w:rsidR="009051FC" w:rsidP="36A82F41" w:rsidRDefault="009051FC" w14:paraId="47763163" w14:textId="527D3752">
      <w:pPr>
        <w:pStyle w:val="StyleStyle112pt"/>
        <w:numPr>
          <w:ilvl w:val="0"/>
          <w:numId w:val="0"/>
        </w:numPr>
      </w:pPr>
      <w:bookmarkStart w:name="_Toc223539591" w:id="97"/>
      <w:bookmarkStart w:name="_Toc223539805" w:id="98"/>
      <w:bookmarkStart w:name="_Toc223540273" w:id="99"/>
      <w:bookmarkStart w:name="_Toc223540489" w:id="100"/>
      <w:bookmarkStart w:name="_Toc223604188" w:id="101"/>
      <w:bookmarkStart w:name="_Toc223604427" w:id="102"/>
      <w:bookmarkStart w:name="_Toc223604638" w:id="103"/>
      <w:bookmarkStart w:name="_Toc223618508" w:id="104"/>
      <w:bookmarkStart w:name="_Toc223702752" w:id="105"/>
      <w:bookmarkStart w:name="_Toc227130815" w:id="106"/>
      <w:bookmarkStart w:name="_Toc227318656" w:id="107"/>
      <w:bookmarkStart w:name="_Toc227337024" w:id="108"/>
      <w:r w:rsidRPr="008D1918">
        <w:t xml:space="preserve">DSW Cost Model </w:t>
      </w:r>
      <w:r w:rsidRPr="008D1918" w:rsidR="000316AA">
        <w:t>R</w:t>
      </w:r>
      <w:r w:rsidRPr="008D1918">
        <w:t>eview</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8D1918">
        <w:t xml:space="preserve"> </w:t>
      </w:r>
    </w:p>
    <w:p w:rsidRPr="008D1918" w:rsidR="00FA12CB" w:rsidP="009051FC" w:rsidRDefault="00FA12CB" w14:paraId="350E4959" w14:textId="5F3EA2F5">
      <w:pPr>
        <w:rPr>
          <w:lang w:val="en-AU"/>
        </w:rPr>
      </w:pPr>
      <w:r w:rsidRPr="008D1918">
        <w:rPr>
          <w:lang w:val="en-AU"/>
        </w:rPr>
        <w:t>The DSW Cost Model has not been comprehensively reviewed since its benchmarking data was</w:t>
      </w:r>
      <w:r w:rsidRPr="008D1918" w:rsidR="00D17EBD">
        <w:rPr>
          <w:lang w:val="en-AU"/>
        </w:rPr>
        <w:t xml:space="preserve"> </w:t>
      </w:r>
      <w:r w:rsidRPr="008D1918">
        <w:rPr>
          <w:lang w:val="en-AU"/>
        </w:rPr>
        <w:t>established</w:t>
      </w:r>
      <w:r w:rsidRPr="008D1918" w:rsidR="00D17EBD">
        <w:rPr>
          <w:lang w:val="en-AU"/>
        </w:rPr>
        <w:t xml:space="preserve"> </w:t>
      </w:r>
      <w:r w:rsidRPr="008D1918">
        <w:rPr>
          <w:lang w:val="en-AU"/>
        </w:rPr>
        <w:t>using 2020</w:t>
      </w:r>
      <w:r w:rsidRPr="008D1918" w:rsidR="00D17EBD">
        <w:rPr>
          <w:rFonts w:cs="Arial"/>
          <w:lang w:val="en-AU"/>
        </w:rPr>
        <w:t>–</w:t>
      </w:r>
      <w:r w:rsidRPr="008D1918">
        <w:rPr>
          <w:lang w:val="en-AU"/>
        </w:rPr>
        <w:t>21 market conditions. The market has changed materially since then, with significant growth in provider numbers, changes in market structure, and developments in industrial relations environments including the F</w:t>
      </w:r>
      <w:r w:rsidRPr="008D1918" w:rsidR="00DD3EEA">
        <w:rPr>
          <w:lang w:val="en-AU"/>
        </w:rPr>
        <w:t>air Work Commission’s (FWC)</w:t>
      </w:r>
      <w:r w:rsidRPr="008D1918">
        <w:rPr>
          <w:lang w:val="en-AU"/>
        </w:rPr>
        <w:t xml:space="preserve"> </w:t>
      </w:r>
      <w:r w:rsidRPr="008D1918" w:rsidR="00850800">
        <w:rPr>
          <w:lang w:val="en-AU"/>
        </w:rPr>
        <w:t>G</w:t>
      </w:r>
      <w:r w:rsidRPr="008D1918">
        <w:rPr>
          <w:lang w:val="en-AU"/>
        </w:rPr>
        <w:t>ender</w:t>
      </w:r>
      <w:r w:rsidRPr="008D1918" w:rsidR="002F47F8">
        <w:rPr>
          <w:lang w:val="en-AU"/>
        </w:rPr>
        <w:t>-based</w:t>
      </w:r>
      <w:r w:rsidRPr="008D1918">
        <w:rPr>
          <w:lang w:val="en-AU"/>
        </w:rPr>
        <w:t xml:space="preserve"> </w:t>
      </w:r>
      <w:r w:rsidRPr="008D1918" w:rsidR="007C478D">
        <w:rPr>
          <w:lang w:val="en-AU"/>
        </w:rPr>
        <w:t>u</w:t>
      </w:r>
      <w:r w:rsidRPr="008D1918">
        <w:rPr>
          <w:lang w:val="en-AU"/>
        </w:rPr>
        <w:t>ndervaluation</w:t>
      </w:r>
      <w:r w:rsidRPr="008D1918" w:rsidR="009B00E7">
        <w:rPr>
          <w:lang w:val="en-AU"/>
        </w:rPr>
        <w:t xml:space="preserve"> </w:t>
      </w:r>
      <w:r w:rsidRPr="008D1918" w:rsidR="0085087F">
        <w:rPr>
          <w:lang w:val="en-AU"/>
        </w:rPr>
        <w:t>–</w:t>
      </w:r>
      <w:r w:rsidRPr="008D1918" w:rsidR="009B00E7">
        <w:rPr>
          <w:lang w:val="en-AU"/>
        </w:rPr>
        <w:t xml:space="preserve"> </w:t>
      </w:r>
      <w:r w:rsidRPr="008D1918" w:rsidR="0085087F">
        <w:rPr>
          <w:lang w:val="en-AU"/>
        </w:rPr>
        <w:t xml:space="preserve">priority awards </w:t>
      </w:r>
      <w:r w:rsidRPr="008D1918" w:rsidR="009B00E7">
        <w:rPr>
          <w:lang w:val="en-AU"/>
        </w:rPr>
        <w:t>r</w:t>
      </w:r>
      <w:r w:rsidRPr="008D1918" w:rsidR="002F47F8">
        <w:rPr>
          <w:lang w:val="en-AU"/>
        </w:rPr>
        <w:t>eview</w:t>
      </w:r>
      <w:r w:rsidRPr="008D1918" w:rsidR="0085087F">
        <w:rPr>
          <w:lang w:val="en-AU"/>
        </w:rPr>
        <w:t xml:space="preserve"> </w:t>
      </w:r>
      <w:r w:rsidRPr="008D1918" w:rsidR="002F47F8">
        <w:rPr>
          <w:lang w:val="en-AU"/>
        </w:rPr>
        <w:t xml:space="preserve">(including </w:t>
      </w:r>
      <w:r w:rsidRPr="008D1918" w:rsidR="008B79D5">
        <w:rPr>
          <w:lang w:val="en-AU"/>
        </w:rPr>
        <w:t>SCHADS Award).</w:t>
      </w:r>
      <w:r w:rsidRPr="008D1918" w:rsidR="00867DB2">
        <w:rPr>
          <w:lang w:val="en-AU"/>
        </w:rPr>
        <w:t xml:space="preserve"> A review of the model’s assumptions</w:t>
      </w:r>
      <w:r w:rsidRPr="008D1918" w:rsidR="00BB6D29">
        <w:rPr>
          <w:lang w:val="en-AU"/>
        </w:rPr>
        <w:t>, structure and inputs is scheduled for 2026</w:t>
      </w:r>
      <w:r w:rsidRPr="008D1918" w:rsidR="005C68A7">
        <w:rPr>
          <w:lang w:val="en-AU"/>
        </w:rPr>
        <w:t>–</w:t>
      </w:r>
      <w:r w:rsidRPr="008D1918" w:rsidR="00BB6D29">
        <w:rPr>
          <w:lang w:val="en-AU"/>
        </w:rPr>
        <w:t xml:space="preserve">27 and will provide the vehicle for incorporating structural changes arising from the </w:t>
      </w:r>
      <w:r w:rsidRPr="008D1918" w:rsidR="00D603A7">
        <w:rPr>
          <w:lang w:val="en-AU"/>
        </w:rPr>
        <w:t>FWC</w:t>
      </w:r>
      <w:r w:rsidRPr="008D1918" w:rsidR="00BB6D29">
        <w:rPr>
          <w:lang w:val="en-AU"/>
        </w:rPr>
        <w:t xml:space="preserve"> proceedings. </w:t>
      </w:r>
    </w:p>
    <w:p w:rsidRPr="008D1918" w:rsidR="009051FC" w:rsidP="0071361A" w:rsidRDefault="009051FC" w14:paraId="4668F677" w14:textId="07A2180A">
      <w:pPr>
        <w:pStyle w:val="RecommendationH5"/>
      </w:pPr>
      <w:r w:rsidRPr="008D1918">
        <w:t xml:space="preserve">Recommendation </w:t>
      </w:r>
      <w:r w:rsidRPr="008D1918" w:rsidR="001D1C9C">
        <w:t>2</w:t>
      </w:r>
      <w:r w:rsidRPr="008D1918">
        <w:t>:</w:t>
      </w:r>
    </w:p>
    <w:p w:rsidRPr="008D1918" w:rsidR="00317114" w:rsidP="008A3C98" w:rsidRDefault="00317114" w14:paraId="23C23682" w14:textId="3A5BA662">
      <w:pPr>
        <w:pStyle w:val="Normalrecommendationtext"/>
        <w:spacing w:line="288" w:lineRule="auto"/>
        <w:rPr>
          <w:color w:val="6B2976"/>
        </w:rPr>
      </w:pPr>
      <w:r w:rsidRPr="008D1918">
        <w:rPr>
          <w:color w:val="6B2976"/>
        </w:rPr>
        <w:t xml:space="preserve">The NDIA should undertake a review of the </w:t>
      </w:r>
      <w:r w:rsidRPr="008D1918" w:rsidR="00DD3EEA">
        <w:rPr>
          <w:color w:val="6B2976"/>
        </w:rPr>
        <w:t>Disability Support Worker</w:t>
      </w:r>
      <w:r w:rsidRPr="008D1918">
        <w:rPr>
          <w:color w:val="6B2976"/>
        </w:rPr>
        <w:t xml:space="preserve"> Cost Model, including consideration of whether the model’s structure and the way workforce and wage-setting inputs are incorporated continue to appropriately reflect contemporary employment and labour market conditions. </w:t>
      </w:r>
    </w:p>
    <w:p w:rsidRPr="008D1918" w:rsidR="004E6F6C" w:rsidP="00744D4B" w:rsidRDefault="004E6F6C" w14:paraId="51473788" w14:textId="22ECC506">
      <w:pPr>
        <w:pStyle w:val="Heading31"/>
        <w:ind w:left="1077" w:hanging="720"/>
      </w:pPr>
      <w:bookmarkStart w:name="_Toc223539592" w:id="109"/>
      <w:bookmarkStart w:name="_Toc223539806" w:id="110"/>
      <w:bookmarkStart w:name="_Toc223540274" w:id="111"/>
      <w:bookmarkStart w:name="_Toc223540490" w:id="112"/>
      <w:bookmarkStart w:name="_Toc223604189" w:id="113"/>
      <w:bookmarkStart w:name="_Toc223604428" w:id="114"/>
      <w:bookmarkStart w:name="_Toc227337025" w:id="115"/>
      <w:r w:rsidRPr="008D1918">
        <w:t xml:space="preserve">Short Term </w:t>
      </w:r>
      <w:bookmarkEnd w:id="109"/>
      <w:bookmarkEnd w:id="110"/>
      <w:bookmarkEnd w:id="111"/>
      <w:bookmarkEnd w:id="112"/>
      <w:r w:rsidRPr="008D1918" w:rsidR="13F01E06">
        <w:t>Accom</w:t>
      </w:r>
      <w:r w:rsidRPr="008D1918" w:rsidR="002270E1">
        <w:t>m</w:t>
      </w:r>
      <w:r w:rsidRPr="008D1918" w:rsidR="13F01E06">
        <w:t>odation</w:t>
      </w:r>
      <w:bookmarkStart w:name="_Toc220423761" w:id="116"/>
      <w:bookmarkEnd w:id="113"/>
      <w:bookmarkEnd w:id="114"/>
      <w:bookmarkEnd w:id="115"/>
    </w:p>
    <w:p w:rsidRPr="008D1918" w:rsidR="0097189C" w:rsidRDefault="0097189C" w14:paraId="4C1B6E52" w14:textId="7D0C3044">
      <w:pPr>
        <w:rPr>
          <w:lang w:val="en-AU"/>
        </w:rPr>
      </w:pPr>
      <w:r w:rsidRPr="008D1918">
        <w:rPr>
          <w:lang w:val="en-AU"/>
        </w:rPr>
        <w:t>The current bundled</w:t>
      </w:r>
      <w:r w:rsidRPr="008D1918" w:rsidR="004D6768">
        <w:rPr>
          <w:lang w:val="en-AU"/>
        </w:rPr>
        <w:t xml:space="preserve"> </w:t>
      </w:r>
      <w:r w:rsidRPr="008D1918">
        <w:rPr>
          <w:lang w:val="en-AU"/>
        </w:rPr>
        <w:t xml:space="preserve">price </w:t>
      </w:r>
      <w:r w:rsidRPr="008D1918" w:rsidR="004A8697">
        <w:rPr>
          <w:lang w:val="en-AU"/>
        </w:rPr>
        <w:t>guidance</w:t>
      </w:r>
      <w:r w:rsidRPr="008D1918" w:rsidR="57EEAFB6">
        <w:rPr>
          <w:lang w:val="en-AU"/>
        </w:rPr>
        <w:t xml:space="preserve"> </w:t>
      </w:r>
      <w:r w:rsidRPr="008D1918">
        <w:rPr>
          <w:lang w:val="en-AU"/>
        </w:rPr>
        <w:t>for Short Term</w:t>
      </w:r>
      <w:r w:rsidRPr="008D1918" w:rsidR="004D6768">
        <w:rPr>
          <w:lang w:val="en-AU"/>
        </w:rPr>
        <w:t xml:space="preserve"> </w:t>
      </w:r>
      <w:r w:rsidRPr="008D1918" w:rsidR="6B945E9C">
        <w:rPr>
          <w:lang w:val="en-AU"/>
        </w:rPr>
        <w:t>Accom</w:t>
      </w:r>
      <w:r w:rsidRPr="008D1918" w:rsidR="002270E1">
        <w:rPr>
          <w:lang w:val="en-AU"/>
        </w:rPr>
        <w:t>m</w:t>
      </w:r>
      <w:r w:rsidRPr="008D1918" w:rsidR="6B945E9C">
        <w:rPr>
          <w:lang w:val="en-AU"/>
        </w:rPr>
        <w:t>odation</w:t>
      </w:r>
      <w:r w:rsidRPr="008D1918" w:rsidR="004D6768">
        <w:rPr>
          <w:lang w:val="en-AU"/>
        </w:rPr>
        <w:t xml:space="preserve"> </w:t>
      </w:r>
      <w:r w:rsidRPr="008D1918">
        <w:rPr>
          <w:lang w:val="en-AU"/>
        </w:rPr>
        <w:t>(ST</w:t>
      </w:r>
      <w:r w:rsidRPr="008D1918" w:rsidR="37D0AB39">
        <w:rPr>
          <w:lang w:val="en-AU"/>
        </w:rPr>
        <w:t>A</w:t>
      </w:r>
      <w:r w:rsidRPr="008D1918">
        <w:rPr>
          <w:lang w:val="en-AU"/>
        </w:rPr>
        <w:t xml:space="preserve">) is not consistent with </w:t>
      </w:r>
      <w:r w:rsidRPr="008D1918" w:rsidR="00BB3C24">
        <w:rPr>
          <w:lang w:val="en-AU"/>
        </w:rPr>
        <w:t>S</w:t>
      </w:r>
      <w:r w:rsidRPr="008D1918">
        <w:rPr>
          <w:lang w:val="en-AU"/>
        </w:rPr>
        <w:t>ection 10 of the</w:t>
      </w:r>
      <w:r w:rsidRPr="008D1918" w:rsidR="004D6768">
        <w:rPr>
          <w:lang w:val="en-AU"/>
        </w:rPr>
        <w:t xml:space="preserve"> </w:t>
      </w:r>
      <w:r w:rsidRPr="008D1918">
        <w:rPr>
          <w:i/>
          <w:iCs/>
          <w:lang w:val="en-AU"/>
        </w:rPr>
        <w:t>National Disability Insurance Scheme Act 2013</w:t>
      </w:r>
      <w:r w:rsidRPr="008D1918">
        <w:rPr>
          <w:lang w:val="en-AU"/>
        </w:rPr>
        <w:t>,</w:t>
      </w:r>
      <w:r w:rsidRPr="008D1918" w:rsidR="004D6768">
        <w:rPr>
          <w:i/>
          <w:iCs/>
          <w:lang w:val="en-AU"/>
        </w:rPr>
        <w:t xml:space="preserve"> </w:t>
      </w:r>
      <w:r w:rsidRPr="008D1918">
        <w:rPr>
          <w:lang w:val="en-AU"/>
        </w:rPr>
        <w:t>which limits</w:t>
      </w:r>
      <w:r w:rsidRPr="008D1918" w:rsidR="004D6768">
        <w:rPr>
          <w:lang w:val="en-AU"/>
        </w:rPr>
        <w:t xml:space="preserve"> </w:t>
      </w:r>
      <w:r w:rsidRPr="008D1918">
        <w:rPr>
          <w:lang w:val="en-AU"/>
        </w:rPr>
        <w:t>NDIS</w:t>
      </w:r>
      <w:r w:rsidRPr="008D1918" w:rsidR="004D6768">
        <w:rPr>
          <w:lang w:val="en-AU"/>
        </w:rPr>
        <w:t xml:space="preserve"> </w:t>
      </w:r>
      <w:r w:rsidRPr="008D1918">
        <w:rPr>
          <w:lang w:val="en-AU"/>
        </w:rPr>
        <w:t>funding to disability-related</w:t>
      </w:r>
      <w:r w:rsidRPr="008D1918" w:rsidR="004D6768">
        <w:rPr>
          <w:lang w:val="en-AU"/>
        </w:rPr>
        <w:t xml:space="preserve"> </w:t>
      </w:r>
      <w:r w:rsidRPr="008D1918">
        <w:rPr>
          <w:lang w:val="en-AU"/>
        </w:rPr>
        <w:t>supports. The existing</w:t>
      </w:r>
      <w:r w:rsidRPr="008D1918" w:rsidR="004D6768">
        <w:rPr>
          <w:lang w:val="en-AU"/>
        </w:rPr>
        <w:t xml:space="preserve"> </w:t>
      </w:r>
      <w:r w:rsidRPr="008D1918">
        <w:rPr>
          <w:lang w:val="en-AU"/>
        </w:rPr>
        <w:t xml:space="preserve">pricing </w:t>
      </w:r>
      <w:r w:rsidRPr="008D1918" w:rsidR="3E9A2EE6">
        <w:rPr>
          <w:lang w:val="en-AU"/>
        </w:rPr>
        <w:t xml:space="preserve">guidance </w:t>
      </w:r>
      <w:r w:rsidRPr="008D1918">
        <w:rPr>
          <w:lang w:val="en-AU"/>
        </w:rPr>
        <w:t>bundles accommodation, food,</w:t>
      </w:r>
      <w:r w:rsidRPr="008D1918" w:rsidR="00322882">
        <w:rPr>
          <w:lang w:val="en-AU"/>
        </w:rPr>
        <w:t xml:space="preserve"> </w:t>
      </w:r>
      <w:r w:rsidRPr="008D1918">
        <w:rPr>
          <w:lang w:val="en-AU"/>
        </w:rPr>
        <w:t>utilities</w:t>
      </w:r>
      <w:r w:rsidRPr="008D1918" w:rsidR="00322882">
        <w:rPr>
          <w:lang w:val="en-AU"/>
        </w:rPr>
        <w:t xml:space="preserve"> </w:t>
      </w:r>
      <w:r w:rsidRPr="008D1918">
        <w:rPr>
          <w:lang w:val="en-AU"/>
        </w:rPr>
        <w:t xml:space="preserve">and </w:t>
      </w:r>
      <w:r w:rsidRPr="008D1918" w:rsidR="00062600">
        <w:rPr>
          <w:lang w:val="en-AU"/>
        </w:rPr>
        <w:t>DSW</w:t>
      </w:r>
      <w:r w:rsidRPr="008D1918">
        <w:rPr>
          <w:lang w:val="en-AU"/>
        </w:rPr>
        <w:t xml:space="preserve"> costs into a</w:t>
      </w:r>
      <w:r w:rsidRPr="008D1918" w:rsidR="00322882">
        <w:rPr>
          <w:lang w:val="en-AU"/>
        </w:rPr>
        <w:t xml:space="preserve"> </w:t>
      </w:r>
      <w:r w:rsidRPr="008D1918" w:rsidR="000A56C3">
        <w:rPr>
          <w:lang w:val="en-AU"/>
        </w:rPr>
        <w:t>single</w:t>
      </w:r>
      <w:r w:rsidRPr="008D1918" w:rsidR="00322882">
        <w:rPr>
          <w:lang w:val="en-AU"/>
        </w:rPr>
        <w:t xml:space="preserve"> </w:t>
      </w:r>
      <w:r w:rsidRPr="008D1918">
        <w:rPr>
          <w:lang w:val="en-AU"/>
        </w:rPr>
        <w:t>daily claim,</w:t>
      </w:r>
      <w:r w:rsidRPr="008D1918" w:rsidR="00322882">
        <w:rPr>
          <w:lang w:val="en-AU"/>
        </w:rPr>
        <w:t xml:space="preserve"> </w:t>
      </w:r>
      <w:r w:rsidRPr="008D1918">
        <w:rPr>
          <w:lang w:val="en-AU"/>
        </w:rPr>
        <w:t>without</w:t>
      </w:r>
      <w:r w:rsidRPr="008D1918" w:rsidR="00322882">
        <w:rPr>
          <w:lang w:val="en-AU"/>
        </w:rPr>
        <w:t xml:space="preserve"> </w:t>
      </w:r>
      <w:r w:rsidRPr="008D1918">
        <w:rPr>
          <w:lang w:val="en-AU"/>
        </w:rPr>
        <w:t>distinguishing</w:t>
      </w:r>
      <w:r w:rsidRPr="008D1918" w:rsidR="00322882">
        <w:rPr>
          <w:lang w:val="en-AU"/>
        </w:rPr>
        <w:t xml:space="preserve"> </w:t>
      </w:r>
      <w:r w:rsidRPr="008D1918">
        <w:rPr>
          <w:lang w:val="en-AU"/>
        </w:rPr>
        <w:t xml:space="preserve">between </w:t>
      </w:r>
      <w:r w:rsidRPr="008D1918" w:rsidR="007270B2">
        <w:rPr>
          <w:lang w:val="en-AU"/>
        </w:rPr>
        <w:t>disability-</w:t>
      </w:r>
      <w:r w:rsidRPr="008D1918">
        <w:rPr>
          <w:lang w:val="en-AU"/>
        </w:rPr>
        <w:t>related supports and non</w:t>
      </w:r>
      <w:r w:rsidRPr="008D1918" w:rsidR="720F631B">
        <w:rPr>
          <w:lang w:val="en-AU"/>
        </w:rPr>
        <w:t>-</w:t>
      </w:r>
      <w:r w:rsidRPr="008D1918">
        <w:rPr>
          <w:lang w:val="en-AU"/>
        </w:rPr>
        <w:t>disability living costs</w:t>
      </w:r>
      <w:r w:rsidRPr="008D1918" w:rsidR="00CE0018">
        <w:rPr>
          <w:lang w:val="en-AU"/>
        </w:rPr>
        <w:t>, such as food and utilities</w:t>
      </w:r>
      <w:r w:rsidRPr="008D1918">
        <w:rPr>
          <w:lang w:val="en-AU"/>
        </w:rPr>
        <w:t>.</w:t>
      </w:r>
    </w:p>
    <w:p w:rsidRPr="008D1918" w:rsidR="0097189C" w:rsidP="0097189C" w:rsidRDefault="0097189C" w14:paraId="5364168E" w14:textId="51E97FAF">
      <w:pPr>
        <w:rPr>
          <w:lang w:val="en-AU"/>
        </w:rPr>
      </w:pPr>
      <w:r w:rsidRPr="008D1918">
        <w:rPr>
          <w:lang w:val="en-AU"/>
        </w:rPr>
        <w:t>Unbundling ST</w:t>
      </w:r>
      <w:r w:rsidRPr="008D1918" w:rsidR="69C832AA">
        <w:rPr>
          <w:lang w:val="en-AU"/>
        </w:rPr>
        <w:t>A</w:t>
      </w:r>
      <w:r w:rsidRPr="008D1918">
        <w:rPr>
          <w:lang w:val="en-AU"/>
        </w:rPr>
        <w:t xml:space="preserve"> into separate</w:t>
      </w:r>
      <w:r w:rsidRPr="008D1918" w:rsidR="00322882">
        <w:rPr>
          <w:lang w:val="en-AU"/>
        </w:rPr>
        <w:t xml:space="preserve"> </w:t>
      </w:r>
      <w:r w:rsidRPr="008D1918">
        <w:rPr>
          <w:lang w:val="en-AU"/>
        </w:rPr>
        <w:t>pricing</w:t>
      </w:r>
      <w:r w:rsidRPr="008D1918" w:rsidR="00322882">
        <w:rPr>
          <w:lang w:val="en-AU"/>
        </w:rPr>
        <w:t xml:space="preserve"> </w:t>
      </w:r>
      <w:r w:rsidRPr="008D1918">
        <w:rPr>
          <w:lang w:val="en-AU"/>
        </w:rPr>
        <w:t xml:space="preserve">components for accommodation, </w:t>
      </w:r>
      <w:r w:rsidRPr="008D1918" w:rsidR="00BB7A7B">
        <w:rPr>
          <w:lang w:val="en-AU"/>
        </w:rPr>
        <w:t>DSW</w:t>
      </w:r>
      <w:r w:rsidRPr="008D1918">
        <w:rPr>
          <w:lang w:val="en-AU"/>
        </w:rPr>
        <w:t xml:space="preserve"> costs and applicable</w:t>
      </w:r>
      <w:r w:rsidRPr="008D1918" w:rsidR="008C4430">
        <w:rPr>
          <w:lang w:val="en-AU"/>
        </w:rPr>
        <w:t xml:space="preserve"> </w:t>
      </w:r>
      <w:r w:rsidRPr="008D1918">
        <w:rPr>
          <w:lang w:val="en-AU"/>
        </w:rPr>
        <w:t>loadings would</w:t>
      </w:r>
      <w:r w:rsidRPr="008D1918" w:rsidR="008C4430">
        <w:rPr>
          <w:lang w:val="en-AU"/>
        </w:rPr>
        <w:t xml:space="preserve"> </w:t>
      </w:r>
      <w:r w:rsidRPr="008D1918">
        <w:rPr>
          <w:lang w:val="en-AU"/>
        </w:rPr>
        <w:t>align claiming with service delivery and bring pricing into</w:t>
      </w:r>
      <w:r w:rsidRPr="008D1918" w:rsidR="008C4430">
        <w:rPr>
          <w:lang w:val="en-AU"/>
        </w:rPr>
        <w:t xml:space="preserve"> </w:t>
      </w:r>
      <w:r w:rsidRPr="008D1918">
        <w:rPr>
          <w:lang w:val="en-AU"/>
        </w:rPr>
        <w:t>closer alignment</w:t>
      </w:r>
      <w:r w:rsidRPr="008D1918" w:rsidR="008C4430">
        <w:rPr>
          <w:lang w:val="en-AU"/>
        </w:rPr>
        <w:t xml:space="preserve"> </w:t>
      </w:r>
      <w:r w:rsidRPr="008D1918">
        <w:rPr>
          <w:lang w:val="en-AU"/>
        </w:rPr>
        <w:t>with comparable supports such as Supported Independent Living (SIL) and</w:t>
      </w:r>
      <w:r w:rsidRPr="008D1918" w:rsidR="00322882">
        <w:rPr>
          <w:lang w:val="en-AU"/>
        </w:rPr>
        <w:t xml:space="preserve"> </w:t>
      </w:r>
      <w:r w:rsidRPr="008D1918">
        <w:rPr>
          <w:lang w:val="en-AU"/>
        </w:rPr>
        <w:t>Medium Term</w:t>
      </w:r>
      <w:r w:rsidRPr="008D1918" w:rsidR="00322882">
        <w:rPr>
          <w:lang w:val="en-AU"/>
        </w:rPr>
        <w:t xml:space="preserve"> </w:t>
      </w:r>
      <w:r w:rsidRPr="008D1918">
        <w:rPr>
          <w:lang w:val="en-AU"/>
        </w:rPr>
        <w:t>Accommodation</w:t>
      </w:r>
      <w:r w:rsidRPr="008D1918" w:rsidR="00322882">
        <w:rPr>
          <w:lang w:val="en-AU"/>
        </w:rPr>
        <w:t xml:space="preserve"> </w:t>
      </w:r>
      <w:r w:rsidRPr="008D1918">
        <w:rPr>
          <w:lang w:val="en-AU"/>
        </w:rPr>
        <w:t>(MTA). The unbundled structure would</w:t>
      </w:r>
      <w:r w:rsidRPr="008D1918" w:rsidR="008C4430">
        <w:rPr>
          <w:lang w:val="en-AU"/>
        </w:rPr>
        <w:t xml:space="preserve"> </w:t>
      </w:r>
      <w:r w:rsidRPr="008D1918">
        <w:rPr>
          <w:lang w:val="en-AU"/>
        </w:rPr>
        <w:t>enable</w:t>
      </w:r>
      <w:r w:rsidRPr="008D1918" w:rsidR="008C4430">
        <w:rPr>
          <w:lang w:val="en-AU"/>
        </w:rPr>
        <w:t xml:space="preserve"> </w:t>
      </w:r>
      <w:r w:rsidRPr="008D1918">
        <w:rPr>
          <w:lang w:val="en-AU"/>
        </w:rPr>
        <w:t>claims to reflect actual hours of support</w:t>
      </w:r>
      <w:r w:rsidRPr="008D1918" w:rsidR="00322882">
        <w:rPr>
          <w:lang w:val="en-AU"/>
        </w:rPr>
        <w:t xml:space="preserve"> </w:t>
      </w:r>
      <w:r w:rsidRPr="008D1918">
        <w:rPr>
          <w:lang w:val="en-AU"/>
        </w:rPr>
        <w:t>delivered,</w:t>
      </w:r>
      <w:r w:rsidRPr="008D1918" w:rsidR="00322882">
        <w:rPr>
          <w:lang w:val="en-AU"/>
        </w:rPr>
        <w:t xml:space="preserve"> </w:t>
      </w:r>
      <w:r w:rsidRPr="008D1918">
        <w:rPr>
          <w:lang w:val="en-AU"/>
        </w:rPr>
        <w:t>the</w:t>
      </w:r>
      <w:r w:rsidRPr="008D1918" w:rsidR="00322882">
        <w:rPr>
          <w:lang w:val="en-AU"/>
        </w:rPr>
        <w:t xml:space="preserve"> </w:t>
      </w:r>
      <w:r w:rsidRPr="008D1918">
        <w:rPr>
          <w:lang w:val="en-AU"/>
        </w:rPr>
        <w:t>timing of</w:t>
      </w:r>
      <w:r w:rsidRPr="008D1918" w:rsidR="00322882">
        <w:rPr>
          <w:lang w:val="en-AU"/>
        </w:rPr>
        <w:t xml:space="preserve"> </w:t>
      </w:r>
      <w:r w:rsidRPr="008D1918" w:rsidR="00AE01DE">
        <w:rPr>
          <w:lang w:val="en-AU"/>
        </w:rPr>
        <w:t>support</w:t>
      </w:r>
      <w:r w:rsidRPr="008D1918">
        <w:rPr>
          <w:lang w:val="en-AU"/>
        </w:rPr>
        <w:t>, and the intensity of support provision.</w:t>
      </w:r>
    </w:p>
    <w:p w:rsidRPr="008D1918" w:rsidR="00F04222" w:rsidP="0071361A" w:rsidRDefault="00F04222" w14:paraId="035182F5" w14:textId="7DB7290F">
      <w:pPr>
        <w:pStyle w:val="RecommendationH4"/>
      </w:pPr>
      <w:r w:rsidRPr="008D1918">
        <w:t>Recommendation</w:t>
      </w:r>
      <w:r w:rsidRPr="008D1918" w:rsidR="00C02360">
        <w:t xml:space="preserve"> 3</w:t>
      </w:r>
      <w:r w:rsidRPr="008D1918">
        <w:t xml:space="preserve">: </w:t>
      </w:r>
    </w:p>
    <w:p w:rsidRPr="008D1918" w:rsidR="001205F2" w:rsidP="00606557" w:rsidRDefault="0997E904" w14:paraId="6888A3BA" w14:textId="3318F3AC">
      <w:pPr>
        <w:pStyle w:val="Normalrecommendationtext"/>
        <w:spacing w:line="288" w:lineRule="auto"/>
        <w:rPr>
          <w:color w:val="6B2976"/>
        </w:rPr>
      </w:pPr>
      <w:r w:rsidRPr="008D1918">
        <w:rPr>
          <w:color w:val="6B2976"/>
        </w:rPr>
        <w:t>T</w:t>
      </w:r>
      <w:r w:rsidRPr="008D1918" w:rsidR="001205F2">
        <w:rPr>
          <w:color w:val="6B2976"/>
        </w:rPr>
        <w:t xml:space="preserve">he </w:t>
      </w:r>
      <w:r w:rsidRPr="008D1918" w:rsidR="00715FE2">
        <w:rPr>
          <w:color w:val="6B2976"/>
        </w:rPr>
        <w:t xml:space="preserve">current daily </w:t>
      </w:r>
      <w:r w:rsidRPr="008D1918" w:rsidR="00F4163E">
        <w:rPr>
          <w:color w:val="6B2976"/>
        </w:rPr>
        <w:t xml:space="preserve">price for Short Term </w:t>
      </w:r>
      <w:r w:rsidRPr="008D1918" w:rsidR="006575D4">
        <w:rPr>
          <w:color w:val="6B2976"/>
        </w:rPr>
        <w:t xml:space="preserve">Accommodation </w:t>
      </w:r>
      <w:r w:rsidRPr="008D1918" w:rsidR="00767CC1">
        <w:rPr>
          <w:color w:val="6B2976"/>
        </w:rPr>
        <w:t xml:space="preserve">should </w:t>
      </w:r>
      <w:r w:rsidRPr="008D1918" w:rsidR="006575D4">
        <w:rPr>
          <w:color w:val="6B2976"/>
        </w:rPr>
        <w:t>be unbundled</w:t>
      </w:r>
      <w:r w:rsidRPr="008D1918" w:rsidR="001205F2">
        <w:rPr>
          <w:color w:val="6B2976"/>
        </w:rPr>
        <w:t xml:space="preserve"> so that:</w:t>
      </w:r>
    </w:p>
    <w:p w:rsidRPr="008D1918" w:rsidR="001205F2" w:rsidP="356D8F1A" w:rsidRDefault="28A4650C" w14:paraId="5CFE1353" w14:textId="10DE087D">
      <w:pPr>
        <w:pStyle w:val="ExecBrief-Heading3"/>
        <w:spacing w:before="0" w:after="200" w:line="288" w:lineRule="auto"/>
        <w:rPr>
          <w:color w:val="6B2976"/>
          <w:lang w:val="en-US"/>
        </w:rPr>
      </w:pPr>
      <w:r w:rsidRPr="008D1918">
        <w:rPr>
          <w:color w:val="6B2976"/>
          <w:lang w:val="en-US"/>
        </w:rPr>
        <w:t>The accommodation</w:t>
      </w:r>
      <w:r w:rsidRPr="008D1918" w:rsidR="4C2C0D4F">
        <w:rPr>
          <w:color w:val="6B2976"/>
          <w:lang w:val="en-US"/>
        </w:rPr>
        <w:t xml:space="preserve"> </w:t>
      </w:r>
      <w:r w:rsidRPr="008D1918">
        <w:rPr>
          <w:color w:val="6B2976"/>
          <w:lang w:val="en-US"/>
        </w:rPr>
        <w:t>component</w:t>
      </w:r>
      <w:r w:rsidRPr="008D1918" w:rsidR="4C2C0D4F">
        <w:rPr>
          <w:color w:val="6B2976"/>
          <w:lang w:val="en-US"/>
        </w:rPr>
        <w:t xml:space="preserve"> </w:t>
      </w:r>
      <w:r w:rsidRPr="008D1918">
        <w:rPr>
          <w:color w:val="6B2976"/>
          <w:lang w:val="en-US"/>
        </w:rPr>
        <w:t xml:space="preserve">reflects only the capital cost of a temporary stay away from a participant’s usual place of residence. </w:t>
      </w:r>
      <w:r w:rsidRPr="008D1918" w:rsidR="00767CC1">
        <w:rPr>
          <w:color w:val="6B2976"/>
          <w:lang w:val="en-US"/>
        </w:rPr>
        <w:t>T</w:t>
      </w:r>
      <w:r w:rsidRPr="008D1918">
        <w:rPr>
          <w:color w:val="6B2976"/>
          <w:lang w:val="en-US"/>
        </w:rPr>
        <w:t xml:space="preserve">he </w:t>
      </w:r>
      <w:r w:rsidRPr="008D1918" w:rsidR="009E334B">
        <w:rPr>
          <w:color w:val="6B2976"/>
          <w:lang w:val="en-US"/>
        </w:rPr>
        <w:t xml:space="preserve">price of </w:t>
      </w:r>
      <w:r w:rsidRPr="008D1918" w:rsidR="00DD3EEA">
        <w:rPr>
          <w:color w:val="6B2976"/>
          <w:lang w:val="en-US"/>
        </w:rPr>
        <w:t>Short Term Accommodation</w:t>
      </w:r>
      <w:r w:rsidRPr="008D1918">
        <w:rPr>
          <w:color w:val="6B2976"/>
          <w:lang w:val="en-US"/>
        </w:rPr>
        <w:t xml:space="preserve"> </w:t>
      </w:r>
      <w:r w:rsidRPr="008D1918" w:rsidR="00767CC1">
        <w:rPr>
          <w:color w:val="6B2976"/>
          <w:lang w:val="en-US"/>
        </w:rPr>
        <w:t xml:space="preserve">should </w:t>
      </w:r>
      <w:r w:rsidRPr="008D1918" w:rsidR="00D6534E">
        <w:rPr>
          <w:color w:val="6B2976"/>
          <w:lang w:val="en-US"/>
        </w:rPr>
        <w:t>be</w:t>
      </w:r>
      <w:r w:rsidRPr="008D1918">
        <w:rPr>
          <w:color w:val="6B2976"/>
          <w:lang w:val="en-US"/>
        </w:rPr>
        <w:t xml:space="preserve"> aligned</w:t>
      </w:r>
      <w:r w:rsidRPr="008D1918" w:rsidR="4C2C0D4F">
        <w:rPr>
          <w:color w:val="6B2976"/>
          <w:lang w:val="en-US"/>
        </w:rPr>
        <w:t xml:space="preserve"> </w:t>
      </w:r>
      <w:r w:rsidRPr="008D1918">
        <w:rPr>
          <w:color w:val="6B2976"/>
          <w:lang w:val="en-US"/>
        </w:rPr>
        <w:t>with the existing</w:t>
      </w:r>
      <w:r w:rsidRPr="008D1918" w:rsidR="00BB7499">
        <w:rPr>
          <w:color w:val="6B2976"/>
          <w:lang w:val="en-US"/>
        </w:rPr>
        <w:t xml:space="preserve"> price for</w:t>
      </w:r>
      <w:r w:rsidRPr="008D1918">
        <w:rPr>
          <w:color w:val="6B2976"/>
          <w:lang w:val="en-US"/>
        </w:rPr>
        <w:t xml:space="preserve"> </w:t>
      </w:r>
      <w:r w:rsidRPr="008D1918" w:rsidR="00DD3EEA">
        <w:rPr>
          <w:color w:val="6B2976"/>
          <w:lang w:val="en-US"/>
        </w:rPr>
        <w:t>Medium Term Accommodation</w:t>
      </w:r>
      <w:r w:rsidRPr="008D1918" w:rsidR="00BB7499">
        <w:rPr>
          <w:color w:val="6B2976"/>
          <w:lang w:val="en-US"/>
        </w:rPr>
        <w:t xml:space="preserve"> </w:t>
      </w:r>
      <w:r w:rsidRPr="008D1918">
        <w:rPr>
          <w:color w:val="6B2976"/>
          <w:lang w:val="en-US"/>
        </w:rPr>
        <w:t>($158.66)</w:t>
      </w:r>
      <w:r w:rsidRPr="008D1918" w:rsidR="00017E44">
        <w:rPr>
          <w:color w:val="6B2976"/>
          <w:lang w:val="en-US"/>
        </w:rPr>
        <w:t>.</w:t>
      </w:r>
    </w:p>
    <w:p w:rsidRPr="008D1918" w:rsidR="001205F2" w:rsidP="356D8F1A" w:rsidRDefault="40834961" w14:paraId="1A38418E" w14:textId="22272D6B">
      <w:pPr>
        <w:pStyle w:val="ExecBrief-Heading3"/>
        <w:spacing w:before="0" w:after="200" w:line="288" w:lineRule="auto"/>
        <w:rPr>
          <w:color w:val="6B2976"/>
          <w:lang w:val="en-US"/>
        </w:rPr>
      </w:pPr>
      <w:r w:rsidRPr="008D1918">
        <w:rPr>
          <w:color w:val="6B2976"/>
          <w:lang w:val="en-US"/>
        </w:rPr>
        <w:t xml:space="preserve">New </w:t>
      </w:r>
      <w:r w:rsidRPr="008D1918" w:rsidR="6E22DD18">
        <w:rPr>
          <w:color w:val="6B2976"/>
          <w:lang w:val="en-US"/>
        </w:rPr>
        <w:t>'</w:t>
      </w:r>
      <w:r w:rsidRPr="008D1918">
        <w:rPr>
          <w:color w:val="6B2976"/>
          <w:lang w:val="en-US"/>
        </w:rPr>
        <w:t xml:space="preserve">Short Term </w:t>
      </w:r>
      <w:r w:rsidRPr="008D1918" w:rsidR="7C2C79BF">
        <w:rPr>
          <w:color w:val="6B2976"/>
          <w:lang w:val="en-US"/>
        </w:rPr>
        <w:t>Accom</w:t>
      </w:r>
      <w:r w:rsidRPr="008D1918" w:rsidR="59D780C3">
        <w:rPr>
          <w:color w:val="6B2976"/>
          <w:lang w:val="en-US"/>
        </w:rPr>
        <w:t>m</w:t>
      </w:r>
      <w:r w:rsidRPr="008D1918" w:rsidR="7C2C79BF">
        <w:rPr>
          <w:color w:val="6B2976"/>
          <w:lang w:val="en-US"/>
        </w:rPr>
        <w:t>odation</w:t>
      </w:r>
      <w:r w:rsidRPr="008D1918">
        <w:rPr>
          <w:color w:val="6B2976"/>
          <w:lang w:val="en-US"/>
        </w:rPr>
        <w:t xml:space="preserve"> – Assistance with self</w:t>
      </w:r>
      <w:r w:rsidRPr="008D1918" w:rsidR="00FF23EA">
        <w:rPr>
          <w:rFonts w:ascii="Cambria Math" w:hAnsi="Cambria Math" w:cs="Cambria Math"/>
          <w:color w:val="6B2976"/>
          <w:lang w:val="en-US"/>
        </w:rPr>
        <w:t xml:space="preserve"> </w:t>
      </w:r>
      <w:r w:rsidRPr="008D1918">
        <w:rPr>
          <w:color w:val="6B2976"/>
          <w:lang w:val="en-US"/>
        </w:rPr>
        <w:t>care or community access activities</w:t>
      </w:r>
      <w:r w:rsidRPr="008D1918" w:rsidR="00367FA6">
        <w:rPr>
          <w:color w:val="6B2976"/>
          <w:lang w:val="en-US"/>
        </w:rPr>
        <w:t>’</w:t>
      </w:r>
      <w:r w:rsidRPr="008D1918">
        <w:rPr>
          <w:color w:val="6B2976"/>
          <w:lang w:val="en-US"/>
        </w:rPr>
        <w:t xml:space="preserve"> support items</w:t>
      </w:r>
      <w:r w:rsidRPr="008D1918" w:rsidR="28A4650C">
        <w:rPr>
          <w:color w:val="6B2976"/>
          <w:lang w:val="en-US"/>
        </w:rPr>
        <w:t xml:space="preserve"> </w:t>
      </w:r>
      <w:r w:rsidRPr="008D1918">
        <w:rPr>
          <w:color w:val="6B2976"/>
          <w:lang w:val="en-US"/>
        </w:rPr>
        <w:t xml:space="preserve">apply. </w:t>
      </w:r>
      <w:r w:rsidRPr="008D1918" w:rsidR="00767CC1">
        <w:rPr>
          <w:color w:val="6B2976"/>
          <w:lang w:val="en-US"/>
        </w:rPr>
        <w:t>T</w:t>
      </w:r>
      <w:r w:rsidRPr="008D1918">
        <w:rPr>
          <w:color w:val="6B2976"/>
          <w:lang w:val="en-US"/>
        </w:rPr>
        <w:t xml:space="preserve">hese support items </w:t>
      </w:r>
      <w:r w:rsidRPr="008D1918" w:rsidR="00FF23EA">
        <w:rPr>
          <w:color w:val="6B2976"/>
          <w:lang w:val="en-US"/>
        </w:rPr>
        <w:t>should</w:t>
      </w:r>
      <w:r w:rsidRPr="008D1918">
        <w:rPr>
          <w:color w:val="6B2976"/>
          <w:lang w:val="en-US"/>
        </w:rPr>
        <w:t xml:space="preserve"> be structured by day of </w:t>
      </w:r>
      <w:r w:rsidRPr="008D1918" w:rsidR="008E7EA3">
        <w:rPr>
          <w:color w:val="6B2976"/>
          <w:lang w:val="en-US"/>
        </w:rPr>
        <w:t>the</w:t>
      </w:r>
      <w:r w:rsidRPr="008D1918" w:rsidR="004F0142">
        <w:rPr>
          <w:color w:val="6B2976"/>
          <w:lang w:val="en-US"/>
        </w:rPr>
        <w:t xml:space="preserve"> </w:t>
      </w:r>
      <w:r w:rsidRPr="008D1918">
        <w:rPr>
          <w:color w:val="6B2976"/>
          <w:lang w:val="en-US"/>
        </w:rPr>
        <w:t xml:space="preserve">week and time of </w:t>
      </w:r>
      <w:r w:rsidRPr="008D1918" w:rsidR="006E7B99">
        <w:rPr>
          <w:color w:val="6B2976"/>
          <w:lang w:val="en-US"/>
        </w:rPr>
        <w:t>day and</w:t>
      </w:r>
      <w:r w:rsidRPr="008D1918" w:rsidR="004F0142">
        <w:rPr>
          <w:color w:val="6B2976"/>
          <w:lang w:val="en-US"/>
        </w:rPr>
        <w:t xml:space="preserve"> </w:t>
      </w:r>
      <w:r w:rsidRPr="008D1918">
        <w:rPr>
          <w:color w:val="6B2976"/>
          <w:lang w:val="en-US"/>
        </w:rPr>
        <w:t>aligned with</w:t>
      </w:r>
      <w:r w:rsidRPr="008D1918" w:rsidR="28A4650C">
        <w:rPr>
          <w:color w:val="6B2976"/>
          <w:lang w:val="en-US"/>
        </w:rPr>
        <w:t xml:space="preserve"> the </w:t>
      </w:r>
      <w:r w:rsidRPr="008D1918" w:rsidR="00DD3EEA">
        <w:rPr>
          <w:color w:val="6B2976"/>
          <w:lang w:val="en-US"/>
        </w:rPr>
        <w:t>Disability Support Worker</w:t>
      </w:r>
      <w:r w:rsidRPr="008D1918" w:rsidR="28A4650C">
        <w:rPr>
          <w:color w:val="6B2976"/>
          <w:lang w:val="en-US"/>
        </w:rPr>
        <w:t xml:space="preserve"> Cost Model. This will allow for</w:t>
      </w:r>
      <w:r w:rsidRPr="008D1918" w:rsidR="3753CC26">
        <w:rPr>
          <w:color w:val="6B2976"/>
          <w:lang w:val="en-US"/>
        </w:rPr>
        <w:t xml:space="preserve"> </w:t>
      </w:r>
      <w:r w:rsidRPr="008D1918" w:rsidR="28A4650C">
        <w:rPr>
          <w:color w:val="6B2976"/>
          <w:lang w:val="en-US"/>
        </w:rPr>
        <w:t>accurate</w:t>
      </w:r>
      <w:r w:rsidRPr="008D1918" w:rsidR="3753CC26">
        <w:rPr>
          <w:color w:val="6B2976"/>
          <w:lang w:val="en-US"/>
        </w:rPr>
        <w:t xml:space="preserve"> </w:t>
      </w:r>
      <w:r w:rsidRPr="008D1918" w:rsidR="28A4650C">
        <w:rPr>
          <w:color w:val="6B2976"/>
          <w:lang w:val="en-US"/>
        </w:rPr>
        <w:t>claiming based on</w:t>
      </w:r>
      <w:r w:rsidRPr="008D1918" w:rsidR="3E7B23C1">
        <w:rPr>
          <w:color w:val="6B2976"/>
          <w:lang w:val="en-US"/>
        </w:rPr>
        <w:t>:</w:t>
      </w:r>
    </w:p>
    <w:p w:rsidRPr="008D1918" w:rsidR="001205F2" w:rsidP="009F6459" w:rsidRDefault="009D5320" w14:paraId="7B37955C" w14:textId="112A1502">
      <w:pPr>
        <w:pStyle w:val="ExecBrief-Heading2"/>
        <w:numPr>
          <w:ilvl w:val="1"/>
          <w:numId w:val="36"/>
        </w:numPr>
        <w:spacing w:before="0" w:after="200" w:line="288" w:lineRule="auto"/>
        <w:rPr>
          <w:color w:val="6B2976"/>
        </w:rPr>
      </w:pPr>
      <w:r w:rsidRPr="008D1918">
        <w:rPr>
          <w:color w:val="6B2976"/>
        </w:rPr>
        <w:t>T</w:t>
      </w:r>
      <w:r w:rsidRPr="008D1918" w:rsidR="001205F2">
        <w:rPr>
          <w:color w:val="6B2976"/>
        </w:rPr>
        <w:t>he actual hours of support delivered,</w:t>
      </w:r>
    </w:p>
    <w:p w:rsidRPr="008D1918" w:rsidR="001205F2" w:rsidP="009F6459" w:rsidRDefault="009D5320" w14:paraId="1BA8EA60" w14:textId="1674990A">
      <w:pPr>
        <w:pStyle w:val="ExecBrief-Heading2"/>
        <w:numPr>
          <w:ilvl w:val="1"/>
          <w:numId w:val="36"/>
        </w:numPr>
        <w:spacing w:before="0" w:after="200" w:line="288" w:lineRule="auto"/>
        <w:rPr>
          <w:color w:val="6B2976"/>
        </w:rPr>
      </w:pPr>
      <w:r w:rsidRPr="008D1918">
        <w:rPr>
          <w:color w:val="6B2976"/>
        </w:rPr>
        <w:t>T</w:t>
      </w:r>
      <w:r w:rsidRPr="008D1918" w:rsidR="001205F2">
        <w:rPr>
          <w:color w:val="6B2976"/>
        </w:rPr>
        <w:t>he times of the day and week supports are delivered, and</w:t>
      </w:r>
    </w:p>
    <w:p w:rsidRPr="008D1918" w:rsidR="001205F2" w:rsidP="009F6459" w:rsidRDefault="009D5320" w14:paraId="61C7DD85" w14:textId="121FC7AA">
      <w:pPr>
        <w:pStyle w:val="ExecBrief-Heading2"/>
        <w:numPr>
          <w:ilvl w:val="1"/>
          <w:numId w:val="36"/>
        </w:numPr>
        <w:spacing w:before="0" w:after="200" w:line="288" w:lineRule="auto"/>
        <w:rPr>
          <w:color w:val="6B2976"/>
          <w:lang w:val="en-US"/>
        </w:rPr>
      </w:pPr>
      <w:r w:rsidRPr="008D1918">
        <w:rPr>
          <w:color w:val="6B2976"/>
          <w:lang w:val="en-US"/>
        </w:rPr>
        <w:t>T</w:t>
      </w:r>
      <w:r w:rsidRPr="008D1918" w:rsidR="28A4650C">
        <w:rPr>
          <w:color w:val="6B2976"/>
          <w:lang w:val="en-US"/>
        </w:rPr>
        <w:t>he intensity of</w:t>
      </w:r>
      <w:r w:rsidRPr="008D1918" w:rsidR="3753CC26">
        <w:rPr>
          <w:color w:val="6B2976"/>
          <w:lang w:val="en-US"/>
        </w:rPr>
        <w:t xml:space="preserve"> </w:t>
      </w:r>
      <w:r w:rsidRPr="008D1918" w:rsidR="28A4650C">
        <w:rPr>
          <w:color w:val="6B2976"/>
        </w:rPr>
        <w:t>supports</w:t>
      </w:r>
      <w:r w:rsidRPr="008D1918" w:rsidR="3753CC26">
        <w:rPr>
          <w:color w:val="6B2976"/>
          <w:lang w:val="en-US"/>
        </w:rPr>
        <w:t xml:space="preserve"> </w:t>
      </w:r>
      <w:r w:rsidRPr="008D1918" w:rsidR="28A4650C">
        <w:rPr>
          <w:color w:val="6B2976"/>
          <w:lang w:val="en-US"/>
        </w:rPr>
        <w:t>delivered.</w:t>
      </w:r>
    </w:p>
    <w:p w:rsidRPr="008D1918" w:rsidR="001205F2" w:rsidP="356D8F1A" w:rsidRDefault="28A4650C" w14:paraId="4B8A2C5B" w14:textId="683B6C9E">
      <w:pPr>
        <w:pStyle w:val="ExecBrief-Heading3"/>
        <w:spacing w:before="0" w:after="200" w:line="288" w:lineRule="auto"/>
        <w:rPr>
          <w:color w:val="6B2976"/>
          <w:lang w:val="en-US"/>
        </w:rPr>
      </w:pPr>
      <w:r w:rsidRPr="008D1918">
        <w:rPr>
          <w:color w:val="6B2976"/>
          <w:lang w:val="en-US"/>
        </w:rPr>
        <w:t>Providers supporting participants funded for High Intensity Supports and/or</w:t>
      </w:r>
      <w:r w:rsidRPr="008D1918" w:rsidR="4C2C0D4F">
        <w:rPr>
          <w:color w:val="6B2976"/>
          <w:lang w:val="en-US"/>
        </w:rPr>
        <w:t xml:space="preserve"> </w:t>
      </w:r>
      <w:r w:rsidRPr="008D1918" w:rsidR="1E2D84B8">
        <w:rPr>
          <w:color w:val="6B2976"/>
          <w:lang w:val="en-US"/>
        </w:rPr>
        <w:t>b</w:t>
      </w:r>
      <w:r w:rsidRPr="008D1918">
        <w:rPr>
          <w:color w:val="6B2976"/>
          <w:lang w:val="en-US"/>
        </w:rPr>
        <w:t>ehaviours</w:t>
      </w:r>
      <w:r w:rsidRPr="008D1918" w:rsidR="4C2C0D4F">
        <w:rPr>
          <w:color w:val="6B2976"/>
          <w:lang w:val="en-US"/>
        </w:rPr>
        <w:t xml:space="preserve"> </w:t>
      </w:r>
      <w:r w:rsidRPr="008D1918">
        <w:rPr>
          <w:color w:val="6B2976"/>
          <w:lang w:val="en-US"/>
        </w:rPr>
        <w:t xml:space="preserve">of </w:t>
      </w:r>
      <w:r w:rsidRPr="008D1918" w:rsidR="1E2D84B8">
        <w:rPr>
          <w:color w:val="6B2976"/>
          <w:lang w:val="en-US"/>
        </w:rPr>
        <w:t>c</w:t>
      </w:r>
      <w:r w:rsidRPr="008D1918">
        <w:rPr>
          <w:color w:val="6B2976"/>
          <w:lang w:val="en-US"/>
        </w:rPr>
        <w:t>oncern will be able to claim these loadings when</w:t>
      </w:r>
      <w:r w:rsidRPr="008D1918" w:rsidR="4C2C0D4F">
        <w:rPr>
          <w:color w:val="6B2976"/>
          <w:lang w:val="en-US"/>
        </w:rPr>
        <w:t xml:space="preserve"> </w:t>
      </w:r>
      <w:r w:rsidRPr="008D1918">
        <w:rPr>
          <w:color w:val="6B2976"/>
          <w:lang w:val="en-US"/>
        </w:rPr>
        <w:t>appropriate.</w:t>
      </w:r>
    </w:p>
    <w:p w:rsidRPr="008D1918" w:rsidR="009C3571" w:rsidP="009C3571" w:rsidRDefault="0088256D" w14:paraId="73695CD3" w14:textId="43B46918">
      <w:pPr>
        <w:pStyle w:val="Heading31"/>
        <w:ind w:left="1077" w:hanging="720"/>
        <w:rPr/>
      </w:pPr>
      <w:r w:rsidR="009C3571">
        <w:rPr/>
        <w:t xml:space="preserve">Nursing and other supports </w:t>
      </w:r>
    </w:p>
    <w:p w:rsidRPr="008D1918" w:rsidR="009C3571" w:rsidP="36A82F41" w:rsidRDefault="009C3571" w14:paraId="2C1B0769" w14:textId="540635B7">
      <w:pPr>
        <w:pStyle w:val="paragraph"/>
        <w:spacing w:before="0" w:beforeAutospacing="0" w:after="200" w:afterAutospacing="0" w:line="288" w:lineRule="auto"/>
        <w:rPr>
          <w:rFonts w:ascii="Arial" w:hAnsi="Arial" w:eastAsia="Segoe UI"/>
          <w:lang w:eastAsia="ja-JP"/>
        </w:rPr>
      </w:pPr>
      <w:r w:rsidRPr="008D1918">
        <w:rPr>
          <w:rFonts w:ascii="Arial" w:hAnsi="Arial" w:eastAsia="Segoe UI"/>
          <w:lang w:eastAsia="ja-JP"/>
        </w:rPr>
        <w:t xml:space="preserve">For nursing and other supports not covered by the Disability Support Worker (DSW) Cost Model, the NDIA </w:t>
      </w:r>
      <w:r w:rsidRPr="008D1918" w:rsidR="4349B8CD">
        <w:rPr>
          <w:rFonts w:ascii="Arial" w:hAnsi="Arial" w:eastAsia="Segoe UI"/>
          <w:lang w:eastAsia="ja-JP"/>
        </w:rPr>
        <w:t xml:space="preserve">recommends </w:t>
      </w:r>
      <w:r w:rsidRPr="008D1918">
        <w:rPr>
          <w:rFonts w:ascii="Arial" w:hAnsi="Arial" w:eastAsia="Segoe UI"/>
          <w:lang w:eastAsia="ja-JP"/>
        </w:rPr>
        <w:t xml:space="preserve">a weighted combination of the Australian Bureau of Statistics (ABS) Wage Price Index (WPI) and Consumer Price Index (CPI) to maintain alignment with broader labour cost movements. The 80/20 WPI/CPI weighting reflects that labour costs are the dominant cost component for these supports, with non-wage costs accounting for the remainder.  </w:t>
      </w:r>
    </w:p>
    <w:p w:rsidRPr="008D1918" w:rsidR="009C3571" w:rsidP="0071361A" w:rsidRDefault="009C3571" w14:paraId="23F80B42" w14:textId="4AADE853">
      <w:pPr>
        <w:pStyle w:val="RecommendationH4"/>
      </w:pPr>
      <w:r w:rsidRPr="008D1918">
        <w:t>Recommendation 4:</w:t>
      </w:r>
    </w:p>
    <w:p w:rsidRPr="008D1918" w:rsidR="0088256D" w:rsidP="36A82F41" w:rsidRDefault="00767CC1" w14:paraId="10232D76" w14:textId="3796120F">
      <w:pPr>
        <w:pStyle w:val="Normalrecommendationtext"/>
        <w:spacing w:line="288" w:lineRule="auto"/>
        <w:rPr>
          <w:rFonts w:cs="Arial" w:eastAsiaTheme="minorEastAsia"/>
          <w:color w:val="6B2876"/>
        </w:rPr>
      </w:pPr>
      <w:r w:rsidRPr="008D1918">
        <w:rPr>
          <w:rFonts w:eastAsiaTheme="minorEastAsia"/>
        </w:rPr>
        <w:t>P</w:t>
      </w:r>
      <w:r w:rsidRPr="008D1918" w:rsidR="00707059">
        <w:rPr>
          <w:rFonts w:eastAsiaTheme="minorEastAsia"/>
        </w:rPr>
        <w:t xml:space="preserve">rices should increase </w:t>
      </w:r>
      <w:r w:rsidRPr="008D1918" w:rsidR="009C3571">
        <w:rPr>
          <w:rFonts w:eastAsiaTheme="minorEastAsia"/>
        </w:rPr>
        <w:t>for nursing and other supports not covered by Disability Support Worker-related supports, Capital supports or otherwise covered in the Annual Pricing Review. This adjustment should reflect the weighted movement in the ABS WPI (Australia, total hourly rates of pay excluding bonuses) and the ABS CPI (All Groups, weighted average of 8 capital cities) over the 12 months to the end of Quarter 3 (31 March 2026) immediately preceding the indexation data (with an 80/20 weighting).</w:t>
      </w:r>
    </w:p>
    <w:p w:rsidRPr="008D1918" w:rsidR="009051FC" w:rsidP="00744D4B" w:rsidRDefault="009051FC" w14:paraId="5178B141" w14:textId="0DA9F612">
      <w:pPr>
        <w:pStyle w:val="Heading31"/>
        <w:ind w:left="1077" w:hanging="720"/>
      </w:pPr>
      <w:bookmarkStart w:name="_Toc223539593" w:id="117"/>
      <w:bookmarkStart w:name="_Toc223539807" w:id="118"/>
      <w:bookmarkStart w:name="_Toc223540275" w:id="119"/>
      <w:bookmarkStart w:name="_Toc223540491" w:id="120"/>
      <w:bookmarkStart w:name="_Toc223604190" w:id="121"/>
      <w:bookmarkStart w:name="_Toc223604429" w:id="122"/>
      <w:bookmarkStart w:name="_Toc227337026" w:id="123"/>
      <w:r w:rsidRPr="008D1918">
        <w:t xml:space="preserve">Therapy </w:t>
      </w:r>
      <w:r w:rsidRPr="008D1918" w:rsidR="0011742A">
        <w:t>s</w:t>
      </w:r>
      <w:r w:rsidRPr="008D1918">
        <w:t>upports</w:t>
      </w:r>
      <w:bookmarkEnd w:id="116"/>
      <w:bookmarkEnd w:id="117"/>
      <w:bookmarkEnd w:id="118"/>
      <w:bookmarkEnd w:id="119"/>
      <w:bookmarkEnd w:id="120"/>
      <w:bookmarkEnd w:id="121"/>
      <w:bookmarkEnd w:id="122"/>
      <w:bookmarkEnd w:id="123"/>
    </w:p>
    <w:p w:rsidRPr="008D1918" w:rsidR="00EE6AD1" w:rsidRDefault="00EE6AD1" w14:paraId="64428E9A" w14:textId="6F0AFF6C">
      <w:pPr>
        <w:rPr>
          <w:lang w:val="en-AU"/>
        </w:rPr>
      </w:pPr>
      <w:r w:rsidRPr="008D1918">
        <w:rPr>
          <w:lang w:val="en-AU"/>
        </w:rPr>
        <w:t xml:space="preserve">Therapy supports were accessed by </w:t>
      </w:r>
      <w:r w:rsidRPr="008D1918" w:rsidR="008713B3">
        <w:rPr>
          <w:lang w:val="en-AU"/>
        </w:rPr>
        <w:t xml:space="preserve">more than </w:t>
      </w:r>
      <w:r w:rsidRPr="008D1918">
        <w:rPr>
          <w:lang w:val="en-AU"/>
        </w:rPr>
        <w:t>465,600 participants between July and December 2025, with total payments of</w:t>
      </w:r>
      <w:r w:rsidRPr="008D1918" w:rsidR="00B414E4">
        <w:rPr>
          <w:lang w:val="en-AU"/>
        </w:rPr>
        <w:t xml:space="preserve"> </w:t>
      </w:r>
      <w:r w:rsidRPr="008D1918">
        <w:rPr>
          <w:lang w:val="en-AU"/>
        </w:rPr>
        <w:t>$2.7 billion.</w:t>
      </w:r>
      <w:r w:rsidRPr="008D1918" w:rsidR="00B414E4">
        <w:rPr>
          <w:lang w:val="en-AU"/>
        </w:rPr>
        <w:t xml:space="preserve"> </w:t>
      </w:r>
      <w:r w:rsidRPr="008D1918">
        <w:rPr>
          <w:lang w:val="en-AU"/>
        </w:rPr>
        <w:t>Therapy supports</w:t>
      </w:r>
      <w:r w:rsidRPr="008D1918" w:rsidR="008732C3">
        <w:rPr>
          <w:lang w:val="en-AU"/>
        </w:rPr>
        <w:t xml:space="preserve"> </w:t>
      </w:r>
      <w:r w:rsidRPr="008D1918">
        <w:rPr>
          <w:lang w:val="en-AU"/>
        </w:rPr>
        <w:t>operate</w:t>
      </w:r>
      <w:r w:rsidRPr="008D1918" w:rsidR="008732C3">
        <w:rPr>
          <w:lang w:val="en-AU"/>
        </w:rPr>
        <w:t xml:space="preserve"> </w:t>
      </w:r>
      <w:r w:rsidRPr="008D1918">
        <w:rPr>
          <w:lang w:val="en-AU"/>
        </w:rPr>
        <w:t>within professional</w:t>
      </w:r>
      <w:r w:rsidRPr="008D1918" w:rsidR="00B414E4">
        <w:rPr>
          <w:lang w:val="en-AU"/>
        </w:rPr>
        <w:t xml:space="preserve"> </w:t>
      </w:r>
      <w:r w:rsidRPr="008D1918">
        <w:rPr>
          <w:lang w:val="en-AU"/>
        </w:rPr>
        <w:t>labour</w:t>
      </w:r>
      <w:r w:rsidRPr="008D1918" w:rsidR="00B414E4">
        <w:rPr>
          <w:lang w:val="en-AU"/>
        </w:rPr>
        <w:t xml:space="preserve"> </w:t>
      </w:r>
      <w:r w:rsidRPr="008D1918">
        <w:rPr>
          <w:lang w:val="en-AU"/>
        </w:rPr>
        <w:t>markets that span private practice, health, aged</w:t>
      </w:r>
      <w:r w:rsidRPr="008D1918" w:rsidR="00B414E4">
        <w:rPr>
          <w:lang w:val="en-AU"/>
        </w:rPr>
        <w:t xml:space="preserve"> </w:t>
      </w:r>
      <w:r w:rsidRPr="008D1918">
        <w:rPr>
          <w:lang w:val="en-AU"/>
        </w:rPr>
        <w:t>care</w:t>
      </w:r>
      <w:r w:rsidRPr="008D1918" w:rsidR="00B414E4">
        <w:rPr>
          <w:lang w:val="en-AU"/>
        </w:rPr>
        <w:t xml:space="preserve"> </w:t>
      </w:r>
      <w:r w:rsidRPr="008D1918">
        <w:rPr>
          <w:lang w:val="en-AU"/>
        </w:rPr>
        <w:t xml:space="preserve">and other </w:t>
      </w:r>
      <w:r w:rsidRPr="008D1918" w:rsidR="00B61453">
        <w:rPr>
          <w:lang w:val="en-AU"/>
        </w:rPr>
        <w:t>government-</w:t>
      </w:r>
      <w:r w:rsidRPr="008D1918">
        <w:rPr>
          <w:lang w:val="en-AU"/>
        </w:rPr>
        <w:t>funded programs. External benchmarking against</w:t>
      </w:r>
      <w:r w:rsidRPr="008D1918" w:rsidR="00B414E4">
        <w:rPr>
          <w:lang w:val="en-AU"/>
        </w:rPr>
        <w:t xml:space="preserve"> </w:t>
      </w:r>
      <w:r w:rsidRPr="008D1918" w:rsidR="007C25EF">
        <w:rPr>
          <w:lang w:val="en-AU"/>
        </w:rPr>
        <w:t xml:space="preserve">the </w:t>
      </w:r>
      <w:r w:rsidRPr="008D1918">
        <w:rPr>
          <w:lang w:val="en-AU"/>
        </w:rPr>
        <w:t>Medicare</w:t>
      </w:r>
      <w:r w:rsidRPr="008D1918" w:rsidR="007C25EF">
        <w:rPr>
          <w:lang w:val="en-AU"/>
        </w:rPr>
        <w:t xml:space="preserve"> Benefits Schedule (MBS)</w:t>
      </w:r>
      <w:r w:rsidRPr="008D1918">
        <w:rPr>
          <w:lang w:val="en-AU"/>
        </w:rPr>
        <w:t xml:space="preserve">, private health insurance </w:t>
      </w:r>
      <w:r w:rsidRPr="008D1918" w:rsidR="00463210">
        <w:rPr>
          <w:lang w:val="en-AU"/>
        </w:rPr>
        <w:t xml:space="preserve">(PHI) </w:t>
      </w:r>
      <w:r w:rsidRPr="008D1918" w:rsidR="00076A14">
        <w:rPr>
          <w:lang w:val="en-AU"/>
        </w:rPr>
        <w:t>sources (PHI 1 and PHI</w:t>
      </w:r>
      <w:r w:rsidRPr="008D1918" w:rsidR="00573314">
        <w:rPr>
          <w:lang w:val="en-AU"/>
        </w:rPr>
        <w:t xml:space="preserve"> </w:t>
      </w:r>
      <w:r w:rsidRPr="008D1918" w:rsidR="00076A14">
        <w:rPr>
          <w:lang w:val="en-AU"/>
        </w:rPr>
        <w:t>2)</w:t>
      </w:r>
      <w:r w:rsidRPr="008D1918" w:rsidR="00463210">
        <w:rPr>
          <w:lang w:val="en-AU"/>
        </w:rPr>
        <w:t xml:space="preserve"> </w:t>
      </w:r>
      <w:r w:rsidRPr="008D1918">
        <w:rPr>
          <w:lang w:val="en-AU"/>
        </w:rPr>
        <w:t>and other comparable government schemes</w:t>
      </w:r>
      <w:r w:rsidRPr="008D1918" w:rsidR="00B414E4">
        <w:rPr>
          <w:lang w:val="en-AU"/>
        </w:rPr>
        <w:t xml:space="preserve"> </w:t>
      </w:r>
      <w:r w:rsidRPr="008D1918">
        <w:rPr>
          <w:lang w:val="en-AU"/>
        </w:rPr>
        <w:t>provides the primary reference point for assessing whether NDIS therapy price</w:t>
      </w:r>
      <w:r w:rsidRPr="008D1918" w:rsidR="00DE7C69">
        <w:rPr>
          <w:lang w:val="en-AU"/>
        </w:rPr>
        <w:t>s</w:t>
      </w:r>
      <w:r w:rsidRPr="008D1918">
        <w:rPr>
          <w:lang w:val="en-AU"/>
        </w:rPr>
        <w:t xml:space="preserve"> </w:t>
      </w:r>
      <w:r w:rsidRPr="008D1918" w:rsidR="0020502F">
        <w:rPr>
          <w:lang w:val="en-AU"/>
        </w:rPr>
        <w:t>are appropriate</w:t>
      </w:r>
      <w:r w:rsidRPr="008D1918">
        <w:rPr>
          <w:lang w:val="en-AU"/>
        </w:rPr>
        <w:t>.</w:t>
      </w:r>
    </w:p>
    <w:p w:rsidRPr="008D1918" w:rsidR="00EE6AD1" w:rsidP="00EE6AD1" w:rsidRDefault="00EE6AD1" w14:paraId="68658B46" w14:textId="0D2B7F46">
      <w:pPr>
        <w:rPr>
          <w:lang w:val="en-AU"/>
        </w:rPr>
      </w:pPr>
      <w:r w:rsidRPr="008D1918">
        <w:rPr>
          <w:lang w:val="en-AU"/>
        </w:rPr>
        <w:t>Where benchmarking</w:t>
      </w:r>
      <w:r w:rsidRPr="008D1918" w:rsidR="00BC6CD7">
        <w:rPr>
          <w:lang w:val="en-AU"/>
        </w:rPr>
        <w:t xml:space="preserve"> </w:t>
      </w:r>
      <w:r w:rsidRPr="008D1918">
        <w:rPr>
          <w:lang w:val="en-AU"/>
        </w:rPr>
        <w:t>indicates</w:t>
      </w:r>
      <w:r w:rsidRPr="008D1918" w:rsidR="00BC6CD7">
        <w:rPr>
          <w:lang w:val="en-AU"/>
        </w:rPr>
        <w:t xml:space="preserve"> </w:t>
      </w:r>
      <w:r w:rsidRPr="008D1918">
        <w:rPr>
          <w:lang w:val="en-AU"/>
        </w:rPr>
        <w:t>price</w:t>
      </w:r>
      <w:r w:rsidRPr="008D1918" w:rsidR="22A8A989">
        <w:rPr>
          <w:lang w:val="en-AU"/>
        </w:rPr>
        <w:t>s should better align with</w:t>
      </w:r>
      <w:r w:rsidRPr="008D1918" w:rsidR="00622B4D">
        <w:rPr>
          <w:lang w:val="en-AU"/>
        </w:rPr>
        <w:t xml:space="preserve"> </w:t>
      </w:r>
      <w:r w:rsidRPr="008D1918">
        <w:rPr>
          <w:lang w:val="en-AU"/>
        </w:rPr>
        <w:t xml:space="preserve">prevailing market rates, </w:t>
      </w:r>
      <w:r w:rsidRPr="008D1918" w:rsidR="00F529DC">
        <w:rPr>
          <w:lang w:val="en-AU"/>
        </w:rPr>
        <w:t xml:space="preserve">NDIS </w:t>
      </w:r>
      <w:r w:rsidRPr="008D1918" w:rsidR="00DE7C69">
        <w:rPr>
          <w:lang w:val="en-AU"/>
        </w:rPr>
        <w:t>prices should be adjusted accordingly.</w:t>
      </w:r>
      <w:r w:rsidRPr="008D1918" w:rsidR="00F529DC">
        <w:rPr>
          <w:lang w:val="en-AU"/>
        </w:rPr>
        <w:t xml:space="preserve"> </w:t>
      </w:r>
      <w:r w:rsidRPr="008D1918">
        <w:rPr>
          <w:lang w:val="en-AU"/>
        </w:rPr>
        <w:t>This approach reflects the principle that NDIS pricing should be informed by the broader markets in which therapy professionals</w:t>
      </w:r>
      <w:r w:rsidRPr="008D1918" w:rsidR="00BC6CD7">
        <w:rPr>
          <w:lang w:val="en-AU"/>
        </w:rPr>
        <w:t xml:space="preserve"> </w:t>
      </w:r>
      <w:r w:rsidRPr="008D1918">
        <w:rPr>
          <w:lang w:val="en-AU"/>
        </w:rPr>
        <w:t>operate.</w:t>
      </w:r>
    </w:p>
    <w:p w:rsidRPr="008D1918" w:rsidR="009051FC" w:rsidP="36A82F41" w:rsidRDefault="009051FC" w14:paraId="61901ACD" w14:textId="194C7574">
      <w:pPr>
        <w:pStyle w:val="StyleStyle112pt"/>
        <w:numPr>
          <w:ilvl w:val="0"/>
          <w:numId w:val="0"/>
        </w:numPr>
      </w:pPr>
      <w:bookmarkStart w:name="_Toc223618511" w:id="124"/>
      <w:bookmarkStart w:name="_Toc223604191" w:id="125"/>
      <w:bookmarkStart w:name="_Toc223604430" w:id="126"/>
      <w:bookmarkStart w:name="_Toc223604641" w:id="127"/>
      <w:bookmarkStart w:name="_Toc220423762" w:id="128"/>
      <w:bookmarkStart w:name="_Toc223345348" w:id="129"/>
      <w:bookmarkStart w:name="_Toc223428333" w:id="130"/>
      <w:bookmarkStart w:name="_Toc223445792" w:id="131"/>
      <w:bookmarkStart w:name="_Toc223539594" w:id="132"/>
      <w:bookmarkStart w:name="_Toc223539808" w:id="133"/>
      <w:bookmarkStart w:name="_Toc223540276" w:id="134"/>
      <w:bookmarkStart w:name="_Toc223540492" w:id="135"/>
      <w:bookmarkStart w:name="_Toc223604192" w:id="136"/>
      <w:bookmarkStart w:name="_Toc223604431" w:id="137"/>
      <w:bookmarkStart w:name="_Toc223604642" w:id="138"/>
      <w:bookmarkStart w:name="_Toc223618512" w:id="139"/>
      <w:bookmarkStart w:name="_Toc223702755" w:id="140"/>
      <w:bookmarkStart w:name="_Toc227318659" w:id="141"/>
      <w:bookmarkStart w:name="_Toc227337027" w:id="142"/>
      <w:bookmarkEnd w:id="124"/>
      <w:bookmarkEnd w:id="125"/>
      <w:bookmarkEnd w:id="126"/>
      <w:bookmarkEnd w:id="127"/>
      <w:r w:rsidRPr="008D1918">
        <w:t xml:space="preserve">Psychologist </w:t>
      </w:r>
      <w:r w:rsidRPr="008D1918" w:rsidR="00303C08">
        <w:t>p</w:t>
      </w:r>
      <w:r w:rsidRPr="008D1918">
        <w:t xml:space="preserve">rice </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rsidRPr="008D1918" w:rsidR="00ED2C55" w:rsidRDefault="69202CC5" w14:paraId="32312E9D" w14:textId="4DC2022C">
      <w:pPr>
        <w:rPr>
          <w:lang w:val="en-AU"/>
        </w:rPr>
      </w:pPr>
      <w:r w:rsidRPr="00C00E88">
        <w:rPr>
          <w:lang w:val="en-AU"/>
        </w:rPr>
        <w:t>Benchmarking results support</w:t>
      </w:r>
      <w:r w:rsidRPr="00C00E88" w:rsidR="5CD3E28B">
        <w:rPr>
          <w:lang w:val="en-AU"/>
        </w:rPr>
        <w:t xml:space="preserve"> </w:t>
      </w:r>
      <w:r w:rsidRPr="00C00E88" w:rsidR="63238B0E">
        <w:rPr>
          <w:lang w:val="en-AU"/>
        </w:rPr>
        <w:t xml:space="preserve">a </w:t>
      </w:r>
      <w:r w:rsidRPr="00C00E88" w:rsidR="5CD3E28B">
        <w:rPr>
          <w:lang w:val="en-AU"/>
        </w:rPr>
        <w:t>recommend</w:t>
      </w:r>
      <w:r w:rsidRPr="00C00E88" w:rsidR="00C800D4">
        <w:rPr>
          <w:lang w:val="en-AU"/>
        </w:rPr>
        <w:t xml:space="preserve">ation that the </w:t>
      </w:r>
      <w:r w:rsidRPr="00C00E88" w:rsidR="008E54ED">
        <w:rPr>
          <w:lang w:val="en-AU"/>
        </w:rPr>
        <w:t xml:space="preserve">NDIS </w:t>
      </w:r>
      <w:r w:rsidRPr="00C00E88" w:rsidR="5CD3E28B">
        <w:rPr>
          <w:lang w:val="en-AU"/>
        </w:rPr>
        <w:t xml:space="preserve">price for Psychologists </w:t>
      </w:r>
      <w:r w:rsidRPr="00C00E88" w:rsidR="00DE7C69">
        <w:rPr>
          <w:lang w:val="en-AU"/>
        </w:rPr>
        <w:t xml:space="preserve">should </w:t>
      </w:r>
      <w:r w:rsidRPr="00C00E88" w:rsidR="5CD3E28B">
        <w:rPr>
          <w:lang w:val="en-AU"/>
        </w:rPr>
        <w:t xml:space="preserve">align with </w:t>
      </w:r>
      <w:r w:rsidRPr="00C00E88">
        <w:rPr>
          <w:lang w:val="en-AU"/>
        </w:rPr>
        <w:t>PHI 1 ($250.00)</w:t>
      </w:r>
      <w:r w:rsidRPr="00C00E88" w:rsidR="7F4AA509">
        <w:rPr>
          <w:lang w:val="en-AU"/>
        </w:rPr>
        <w:t>,</w:t>
      </w:r>
      <w:r w:rsidRPr="00C00E88">
        <w:rPr>
          <w:lang w:val="en-AU"/>
        </w:rPr>
        <w:t xml:space="preserve"> PHI 2 ($252.00) and MBS ($260.00) data for a 60-minute session. </w:t>
      </w:r>
      <w:r w:rsidRPr="00C00E88" w:rsidR="3B0807B8">
        <w:rPr>
          <w:lang w:val="en-AU"/>
        </w:rPr>
        <w:t xml:space="preserve"> </w:t>
      </w:r>
      <w:r w:rsidRPr="00C00E88" w:rsidR="00E062D7">
        <w:rPr>
          <w:lang w:val="en-AU"/>
        </w:rPr>
        <w:t xml:space="preserve">A national </w:t>
      </w:r>
      <w:r w:rsidRPr="00C00E88" w:rsidR="008E54ED">
        <w:rPr>
          <w:lang w:val="en-AU"/>
        </w:rPr>
        <w:t xml:space="preserve">maximum </w:t>
      </w:r>
      <w:r w:rsidRPr="00C00E88" w:rsidR="00E062D7">
        <w:rPr>
          <w:lang w:val="en-AU"/>
        </w:rPr>
        <w:t>price</w:t>
      </w:r>
      <w:r w:rsidRPr="00C00E88" w:rsidR="736171E9">
        <w:rPr>
          <w:lang w:val="en-AU"/>
        </w:rPr>
        <w:t xml:space="preserve"> of $252.99 per hour</w:t>
      </w:r>
      <w:r w:rsidRPr="00C00E88">
        <w:rPr>
          <w:lang w:val="en-AU"/>
        </w:rPr>
        <w:t xml:space="preserve"> would align NDIS price</w:t>
      </w:r>
      <w:r w:rsidRPr="00C00E88" w:rsidR="00DE7C69">
        <w:rPr>
          <w:lang w:val="en-AU"/>
        </w:rPr>
        <w:t>s</w:t>
      </w:r>
      <w:r w:rsidRPr="00C00E88">
        <w:rPr>
          <w:lang w:val="en-AU"/>
        </w:rPr>
        <w:t xml:space="preserve"> with typical market rates, support access to qualified </w:t>
      </w:r>
      <w:r w:rsidRPr="00C00E88" w:rsidR="04D6E548">
        <w:rPr>
          <w:lang w:val="en-AU"/>
        </w:rPr>
        <w:t>P</w:t>
      </w:r>
      <w:r w:rsidRPr="00C00E88">
        <w:rPr>
          <w:lang w:val="en-AU"/>
        </w:rPr>
        <w:t>sychologists and help</w:t>
      </w:r>
      <w:r w:rsidRPr="00C00E88" w:rsidR="342ECBC4">
        <w:rPr>
          <w:lang w:val="en-AU"/>
        </w:rPr>
        <w:t xml:space="preserve"> </w:t>
      </w:r>
      <w:r w:rsidRPr="00C00E88">
        <w:rPr>
          <w:lang w:val="en-AU"/>
        </w:rPr>
        <w:t>maintain</w:t>
      </w:r>
      <w:r w:rsidRPr="00C00E88" w:rsidR="342ECBC4">
        <w:rPr>
          <w:lang w:val="en-AU"/>
        </w:rPr>
        <w:t xml:space="preserve"> </w:t>
      </w:r>
      <w:r w:rsidRPr="00C00E88">
        <w:rPr>
          <w:lang w:val="en-AU"/>
        </w:rPr>
        <w:t>timely, high-quality care for participants</w:t>
      </w:r>
      <w:r w:rsidRPr="008D1918">
        <w:rPr>
          <w:lang w:val="en-AU"/>
        </w:rPr>
        <w:t>.</w:t>
      </w:r>
    </w:p>
    <w:p w:rsidRPr="008D1918" w:rsidR="009051FC" w:rsidP="00245B10" w:rsidRDefault="009051FC" w14:paraId="250DD958" w14:textId="7A15DBB4">
      <w:pPr>
        <w:pStyle w:val="RecommendationH5"/>
      </w:pPr>
      <w:r w:rsidRPr="008D1918">
        <w:t xml:space="preserve">Recommendation </w:t>
      </w:r>
      <w:r w:rsidRPr="008D1918" w:rsidR="00F74EB3">
        <w:t>5</w:t>
      </w:r>
      <w:r w:rsidRPr="008D1918">
        <w:t>:</w:t>
      </w:r>
    </w:p>
    <w:p w:rsidRPr="008D1918" w:rsidR="000673D3" w:rsidP="00C800D4" w:rsidRDefault="001F6559" w14:paraId="3A6220DB" w14:textId="76931E20">
      <w:pPr>
        <w:pStyle w:val="Normalrecommendationtext"/>
        <w:spacing w:line="288" w:lineRule="auto"/>
        <w:rPr>
          <w:rFonts w:eastAsiaTheme="minorEastAsia"/>
        </w:rPr>
      </w:pPr>
      <w:r w:rsidRPr="00C00E88">
        <w:rPr>
          <w:rFonts w:eastAsiaTheme="minorEastAsia"/>
        </w:rPr>
        <w:t xml:space="preserve">The national price for supports delivered by a Psychologist </w:t>
      </w:r>
      <w:r w:rsidRPr="00C00E88" w:rsidR="00A47B91">
        <w:rPr>
          <w:rFonts w:eastAsiaTheme="minorEastAsia"/>
        </w:rPr>
        <w:t>should be</w:t>
      </w:r>
      <w:r w:rsidRPr="00C00E88">
        <w:rPr>
          <w:rFonts w:eastAsiaTheme="minorEastAsia"/>
        </w:rPr>
        <w:t xml:space="preserve"> </w:t>
      </w:r>
      <w:r w:rsidRPr="00C00E88" w:rsidR="008E54ED">
        <w:rPr>
          <w:rFonts w:eastAsiaTheme="minorEastAsia"/>
        </w:rPr>
        <w:t xml:space="preserve">a maximum of </w:t>
      </w:r>
      <w:r w:rsidRPr="00C00E88">
        <w:rPr>
          <w:rFonts w:eastAsiaTheme="minorEastAsia"/>
        </w:rPr>
        <w:t>$252.99</w:t>
      </w:r>
      <w:r w:rsidRPr="00C00E88" w:rsidR="00882585">
        <w:rPr>
          <w:rFonts w:eastAsiaTheme="minorEastAsia"/>
        </w:rPr>
        <w:t xml:space="preserve"> per hour</w:t>
      </w:r>
      <w:r w:rsidRPr="00C00E88">
        <w:rPr>
          <w:rFonts w:eastAsiaTheme="minorEastAsia"/>
        </w:rPr>
        <w:t>.</w:t>
      </w:r>
      <w:r w:rsidRPr="00C00E88" w:rsidR="008E54ED">
        <w:rPr>
          <w:rFonts w:eastAsiaTheme="minorEastAsia"/>
        </w:rPr>
        <w:t xml:space="preserve"> This should apply uniformly across all jurisdictions.</w:t>
      </w:r>
      <w:r w:rsidRPr="008D1918" w:rsidR="00ED2C55">
        <w:rPr>
          <w:rFonts w:eastAsiaTheme="minorEastAsia"/>
        </w:rPr>
        <w:t xml:space="preserve"> </w:t>
      </w:r>
      <w:r w:rsidRPr="008D1918" w:rsidR="2050F57F">
        <w:rPr>
          <w:rFonts w:eastAsiaTheme="minorEastAsia"/>
        </w:rPr>
        <w:t xml:space="preserve"> </w:t>
      </w:r>
    </w:p>
    <w:p w:rsidRPr="008D1918" w:rsidR="009051FC" w:rsidP="00916644" w:rsidRDefault="009051FC" w14:paraId="77A93445" w14:textId="1E046F41">
      <w:pPr>
        <w:pStyle w:val="StyleStyle112pt"/>
        <w:numPr>
          <w:ilvl w:val="0"/>
          <w:numId w:val="0"/>
        </w:numPr>
      </w:pPr>
      <w:bookmarkStart w:name="_Toc200103439" w:id="143"/>
      <w:bookmarkStart w:name="_Toc200271554" w:id="144"/>
      <w:bookmarkStart w:name="_Toc220423765" w:id="145"/>
      <w:bookmarkStart w:name="_Toc223345350" w:id="146"/>
      <w:bookmarkStart w:name="_Toc223428335" w:id="147"/>
      <w:bookmarkStart w:name="_Toc223445794" w:id="148"/>
      <w:bookmarkStart w:name="_Toc223539595" w:id="149"/>
      <w:bookmarkStart w:name="_Toc223539809" w:id="150"/>
      <w:bookmarkStart w:name="_Toc223540277" w:id="151"/>
      <w:bookmarkStart w:name="_Toc223540493" w:id="152"/>
      <w:bookmarkStart w:name="_Toc223604193" w:id="153"/>
      <w:bookmarkStart w:name="_Toc223604432" w:id="154"/>
      <w:bookmarkStart w:name="_Toc223604643" w:id="155"/>
      <w:bookmarkStart w:name="_Toc223618513" w:id="156"/>
      <w:bookmarkStart w:name="_Toc223702756" w:id="157"/>
      <w:bookmarkStart w:name="_Toc227318660" w:id="158"/>
      <w:bookmarkStart w:name="_Toc227337028" w:id="159"/>
      <w:r w:rsidRPr="008D1918">
        <w:t xml:space="preserve">Dietitian </w:t>
      </w:r>
      <w:r w:rsidRPr="008D1918" w:rsidR="00303C08">
        <w:t>p</w:t>
      </w:r>
      <w:r w:rsidRPr="008D1918">
        <w:t>rice</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Pr="008D1918" w:rsidR="00BE6C2D" w:rsidP="009051FC" w:rsidRDefault="00BE6C2D" w14:paraId="4AA264D1" w14:textId="36150D59">
      <w:pPr>
        <w:rPr>
          <w:lang w:val="en-AU"/>
        </w:rPr>
      </w:pPr>
      <w:r w:rsidRPr="00C00E88">
        <w:rPr>
          <w:lang w:val="en-AU"/>
        </w:rPr>
        <w:t>Benchmarking results</w:t>
      </w:r>
      <w:r w:rsidRPr="00C00E88" w:rsidR="00B2138C">
        <w:rPr>
          <w:lang w:val="en-AU"/>
        </w:rPr>
        <w:t xml:space="preserve"> </w:t>
      </w:r>
      <w:r w:rsidRPr="00C00E88">
        <w:rPr>
          <w:lang w:val="en-AU"/>
        </w:rPr>
        <w:t>support a</w:t>
      </w:r>
      <w:r w:rsidRPr="00C00E88" w:rsidR="00B2138C">
        <w:rPr>
          <w:lang w:val="en-AU"/>
        </w:rPr>
        <w:t xml:space="preserve"> </w:t>
      </w:r>
      <w:r w:rsidRPr="00C00E88" w:rsidR="00A47B91">
        <w:rPr>
          <w:lang w:val="en-AU"/>
        </w:rPr>
        <w:t xml:space="preserve">reduction of </w:t>
      </w:r>
      <w:r w:rsidRPr="00C00E88">
        <w:rPr>
          <w:lang w:val="en-AU"/>
        </w:rPr>
        <w:t xml:space="preserve">the NDIS price for </w:t>
      </w:r>
      <w:r w:rsidRPr="00C00E88" w:rsidR="3E48A158">
        <w:rPr>
          <w:lang w:val="en-AU"/>
        </w:rPr>
        <w:t>D</w:t>
      </w:r>
      <w:r w:rsidRPr="00C00E88">
        <w:rPr>
          <w:lang w:val="en-AU"/>
        </w:rPr>
        <w:t>ietitian</w:t>
      </w:r>
      <w:r w:rsidRPr="00C00E88" w:rsidR="00215A1C">
        <w:rPr>
          <w:lang w:val="en-AU"/>
        </w:rPr>
        <w:t xml:space="preserve"> </w:t>
      </w:r>
      <w:r w:rsidRPr="00C00E88">
        <w:rPr>
          <w:lang w:val="en-AU"/>
        </w:rPr>
        <w:t>supports</w:t>
      </w:r>
      <w:r w:rsidRPr="00C00E88" w:rsidR="00023942">
        <w:rPr>
          <w:lang w:val="en-AU"/>
        </w:rPr>
        <w:t xml:space="preserve"> </w:t>
      </w:r>
      <w:r w:rsidRPr="00C00E88" w:rsidR="008E54ED">
        <w:rPr>
          <w:lang w:val="en-AU"/>
        </w:rPr>
        <w:t xml:space="preserve">to a maximum </w:t>
      </w:r>
      <w:r w:rsidRPr="00C00E88" w:rsidR="6A6A0DF2">
        <w:rPr>
          <w:lang w:val="en-AU"/>
        </w:rPr>
        <w:t xml:space="preserve">of $178.99 per hour. This </w:t>
      </w:r>
      <w:r w:rsidRPr="00C00E88" w:rsidR="27B3AA90">
        <w:rPr>
          <w:lang w:val="en-AU"/>
        </w:rPr>
        <w:t xml:space="preserve">takes into account </w:t>
      </w:r>
      <w:r w:rsidRPr="00C00E88">
        <w:rPr>
          <w:lang w:val="en-AU"/>
        </w:rPr>
        <w:t>the PHI 2 75th percentile ($155.00 per hour) and the MBS 75th percentile ($152.00 per hour), based on large-scale billing data and adjusted for session duration. Given the size and consistency of th</w:t>
      </w:r>
      <w:r w:rsidRPr="00C00E88" w:rsidR="1BA7D801">
        <w:rPr>
          <w:lang w:val="en-AU"/>
        </w:rPr>
        <w:t>e</w:t>
      </w:r>
      <w:r w:rsidRPr="00C00E88">
        <w:rPr>
          <w:lang w:val="en-AU"/>
        </w:rPr>
        <w:t xml:space="preserve"> divergence</w:t>
      </w:r>
      <w:r w:rsidRPr="00C00E88" w:rsidR="7DD4D375">
        <w:rPr>
          <w:lang w:val="en-AU"/>
        </w:rPr>
        <w:t xml:space="preserve"> that</w:t>
      </w:r>
      <w:r w:rsidRPr="008D1918" w:rsidR="7DD4D375">
        <w:rPr>
          <w:lang w:val="en-AU"/>
        </w:rPr>
        <w:t xml:space="preserve"> remains between the </w:t>
      </w:r>
      <w:r w:rsidRPr="008D1918" w:rsidR="00A47B91">
        <w:rPr>
          <w:lang w:val="en-AU"/>
        </w:rPr>
        <w:t xml:space="preserve">NDIS </w:t>
      </w:r>
      <w:r w:rsidRPr="008D1918" w:rsidR="7DD4D375">
        <w:rPr>
          <w:lang w:val="en-AU"/>
        </w:rPr>
        <w:t>price and PHI 2 and MBS figures</w:t>
      </w:r>
      <w:r w:rsidRPr="008D1918">
        <w:rPr>
          <w:lang w:val="en-AU"/>
        </w:rPr>
        <w:t>,</w:t>
      </w:r>
      <w:r w:rsidRPr="008D1918" w:rsidR="001132C8">
        <w:rPr>
          <w:lang w:val="en-AU"/>
        </w:rPr>
        <w:t xml:space="preserve"> </w:t>
      </w:r>
      <w:r w:rsidRPr="008D1918" w:rsidR="00882585">
        <w:rPr>
          <w:lang w:val="en-AU"/>
        </w:rPr>
        <w:t xml:space="preserve">the </w:t>
      </w:r>
      <w:r w:rsidRPr="008D1918" w:rsidR="00A47B91">
        <w:rPr>
          <w:lang w:val="en-AU"/>
        </w:rPr>
        <w:t xml:space="preserve">NDIS </w:t>
      </w:r>
      <w:r w:rsidRPr="008D1918" w:rsidR="00E86125">
        <w:rPr>
          <w:lang w:val="en-AU"/>
        </w:rPr>
        <w:t xml:space="preserve">price </w:t>
      </w:r>
      <w:r w:rsidRPr="008D1918" w:rsidR="00A47B91">
        <w:rPr>
          <w:lang w:val="en-AU"/>
        </w:rPr>
        <w:t>should</w:t>
      </w:r>
      <w:r w:rsidRPr="008D1918" w:rsidR="00882585">
        <w:rPr>
          <w:lang w:val="en-AU"/>
        </w:rPr>
        <w:t xml:space="preserve"> be reduced</w:t>
      </w:r>
      <w:r w:rsidRPr="008D1918" w:rsidR="00A47B91">
        <w:rPr>
          <w:lang w:val="en-AU"/>
        </w:rPr>
        <w:t xml:space="preserve"> </w:t>
      </w:r>
      <w:r w:rsidRPr="008D1918">
        <w:rPr>
          <w:lang w:val="en-AU"/>
        </w:rPr>
        <w:t>to minimise disruption within markets while moving toward a more</w:t>
      </w:r>
      <w:r w:rsidRPr="008D1918" w:rsidR="008C25BD">
        <w:rPr>
          <w:lang w:val="en-AU"/>
        </w:rPr>
        <w:t xml:space="preserve"> </w:t>
      </w:r>
      <w:r w:rsidRPr="008D1918">
        <w:rPr>
          <w:lang w:val="en-AU"/>
        </w:rPr>
        <w:t>appropriate price.</w:t>
      </w:r>
    </w:p>
    <w:p w:rsidRPr="008D1918" w:rsidR="009051FC" w:rsidP="00245B10" w:rsidRDefault="009051FC" w14:paraId="1121C133" w14:textId="4A012658">
      <w:pPr>
        <w:pStyle w:val="RecommendationH5"/>
      </w:pPr>
      <w:r w:rsidRPr="008D1918">
        <w:t xml:space="preserve">Recommendation </w:t>
      </w:r>
      <w:r w:rsidRPr="008D1918" w:rsidR="00F74EB3">
        <w:t>6</w:t>
      </w:r>
      <w:r w:rsidRPr="008D1918">
        <w:t>:</w:t>
      </w:r>
    </w:p>
    <w:p w:rsidRPr="008D1918" w:rsidR="00BE6C2D" w:rsidP="002013E6" w:rsidRDefault="00882585" w14:paraId="5866DB2A" w14:textId="256FFB5B">
      <w:pPr>
        <w:pStyle w:val="Normalrecommendationtext"/>
        <w:spacing w:line="288" w:lineRule="auto"/>
      </w:pPr>
      <w:r w:rsidRPr="008D1918">
        <w:t xml:space="preserve">The national price </w:t>
      </w:r>
      <w:r w:rsidRPr="008D1918" w:rsidR="00BE6C2D">
        <w:t xml:space="preserve">for supports delivered by a </w:t>
      </w:r>
      <w:r w:rsidRPr="008D1918" w:rsidR="6D708455">
        <w:t>D</w:t>
      </w:r>
      <w:r w:rsidRPr="008D1918" w:rsidR="00BE6C2D">
        <w:t>ietitian</w:t>
      </w:r>
      <w:r w:rsidRPr="008D1918">
        <w:t xml:space="preserve"> </w:t>
      </w:r>
      <w:r w:rsidRPr="008D1918" w:rsidR="00A47B91">
        <w:t xml:space="preserve">should be </w:t>
      </w:r>
      <w:r w:rsidRPr="008D1918" w:rsidR="008E54ED">
        <w:t>a maximum of</w:t>
      </w:r>
      <w:r w:rsidRPr="008D1918">
        <w:t xml:space="preserve"> $178.99 per hour.</w:t>
      </w:r>
      <w:r w:rsidRPr="008D1918" w:rsidR="00BE6C2D">
        <w:t xml:space="preserve"> </w:t>
      </w:r>
    </w:p>
    <w:p w:rsidRPr="008D1918" w:rsidR="009051FC" w:rsidP="36A82F41" w:rsidRDefault="009051FC" w14:paraId="57A074F4" w14:textId="38FC0238">
      <w:pPr>
        <w:pStyle w:val="StyleStyle112pt"/>
        <w:numPr>
          <w:ilvl w:val="0"/>
          <w:numId w:val="0"/>
        </w:numPr>
      </w:pPr>
      <w:bookmarkStart w:name="_Toc220423766" w:id="160"/>
      <w:bookmarkStart w:name="_Toc223345351" w:id="161"/>
      <w:bookmarkStart w:name="_Toc223428336" w:id="162"/>
      <w:bookmarkStart w:name="_Toc223445795" w:id="163"/>
      <w:bookmarkStart w:name="_Toc223539596" w:id="164"/>
      <w:bookmarkStart w:name="_Toc223539810" w:id="165"/>
      <w:bookmarkStart w:name="_Toc223540278" w:id="166"/>
      <w:bookmarkStart w:name="_Toc223540494" w:id="167"/>
      <w:bookmarkStart w:name="_Toc223604194" w:id="168"/>
      <w:bookmarkStart w:name="_Toc223604433" w:id="169"/>
      <w:bookmarkStart w:name="_Toc223604644" w:id="170"/>
      <w:bookmarkStart w:name="_Toc223618514" w:id="171"/>
      <w:bookmarkStart w:name="_Toc223702757" w:id="172"/>
      <w:bookmarkStart w:name="_Toc227318661" w:id="173"/>
      <w:bookmarkStart w:name="_Toc227337029" w:id="174"/>
      <w:r w:rsidRPr="008D1918">
        <w:t xml:space="preserve">Exercise </w:t>
      </w:r>
      <w:r w:rsidRPr="008D1918" w:rsidR="31B81A1B">
        <w:t>P</w:t>
      </w:r>
      <w:r w:rsidRPr="008D1918">
        <w:t>hysiolog</w:t>
      </w:r>
      <w:r w:rsidRPr="008D1918" w:rsidR="4DD58931">
        <w:t>ist</w:t>
      </w:r>
      <w:r w:rsidRPr="008D1918">
        <w:t xml:space="preserve"> </w:t>
      </w:r>
      <w:r w:rsidRPr="008D1918" w:rsidR="00EF5A32">
        <w:t>p</w:t>
      </w:r>
      <w:r w:rsidRPr="008D1918">
        <w:t>rice</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8D1918">
        <w:t xml:space="preserve"> </w:t>
      </w:r>
    </w:p>
    <w:p w:rsidRPr="008D1918" w:rsidR="001F469A" w:rsidP="36A82F41" w:rsidRDefault="001F469A" w14:paraId="2E2C6F69" w14:textId="48913134">
      <w:pPr>
        <w:rPr>
          <w:lang w:val="en-AU"/>
        </w:rPr>
      </w:pPr>
      <w:r w:rsidRPr="008D1918">
        <w:rPr>
          <w:lang w:val="en-AU"/>
        </w:rPr>
        <w:t xml:space="preserve">Benchmarking results </w:t>
      </w:r>
      <w:r w:rsidRPr="00C00E88">
        <w:rPr>
          <w:lang w:val="en-AU"/>
        </w:rPr>
        <w:t xml:space="preserve">support a </w:t>
      </w:r>
      <w:r w:rsidRPr="00C00E88" w:rsidR="6486E77C">
        <w:rPr>
          <w:lang w:val="en-AU"/>
        </w:rPr>
        <w:t xml:space="preserve">recommendation </w:t>
      </w:r>
      <w:r w:rsidRPr="00C00E88" w:rsidR="008E54ED">
        <w:rPr>
          <w:lang w:val="en-AU"/>
        </w:rPr>
        <w:t xml:space="preserve">that the </w:t>
      </w:r>
      <w:r w:rsidRPr="00C00E88">
        <w:rPr>
          <w:lang w:val="en-AU"/>
        </w:rPr>
        <w:t>NDIS price for supports</w:t>
      </w:r>
      <w:r w:rsidRPr="00C00E88" w:rsidR="55D11AD7">
        <w:rPr>
          <w:lang w:val="en-AU"/>
        </w:rPr>
        <w:t xml:space="preserve"> provided by an E</w:t>
      </w:r>
      <w:r w:rsidRPr="00C00E88">
        <w:rPr>
          <w:lang w:val="en-AU"/>
        </w:rPr>
        <w:t xml:space="preserve">xercise </w:t>
      </w:r>
      <w:r w:rsidRPr="00C00E88" w:rsidR="33250A14">
        <w:rPr>
          <w:lang w:val="en-AU"/>
        </w:rPr>
        <w:t>P</w:t>
      </w:r>
      <w:r w:rsidRPr="00C00E88">
        <w:rPr>
          <w:lang w:val="en-AU"/>
        </w:rPr>
        <w:t>hysiolog</w:t>
      </w:r>
      <w:r w:rsidRPr="00C00E88" w:rsidR="72AB9C04">
        <w:rPr>
          <w:lang w:val="en-AU"/>
        </w:rPr>
        <w:t>ist</w:t>
      </w:r>
      <w:r w:rsidRPr="00C00E88" w:rsidR="16D43AE3">
        <w:rPr>
          <w:lang w:val="en-AU"/>
        </w:rPr>
        <w:t xml:space="preserve"> </w:t>
      </w:r>
      <w:r w:rsidRPr="00C00E88" w:rsidR="008E54ED">
        <w:rPr>
          <w:lang w:val="en-AU"/>
        </w:rPr>
        <w:t xml:space="preserve">should be a maximum </w:t>
      </w:r>
      <w:r w:rsidRPr="00C00E88" w:rsidR="16D43AE3">
        <w:rPr>
          <w:lang w:val="en-AU"/>
        </w:rPr>
        <w:t>of $161.99 per hour</w:t>
      </w:r>
      <w:r w:rsidRPr="00C00E88">
        <w:rPr>
          <w:lang w:val="en-AU"/>
        </w:rPr>
        <w:t>. Th</w:t>
      </w:r>
      <w:r w:rsidRPr="00C00E88" w:rsidR="00EA26AD">
        <w:rPr>
          <w:lang w:val="en-AU"/>
        </w:rPr>
        <w:t>is</w:t>
      </w:r>
      <w:r w:rsidRPr="00C00E88" w:rsidR="5E459C7A">
        <w:rPr>
          <w:lang w:val="en-AU"/>
        </w:rPr>
        <w:t xml:space="preserve"> takes into account</w:t>
      </w:r>
      <w:r w:rsidRPr="00C00E88">
        <w:rPr>
          <w:lang w:val="en-AU"/>
        </w:rPr>
        <w:t xml:space="preserve"> the MBS 75th percentile ($152.00) and </w:t>
      </w:r>
      <w:r w:rsidRPr="00C00E88" w:rsidR="00530241">
        <w:rPr>
          <w:lang w:val="en-AU"/>
        </w:rPr>
        <w:t xml:space="preserve">the </w:t>
      </w:r>
      <w:r w:rsidRPr="00C00E88">
        <w:rPr>
          <w:lang w:val="en-AU"/>
        </w:rPr>
        <w:t xml:space="preserve">PHI 1 75th percentile ($132.00), based on large-scale data and adjusted for session duration. </w:t>
      </w:r>
      <w:r w:rsidRPr="00C00E88" w:rsidR="34DC93A0">
        <w:rPr>
          <w:lang w:val="en-AU"/>
        </w:rPr>
        <w:t xml:space="preserve">This </w:t>
      </w:r>
      <w:r w:rsidRPr="00C00E88" w:rsidR="00882585">
        <w:rPr>
          <w:lang w:val="en-AU"/>
        </w:rPr>
        <w:t xml:space="preserve">would </w:t>
      </w:r>
      <w:r w:rsidRPr="00C00E88">
        <w:rPr>
          <w:lang w:val="en-AU"/>
        </w:rPr>
        <w:t>improve alignment with prevailing market</w:t>
      </w:r>
      <w:r w:rsidRPr="008D1918">
        <w:rPr>
          <w:lang w:val="en-AU"/>
        </w:rPr>
        <w:t xml:space="preserve"> rates, while allowing for transition and</w:t>
      </w:r>
      <w:r w:rsidRPr="008D1918" w:rsidR="00215A1C">
        <w:rPr>
          <w:lang w:val="en-AU"/>
        </w:rPr>
        <w:t xml:space="preserve"> minimising </w:t>
      </w:r>
      <w:r w:rsidRPr="008D1918">
        <w:rPr>
          <w:lang w:val="en-AU"/>
        </w:rPr>
        <w:t>disruption within markets.</w:t>
      </w:r>
    </w:p>
    <w:p w:rsidRPr="008D1918" w:rsidR="002F63E7" w:rsidP="00245B10" w:rsidRDefault="002F63E7" w14:paraId="18AA2F4F" w14:textId="44C408C2">
      <w:pPr>
        <w:pStyle w:val="RecommendationH5"/>
      </w:pPr>
      <w:r w:rsidRPr="008D1918">
        <w:t xml:space="preserve">Recommendation </w:t>
      </w:r>
      <w:r w:rsidRPr="008D1918" w:rsidR="00FF223B">
        <w:t>7</w:t>
      </w:r>
      <w:r w:rsidRPr="008D1918">
        <w:t>:</w:t>
      </w:r>
    </w:p>
    <w:p w:rsidRPr="008D1918" w:rsidR="001F469A" w:rsidP="002013E6" w:rsidRDefault="008E54ED" w14:paraId="1C96B275" w14:textId="0DA6251F">
      <w:pPr>
        <w:pStyle w:val="Normalrecommendationtext"/>
        <w:spacing w:line="288" w:lineRule="auto"/>
        <w:rPr>
          <w:rFonts w:eastAsiaTheme="minorEastAsia"/>
        </w:rPr>
      </w:pPr>
      <w:r w:rsidRPr="00C00E88">
        <w:t xml:space="preserve">The </w:t>
      </w:r>
      <w:r w:rsidRPr="00C00E88" w:rsidR="427D04A6">
        <w:t>nation</w:t>
      </w:r>
      <w:r w:rsidRPr="00C00E88">
        <w:t>al</w:t>
      </w:r>
      <w:r w:rsidRPr="00C00E88" w:rsidR="427D04A6">
        <w:t xml:space="preserve"> </w:t>
      </w:r>
      <w:r w:rsidRPr="00C00E88" w:rsidR="001F469A">
        <w:t xml:space="preserve">price for supports delivered by an </w:t>
      </w:r>
      <w:r w:rsidRPr="00C00E88" w:rsidR="1209E6A2">
        <w:t>E</w:t>
      </w:r>
      <w:r w:rsidRPr="00C00E88" w:rsidR="001F469A">
        <w:t xml:space="preserve">xercise </w:t>
      </w:r>
      <w:r w:rsidRPr="00C00E88" w:rsidR="00884D80">
        <w:t>P</w:t>
      </w:r>
      <w:r w:rsidRPr="00C00E88" w:rsidR="001F469A">
        <w:t xml:space="preserve">hysiologist </w:t>
      </w:r>
      <w:r w:rsidRPr="00C00E88">
        <w:t>should be a maximum</w:t>
      </w:r>
      <w:r w:rsidRPr="00C00E88" w:rsidR="001F469A">
        <w:t xml:space="preserve"> of $161.99 per hour.</w:t>
      </w:r>
      <w:r w:rsidRPr="008D1918" w:rsidR="3FCDD869">
        <w:t xml:space="preserve"> </w:t>
      </w:r>
    </w:p>
    <w:p w:rsidRPr="008D1918" w:rsidR="0034746F" w:rsidP="36A82F41" w:rsidRDefault="0034746F" w14:paraId="2567F886" w14:textId="722387AF">
      <w:pPr>
        <w:pStyle w:val="StyleStyle112pt"/>
        <w:numPr>
          <w:ilvl w:val="0"/>
          <w:numId w:val="0"/>
        </w:numPr>
      </w:pPr>
      <w:bookmarkStart w:name="_Toc223345352" w:id="175"/>
      <w:bookmarkStart w:name="_Toc223428337" w:id="176"/>
      <w:bookmarkStart w:name="_Toc223445796" w:id="177"/>
      <w:bookmarkStart w:name="_Toc223539597" w:id="178"/>
      <w:bookmarkStart w:name="_Toc223539811" w:id="179"/>
      <w:bookmarkStart w:name="_Toc223540279" w:id="180"/>
      <w:bookmarkStart w:name="_Toc223540495" w:id="181"/>
      <w:bookmarkStart w:name="_Toc223604195" w:id="182"/>
      <w:bookmarkStart w:name="_Toc223604434" w:id="183"/>
      <w:bookmarkStart w:name="_Toc223604645" w:id="184"/>
      <w:bookmarkStart w:name="_Toc223618515" w:id="185"/>
      <w:bookmarkStart w:name="_Toc223702758" w:id="186"/>
      <w:bookmarkStart w:name="_Toc227318662" w:id="187"/>
      <w:bookmarkStart w:name="_Toc227337030" w:id="188"/>
      <w:bookmarkStart w:name="_Toc220423767" w:id="189"/>
      <w:r w:rsidRPr="008D1918">
        <w:t xml:space="preserve">Orientation and </w:t>
      </w:r>
      <w:r w:rsidRPr="008D1918" w:rsidR="000414AE">
        <w:t xml:space="preserve">Mobility </w:t>
      </w:r>
      <w:bookmarkEnd w:id="175"/>
      <w:bookmarkEnd w:id="176"/>
      <w:bookmarkEnd w:id="177"/>
      <w:bookmarkEnd w:id="178"/>
      <w:bookmarkEnd w:id="179"/>
      <w:bookmarkEnd w:id="180"/>
      <w:bookmarkEnd w:id="181"/>
      <w:bookmarkEnd w:id="182"/>
      <w:bookmarkEnd w:id="183"/>
      <w:bookmarkEnd w:id="184"/>
      <w:bookmarkEnd w:id="185"/>
      <w:bookmarkEnd w:id="186"/>
      <w:r w:rsidRPr="008D1918" w:rsidR="000414AE">
        <w:t>Specialist</w:t>
      </w:r>
      <w:r w:rsidRPr="008D1918" w:rsidR="002757B3">
        <w:t xml:space="preserve"> price</w:t>
      </w:r>
      <w:bookmarkEnd w:id="187"/>
      <w:bookmarkEnd w:id="188"/>
    </w:p>
    <w:p w:rsidRPr="008D1918" w:rsidR="002F63E7" w:rsidP="70BF716E" w:rsidRDefault="0A295CFB" w14:paraId="6A23BACC" w14:textId="58194513">
      <w:pPr>
        <w:rPr>
          <w:rFonts w:eastAsia="Arial" w:cs="Arial"/>
          <w:color w:val="000000" w:themeColor="accent6"/>
          <w:lang w:val="en-AU"/>
        </w:rPr>
      </w:pPr>
      <w:r w:rsidRPr="008D1918">
        <w:rPr>
          <w:rFonts w:eastAsia="Arial" w:cs="Arial"/>
          <w:color w:val="000000" w:themeColor="accent6"/>
          <w:lang w:val="en-AU"/>
        </w:rPr>
        <w:t xml:space="preserve">Registration of Orientation and Mobility Specialists (OMS) was recognised by the NDIS </w:t>
      </w:r>
      <w:r w:rsidRPr="008D1918" w:rsidR="001B6A04">
        <w:rPr>
          <w:rFonts w:eastAsia="Arial" w:cs="Arial"/>
          <w:color w:val="000000" w:themeColor="accent6"/>
          <w:lang w:val="en-AU"/>
        </w:rPr>
        <w:t xml:space="preserve">Quality and Safeguards </w:t>
      </w:r>
      <w:r w:rsidRPr="008D1918" w:rsidR="61BE1729">
        <w:rPr>
          <w:rFonts w:eastAsia="Arial" w:cs="Arial"/>
          <w:color w:val="000000" w:themeColor="accent6"/>
          <w:lang w:val="en-AU"/>
        </w:rPr>
        <w:t>Commission</w:t>
      </w:r>
      <w:r w:rsidRPr="008D1918">
        <w:rPr>
          <w:rFonts w:eastAsia="Arial" w:cs="Arial"/>
          <w:color w:val="000000" w:themeColor="accent6"/>
          <w:lang w:val="en-AU"/>
        </w:rPr>
        <w:t xml:space="preserve"> in March 2025</w:t>
      </w:r>
      <w:r w:rsidRPr="008D1918" w:rsidR="003A00C2">
        <w:rPr>
          <w:rFonts w:eastAsia="Arial" w:cs="Arial"/>
          <w:color w:val="000000" w:themeColor="accent6"/>
          <w:lang w:val="en-AU"/>
        </w:rPr>
        <w:t>.</w:t>
      </w:r>
      <w:r w:rsidRPr="008D1918" w:rsidR="001B6A04">
        <w:rPr>
          <w:rFonts w:eastAsia="Arial" w:cs="Arial"/>
          <w:color w:val="000000" w:themeColor="accent6"/>
          <w:lang w:val="en-AU"/>
        </w:rPr>
        <w:t xml:space="preserve"> </w:t>
      </w:r>
      <w:r w:rsidRPr="008D1918">
        <w:rPr>
          <w:rFonts w:eastAsia="Arial" w:cs="Arial"/>
          <w:color w:val="000000" w:themeColor="accent6"/>
          <w:lang w:val="en-AU"/>
        </w:rPr>
        <w:t>Introducing dedicated OMS support line items w</w:t>
      </w:r>
      <w:r w:rsidRPr="008D1918" w:rsidR="001337AA">
        <w:rPr>
          <w:rFonts w:eastAsia="Arial" w:cs="Arial"/>
          <w:color w:val="000000" w:themeColor="accent6"/>
          <w:lang w:val="en-AU"/>
        </w:rPr>
        <w:t>ould</w:t>
      </w:r>
      <w:r w:rsidRPr="008D1918">
        <w:rPr>
          <w:rFonts w:eastAsia="Arial" w:cs="Arial"/>
          <w:color w:val="000000" w:themeColor="accent6"/>
          <w:lang w:val="en-AU"/>
        </w:rPr>
        <w:t xml:space="preserve"> improve claiming accuracy and reduce reliance on a category that aggregates multiple unidentified disciplines.</w:t>
      </w:r>
    </w:p>
    <w:p w:rsidRPr="008D1918" w:rsidR="002F63E7" w:rsidP="70BF716E" w:rsidRDefault="01CCBBAE" w14:paraId="3E56F279" w14:textId="5E57F3B9">
      <w:pPr>
        <w:rPr>
          <w:lang w:val="en-AU"/>
        </w:rPr>
      </w:pPr>
      <w:r w:rsidRPr="008D1918">
        <w:rPr>
          <w:rFonts w:eastAsia="Arial" w:cs="Arial"/>
          <w:color w:val="000000" w:themeColor="accent6"/>
          <w:lang w:val="en-AU"/>
        </w:rPr>
        <w:t xml:space="preserve">The NDIA </w:t>
      </w:r>
      <w:r w:rsidRPr="008D1918" w:rsidR="000C3E97">
        <w:rPr>
          <w:rFonts w:eastAsia="Arial" w:cs="Arial"/>
          <w:color w:val="000000" w:themeColor="accent6"/>
          <w:lang w:val="en-AU"/>
        </w:rPr>
        <w:t>considers that</w:t>
      </w:r>
      <w:r w:rsidRPr="008D1918">
        <w:rPr>
          <w:rFonts w:eastAsia="Arial" w:cs="Arial"/>
          <w:color w:val="000000" w:themeColor="accent6"/>
          <w:lang w:val="en-AU"/>
        </w:rPr>
        <w:t xml:space="preserve"> a</w:t>
      </w:r>
      <w:r w:rsidRPr="008D1918" w:rsidR="0A295CFB">
        <w:rPr>
          <w:rFonts w:eastAsia="Arial" w:cs="Arial"/>
          <w:color w:val="000000" w:themeColor="accent6"/>
          <w:lang w:val="en-AU"/>
        </w:rPr>
        <w:t xml:space="preserve"> national hourly price of $156.16</w:t>
      </w:r>
      <w:r w:rsidRPr="008D1918" w:rsidR="000C3E97">
        <w:rPr>
          <w:rFonts w:eastAsia="Arial" w:cs="Arial"/>
          <w:color w:val="000000" w:themeColor="accent6"/>
          <w:lang w:val="en-AU"/>
        </w:rPr>
        <w:t xml:space="preserve"> is appropriate</w:t>
      </w:r>
      <w:r w:rsidRPr="008D1918" w:rsidR="0A295CFB">
        <w:rPr>
          <w:rFonts w:eastAsia="Arial" w:cs="Arial"/>
          <w:color w:val="000000" w:themeColor="accent6"/>
          <w:lang w:val="en-AU"/>
        </w:rPr>
        <w:t>, with applicable remote loadings and access to standard ancillary activities.</w:t>
      </w:r>
      <w:r w:rsidRPr="008D1918" w:rsidR="0A295CFB">
        <w:rPr>
          <w:lang w:val="en-AU"/>
        </w:rPr>
        <w:t xml:space="preserve"> </w:t>
      </w:r>
    </w:p>
    <w:p w:rsidRPr="008D1918" w:rsidR="002F63E7" w:rsidP="00245B10" w:rsidRDefault="002F63E7" w14:paraId="56EDB1AE" w14:textId="61D7BCFA">
      <w:pPr>
        <w:pStyle w:val="RecommendationH5"/>
      </w:pPr>
      <w:r w:rsidRPr="008D1918">
        <w:t xml:space="preserve">Recommendation </w:t>
      </w:r>
      <w:r w:rsidRPr="008D1918" w:rsidR="00FF223B">
        <w:t>8</w:t>
      </w:r>
      <w:r w:rsidRPr="008D1918">
        <w:t>:</w:t>
      </w:r>
    </w:p>
    <w:p w:rsidRPr="00C00E88" w:rsidR="001337AA" w:rsidP="002013E6" w:rsidRDefault="001337AA" w14:paraId="46A1FC12" w14:textId="6F2DF04C">
      <w:pPr>
        <w:pStyle w:val="Normalrecommendationtext"/>
        <w:spacing w:line="288" w:lineRule="auto"/>
      </w:pPr>
      <w:r w:rsidRPr="00C00E88">
        <w:t xml:space="preserve">The national price for supports delivered by an Orientation and Mobility Specialist </w:t>
      </w:r>
      <w:r w:rsidRPr="00C00E88" w:rsidR="000C3E97">
        <w:t>should be a maximum of</w:t>
      </w:r>
      <w:r w:rsidRPr="00C00E88">
        <w:t xml:space="preserve"> $156.16 per hour.</w:t>
      </w:r>
    </w:p>
    <w:p w:rsidRPr="008D1918" w:rsidR="009051FC" w:rsidP="36A82F41" w:rsidRDefault="009051FC" w14:paraId="2087B532" w14:textId="6D0DE00C">
      <w:pPr>
        <w:pStyle w:val="StyleStyle112pt"/>
        <w:numPr>
          <w:ilvl w:val="0"/>
          <w:numId w:val="0"/>
        </w:numPr>
      </w:pPr>
      <w:bookmarkStart w:name="_Toc223345353" w:id="190"/>
      <w:bookmarkStart w:name="_Toc223428338" w:id="191"/>
      <w:bookmarkStart w:name="_Toc223445797" w:id="192"/>
      <w:bookmarkStart w:name="_Toc223539598" w:id="193"/>
      <w:bookmarkStart w:name="_Toc223539812" w:id="194"/>
      <w:bookmarkStart w:name="_Toc223540280" w:id="195"/>
      <w:bookmarkStart w:name="_Toc223540496" w:id="196"/>
      <w:bookmarkStart w:name="_Toc223604196" w:id="197"/>
      <w:bookmarkStart w:name="_Toc223604435" w:id="198"/>
      <w:bookmarkStart w:name="_Toc223604646" w:id="199"/>
      <w:bookmarkStart w:name="_Toc223618516" w:id="200"/>
      <w:bookmarkStart w:name="_Toc223702759" w:id="201"/>
      <w:bookmarkStart w:name="_Toc227318663" w:id="202"/>
      <w:bookmarkStart w:name="_Toc227337031" w:id="203"/>
      <w:r w:rsidRPr="00C00E88">
        <w:t xml:space="preserve">Other </w:t>
      </w:r>
      <w:r w:rsidRPr="00C00E88" w:rsidR="0087289E">
        <w:t xml:space="preserve">Professionals </w:t>
      </w:r>
      <w:r w:rsidRPr="00C00E88" w:rsidR="00EF5A32">
        <w:t>p</w:t>
      </w:r>
      <w:r w:rsidRPr="00C00E88">
        <w:t>rice</w:t>
      </w:r>
      <w:r w:rsidRPr="008D1918">
        <w:t xml:space="preserve"> </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rsidRPr="008D1918" w:rsidR="005B2D8B" w:rsidP="00812001" w:rsidRDefault="00812001" w14:paraId="627A9FA0" w14:textId="511DF88D">
      <w:pPr>
        <w:rPr>
          <w:lang w:val="en-AU"/>
        </w:rPr>
      </w:pPr>
      <w:r w:rsidRPr="008D1918">
        <w:rPr>
          <w:lang w:val="en-AU"/>
        </w:rPr>
        <w:t xml:space="preserve">The ‘Other Professionals’ claiming category presents a material challenge for </w:t>
      </w:r>
      <w:r w:rsidRPr="008D1918" w:rsidR="001337AA">
        <w:rPr>
          <w:lang w:val="en-AU"/>
        </w:rPr>
        <w:t>pricing</w:t>
      </w:r>
      <w:r w:rsidRPr="008D1918" w:rsidR="00FB1660">
        <w:rPr>
          <w:lang w:val="en-AU"/>
        </w:rPr>
        <w:t xml:space="preserve"> and stewardship because claims are not linked to a specified profession or registration status. This means the NDIA cannot </w:t>
      </w:r>
      <w:r w:rsidRPr="008D1918" w:rsidR="4C043C29">
        <w:rPr>
          <w:lang w:val="en-AU"/>
        </w:rPr>
        <w:t>clearly determine what supports are being claimed, and</w:t>
      </w:r>
      <w:r w:rsidRPr="008D1918" w:rsidR="00FB1660">
        <w:rPr>
          <w:lang w:val="en-AU"/>
        </w:rPr>
        <w:t xml:space="preserve"> prices </w:t>
      </w:r>
      <w:r w:rsidRPr="008D1918" w:rsidR="4F9D5A3A">
        <w:rPr>
          <w:lang w:val="en-AU"/>
        </w:rPr>
        <w:t>cannot be reliably benchmarked</w:t>
      </w:r>
      <w:r w:rsidRPr="008D1918" w:rsidR="00FB1660">
        <w:rPr>
          <w:lang w:val="en-AU"/>
        </w:rPr>
        <w:t xml:space="preserve"> against the MBS, </w:t>
      </w:r>
      <w:r w:rsidRPr="008D1918" w:rsidR="00CD599B">
        <w:rPr>
          <w:lang w:val="en-AU"/>
        </w:rPr>
        <w:t xml:space="preserve">PHI </w:t>
      </w:r>
      <w:r w:rsidRPr="008D1918" w:rsidR="00FB1660">
        <w:rPr>
          <w:lang w:val="en-AU"/>
        </w:rPr>
        <w:t>or recognised allied health professions</w:t>
      </w:r>
      <w:r w:rsidRPr="008D1918" w:rsidR="00746BB7">
        <w:rPr>
          <w:lang w:val="en-AU"/>
        </w:rPr>
        <w:t>.</w:t>
      </w:r>
      <w:r w:rsidRPr="008D1918" w:rsidR="00C81739">
        <w:rPr>
          <w:lang w:val="en-AU"/>
        </w:rPr>
        <w:t xml:space="preserve"> </w:t>
      </w:r>
      <w:r w:rsidRPr="008D1918" w:rsidR="001A7749">
        <w:rPr>
          <w:lang w:val="en-AU"/>
        </w:rPr>
        <w:t>This</w:t>
      </w:r>
      <w:r w:rsidRPr="008D1918" w:rsidR="00C81739">
        <w:rPr>
          <w:lang w:val="en-AU"/>
        </w:rPr>
        <w:t xml:space="preserve"> lack of visibility weakens transparency, value for money and assurance that funding aligns with </w:t>
      </w:r>
      <w:r w:rsidRPr="008D1918" w:rsidR="00BB3C24">
        <w:rPr>
          <w:lang w:val="en-AU"/>
        </w:rPr>
        <w:t>S</w:t>
      </w:r>
      <w:r w:rsidRPr="008D1918" w:rsidR="00C81739">
        <w:rPr>
          <w:lang w:val="en-AU"/>
        </w:rPr>
        <w:t xml:space="preserve">ection 10 of the </w:t>
      </w:r>
      <w:r w:rsidRPr="008D1918" w:rsidR="00C81739">
        <w:rPr>
          <w:i/>
          <w:iCs/>
          <w:lang w:val="en-AU"/>
        </w:rPr>
        <w:t>National Disability Insurance Scheme Act 2013</w:t>
      </w:r>
      <w:r w:rsidRPr="008D1918" w:rsidR="001E6143">
        <w:rPr>
          <w:lang w:val="en-AU"/>
        </w:rPr>
        <w:t xml:space="preserve">. In the absence of </w:t>
      </w:r>
      <w:r w:rsidRPr="008D1918" w:rsidR="002C61DD">
        <w:rPr>
          <w:lang w:val="en-AU"/>
        </w:rPr>
        <w:t xml:space="preserve">more robust </w:t>
      </w:r>
      <w:r w:rsidRPr="008D1918" w:rsidR="001E6143">
        <w:rPr>
          <w:lang w:val="en-AU"/>
        </w:rPr>
        <w:t>information, a</w:t>
      </w:r>
      <w:r w:rsidRPr="008D1918" w:rsidR="004254EE">
        <w:rPr>
          <w:lang w:val="en-AU"/>
        </w:rPr>
        <w:t> </w:t>
      </w:r>
      <w:r w:rsidRPr="008D1918" w:rsidR="001E6143">
        <w:rPr>
          <w:lang w:val="en-AU"/>
        </w:rPr>
        <w:t xml:space="preserve">higher price for this category </w:t>
      </w:r>
      <w:r w:rsidRPr="008D1918" w:rsidR="00DD5C8B">
        <w:rPr>
          <w:lang w:val="en-AU"/>
        </w:rPr>
        <w:t>would</w:t>
      </w:r>
      <w:r w:rsidRPr="008D1918" w:rsidR="001E6143">
        <w:rPr>
          <w:lang w:val="en-AU"/>
        </w:rPr>
        <w:t xml:space="preserve"> not </w:t>
      </w:r>
      <w:r w:rsidRPr="008D1918" w:rsidR="00DD5C8B">
        <w:rPr>
          <w:lang w:val="en-AU"/>
        </w:rPr>
        <w:t xml:space="preserve">be </w:t>
      </w:r>
      <w:r w:rsidRPr="008D1918" w:rsidR="001E6143">
        <w:rPr>
          <w:lang w:val="en-AU"/>
        </w:rPr>
        <w:t xml:space="preserve">supported by </w:t>
      </w:r>
      <w:r w:rsidRPr="008D1918" w:rsidR="002C61DD">
        <w:rPr>
          <w:lang w:val="en-AU"/>
        </w:rPr>
        <w:t xml:space="preserve">available </w:t>
      </w:r>
      <w:r w:rsidRPr="008D1918" w:rsidR="001E6143">
        <w:rPr>
          <w:lang w:val="en-AU"/>
        </w:rPr>
        <w:t>evidence</w:t>
      </w:r>
      <w:r w:rsidRPr="008D1918">
        <w:rPr>
          <w:lang w:val="en-AU"/>
        </w:rPr>
        <w:t>.</w:t>
      </w:r>
      <w:r w:rsidRPr="008D1918" w:rsidR="005B2D8B">
        <w:rPr>
          <w:lang w:val="en-AU"/>
        </w:rPr>
        <w:t xml:space="preserve"> </w:t>
      </w:r>
    </w:p>
    <w:p w:rsidRPr="008D1918" w:rsidR="009051FC" w:rsidP="00245B10" w:rsidRDefault="009051FC" w14:paraId="57C1A3A5" w14:textId="3EC4FEC2">
      <w:pPr>
        <w:pStyle w:val="RecommendationH5"/>
      </w:pPr>
      <w:r w:rsidRPr="008D1918">
        <w:t xml:space="preserve">Recommendation </w:t>
      </w:r>
      <w:r w:rsidRPr="008D1918" w:rsidR="00FF223B">
        <w:t>9</w:t>
      </w:r>
      <w:r w:rsidRPr="008D1918">
        <w:t>:</w:t>
      </w:r>
    </w:p>
    <w:p w:rsidRPr="008D1918" w:rsidR="00812001" w:rsidP="002013E6" w:rsidRDefault="00DD5C8B" w14:paraId="01E8B88F" w14:textId="33412294">
      <w:pPr>
        <w:pStyle w:val="Normalrecommendationtext"/>
        <w:spacing w:line="288" w:lineRule="auto"/>
      </w:pPr>
      <w:r w:rsidRPr="008D1918">
        <w:t>The national price for supports delivered by ‘Other Professionals’</w:t>
      </w:r>
      <w:r w:rsidRPr="008D1918" w:rsidR="00D1555A">
        <w:t xml:space="preserve"> (not including Early Childhood supports)</w:t>
      </w:r>
      <w:r w:rsidRPr="008D1918">
        <w:t xml:space="preserve"> </w:t>
      </w:r>
      <w:r w:rsidRPr="008D1918" w:rsidR="0007491A">
        <w:t xml:space="preserve">should be a maximum of </w:t>
      </w:r>
      <w:r w:rsidRPr="008D1918" w:rsidR="00FA5083">
        <w:t xml:space="preserve">$156.16 per hour. </w:t>
      </w:r>
    </w:p>
    <w:p w:rsidRPr="008D1918" w:rsidR="009051FC" w:rsidP="00041468" w:rsidRDefault="009051FC" w14:paraId="47B24BBB" w14:textId="77777777">
      <w:pPr>
        <w:pStyle w:val="StyleStyle112pt"/>
      </w:pPr>
      <w:bookmarkStart w:name="_Toc220423768" w:id="204"/>
      <w:bookmarkStart w:name="_Toc223345354" w:id="205"/>
      <w:bookmarkStart w:name="_Toc223428339" w:id="206"/>
      <w:bookmarkStart w:name="_Toc223445798" w:id="207"/>
      <w:bookmarkStart w:name="_Toc223539599" w:id="208"/>
      <w:bookmarkStart w:name="_Toc223539813" w:id="209"/>
      <w:bookmarkStart w:name="_Toc223540281" w:id="210"/>
      <w:bookmarkStart w:name="_Toc223540497" w:id="211"/>
      <w:bookmarkStart w:name="_Toc223604197" w:id="212"/>
      <w:bookmarkStart w:name="_Toc223604436" w:id="213"/>
      <w:bookmarkStart w:name="_Toc223604647" w:id="214"/>
      <w:bookmarkStart w:name="_Toc223618517" w:id="215"/>
      <w:bookmarkStart w:name="_Toc223702760" w:id="216"/>
      <w:bookmarkStart w:name="_Toc227318664" w:id="217"/>
      <w:bookmarkStart w:name="_Toc227337032" w:id="218"/>
      <w:r w:rsidRPr="008D1918">
        <w:t>Claiming for non-face-to-face time</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rsidRPr="008D1918" w:rsidR="007D7C37" w:rsidP="009051FC" w:rsidRDefault="007D7C37" w14:paraId="4823C9D0" w14:textId="23F2AD08">
      <w:pPr>
        <w:rPr>
          <w:lang w:val="en-AU"/>
        </w:rPr>
      </w:pPr>
      <w:r w:rsidRPr="008D1918">
        <w:rPr>
          <w:lang w:val="en-AU"/>
        </w:rPr>
        <w:t>Current</w:t>
      </w:r>
      <w:r w:rsidRPr="008D1918" w:rsidR="00D1555A">
        <w:rPr>
          <w:lang w:val="en-AU"/>
        </w:rPr>
        <w:t>ly</w:t>
      </w:r>
      <w:r w:rsidRPr="008D1918" w:rsidR="3D07A19B">
        <w:rPr>
          <w:lang w:val="en-AU"/>
        </w:rPr>
        <w:t>, in the</w:t>
      </w:r>
      <w:r w:rsidRPr="008D1918">
        <w:rPr>
          <w:lang w:val="en-AU"/>
        </w:rPr>
        <w:t xml:space="preserve"> therapy </w:t>
      </w:r>
      <w:r w:rsidRPr="008D1918" w:rsidR="0A780674">
        <w:rPr>
          <w:lang w:val="en-AU"/>
        </w:rPr>
        <w:t xml:space="preserve">context, </w:t>
      </w:r>
      <w:r w:rsidRPr="008D1918">
        <w:rPr>
          <w:lang w:val="en-AU"/>
        </w:rPr>
        <w:t>direct service delivery, provider travel</w:t>
      </w:r>
      <w:r w:rsidRPr="008D1918" w:rsidR="004A2288">
        <w:rPr>
          <w:lang w:val="en-AU"/>
        </w:rPr>
        <w:t xml:space="preserve"> and</w:t>
      </w:r>
      <w:r w:rsidRPr="008D1918">
        <w:rPr>
          <w:lang w:val="en-AU"/>
        </w:rPr>
        <w:t xml:space="preserve"> report writing</w:t>
      </w:r>
      <w:r w:rsidRPr="008D1918" w:rsidR="00E953C6">
        <w:rPr>
          <w:lang w:val="en-AU"/>
        </w:rPr>
        <w:t xml:space="preserve"> </w:t>
      </w:r>
      <w:r w:rsidRPr="008D1918" w:rsidR="19483C4C">
        <w:rPr>
          <w:lang w:val="en-AU"/>
        </w:rPr>
        <w:t>are bundled</w:t>
      </w:r>
      <w:r w:rsidRPr="008D1918" w:rsidR="00E953C6">
        <w:rPr>
          <w:lang w:val="en-AU"/>
        </w:rPr>
        <w:t xml:space="preserve"> </w:t>
      </w:r>
      <w:r w:rsidRPr="008D1918" w:rsidR="00AE01DE">
        <w:rPr>
          <w:lang w:val="en-AU"/>
        </w:rPr>
        <w:t>a</w:t>
      </w:r>
      <w:r w:rsidRPr="008D1918" w:rsidR="005D757B">
        <w:rPr>
          <w:lang w:val="en-AU"/>
        </w:rPr>
        <w:t>s</w:t>
      </w:r>
      <w:r w:rsidRPr="008D1918" w:rsidR="00E953C6">
        <w:rPr>
          <w:lang w:val="en-AU"/>
        </w:rPr>
        <w:t xml:space="preserve"> </w:t>
      </w:r>
      <w:r w:rsidRPr="008D1918">
        <w:rPr>
          <w:lang w:val="en-AU"/>
        </w:rPr>
        <w:t>non-face-to-face activities. Unbundling these operationally distinct components w</w:t>
      </w:r>
      <w:r w:rsidRPr="008D1918" w:rsidR="00D1555A">
        <w:rPr>
          <w:lang w:val="en-AU"/>
        </w:rPr>
        <w:t>ould</w:t>
      </w:r>
      <w:r w:rsidRPr="008D1918">
        <w:rPr>
          <w:lang w:val="en-AU"/>
        </w:rPr>
        <w:t xml:space="preserve"> improve transparency and accuracy in claiming, and support more consistent claiming practices across providers.</w:t>
      </w:r>
    </w:p>
    <w:p w:rsidRPr="008D1918" w:rsidR="009051FC" w:rsidP="00245B10" w:rsidRDefault="009051FC" w14:paraId="562A2014" w14:textId="6B200F85">
      <w:pPr>
        <w:pStyle w:val="RecommendationH5"/>
      </w:pPr>
      <w:r w:rsidRPr="008D1918">
        <w:t xml:space="preserve">Recommendation </w:t>
      </w:r>
      <w:r w:rsidRPr="008D1918" w:rsidR="6EED025C">
        <w:t>1</w:t>
      </w:r>
      <w:r w:rsidRPr="008D1918" w:rsidR="00FF223B">
        <w:t>0</w:t>
      </w:r>
      <w:r w:rsidRPr="008D1918">
        <w:t>:</w:t>
      </w:r>
    </w:p>
    <w:p w:rsidRPr="008D1918" w:rsidR="007D7C37" w:rsidP="00F75BC5" w:rsidRDefault="007D7C37" w14:paraId="5D289AAA" w14:textId="117A3A44">
      <w:pPr>
        <w:pStyle w:val="Normalrecommendationtext"/>
        <w:spacing w:line="288" w:lineRule="auto"/>
      </w:pPr>
      <w:r w:rsidRPr="008D1918">
        <w:t xml:space="preserve"> </w:t>
      </w:r>
      <w:r w:rsidRPr="008D1918" w:rsidR="00F61010">
        <w:t>A</w:t>
      </w:r>
      <w:r w:rsidRPr="008D1918">
        <w:t xml:space="preserve"> separate line item </w:t>
      </w:r>
      <w:r w:rsidRPr="008D1918" w:rsidR="00F61010">
        <w:t xml:space="preserve">should be introduced </w:t>
      </w:r>
      <w:r w:rsidRPr="008D1918">
        <w:t xml:space="preserve">for </w:t>
      </w:r>
      <w:r w:rsidRPr="008D1918" w:rsidR="58D943B2">
        <w:t xml:space="preserve">claiming </w:t>
      </w:r>
      <w:r w:rsidRPr="008D1918">
        <w:t xml:space="preserve">provider travel associated with therapy supports, distinct from the therapy </w:t>
      </w:r>
      <w:r w:rsidRPr="008D1918" w:rsidR="1E69CB61">
        <w:t>line item</w:t>
      </w:r>
      <w:r w:rsidRPr="008D1918">
        <w:t>. Th</w:t>
      </w:r>
      <w:r w:rsidRPr="008D1918" w:rsidR="00CC4898">
        <w:t>is</w:t>
      </w:r>
      <w:r w:rsidRPr="008D1918">
        <w:t xml:space="preserve"> </w:t>
      </w:r>
      <w:r w:rsidRPr="008D1918" w:rsidR="06F5F1F5">
        <w:t xml:space="preserve">provider travel </w:t>
      </w:r>
      <w:r w:rsidRPr="008D1918">
        <w:t>line item would enable provider travel to be claimed and recorded separately from direct service delivery, improving transparency and accuracy in claiming.</w:t>
      </w:r>
    </w:p>
    <w:p w:rsidRPr="008D1918" w:rsidR="009051FC" w:rsidP="00245B10" w:rsidRDefault="009051FC" w14:paraId="6A1519FB" w14:textId="4F8AB594">
      <w:pPr>
        <w:pStyle w:val="RecommendationH5"/>
      </w:pPr>
      <w:r w:rsidRPr="008D1918">
        <w:t xml:space="preserve">Recommendation </w:t>
      </w:r>
      <w:r w:rsidRPr="008D1918" w:rsidR="0583855D">
        <w:t>1</w:t>
      </w:r>
      <w:r w:rsidRPr="008D1918" w:rsidR="00FF223B">
        <w:t>1</w:t>
      </w:r>
      <w:r w:rsidRPr="008D1918">
        <w:t>:</w:t>
      </w:r>
    </w:p>
    <w:p w:rsidRPr="008D1918" w:rsidR="0051186E" w:rsidP="00F75BC5" w:rsidRDefault="00F61010" w14:paraId="4C505888" w14:textId="16AB9894">
      <w:pPr>
        <w:pStyle w:val="Normalrecommendationtext"/>
        <w:spacing w:line="288" w:lineRule="auto"/>
      </w:pPr>
      <w:r w:rsidRPr="008D1918">
        <w:t>S</w:t>
      </w:r>
      <w:r w:rsidRPr="008D1918" w:rsidR="0051186E">
        <w:t>eparate line items</w:t>
      </w:r>
      <w:r w:rsidRPr="008D1918">
        <w:t xml:space="preserve"> should be introduced</w:t>
      </w:r>
      <w:r w:rsidRPr="008D1918" w:rsidR="0051186E">
        <w:t xml:space="preserve"> for </w:t>
      </w:r>
      <w:r w:rsidRPr="008D1918" w:rsidR="30443E88">
        <w:t>claiming</w:t>
      </w:r>
      <w:r w:rsidRPr="008D1918" w:rsidR="0051186E">
        <w:t xml:space="preserve"> non-face-to-face therapy support provision, including activities such as preparation, documentation, and </w:t>
      </w:r>
      <w:r w:rsidRPr="008D1918" w:rsidR="00114F7C">
        <w:t>NDIS-</w:t>
      </w:r>
      <w:r w:rsidRPr="008D1918" w:rsidR="0051186E">
        <w:t>requested reporting. These line items would enable non-face-to-face activities to be claimed and recorded separately from direct service delivery, improving transparency and accuracy</w:t>
      </w:r>
      <w:r w:rsidRPr="008D1918" w:rsidR="007416D5">
        <w:t xml:space="preserve"> in claiming</w:t>
      </w:r>
      <w:r w:rsidRPr="008D1918" w:rsidR="0051186E">
        <w:t>.</w:t>
      </w:r>
    </w:p>
    <w:p w:rsidRPr="008D1918" w:rsidR="00CA7E1E" w:rsidP="009051FC" w:rsidRDefault="009051FC" w14:paraId="56C3BE6D" w14:textId="28952820">
      <w:pPr>
        <w:pStyle w:val="Heading31"/>
        <w:ind w:left="1077" w:hanging="720"/>
      </w:pPr>
      <w:bookmarkStart w:name="_Toc223539601" w:id="219"/>
      <w:bookmarkStart w:name="_Toc223539815" w:id="220"/>
      <w:bookmarkStart w:name="_Toc223540283" w:id="221"/>
      <w:bookmarkStart w:name="_Toc223540499" w:id="222"/>
      <w:bookmarkStart w:name="_Toc223604198" w:id="223"/>
      <w:bookmarkStart w:name="_Toc223604437" w:id="224"/>
      <w:bookmarkStart w:name="_Toc227337033" w:id="225"/>
      <w:r w:rsidRPr="008D1918">
        <w:t>Support Coordination</w:t>
      </w:r>
      <w:bookmarkStart w:name="_Toc220423769" w:id="226"/>
      <w:bookmarkEnd w:id="219"/>
      <w:bookmarkEnd w:id="220"/>
      <w:bookmarkEnd w:id="221"/>
      <w:bookmarkEnd w:id="222"/>
      <w:bookmarkEnd w:id="223"/>
      <w:bookmarkEnd w:id="224"/>
      <w:bookmarkEnd w:id="225"/>
      <w:r w:rsidRPr="008D1918">
        <w:t xml:space="preserve"> </w:t>
      </w:r>
      <w:bookmarkEnd w:id="226"/>
    </w:p>
    <w:p w:rsidRPr="008D1918" w:rsidR="00CA7E1E" w:rsidP="00CA7E1E" w:rsidRDefault="00CA7E1E" w14:paraId="2207EAB3" w14:textId="5661C273">
      <w:pPr>
        <w:rPr>
          <w:lang w:val="en-AU"/>
        </w:rPr>
      </w:pPr>
      <w:r w:rsidRPr="008D1918">
        <w:rPr>
          <w:lang w:val="en-AU"/>
        </w:rPr>
        <w:t xml:space="preserve">Support </w:t>
      </w:r>
      <w:r w:rsidRPr="008D1918" w:rsidR="00E53DDF">
        <w:rPr>
          <w:lang w:val="en-AU"/>
        </w:rPr>
        <w:t xml:space="preserve">Coordination </w:t>
      </w:r>
      <w:r w:rsidRPr="008D1918">
        <w:rPr>
          <w:lang w:val="en-AU"/>
        </w:rPr>
        <w:t xml:space="preserve">supports were accessed by </w:t>
      </w:r>
      <w:r w:rsidRPr="008D1918" w:rsidR="000F5E69">
        <w:rPr>
          <w:lang w:val="en-AU"/>
        </w:rPr>
        <w:t xml:space="preserve">more than </w:t>
      </w:r>
      <w:r w:rsidRPr="008D1918">
        <w:rPr>
          <w:lang w:val="en-AU"/>
        </w:rPr>
        <w:t xml:space="preserve">291,800 participants in the </w:t>
      </w:r>
      <w:r w:rsidRPr="008D1918" w:rsidR="009F3BF7">
        <w:rPr>
          <w:lang w:val="en-AU"/>
        </w:rPr>
        <w:t xml:space="preserve">6 </w:t>
      </w:r>
      <w:r w:rsidRPr="008D1918">
        <w:rPr>
          <w:lang w:val="en-AU"/>
        </w:rPr>
        <w:t xml:space="preserve">months to December 2025, representing around 38% of active participants. The provider market continues to grow through small-scale entrants rather than </w:t>
      </w:r>
      <w:r w:rsidRPr="008D1918" w:rsidR="00C84CD5">
        <w:rPr>
          <w:lang w:val="en-AU"/>
        </w:rPr>
        <w:t xml:space="preserve">the </w:t>
      </w:r>
      <w:r w:rsidRPr="008D1918">
        <w:rPr>
          <w:lang w:val="en-AU"/>
        </w:rPr>
        <w:t>expansion of existing providers. Approximately 3</w:t>
      </w:r>
      <w:r w:rsidRPr="008D1918" w:rsidR="009F3BF7">
        <w:rPr>
          <w:lang w:val="en-AU"/>
        </w:rPr>
        <w:t>,</w:t>
      </w:r>
      <w:r w:rsidRPr="008D1918">
        <w:rPr>
          <w:lang w:val="en-AU"/>
        </w:rPr>
        <w:t xml:space="preserve">000 providers supported only one participant with average claims of $2,000, while </w:t>
      </w:r>
      <w:r w:rsidRPr="008D1918" w:rsidR="00062EC4">
        <w:rPr>
          <w:lang w:val="en-AU"/>
        </w:rPr>
        <w:t xml:space="preserve">more than </w:t>
      </w:r>
      <w:r w:rsidRPr="008D1918">
        <w:rPr>
          <w:lang w:val="en-AU"/>
        </w:rPr>
        <w:t xml:space="preserve">5,000 providers supported </w:t>
      </w:r>
      <w:r w:rsidRPr="008D1918" w:rsidR="009F3BF7">
        <w:rPr>
          <w:lang w:val="en-AU"/>
        </w:rPr>
        <w:t xml:space="preserve">5 </w:t>
      </w:r>
      <w:r w:rsidRPr="008D1918">
        <w:rPr>
          <w:lang w:val="en-AU"/>
        </w:rPr>
        <w:t>or fewer</w:t>
      </w:r>
      <w:r w:rsidRPr="008D1918" w:rsidR="000E190A">
        <w:rPr>
          <w:lang w:val="en-AU"/>
        </w:rPr>
        <w:t xml:space="preserve"> </w:t>
      </w:r>
      <w:r w:rsidRPr="008D1918" w:rsidR="00ED629A">
        <w:rPr>
          <w:lang w:val="en-AU"/>
        </w:rPr>
        <w:t>participants</w:t>
      </w:r>
      <w:r w:rsidRPr="008D1918" w:rsidR="000E190A">
        <w:rPr>
          <w:lang w:val="en-AU"/>
        </w:rPr>
        <w:t xml:space="preserve"> </w:t>
      </w:r>
      <w:r w:rsidRPr="008D1918">
        <w:rPr>
          <w:lang w:val="en-AU"/>
        </w:rPr>
        <w:t xml:space="preserve">with an average of approximately $4,000 each. By contrast, the largest 201 providers (supporting </w:t>
      </w:r>
      <w:r w:rsidRPr="008D1918" w:rsidR="00062EC4">
        <w:rPr>
          <w:lang w:val="en-AU"/>
        </w:rPr>
        <w:t xml:space="preserve">more than </w:t>
      </w:r>
      <w:r w:rsidRPr="008D1918">
        <w:rPr>
          <w:lang w:val="en-AU"/>
        </w:rPr>
        <w:t>250 participants) accounted for approximately 35% of total claims, with average claims of $1.1</w:t>
      </w:r>
      <w:r w:rsidRPr="008D1918" w:rsidR="00B95B29">
        <w:rPr>
          <w:lang w:val="en-AU"/>
        </w:rPr>
        <w:t> </w:t>
      </w:r>
      <w:r w:rsidRPr="008D1918">
        <w:rPr>
          <w:lang w:val="en-AU"/>
        </w:rPr>
        <w:t>million per provider.</w:t>
      </w:r>
    </w:p>
    <w:p w:rsidRPr="008D1918" w:rsidR="00CA7E1E" w:rsidP="009051FC" w:rsidRDefault="00CA7E1E" w14:paraId="4725B656" w14:textId="50093411">
      <w:pPr>
        <w:rPr>
          <w:lang w:val="en-AU"/>
        </w:rPr>
      </w:pPr>
      <w:r w:rsidRPr="008D1918">
        <w:rPr>
          <w:lang w:val="en-AU"/>
        </w:rPr>
        <w:t xml:space="preserve">Registered providers accounted for </w:t>
      </w:r>
      <w:r w:rsidRPr="008D1918" w:rsidR="00EF6D02">
        <w:rPr>
          <w:lang w:val="en-AU"/>
        </w:rPr>
        <w:t>79</w:t>
      </w:r>
      <w:r w:rsidRPr="008D1918">
        <w:rPr>
          <w:lang w:val="en-AU"/>
        </w:rPr>
        <w:t>% of total payments, though unregistered provider numbers and</w:t>
      </w:r>
      <w:r w:rsidRPr="008D1918" w:rsidR="00323288">
        <w:rPr>
          <w:lang w:val="en-AU"/>
        </w:rPr>
        <w:t xml:space="preserve"> </w:t>
      </w:r>
      <w:r w:rsidRPr="008D1918">
        <w:rPr>
          <w:lang w:val="en-AU"/>
        </w:rPr>
        <w:t>participant</w:t>
      </w:r>
      <w:r w:rsidRPr="008D1918" w:rsidR="00323288">
        <w:rPr>
          <w:lang w:val="en-AU"/>
        </w:rPr>
        <w:t xml:space="preserve"> </w:t>
      </w:r>
      <w:r w:rsidRPr="008D1918">
        <w:rPr>
          <w:lang w:val="en-AU"/>
        </w:rPr>
        <w:t xml:space="preserve">reach continued to grow. Support </w:t>
      </w:r>
      <w:r w:rsidRPr="008D1918" w:rsidR="00192C3F">
        <w:rPr>
          <w:lang w:val="en-AU"/>
        </w:rPr>
        <w:t xml:space="preserve">Coordination </w:t>
      </w:r>
      <w:r w:rsidRPr="008D1918">
        <w:rPr>
          <w:lang w:val="en-AU"/>
        </w:rPr>
        <w:t>is a market generated by the</w:t>
      </w:r>
      <w:r w:rsidRPr="008D1918" w:rsidR="00323288">
        <w:rPr>
          <w:lang w:val="en-AU"/>
        </w:rPr>
        <w:t xml:space="preserve"> </w:t>
      </w:r>
      <w:r w:rsidRPr="008D1918" w:rsidR="00C817CA">
        <w:rPr>
          <w:lang w:val="en-AU"/>
        </w:rPr>
        <w:t>NDIS</w:t>
      </w:r>
      <w:r w:rsidRPr="008D1918">
        <w:rPr>
          <w:lang w:val="en-AU"/>
        </w:rPr>
        <w:t>, with demand and supply shaped primarily by plan design, eligibility</w:t>
      </w:r>
      <w:r w:rsidRPr="008D1918" w:rsidR="00323288">
        <w:rPr>
          <w:lang w:val="en-AU"/>
        </w:rPr>
        <w:t xml:space="preserve"> </w:t>
      </w:r>
      <w:r w:rsidRPr="008D1918">
        <w:rPr>
          <w:lang w:val="en-AU"/>
        </w:rPr>
        <w:t>settings</w:t>
      </w:r>
      <w:r w:rsidRPr="008D1918" w:rsidR="00323288">
        <w:rPr>
          <w:lang w:val="en-AU"/>
        </w:rPr>
        <w:t xml:space="preserve"> </w:t>
      </w:r>
      <w:r w:rsidRPr="008D1918">
        <w:rPr>
          <w:lang w:val="en-AU"/>
        </w:rPr>
        <w:t>and</w:t>
      </w:r>
      <w:r w:rsidRPr="008D1918" w:rsidR="00323288">
        <w:rPr>
          <w:lang w:val="en-AU"/>
        </w:rPr>
        <w:t xml:space="preserve"> </w:t>
      </w:r>
      <w:r w:rsidRPr="008D1918">
        <w:rPr>
          <w:lang w:val="en-AU"/>
        </w:rPr>
        <w:t>price</w:t>
      </w:r>
      <w:r w:rsidRPr="008D1918" w:rsidR="00871F18">
        <w:rPr>
          <w:lang w:val="en-AU"/>
        </w:rPr>
        <w:t>s</w:t>
      </w:r>
      <w:r w:rsidRPr="008D1918" w:rsidR="00D27508">
        <w:rPr>
          <w:lang w:val="en-AU"/>
        </w:rPr>
        <w:t>,</w:t>
      </w:r>
      <w:r w:rsidRPr="008D1918">
        <w:rPr>
          <w:lang w:val="en-AU"/>
        </w:rPr>
        <w:t xml:space="preserve"> rather than external market benchmarks.</w:t>
      </w:r>
    </w:p>
    <w:p w:rsidRPr="008D1918" w:rsidR="00193C9B" w:rsidP="00041468" w:rsidRDefault="00193C9B" w14:paraId="0E26E036" w14:textId="35600D66">
      <w:pPr>
        <w:pStyle w:val="StyleStyle112pt"/>
      </w:pPr>
      <w:bookmarkStart w:name="_Toc223539602" w:id="227"/>
      <w:bookmarkStart w:name="_Toc223539816" w:id="228"/>
      <w:bookmarkStart w:name="_Toc223540284" w:id="229"/>
      <w:bookmarkStart w:name="_Toc223540500" w:id="230"/>
      <w:bookmarkStart w:name="_Toc223604199" w:id="231"/>
      <w:bookmarkStart w:name="_Toc223604438" w:id="232"/>
      <w:bookmarkStart w:name="_Toc223604649" w:id="233"/>
      <w:bookmarkStart w:name="_Toc223618519" w:id="234"/>
      <w:bookmarkStart w:name="_Toc223702762" w:id="235"/>
      <w:bookmarkStart w:name="_Toc227318666" w:id="236"/>
      <w:bookmarkStart w:name="_Toc227337034" w:id="237"/>
      <w:bookmarkStart w:name="_Toc220423774" w:id="238"/>
      <w:r w:rsidRPr="008D1918">
        <w:t>Support Coordination: Level 1: Support Connection, Level 2: Coordination of Supports and Level 3: Specialist Support Coordination</w:t>
      </w:r>
      <w:bookmarkEnd w:id="227"/>
      <w:bookmarkEnd w:id="228"/>
      <w:bookmarkEnd w:id="229"/>
      <w:bookmarkEnd w:id="230"/>
      <w:bookmarkEnd w:id="231"/>
      <w:bookmarkEnd w:id="232"/>
      <w:bookmarkEnd w:id="233"/>
      <w:bookmarkEnd w:id="234"/>
      <w:bookmarkEnd w:id="235"/>
      <w:bookmarkEnd w:id="236"/>
      <w:bookmarkEnd w:id="237"/>
    </w:p>
    <w:p w:rsidRPr="008D1918" w:rsidR="00193C9B" w:rsidP="00193C9B" w:rsidRDefault="5903C4FF" w14:paraId="047425C7" w14:textId="65088946">
      <w:pPr>
        <w:rPr>
          <w:lang w:val="en-AU"/>
        </w:rPr>
      </w:pPr>
      <w:r w:rsidRPr="00C00E88">
        <w:rPr>
          <w:lang w:val="en-AU"/>
        </w:rPr>
        <w:t>Analysis</w:t>
      </w:r>
      <w:r w:rsidRPr="00C00E88" w:rsidR="4BEE91B2">
        <w:rPr>
          <w:lang w:val="en-AU"/>
        </w:rPr>
        <w:t xml:space="preserve"> </w:t>
      </w:r>
      <w:r w:rsidRPr="00C00E88">
        <w:rPr>
          <w:lang w:val="en-AU"/>
        </w:rPr>
        <w:t>indicate</w:t>
      </w:r>
      <w:r w:rsidRPr="00C00E88" w:rsidR="7D4578AC">
        <w:rPr>
          <w:lang w:val="en-AU"/>
        </w:rPr>
        <w:t>s</w:t>
      </w:r>
      <w:r w:rsidRPr="00C00E88" w:rsidR="4BEE91B2">
        <w:rPr>
          <w:lang w:val="en-AU"/>
        </w:rPr>
        <w:t xml:space="preserve"> </w:t>
      </w:r>
      <w:r w:rsidRPr="00C00E88">
        <w:rPr>
          <w:lang w:val="en-AU"/>
        </w:rPr>
        <w:t>that,</w:t>
      </w:r>
      <w:r w:rsidRPr="00C00E88" w:rsidR="4BEE91B2">
        <w:rPr>
          <w:lang w:val="en-AU"/>
        </w:rPr>
        <w:t xml:space="preserve"> </w:t>
      </w:r>
      <w:r w:rsidRPr="00C00E88">
        <w:rPr>
          <w:lang w:val="en-AU"/>
        </w:rPr>
        <w:t xml:space="preserve">while the </w:t>
      </w:r>
      <w:r w:rsidRPr="00C00E88" w:rsidR="4EA971AC">
        <w:rPr>
          <w:lang w:val="en-AU"/>
        </w:rPr>
        <w:t>S</w:t>
      </w:r>
      <w:r w:rsidRPr="00C00E88">
        <w:rPr>
          <w:lang w:val="en-AU"/>
        </w:rPr>
        <w:t xml:space="preserve">upport </w:t>
      </w:r>
      <w:r w:rsidRPr="00C00E88" w:rsidR="4EA971AC">
        <w:rPr>
          <w:lang w:val="en-AU"/>
        </w:rPr>
        <w:t>C</w:t>
      </w:r>
      <w:r w:rsidRPr="00C00E88">
        <w:rPr>
          <w:lang w:val="en-AU"/>
        </w:rPr>
        <w:t xml:space="preserve">oordination market </w:t>
      </w:r>
      <w:r w:rsidRPr="00C00E88" w:rsidR="67C45126">
        <w:rPr>
          <w:lang w:val="en-AU"/>
        </w:rPr>
        <w:t>continues</w:t>
      </w:r>
      <w:r w:rsidRPr="00C00E88">
        <w:rPr>
          <w:lang w:val="en-AU"/>
        </w:rPr>
        <w:t xml:space="preserve"> </w:t>
      </w:r>
      <w:r w:rsidRPr="00C00E88" w:rsidR="15E7D0E2">
        <w:rPr>
          <w:lang w:val="en-AU"/>
        </w:rPr>
        <w:t>to evolve</w:t>
      </w:r>
      <w:r w:rsidRPr="00C00E88" w:rsidR="00476E0D">
        <w:rPr>
          <w:lang w:val="en-AU"/>
        </w:rPr>
        <w:t>,</w:t>
      </w:r>
      <w:r w:rsidRPr="00C00E88" w:rsidR="37A015FF">
        <w:rPr>
          <w:lang w:val="en-AU"/>
        </w:rPr>
        <w:t xml:space="preserve"> </w:t>
      </w:r>
      <w:r w:rsidRPr="00C00E88" w:rsidR="00D755F7">
        <w:rPr>
          <w:lang w:val="en-AU"/>
        </w:rPr>
        <w:t xml:space="preserve">the current </w:t>
      </w:r>
      <w:r w:rsidRPr="00C00E88" w:rsidR="005F5FEC">
        <w:rPr>
          <w:lang w:val="en-AU"/>
        </w:rPr>
        <w:t>maximum price remains</w:t>
      </w:r>
      <w:r w:rsidRPr="00C00E88" w:rsidR="37A015FF">
        <w:rPr>
          <w:lang w:val="en-AU"/>
        </w:rPr>
        <w:t xml:space="preserve"> </w:t>
      </w:r>
      <w:r w:rsidRPr="00C00E88" w:rsidR="002D1FBB">
        <w:rPr>
          <w:lang w:val="en-AU"/>
        </w:rPr>
        <w:t>appropriate.</w:t>
      </w:r>
    </w:p>
    <w:p w:rsidRPr="008D1918" w:rsidR="00193C9B" w:rsidP="00245B10" w:rsidRDefault="00193C9B" w14:paraId="76D9F292" w14:textId="1433A8A9">
      <w:pPr>
        <w:pStyle w:val="RecommendationH5"/>
      </w:pPr>
      <w:r w:rsidRPr="008D1918">
        <w:t xml:space="preserve">Recommendation </w:t>
      </w:r>
      <w:r w:rsidRPr="008D1918" w:rsidR="0011742A">
        <w:t>1</w:t>
      </w:r>
      <w:r w:rsidRPr="008D1918" w:rsidR="00FF223B">
        <w:t>2</w:t>
      </w:r>
      <w:r w:rsidRPr="008D1918">
        <w:t>:</w:t>
      </w:r>
    </w:p>
    <w:p w:rsidRPr="008D1918" w:rsidR="00063D57" w:rsidP="008D1918" w:rsidRDefault="00063D57" w14:paraId="2A2ADAC7" w14:textId="00F1F55F">
      <w:pPr>
        <w:pStyle w:val="Normalrecommendationtext"/>
        <w:spacing w:line="288" w:lineRule="auto"/>
        <w:ind w:left="0" w:firstLine="567"/>
      </w:pPr>
      <w:r w:rsidRPr="008D1918">
        <w:t>The maximum prices for Support Coordination should be:</w:t>
      </w:r>
    </w:p>
    <w:p w:rsidRPr="008D1918" w:rsidR="00063D57" w:rsidP="009F6459" w:rsidRDefault="00063D57" w14:paraId="040379C1" w14:textId="5691758F">
      <w:pPr>
        <w:pStyle w:val="Normalrecommendationtext"/>
        <w:numPr>
          <w:ilvl w:val="0"/>
          <w:numId w:val="42"/>
        </w:numPr>
        <w:spacing w:line="288" w:lineRule="auto"/>
      </w:pPr>
      <w:r w:rsidRPr="008D1918">
        <w:t>$80.06 for Level 1: Support Connection</w:t>
      </w:r>
    </w:p>
    <w:p w:rsidRPr="008D1918" w:rsidR="00063D57" w:rsidP="009F6459" w:rsidRDefault="00063D57" w14:paraId="7882FB42" w14:textId="0A8AA5B3">
      <w:pPr>
        <w:pStyle w:val="Normalrecommendationtext"/>
        <w:numPr>
          <w:ilvl w:val="0"/>
          <w:numId w:val="42"/>
        </w:numPr>
        <w:spacing w:line="288" w:lineRule="auto"/>
      </w:pPr>
      <w:r w:rsidRPr="008D1918">
        <w:t>$100.14 for Level 2: Coordination of Supports</w:t>
      </w:r>
    </w:p>
    <w:p w:rsidRPr="008D1918" w:rsidR="00063D57" w:rsidP="009F6459" w:rsidRDefault="00063D57" w14:paraId="1D7844F9" w14:textId="77777777">
      <w:pPr>
        <w:pStyle w:val="Normalrecommendationtext"/>
        <w:numPr>
          <w:ilvl w:val="0"/>
          <w:numId w:val="42"/>
        </w:numPr>
      </w:pPr>
      <w:r w:rsidRPr="008D1918">
        <w:t>$190.54 for Level 3: Specialist Support Coordination</w:t>
      </w:r>
    </w:p>
    <w:p w:rsidRPr="008D1918" w:rsidR="00193C9B" w:rsidP="4235AEA6" w:rsidRDefault="00193C9B" w14:paraId="68BA94D2" w14:textId="680909E1">
      <w:pPr>
        <w:pStyle w:val="StyleStyle112pt"/>
        <w:numPr>
          <w:ilvl w:val="0"/>
          <w:numId w:val="0"/>
        </w:numPr>
      </w:pPr>
      <w:bookmarkStart w:name="_Toc223539603" w:id="239"/>
      <w:bookmarkStart w:name="_Toc223539817" w:id="240"/>
      <w:bookmarkStart w:name="_Toc223540285" w:id="241"/>
      <w:bookmarkStart w:name="_Toc223540501" w:id="242"/>
      <w:bookmarkStart w:name="_Toc223604200" w:id="243"/>
      <w:bookmarkStart w:name="_Toc223604439" w:id="244"/>
      <w:bookmarkStart w:name="_Toc223604650" w:id="245"/>
      <w:bookmarkStart w:name="_Toc223618520" w:id="246"/>
      <w:bookmarkStart w:name="_Toc223702763" w:id="247"/>
      <w:bookmarkStart w:name="_Toc227318667" w:id="248"/>
      <w:bookmarkStart w:name="_Toc227337035" w:id="249"/>
      <w:r w:rsidRPr="008D1918">
        <w:t>Psychosocial Recover</w:t>
      </w:r>
      <w:r w:rsidRPr="008D1918" w:rsidR="00D04047">
        <w:t>y</w:t>
      </w:r>
      <w:r w:rsidRPr="008D1918">
        <w:t xml:space="preserve"> Coach</w:t>
      </w:r>
      <w:bookmarkEnd w:id="239"/>
      <w:bookmarkEnd w:id="240"/>
      <w:bookmarkEnd w:id="241"/>
      <w:bookmarkEnd w:id="242"/>
      <w:bookmarkEnd w:id="243"/>
      <w:bookmarkEnd w:id="244"/>
      <w:bookmarkEnd w:id="245"/>
      <w:bookmarkEnd w:id="246"/>
      <w:bookmarkEnd w:id="247"/>
      <w:bookmarkEnd w:id="248"/>
      <w:bookmarkEnd w:id="249"/>
    </w:p>
    <w:p w:rsidRPr="008D1918" w:rsidR="16C5DA15" w:rsidP="4235AEA6" w:rsidRDefault="001F49D9" w14:paraId="1C4A0160" w14:textId="51D6FDA6">
      <w:pPr>
        <w:rPr>
          <w:lang w:val="en-AU"/>
        </w:rPr>
      </w:pPr>
      <w:r w:rsidRPr="008D1918">
        <w:rPr>
          <w:rFonts w:eastAsia="Arial" w:cs="Arial"/>
          <w:color w:val="000000" w:themeColor="accent6"/>
          <w:lang w:val="en-AU"/>
        </w:rPr>
        <w:t>The price for Psychosocial Recovery Coach supports should be</w:t>
      </w:r>
      <w:r w:rsidRPr="008D1918" w:rsidR="00A420BC">
        <w:rPr>
          <w:rFonts w:eastAsia="Arial" w:cs="Arial"/>
          <w:color w:val="000000" w:themeColor="accent6"/>
          <w:lang w:val="en-AU"/>
        </w:rPr>
        <w:t xml:space="preserve"> determined using the DSW Cost Model,</w:t>
      </w:r>
      <w:r w:rsidRPr="008D1918" w:rsidR="743D3F86">
        <w:rPr>
          <w:lang w:val="en-AU"/>
        </w:rPr>
        <w:t xml:space="preserve"> </w:t>
      </w:r>
      <w:r w:rsidRPr="008D1918" w:rsidR="7B0EB50F">
        <w:rPr>
          <w:lang w:val="en-AU"/>
        </w:rPr>
        <w:t xml:space="preserve">and that price </w:t>
      </w:r>
      <w:r w:rsidRPr="008D1918" w:rsidR="743D3F86">
        <w:rPr>
          <w:lang w:val="en-AU"/>
        </w:rPr>
        <w:t>should be indexed in line with the model.</w:t>
      </w:r>
    </w:p>
    <w:p w:rsidRPr="008D1918" w:rsidR="00193C9B" w:rsidP="00245B10" w:rsidRDefault="00193C9B" w14:paraId="770DBFA5" w14:textId="747C328D">
      <w:pPr>
        <w:pStyle w:val="RecommendationH5"/>
      </w:pPr>
      <w:r w:rsidRPr="008D1918">
        <w:t xml:space="preserve">Recommendation </w:t>
      </w:r>
      <w:r w:rsidRPr="008D1918" w:rsidR="0011742A">
        <w:t>1</w:t>
      </w:r>
      <w:r w:rsidRPr="008D1918" w:rsidR="00FF223B">
        <w:t>3</w:t>
      </w:r>
      <w:r w:rsidRPr="008D1918">
        <w:t>:</w:t>
      </w:r>
    </w:p>
    <w:p w:rsidRPr="008D1918" w:rsidR="00DB276D" w:rsidP="00756A2C" w:rsidRDefault="00871F18" w14:paraId="00A1A8FD" w14:textId="041B1214">
      <w:pPr>
        <w:pStyle w:val="Normalrecommendationtext"/>
        <w:spacing w:line="288" w:lineRule="auto"/>
      </w:pPr>
      <w:r w:rsidRPr="008D1918">
        <w:t>P</w:t>
      </w:r>
      <w:r w:rsidRPr="008D1918" w:rsidR="00E666DB">
        <w:t>rice</w:t>
      </w:r>
      <w:r w:rsidRPr="008D1918" w:rsidR="003B1521">
        <w:t>s</w:t>
      </w:r>
      <w:r w:rsidRPr="008D1918" w:rsidR="00E666DB">
        <w:t xml:space="preserve"> for Psychosocial Recovery Coaches </w:t>
      </w:r>
      <w:r w:rsidRPr="008D1918" w:rsidR="003B1521">
        <w:t xml:space="preserve">should </w:t>
      </w:r>
      <w:r w:rsidRPr="008D1918">
        <w:t>align</w:t>
      </w:r>
      <w:r w:rsidRPr="008D1918" w:rsidR="00E666DB">
        <w:t xml:space="preserve"> with the indexation of supports</w:t>
      </w:r>
      <w:r w:rsidRPr="008D1918" w:rsidR="00F75BC5">
        <w:t xml:space="preserve"> </w:t>
      </w:r>
      <w:r w:rsidRPr="008D1918" w:rsidR="00E666DB">
        <w:t>determined</w:t>
      </w:r>
      <w:r w:rsidRPr="008D1918" w:rsidR="000B62DF">
        <w:t xml:space="preserve"> </w:t>
      </w:r>
      <w:r w:rsidRPr="008D1918" w:rsidR="00E666DB">
        <w:t>by the</w:t>
      </w:r>
      <w:r w:rsidRPr="008D1918" w:rsidR="000B62DF">
        <w:t xml:space="preserve"> </w:t>
      </w:r>
      <w:r w:rsidRPr="008D1918" w:rsidR="00AE35FF">
        <w:t>Disability Support Worker</w:t>
      </w:r>
      <w:r w:rsidRPr="008D1918" w:rsidR="00E666DB">
        <w:t xml:space="preserve"> Cost Model in </w:t>
      </w:r>
      <w:r w:rsidRPr="008D1918" w:rsidR="000B62DF">
        <w:t>R</w:t>
      </w:r>
      <w:r w:rsidRPr="008D1918" w:rsidR="00E666DB">
        <w:t xml:space="preserve">ecommendation </w:t>
      </w:r>
      <w:r w:rsidRPr="008D1918" w:rsidR="00ED3FC5">
        <w:t>1</w:t>
      </w:r>
      <w:r w:rsidRPr="008D1918">
        <w:t>.</w:t>
      </w:r>
      <w:bookmarkEnd w:id="238"/>
    </w:p>
    <w:p w:rsidRPr="008D1918" w:rsidR="009E3E80" w:rsidP="003F2A28" w:rsidRDefault="009E3E80" w14:paraId="583D824C" w14:textId="7498E20E">
      <w:pPr>
        <w:pStyle w:val="Heading31"/>
        <w:ind w:left="1077" w:hanging="720"/>
      </w:pPr>
      <w:bookmarkStart w:name="_Toc223539604" w:id="250"/>
      <w:bookmarkStart w:name="_Toc223539818" w:id="251"/>
      <w:bookmarkStart w:name="_Toc223540286" w:id="252"/>
      <w:bookmarkStart w:name="_Toc223540502" w:id="253"/>
      <w:bookmarkStart w:name="_Toc223604201" w:id="254"/>
      <w:bookmarkStart w:name="_Toc223604440" w:id="255"/>
      <w:bookmarkStart w:name="_Toc227337036" w:id="256"/>
      <w:r w:rsidRPr="008D1918">
        <w:t>Plan Management</w:t>
      </w:r>
      <w:bookmarkStart w:name="_Toc220423775" w:id="257"/>
      <w:bookmarkEnd w:id="250"/>
      <w:bookmarkEnd w:id="251"/>
      <w:bookmarkEnd w:id="252"/>
      <w:bookmarkEnd w:id="253"/>
      <w:bookmarkEnd w:id="254"/>
      <w:bookmarkEnd w:id="255"/>
      <w:bookmarkEnd w:id="256"/>
      <w:r w:rsidRPr="008D1918">
        <w:t xml:space="preserve"> </w:t>
      </w:r>
    </w:p>
    <w:p w:rsidRPr="008D1918" w:rsidR="003B16CA" w:rsidP="003B16CA" w:rsidRDefault="003B16CA" w14:paraId="709AEE19" w14:textId="1C2EC76A">
      <w:pPr>
        <w:rPr>
          <w:lang w:val="en-AU"/>
        </w:rPr>
      </w:pPr>
      <w:r w:rsidRPr="008D1918">
        <w:rPr>
          <w:lang w:val="en-AU"/>
        </w:rPr>
        <w:t xml:space="preserve">In the </w:t>
      </w:r>
      <w:r w:rsidRPr="008D1918" w:rsidR="007C6F17">
        <w:rPr>
          <w:lang w:val="en-AU"/>
        </w:rPr>
        <w:t xml:space="preserve">6 </w:t>
      </w:r>
      <w:r w:rsidRPr="008D1918">
        <w:rPr>
          <w:lang w:val="en-AU"/>
        </w:rPr>
        <w:t xml:space="preserve">months to December 2025, approximately 65% of all active </w:t>
      </w:r>
      <w:r w:rsidRPr="008D1918" w:rsidR="00C828A1">
        <w:rPr>
          <w:lang w:val="en-AU"/>
        </w:rPr>
        <w:t>participants</w:t>
      </w:r>
      <w:r w:rsidRPr="008D1918">
        <w:rPr>
          <w:lang w:val="en-AU"/>
        </w:rPr>
        <w:t xml:space="preserve"> used plan manage</w:t>
      </w:r>
      <w:r w:rsidRPr="008D1918" w:rsidR="00CC4898">
        <w:rPr>
          <w:lang w:val="en-AU"/>
        </w:rPr>
        <w:t>rs</w:t>
      </w:r>
      <w:r w:rsidRPr="008D1918">
        <w:rPr>
          <w:lang w:val="en-AU"/>
        </w:rPr>
        <w:t xml:space="preserve"> to process NDIS payments, with $13.4</w:t>
      </w:r>
      <w:r w:rsidRPr="008D1918" w:rsidR="000B62DF">
        <w:rPr>
          <w:lang w:val="en-AU"/>
        </w:rPr>
        <w:t> </w:t>
      </w:r>
      <w:r w:rsidRPr="008D1918" w:rsidR="00C20873">
        <w:rPr>
          <w:lang w:val="en-AU"/>
        </w:rPr>
        <w:t>billion</w:t>
      </w:r>
      <w:r w:rsidRPr="008D1918">
        <w:rPr>
          <w:lang w:val="en-AU"/>
        </w:rPr>
        <w:t xml:space="preserve"> in participant payments</w:t>
      </w:r>
      <w:r w:rsidRPr="008D1918" w:rsidR="00CC4898">
        <w:rPr>
          <w:lang w:val="en-AU"/>
        </w:rPr>
        <w:t xml:space="preserve"> processed</w:t>
      </w:r>
      <w:r w:rsidRPr="008D1918" w:rsidR="00B46B84">
        <w:rPr>
          <w:lang w:val="en-AU"/>
        </w:rPr>
        <w:t xml:space="preserve">. This included </w:t>
      </w:r>
      <w:r w:rsidRPr="008D1918">
        <w:rPr>
          <w:lang w:val="en-AU"/>
        </w:rPr>
        <w:t>$292</w:t>
      </w:r>
      <w:r w:rsidRPr="008D1918" w:rsidR="00CC4898">
        <w:rPr>
          <w:lang w:val="en-AU"/>
        </w:rPr>
        <w:t xml:space="preserve"> million</w:t>
      </w:r>
      <w:r w:rsidRPr="008D1918">
        <w:rPr>
          <w:lang w:val="en-AU"/>
        </w:rPr>
        <w:t xml:space="preserve"> in monthly fees. The provider base remains stable and concentrated, with the largest providers processing </w:t>
      </w:r>
      <w:r w:rsidRPr="008D1918" w:rsidR="00586DCD">
        <w:rPr>
          <w:lang w:val="en-AU"/>
        </w:rPr>
        <w:t>most</w:t>
      </w:r>
      <w:r w:rsidRPr="008D1918">
        <w:rPr>
          <w:lang w:val="en-AU"/>
        </w:rPr>
        <w:t xml:space="preserve"> payments. The market shows signs of </w:t>
      </w:r>
      <w:r w:rsidRPr="008D1918" w:rsidR="482C512C">
        <w:rPr>
          <w:lang w:val="en-AU"/>
        </w:rPr>
        <w:t>diversification</w:t>
      </w:r>
      <w:r w:rsidRPr="008D1918">
        <w:rPr>
          <w:lang w:val="en-AU"/>
        </w:rPr>
        <w:t xml:space="preserve">, with two-thirds of </w:t>
      </w:r>
      <w:r w:rsidRPr="008D1918" w:rsidR="00C26C95">
        <w:rPr>
          <w:lang w:val="en-AU"/>
        </w:rPr>
        <w:t>P</w:t>
      </w:r>
      <w:r w:rsidRPr="008D1918">
        <w:rPr>
          <w:lang w:val="en-AU"/>
        </w:rPr>
        <w:t xml:space="preserve">lan </w:t>
      </w:r>
      <w:r w:rsidRPr="008D1918" w:rsidR="00C26C95">
        <w:rPr>
          <w:lang w:val="en-AU"/>
        </w:rPr>
        <w:t>M</w:t>
      </w:r>
      <w:r w:rsidRPr="008D1918">
        <w:rPr>
          <w:lang w:val="en-AU"/>
        </w:rPr>
        <w:t xml:space="preserve">anagers also claiming fees for other supports. </w:t>
      </w:r>
    </w:p>
    <w:p w:rsidRPr="008D1918" w:rsidR="003B16CA" w:rsidP="4235AEA6" w:rsidRDefault="003B16CA" w14:paraId="7C034EAE" w14:textId="7CFA5694">
      <w:pPr>
        <w:rPr>
          <w:lang w:val="en-AU"/>
        </w:rPr>
      </w:pPr>
      <w:r w:rsidRPr="008D1918">
        <w:rPr>
          <w:lang w:val="en-AU"/>
        </w:rPr>
        <w:t xml:space="preserve">Consultation feedback indicates </w:t>
      </w:r>
      <w:r w:rsidRPr="008D1918" w:rsidR="00C26C95">
        <w:rPr>
          <w:lang w:val="en-AU"/>
        </w:rPr>
        <w:t>P</w:t>
      </w:r>
      <w:r w:rsidRPr="008D1918">
        <w:rPr>
          <w:lang w:val="en-AU"/>
        </w:rPr>
        <w:t xml:space="preserve">lan </w:t>
      </w:r>
      <w:r w:rsidRPr="008D1918" w:rsidR="00C26C95">
        <w:rPr>
          <w:lang w:val="en-AU"/>
        </w:rPr>
        <w:t>M</w:t>
      </w:r>
      <w:r w:rsidRPr="008D1918">
        <w:rPr>
          <w:lang w:val="en-AU"/>
        </w:rPr>
        <w:t>anagement costs are driven primarily by transaction volumes and system-related administrative requirements</w:t>
      </w:r>
      <w:r w:rsidRPr="008D1918" w:rsidR="009C5A18">
        <w:rPr>
          <w:lang w:val="en-AU"/>
        </w:rPr>
        <w:t>,</w:t>
      </w:r>
      <w:r w:rsidRPr="008D1918">
        <w:rPr>
          <w:lang w:val="en-AU"/>
        </w:rPr>
        <w:t xml:space="preserve"> </w:t>
      </w:r>
      <w:r w:rsidRPr="008D1918" w:rsidR="00860D51">
        <w:rPr>
          <w:lang w:val="en-AU"/>
        </w:rPr>
        <w:t xml:space="preserve">rather </w:t>
      </w:r>
      <w:r w:rsidRPr="008D1918">
        <w:rPr>
          <w:lang w:val="en-AU"/>
        </w:rPr>
        <w:t>than labour cost movements. This supports</w:t>
      </w:r>
      <w:r w:rsidRPr="008D1918" w:rsidR="001D548F">
        <w:rPr>
          <w:lang w:val="en-AU"/>
        </w:rPr>
        <w:t xml:space="preserve"> a recommend</w:t>
      </w:r>
      <w:r w:rsidRPr="008D1918" w:rsidR="00232B0C">
        <w:rPr>
          <w:lang w:val="en-AU"/>
        </w:rPr>
        <w:t xml:space="preserve">ation that </w:t>
      </w:r>
      <w:r w:rsidRPr="008D1918" w:rsidR="001D548F">
        <w:rPr>
          <w:lang w:val="en-AU"/>
        </w:rPr>
        <w:t>price</w:t>
      </w:r>
      <w:r w:rsidRPr="008D1918" w:rsidR="00232B0C">
        <w:rPr>
          <w:lang w:val="en-AU"/>
        </w:rPr>
        <w:t>s should</w:t>
      </w:r>
      <w:r w:rsidRPr="008D1918">
        <w:rPr>
          <w:lang w:val="en-AU"/>
        </w:rPr>
        <w:t xml:space="preserve"> better reflect the administrative and transactional nature of the support.</w:t>
      </w:r>
    </w:p>
    <w:p w:rsidRPr="008D1918" w:rsidR="00884E78" w:rsidP="00245B10" w:rsidRDefault="00884E78" w14:paraId="226A9B8C" w14:textId="6C0352AF">
      <w:pPr>
        <w:pStyle w:val="RecommendationH4"/>
      </w:pPr>
      <w:r w:rsidRPr="008D1918">
        <w:t>Recommendation 1</w:t>
      </w:r>
      <w:r w:rsidRPr="008D1918" w:rsidR="00FF223B">
        <w:t>4</w:t>
      </w:r>
      <w:r w:rsidRPr="008D1918">
        <w:t>:</w:t>
      </w:r>
    </w:p>
    <w:p w:rsidRPr="008D1918" w:rsidR="001D548F" w:rsidP="00884E78" w:rsidRDefault="001D548F" w14:paraId="2829B8A3" w14:textId="432F335B">
      <w:pPr>
        <w:pStyle w:val="Normalrecommendationtext"/>
        <w:spacing w:line="288" w:lineRule="auto"/>
      </w:pPr>
      <w:r w:rsidRPr="008D1918">
        <w:t xml:space="preserve">The monthly fee for Plan Management </w:t>
      </w:r>
      <w:r w:rsidRPr="008D1918" w:rsidR="00232B0C">
        <w:t xml:space="preserve">should be </w:t>
      </w:r>
      <w:r w:rsidRPr="008D1918">
        <w:t>$104.45 per month.</w:t>
      </w:r>
    </w:p>
    <w:p w:rsidRPr="008D1918" w:rsidR="001B4E5E" w:rsidP="00245B10" w:rsidRDefault="001B4E5E" w14:paraId="49EB2F3D" w14:textId="39B84A0B">
      <w:pPr>
        <w:pStyle w:val="RecommendationH4"/>
      </w:pPr>
      <w:r w:rsidRPr="008D1918">
        <w:t xml:space="preserve">Recommendation </w:t>
      </w:r>
      <w:r w:rsidRPr="008D1918" w:rsidR="0011742A">
        <w:t>1</w:t>
      </w:r>
      <w:r w:rsidRPr="008D1918" w:rsidR="00FF223B">
        <w:t>5</w:t>
      </w:r>
      <w:r w:rsidRPr="008D1918" w:rsidR="003B16CA">
        <w:t>:</w:t>
      </w:r>
    </w:p>
    <w:p w:rsidRPr="008D1918" w:rsidR="003B16CA" w:rsidP="00B95B29" w:rsidRDefault="003A19EB" w14:paraId="439C05FE" w14:textId="3D2324D2">
      <w:pPr>
        <w:pStyle w:val="Normalrecommendationtext"/>
        <w:spacing w:line="288" w:lineRule="auto"/>
      </w:pPr>
      <w:r w:rsidRPr="008D1918">
        <w:t>The NDIS should undertake a review of the Plan Management pricing approach to ensure price</w:t>
      </w:r>
      <w:r w:rsidRPr="008D1918" w:rsidR="00232B0C">
        <w:t xml:space="preserve"> guidance and recommendations </w:t>
      </w:r>
      <w:r w:rsidRPr="008D1918">
        <w:t>align with the administrative and transactional nature of the support and reflect how Plan Management is delivered in practice.</w:t>
      </w:r>
    </w:p>
    <w:p w:rsidRPr="008D1918" w:rsidR="009051FC" w:rsidP="003F2A28" w:rsidRDefault="009051FC" w14:paraId="20F62789" w14:textId="27C375DC">
      <w:pPr>
        <w:pStyle w:val="Heading31"/>
        <w:ind w:left="1077" w:hanging="720"/>
      </w:pPr>
      <w:bookmarkStart w:name="_Toc223618522" w:id="258"/>
      <w:bookmarkStart w:name="_Toc223618523" w:id="259"/>
      <w:bookmarkStart w:name="_Toc223618524" w:id="260"/>
      <w:bookmarkStart w:name="_Toc220423776" w:id="261"/>
      <w:bookmarkStart w:name="_Toc223539606" w:id="262"/>
      <w:bookmarkStart w:name="_Toc223539820" w:id="263"/>
      <w:bookmarkStart w:name="_Toc223540288" w:id="264"/>
      <w:bookmarkStart w:name="_Toc223540504" w:id="265"/>
      <w:bookmarkStart w:name="_Toc223604202" w:id="266"/>
      <w:bookmarkStart w:name="_Toc223604441" w:id="267"/>
      <w:bookmarkStart w:name="_Toc227337037" w:id="268"/>
      <w:bookmarkEnd w:id="257"/>
      <w:bookmarkEnd w:id="258"/>
      <w:bookmarkEnd w:id="259"/>
      <w:bookmarkEnd w:id="260"/>
      <w:r w:rsidRPr="008D1918">
        <w:t>Social</w:t>
      </w:r>
      <w:r w:rsidRPr="008D1918" w:rsidR="00392B26">
        <w:t xml:space="preserve">, Community </w:t>
      </w:r>
      <w:r w:rsidRPr="008D1918">
        <w:t xml:space="preserve">and </w:t>
      </w:r>
      <w:r w:rsidRPr="008D1918" w:rsidR="00392B26">
        <w:t xml:space="preserve">Civic </w:t>
      </w:r>
      <w:r w:rsidRPr="008D1918">
        <w:t>Participation</w:t>
      </w:r>
      <w:bookmarkEnd w:id="261"/>
      <w:bookmarkEnd w:id="262"/>
      <w:bookmarkEnd w:id="263"/>
      <w:bookmarkEnd w:id="264"/>
      <w:bookmarkEnd w:id="265"/>
      <w:bookmarkEnd w:id="266"/>
      <w:bookmarkEnd w:id="267"/>
      <w:bookmarkEnd w:id="268"/>
      <w:r w:rsidRPr="008D1918">
        <w:t xml:space="preserve"> </w:t>
      </w:r>
    </w:p>
    <w:p w:rsidRPr="008D1918" w:rsidR="00AC598B" w:rsidRDefault="00240BD2" w14:paraId="15CEFEE5" w14:textId="0848714C">
      <w:pPr>
        <w:rPr>
          <w:lang w:val="en-AU"/>
        </w:rPr>
      </w:pPr>
      <w:r w:rsidRPr="008D1918">
        <w:rPr>
          <w:lang w:val="en-AU"/>
        </w:rPr>
        <w:t>The Social</w:t>
      </w:r>
      <w:r w:rsidRPr="008D1918" w:rsidR="000E4480">
        <w:rPr>
          <w:lang w:val="en-AU"/>
        </w:rPr>
        <w:t xml:space="preserve">, Community and Civic </w:t>
      </w:r>
      <w:r w:rsidRPr="008D1918">
        <w:rPr>
          <w:lang w:val="en-AU"/>
        </w:rPr>
        <w:t>Participation (S</w:t>
      </w:r>
      <w:r w:rsidRPr="008D1918" w:rsidR="000E4480">
        <w:rPr>
          <w:lang w:val="en-AU"/>
        </w:rPr>
        <w:t>C</w:t>
      </w:r>
      <w:r w:rsidRPr="008D1918">
        <w:rPr>
          <w:lang w:val="en-AU"/>
        </w:rPr>
        <w:t xml:space="preserve">CP) market </w:t>
      </w:r>
      <w:r w:rsidRPr="008D1918" w:rsidR="00E71B66">
        <w:rPr>
          <w:lang w:val="en-AU"/>
        </w:rPr>
        <w:t xml:space="preserve">comprises </w:t>
      </w:r>
      <w:r w:rsidRPr="008D1918" w:rsidR="00FD4ECE">
        <w:rPr>
          <w:lang w:val="en-AU"/>
        </w:rPr>
        <w:t xml:space="preserve">2 </w:t>
      </w:r>
      <w:r w:rsidRPr="008D1918" w:rsidR="00E71B66">
        <w:rPr>
          <w:lang w:val="en-AU"/>
        </w:rPr>
        <w:t>distinct provider markets</w:t>
      </w:r>
      <w:r w:rsidRPr="008D1918" w:rsidR="00AC598B">
        <w:rPr>
          <w:lang w:val="en-AU"/>
        </w:rPr>
        <w:t xml:space="preserve">. </w:t>
      </w:r>
      <w:r w:rsidRPr="008D1918" w:rsidR="001B5435">
        <w:rPr>
          <w:lang w:val="en-AU"/>
        </w:rPr>
        <w:t xml:space="preserve">Most </w:t>
      </w:r>
      <w:r w:rsidRPr="008D1918" w:rsidR="00EA240E">
        <w:rPr>
          <w:lang w:val="en-AU"/>
        </w:rPr>
        <w:t>of the SCCP providers are unregistered</w:t>
      </w:r>
      <w:r w:rsidRPr="008D1918" w:rsidR="001B5435">
        <w:rPr>
          <w:lang w:val="en-AU"/>
        </w:rPr>
        <w:t xml:space="preserve"> </w:t>
      </w:r>
      <w:r w:rsidRPr="008D1918" w:rsidR="00AC598B">
        <w:rPr>
          <w:lang w:val="en-AU"/>
        </w:rPr>
        <w:t xml:space="preserve">and are predominantly sole traders or small businesses. </w:t>
      </w:r>
      <w:r w:rsidRPr="008D1918" w:rsidR="00987F00">
        <w:rPr>
          <w:lang w:val="en-AU"/>
        </w:rPr>
        <w:t xml:space="preserve">There </w:t>
      </w:r>
      <w:r w:rsidRPr="008D1918" w:rsidR="0020604F">
        <w:rPr>
          <w:lang w:val="en-AU"/>
        </w:rPr>
        <w:t>are</w:t>
      </w:r>
      <w:r w:rsidRPr="008D1918" w:rsidR="00987F00">
        <w:rPr>
          <w:lang w:val="en-AU"/>
        </w:rPr>
        <w:t xml:space="preserve"> </w:t>
      </w:r>
      <w:r w:rsidRPr="008D1918" w:rsidR="745AF06B">
        <w:rPr>
          <w:lang w:val="en-AU"/>
        </w:rPr>
        <w:t xml:space="preserve">fewer </w:t>
      </w:r>
      <w:r w:rsidRPr="008D1918" w:rsidR="00987F00">
        <w:rPr>
          <w:lang w:val="en-AU"/>
        </w:rPr>
        <w:t>r</w:t>
      </w:r>
      <w:r w:rsidRPr="008D1918" w:rsidR="00AC598B">
        <w:rPr>
          <w:lang w:val="en-AU"/>
        </w:rPr>
        <w:t>egistered providers</w:t>
      </w:r>
      <w:r w:rsidRPr="008D1918" w:rsidR="0020604F">
        <w:rPr>
          <w:lang w:val="en-AU"/>
        </w:rPr>
        <w:t>,</w:t>
      </w:r>
      <w:r w:rsidRPr="008D1918" w:rsidR="00AC598B">
        <w:rPr>
          <w:lang w:val="en-AU"/>
        </w:rPr>
        <w:t xml:space="preserve"> but </w:t>
      </w:r>
      <w:r w:rsidRPr="008D1918" w:rsidR="00987F00">
        <w:rPr>
          <w:lang w:val="en-AU"/>
        </w:rPr>
        <w:t xml:space="preserve">they </w:t>
      </w:r>
      <w:r w:rsidRPr="008D1918" w:rsidR="00AC598B">
        <w:rPr>
          <w:lang w:val="en-AU"/>
        </w:rPr>
        <w:t xml:space="preserve">operate under higher governance, workforce and compliance obligations. </w:t>
      </w:r>
    </w:p>
    <w:p w:rsidRPr="008D1918" w:rsidR="008B425C" w:rsidRDefault="00AC598B" w14:paraId="29D591AD" w14:textId="65E76AB5">
      <w:pPr>
        <w:rPr>
          <w:lang w:val="en-AU"/>
        </w:rPr>
      </w:pPr>
      <w:r w:rsidRPr="008D1918">
        <w:rPr>
          <w:lang w:val="en-AU"/>
        </w:rPr>
        <w:t>Current pricing does not</w:t>
      </w:r>
      <w:r w:rsidRPr="008D1918" w:rsidR="008109BC">
        <w:rPr>
          <w:lang w:val="en-AU"/>
        </w:rPr>
        <w:t xml:space="preserve"> </w:t>
      </w:r>
      <w:r w:rsidRPr="008D1918">
        <w:rPr>
          <w:lang w:val="en-AU"/>
        </w:rPr>
        <w:t>distinguish between these markets</w:t>
      </w:r>
      <w:r w:rsidRPr="008D1918" w:rsidR="0060354B">
        <w:rPr>
          <w:lang w:val="en-AU"/>
        </w:rPr>
        <w:t xml:space="preserve">, </w:t>
      </w:r>
      <w:r w:rsidRPr="008D1918">
        <w:rPr>
          <w:lang w:val="en-AU"/>
        </w:rPr>
        <w:t xml:space="preserve">despite </w:t>
      </w:r>
      <w:r w:rsidRPr="008D1918" w:rsidR="0060354B">
        <w:rPr>
          <w:lang w:val="en-AU"/>
        </w:rPr>
        <w:t>their different operating models.</w:t>
      </w:r>
      <w:r w:rsidRPr="008D1918" w:rsidR="009718E6">
        <w:rPr>
          <w:lang w:val="en-AU"/>
        </w:rPr>
        <w:t xml:space="preserve"> </w:t>
      </w:r>
      <w:r w:rsidRPr="008D1918">
        <w:rPr>
          <w:lang w:val="en-AU"/>
        </w:rPr>
        <w:t xml:space="preserve"> Claims data shows price clustering close to the </w:t>
      </w:r>
      <w:r w:rsidRPr="008D1918" w:rsidR="00C92EA5">
        <w:rPr>
          <w:lang w:val="en-AU"/>
        </w:rPr>
        <w:t xml:space="preserve">maximum </w:t>
      </w:r>
      <w:r w:rsidRPr="008D1918">
        <w:rPr>
          <w:lang w:val="en-AU"/>
        </w:rPr>
        <w:t xml:space="preserve">price across the market. This means the existing price is doing little to distinguish between materially different forms of service delivery. </w:t>
      </w:r>
      <w:r w:rsidRPr="008D1918" w:rsidR="00C92EA5">
        <w:rPr>
          <w:lang w:val="en-AU"/>
        </w:rPr>
        <w:t xml:space="preserve">A </w:t>
      </w:r>
      <w:r w:rsidRPr="008D1918" w:rsidR="0060354B">
        <w:rPr>
          <w:lang w:val="en-AU"/>
        </w:rPr>
        <w:t xml:space="preserve">targeted differential </w:t>
      </w:r>
      <w:r w:rsidRPr="008D1918" w:rsidR="003E5EC4">
        <w:rPr>
          <w:lang w:val="en-AU"/>
        </w:rPr>
        <w:t xml:space="preserve">for unregistered providers </w:t>
      </w:r>
      <w:r w:rsidRPr="008D1918" w:rsidR="265E64B3">
        <w:rPr>
          <w:lang w:val="en-AU"/>
        </w:rPr>
        <w:t xml:space="preserve">would </w:t>
      </w:r>
      <w:r w:rsidRPr="008D1918" w:rsidR="003E5EC4">
        <w:rPr>
          <w:lang w:val="en-AU"/>
        </w:rPr>
        <w:t xml:space="preserve">align pricing with market structure while maintaining participant access to support. </w:t>
      </w:r>
      <w:r w:rsidRPr="008D1918" w:rsidR="007C2C05">
        <w:rPr>
          <w:lang w:val="en-AU"/>
        </w:rPr>
        <w:t xml:space="preserve"> </w:t>
      </w:r>
    </w:p>
    <w:p w:rsidRPr="008D1918" w:rsidR="009051FC" w:rsidP="00041468" w:rsidRDefault="009051FC" w14:paraId="1DB93D2C" w14:textId="423B292B">
      <w:pPr>
        <w:pStyle w:val="StyleStyle112pt"/>
      </w:pPr>
      <w:bookmarkStart w:name="_Toc220423777" w:id="269"/>
      <w:bookmarkStart w:name="_Toc223345367" w:id="270"/>
      <w:bookmarkStart w:name="_Toc223428355" w:id="271"/>
      <w:bookmarkStart w:name="_Toc223445815" w:id="272"/>
      <w:bookmarkStart w:name="_Toc223539607" w:id="273"/>
      <w:bookmarkStart w:name="_Toc223539821" w:id="274"/>
      <w:bookmarkStart w:name="_Toc223540289" w:id="275"/>
      <w:bookmarkStart w:name="_Toc223540505" w:id="276"/>
      <w:bookmarkStart w:name="_Toc223604203" w:id="277"/>
      <w:bookmarkStart w:name="_Toc223604442" w:id="278"/>
      <w:bookmarkStart w:name="_Toc223604653" w:id="279"/>
      <w:bookmarkStart w:name="_Toc223618526" w:id="280"/>
      <w:bookmarkStart w:name="_Toc223702766" w:id="281"/>
      <w:bookmarkStart w:name="_Toc227318670" w:id="282"/>
      <w:bookmarkStart w:name="_Toc227337038" w:id="283"/>
      <w:r w:rsidRPr="008D1918">
        <w:t xml:space="preserve">Price </w:t>
      </w:r>
      <w:r w:rsidRPr="008D1918" w:rsidR="007C72F4">
        <w:t>d</w:t>
      </w:r>
      <w:r w:rsidRPr="008D1918">
        <w:t xml:space="preserve">ifferentiation for </w:t>
      </w:r>
      <w:r w:rsidRPr="008D1918" w:rsidR="007C72F4">
        <w:t>u</w:t>
      </w:r>
      <w:r w:rsidRPr="008D1918">
        <w:t>nregistered SC</w:t>
      </w:r>
      <w:r w:rsidRPr="008D1918" w:rsidR="004274E7">
        <w:t>C</w:t>
      </w:r>
      <w:r w:rsidRPr="008D1918">
        <w:t>P providers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8D1918">
        <w:t xml:space="preserve"> </w:t>
      </w:r>
    </w:p>
    <w:p w:rsidRPr="008D1918" w:rsidR="00CD4E07" w:rsidP="005E1274" w:rsidRDefault="00A60C5C" w14:paraId="06B51076" w14:textId="3D2FE405">
      <w:pPr>
        <w:rPr>
          <w:lang w:val="en-AU"/>
        </w:rPr>
      </w:pPr>
      <w:r w:rsidRPr="008D1918">
        <w:rPr>
          <w:lang w:val="en-AU"/>
        </w:rPr>
        <w:t xml:space="preserve">The price for unregistered SCCP providers </w:t>
      </w:r>
      <w:r w:rsidRPr="008D1918" w:rsidR="00232B0C">
        <w:rPr>
          <w:lang w:val="en-AU"/>
        </w:rPr>
        <w:t xml:space="preserve">should be </w:t>
      </w:r>
      <w:r w:rsidR="00A57308">
        <w:rPr>
          <w:lang w:val="en-AU"/>
        </w:rPr>
        <w:t>reduced by 10% from 1 January 2027.</w:t>
      </w:r>
      <w:r w:rsidR="00112275">
        <w:rPr>
          <w:lang w:val="en-AU"/>
        </w:rPr>
        <w:t xml:space="preserve"> </w:t>
      </w:r>
      <w:r w:rsidR="00C5733C">
        <w:rPr>
          <w:lang w:val="en-AU"/>
        </w:rPr>
        <w:t>Th</w:t>
      </w:r>
      <w:r w:rsidRPr="008D1918">
        <w:rPr>
          <w:lang w:val="en-AU"/>
        </w:rPr>
        <w:t xml:space="preserve">e price for registered SCCP providers </w:t>
      </w:r>
      <w:r w:rsidRPr="008D1918" w:rsidR="00232B0C">
        <w:rPr>
          <w:lang w:val="en-AU"/>
        </w:rPr>
        <w:t xml:space="preserve">should be </w:t>
      </w:r>
      <w:r w:rsidR="00C5733C">
        <w:rPr>
          <w:lang w:val="en-AU"/>
        </w:rPr>
        <w:t>maintained.</w:t>
      </w:r>
      <w:r w:rsidRPr="008D1918">
        <w:rPr>
          <w:lang w:val="en-AU"/>
        </w:rPr>
        <w:t xml:space="preserve"> </w:t>
      </w:r>
      <w:r w:rsidRPr="008D1918" w:rsidR="00CD4E07">
        <w:rPr>
          <w:lang w:val="en-AU"/>
        </w:rPr>
        <w:t>Th</w:t>
      </w:r>
      <w:r w:rsidRPr="008D1918">
        <w:rPr>
          <w:lang w:val="en-AU"/>
        </w:rPr>
        <w:t>ese prices would</w:t>
      </w:r>
      <w:r w:rsidRPr="008D1918" w:rsidR="00CD4E07">
        <w:rPr>
          <w:lang w:val="en-AU"/>
        </w:rPr>
        <w:t xml:space="preserve"> </w:t>
      </w:r>
      <w:r w:rsidRPr="008D1918" w:rsidR="28C44746">
        <w:rPr>
          <w:lang w:val="en-AU"/>
        </w:rPr>
        <w:t xml:space="preserve">provide </w:t>
      </w:r>
      <w:r w:rsidRPr="008D1918" w:rsidR="00CD4E07">
        <w:rPr>
          <w:lang w:val="en-AU"/>
        </w:rPr>
        <w:t xml:space="preserve">a clear distinction between provider segments with different </w:t>
      </w:r>
      <w:r w:rsidRPr="008D1918" w:rsidR="00CD4E07">
        <w:rPr>
          <w:lang w:val="en-AU"/>
        </w:rPr>
        <w:t xml:space="preserve">operating models and regulatory obligations, while limiting disruption for participants and preserving access to support. </w:t>
      </w:r>
    </w:p>
    <w:p w:rsidRPr="008D1918" w:rsidR="00D74A07" w:rsidRDefault="00D74A07" w14:paraId="248ECEAD" w14:textId="0DDE3DE9">
      <w:pPr>
        <w:rPr>
          <w:lang w:val="en-AU"/>
        </w:rPr>
      </w:pPr>
      <w:r w:rsidRPr="008D1918">
        <w:rPr>
          <w:lang w:val="en-AU"/>
        </w:rPr>
        <w:t xml:space="preserve">The </w:t>
      </w:r>
      <w:r w:rsidRPr="008D1918" w:rsidR="00A60C5C">
        <w:rPr>
          <w:lang w:val="en-AU"/>
        </w:rPr>
        <w:t xml:space="preserve">recommended </w:t>
      </w:r>
      <w:r w:rsidRPr="008D1918">
        <w:rPr>
          <w:lang w:val="en-AU"/>
        </w:rPr>
        <w:t>price</w:t>
      </w:r>
      <w:r w:rsidRPr="008D1918" w:rsidR="777D3653">
        <w:rPr>
          <w:lang w:val="en-AU"/>
        </w:rPr>
        <w:t xml:space="preserve"> </w:t>
      </w:r>
      <w:r w:rsidR="00436926">
        <w:rPr>
          <w:lang w:val="en-AU"/>
        </w:rPr>
        <w:t>reduction</w:t>
      </w:r>
      <w:r w:rsidRPr="008D1918" w:rsidR="777D3653">
        <w:rPr>
          <w:lang w:val="en-AU"/>
        </w:rPr>
        <w:t xml:space="preserve"> </w:t>
      </w:r>
      <w:r w:rsidRPr="008D1918">
        <w:rPr>
          <w:lang w:val="en-AU"/>
        </w:rPr>
        <w:t xml:space="preserve">applies only to unregistered providers delivering SCCP supports, including associated high-intensity variants. </w:t>
      </w:r>
      <w:r w:rsidRPr="008D1918" w:rsidR="001D1C71">
        <w:rPr>
          <w:lang w:val="en-AU"/>
        </w:rPr>
        <w:t>The price for r</w:t>
      </w:r>
      <w:r w:rsidRPr="008D1918">
        <w:rPr>
          <w:lang w:val="en-AU"/>
        </w:rPr>
        <w:t xml:space="preserve">egistered providers </w:t>
      </w:r>
      <w:r w:rsidRPr="008D1918" w:rsidR="00232B0C">
        <w:rPr>
          <w:lang w:val="en-AU"/>
        </w:rPr>
        <w:t>should be</w:t>
      </w:r>
      <w:r w:rsidRPr="008D1918">
        <w:rPr>
          <w:lang w:val="en-AU"/>
        </w:rPr>
        <w:t xml:space="preserve"> </w:t>
      </w:r>
      <w:r w:rsidR="00436926">
        <w:rPr>
          <w:lang w:val="en-AU"/>
        </w:rPr>
        <w:t>maintained.</w:t>
      </w:r>
    </w:p>
    <w:p w:rsidRPr="008D1918" w:rsidR="009051FC" w:rsidP="00245B10" w:rsidRDefault="009051FC" w14:paraId="5975EA9F" w14:textId="32AA32D1">
      <w:pPr>
        <w:pStyle w:val="RecommendationH5"/>
      </w:pPr>
      <w:r w:rsidRPr="008D1918">
        <w:t xml:space="preserve">Recommendation </w:t>
      </w:r>
      <w:r w:rsidRPr="008D1918" w:rsidR="00B95B29">
        <w:t>1</w:t>
      </w:r>
      <w:r w:rsidRPr="008D1918" w:rsidR="00DE06C5">
        <w:t>6</w:t>
      </w:r>
      <w:r w:rsidRPr="008D1918" w:rsidR="00B95B29">
        <w:t>:</w:t>
      </w:r>
    </w:p>
    <w:p w:rsidRPr="008D1918" w:rsidR="000919A4" w:rsidP="000919A4" w:rsidRDefault="000919A4" w14:paraId="082A29B6" w14:textId="7D1A99C4">
      <w:pPr>
        <w:pStyle w:val="Normalrecommendationtext"/>
        <w:spacing w:line="288" w:lineRule="auto"/>
      </w:pPr>
      <w:r w:rsidRPr="008D1918">
        <w:t xml:space="preserve">The prices for Social, Community and Civic Participation supports delivered by unregistered providers, including high intensity supports should be reduced by 10% from 1 January 2027. Indexation of these supports should be ceased. </w:t>
      </w:r>
    </w:p>
    <w:p w:rsidRPr="008D1918" w:rsidR="000919A4" w:rsidP="000919A4" w:rsidRDefault="000919A4" w14:paraId="3438F560" w14:textId="548EE9AE">
      <w:pPr>
        <w:pStyle w:val="Normalrecommendationtext"/>
        <w:spacing w:line="288" w:lineRule="auto"/>
      </w:pPr>
      <w:r w:rsidRPr="008D1918">
        <w:t>The prices and indexation for Social, Community and Civic Participation supports delivered by registered providers should be maintained.</w:t>
      </w:r>
    </w:p>
    <w:p w:rsidRPr="008D1918" w:rsidR="7BBE7D4E" w:rsidP="00045C69" w:rsidRDefault="7BBE7D4E" w14:paraId="22095CFF" w14:textId="4E3B634C">
      <w:pPr>
        <w:pStyle w:val="Heading31"/>
      </w:pPr>
      <w:bookmarkStart w:name="_Toc223539609" w:id="284"/>
      <w:bookmarkStart w:name="_Toc223539822" w:id="285"/>
      <w:bookmarkStart w:name="_Toc223540290" w:id="286"/>
      <w:bookmarkStart w:name="_Toc223540506" w:id="287"/>
      <w:bookmarkStart w:name="_Toc223542045" w:id="288"/>
      <w:bookmarkStart w:name="_Toc223604204" w:id="289"/>
      <w:bookmarkStart w:name="_Toc223604443" w:id="290"/>
      <w:bookmarkStart w:name="_Toc227337039" w:id="291"/>
      <w:r w:rsidRPr="008D1918">
        <w:t>Isolated Towns</w:t>
      </w:r>
      <w:bookmarkEnd w:id="284"/>
      <w:bookmarkEnd w:id="285"/>
      <w:bookmarkEnd w:id="286"/>
      <w:bookmarkEnd w:id="287"/>
      <w:bookmarkEnd w:id="288"/>
      <w:bookmarkEnd w:id="289"/>
      <w:bookmarkEnd w:id="290"/>
      <w:bookmarkEnd w:id="291"/>
    </w:p>
    <w:p w:rsidRPr="008D1918" w:rsidR="009E35AA" w:rsidP="63D73602" w:rsidRDefault="2687843E" w14:paraId="3165DEA0" w14:textId="3ABFB5B3">
      <w:pPr>
        <w:rPr>
          <w:rFonts w:eastAsia="Arial" w:cs="Arial"/>
          <w:lang w:val="en-AU"/>
        </w:rPr>
      </w:pPr>
      <w:r w:rsidRPr="008D1918">
        <w:rPr>
          <w:rFonts w:eastAsia="Segoe UI"/>
          <w:lang w:val="en-AU"/>
        </w:rPr>
        <w:t xml:space="preserve">Access to NDIS supports in </w:t>
      </w:r>
      <w:r w:rsidRPr="008D1918" w:rsidR="00F56227">
        <w:rPr>
          <w:rFonts w:eastAsia="Segoe UI"/>
          <w:lang w:val="en-AU"/>
        </w:rPr>
        <w:t>Is</w:t>
      </w:r>
      <w:r w:rsidRPr="008D1918">
        <w:rPr>
          <w:rFonts w:eastAsia="Segoe UI"/>
          <w:lang w:val="en-AU"/>
        </w:rPr>
        <w:t xml:space="preserve">olated </w:t>
      </w:r>
      <w:r w:rsidRPr="008D1918" w:rsidR="00F56227">
        <w:rPr>
          <w:rFonts w:eastAsia="Segoe UI"/>
          <w:lang w:val="en-AU"/>
        </w:rPr>
        <w:t>T</w:t>
      </w:r>
      <w:r w:rsidRPr="008D1918">
        <w:rPr>
          <w:rFonts w:eastAsia="Segoe UI"/>
          <w:lang w:val="en-AU"/>
        </w:rPr>
        <w:t>owns continues to be constrained by geographic remoteness, extended travel requirements and thin provider markets that are not</w:t>
      </w:r>
      <w:r w:rsidRPr="008D1918">
        <w:rPr>
          <w:rFonts w:eastAsia="Arial" w:cs="Arial"/>
          <w:lang w:val="en-AU"/>
        </w:rPr>
        <w:t xml:space="preserve"> fully reflected in </w:t>
      </w:r>
      <w:r w:rsidRPr="008D1918" w:rsidR="008D456D">
        <w:rPr>
          <w:rFonts w:eastAsia="Arial" w:cs="Arial"/>
          <w:lang w:val="en-AU"/>
        </w:rPr>
        <w:t>the</w:t>
      </w:r>
      <w:r w:rsidRPr="008D1918">
        <w:rPr>
          <w:rFonts w:eastAsia="Arial" w:cs="Arial"/>
          <w:lang w:val="en-AU"/>
        </w:rPr>
        <w:t xml:space="preserve"> standard Modified Monash Model classification. NDIA administrative data shows that</w:t>
      </w:r>
      <w:r w:rsidRPr="008D1918" w:rsidR="00E74CD9">
        <w:rPr>
          <w:rFonts w:ascii="Segoe UI" w:hAnsi="Segoe UI" w:cs="Segoe UI"/>
          <w:sz w:val="18"/>
          <w:szCs w:val="18"/>
        </w:rPr>
        <w:t>,</w:t>
      </w:r>
      <w:r w:rsidRPr="008D1918" w:rsidR="00E74CD9">
        <w:t xml:space="preserve"> w</w:t>
      </w:r>
      <w:r w:rsidRPr="008D1918" w:rsidR="00E74CD9">
        <w:rPr>
          <w:rFonts w:cs="Arial"/>
        </w:rPr>
        <w:t xml:space="preserve">hile the </w:t>
      </w:r>
      <w:r w:rsidRPr="008D1918" w:rsidR="00BA0B3B">
        <w:rPr>
          <w:rFonts w:cs="Arial"/>
        </w:rPr>
        <w:t xml:space="preserve">plan </w:t>
      </w:r>
      <w:r w:rsidRPr="008D1918" w:rsidR="00E74CD9">
        <w:rPr>
          <w:rFonts w:cs="Arial"/>
        </w:rPr>
        <w:t>utilisation trend for</w:t>
      </w:r>
      <w:r w:rsidRPr="008D1918" w:rsidR="00E74CD9">
        <w:rPr>
          <w:rFonts w:eastAsia="Arial" w:cs="Arial"/>
        </w:rPr>
        <w:t xml:space="preserve"> locations subject to the Isolated Towns Modification (ITM) </w:t>
      </w:r>
      <w:r w:rsidRPr="008D1918" w:rsidR="00E74CD9">
        <w:rPr>
          <w:rFonts w:cs="Arial"/>
        </w:rPr>
        <w:t xml:space="preserve">has been positive over the past </w:t>
      </w:r>
      <w:r w:rsidRPr="008D1918" w:rsidR="005073A1">
        <w:rPr>
          <w:rFonts w:cs="Arial"/>
        </w:rPr>
        <w:t>3</w:t>
      </w:r>
      <w:r w:rsidRPr="008D1918" w:rsidR="00E74CD9">
        <w:rPr>
          <w:rFonts w:cs="Arial"/>
        </w:rPr>
        <w:t xml:space="preserve"> years,</w:t>
      </w:r>
      <w:r w:rsidRPr="008D1918" w:rsidR="00E74CD9">
        <w:rPr>
          <w:rFonts w:ascii="Segoe UI" w:hAnsi="Segoe UI" w:cs="Segoe UI"/>
          <w:sz w:val="18"/>
          <w:szCs w:val="18"/>
        </w:rPr>
        <w:t xml:space="preserve"> </w:t>
      </w:r>
      <w:r w:rsidRPr="008D1918" w:rsidR="009E35AA">
        <w:rPr>
          <w:rFonts w:eastAsia="Arial" w:cs="Arial"/>
          <w:lang w:val="en-AU"/>
        </w:rPr>
        <w:t xml:space="preserve">these </w:t>
      </w:r>
      <w:r w:rsidRPr="008D1918">
        <w:rPr>
          <w:rFonts w:eastAsia="Arial" w:cs="Arial"/>
          <w:lang w:val="en-AU"/>
        </w:rPr>
        <w:t>locations</w:t>
      </w:r>
      <w:r w:rsidRPr="008D1918" w:rsidR="009E35AA">
        <w:rPr>
          <w:rFonts w:eastAsia="Arial" w:cs="Arial"/>
          <w:lang w:val="en-AU"/>
        </w:rPr>
        <w:t xml:space="preserve"> </w:t>
      </w:r>
      <w:r w:rsidRPr="008D1918">
        <w:rPr>
          <w:rFonts w:eastAsia="Arial" w:cs="Arial"/>
          <w:lang w:val="en-AU"/>
        </w:rPr>
        <w:t xml:space="preserve">have </w:t>
      </w:r>
      <w:r w:rsidRPr="008D1918" w:rsidR="000D6AF2">
        <w:rPr>
          <w:rFonts w:eastAsia="Arial" w:cs="Arial"/>
          <w:lang w:val="en-AU"/>
        </w:rPr>
        <w:t xml:space="preserve">consistently </w:t>
      </w:r>
      <w:r w:rsidRPr="008D1918">
        <w:rPr>
          <w:rFonts w:eastAsia="Arial" w:cs="Arial"/>
          <w:lang w:val="en-AU"/>
        </w:rPr>
        <w:t xml:space="preserve">lower plan </w:t>
      </w:r>
      <w:r w:rsidRPr="008D1918" w:rsidR="00BA0B3B">
        <w:rPr>
          <w:rFonts w:eastAsia="Arial" w:cs="Arial"/>
          <w:lang w:val="en-AU"/>
        </w:rPr>
        <w:t>use</w:t>
      </w:r>
      <w:r w:rsidRPr="008D1918" w:rsidR="009E35AA">
        <w:rPr>
          <w:rFonts w:eastAsia="Arial" w:cs="Arial"/>
          <w:lang w:val="en-AU"/>
        </w:rPr>
        <w:t xml:space="preserve"> and</w:t>
      </w:r>
      <w:r w:rsidRPr="008D1918">
        <w:rPr>
          <w:rFonts w:eastAsia="Arial" w:cs="Arial"/>
          <w:lang w:val="en-AU"/>
        </w:rPr>
        <w:t xml:space="preserve"> slower first plan activation</w:t>
      </w:r>
      <w:r w:rsidRPr="008D1918" w:rsidR="00F236CB">
        <w:rPr>
          <w:rFonts w:eastAsia="Arial" w:cs="Arial"/>
          <w:lang w:val="en-AU"/>
        </w:rPr>
        <w:t xml:space="preserve"> than </w:t>
      </w:r>
      <w:r w:rsidR="00672128">
        <w:rPr>
          <w:rFonts w:eastAsia="Arial" w:cs="Arial"/>
          <w:lang w:val="en-AU"/>
        </w:rPr>
        <w:br/>
      </w:r>
      <w:r w:rsidRPr="008D1918" w:rsidR="00F236CB">
        <w:rPr>
          <w:rFonts w:eastAsia="Arial" w:cs="Arial"/>
          <w:lang w:val="en-AU"/>
        </w:rPr>
        <w:t>non-isolated locations with</w:t>
      </w:r>
      <w:r w:rsidRPr="008D1918" w:rsidR="00783FB9">
        <w:rPr>
          <w:rFonts w:eastAsia="Arial" w:cs="Arial"/>
          <w:lang w:val="en-AU"/>
        </w:rPr>
        <w:t>in</w:t>
      </w:r>
      <w:r w:rsidRPr="008D1918" w:rsidR="00F236CB">
        <w:rPr>
          <w:rFonts w:eastAsia="Arial" w:cs="Arial"/>
          <w:lang w:val="en-AU"/>
        </w:rPr>
        <w:t xml:space="preserve"> the same </w:t>
      </w:r>
      <w:r w:rsidRPr="008D1918" w:rsidR="00EC3B6C">
        <w:rPr>
          <w:rFonts w:eastAsia="Arial" w:cs="Arial"/>
          <w:lang w:val="en-AU"/>
        </w:rPr>
        <w:t>Modified Monash</w:t>
      </w:r>
      <w:r w:rsidRPr="008D1918" w:rsidR="00F236CB">
        <w:rPr>
          <w:rFonts w:eastAsia="Arial" w:cs="Arial"/>
          <w:lang w:val="en-AU"/>
        </w:rPr>
        <w:t xml:space="preserve"> category</w:t>
      </w:r>
      <w:r w:rsidRPr="008D1918" w:rsidR="00EC3B6C">
        <w:rPr>
          <w:rFonts w:eastAsia="Arial" w:cs="Arial"/>
          <w:lang w:val="en-AU"/>
        </w:rPr>
        <w:t xml:space="preserve"> (MM)</w:t>
      </w:r>
      <w:r w:rsidRPr="008D1918" w:rsidR="00EA0160">
        <w:rPr>
          <w:rFonts w:eastAsia="Arial" w:cs="Arial"/>
          <w:lang w:val="en-AU"/>
        </w:rPr>
        <w:t xml:space="preserve">. In 2024–25, average plan </w:t>
      </w:r>
      <w:r w:rsidRPr="008D1918" w:rsidR="00BA0B3B">
        <w:rPr>
          <w:rFonts w:eastAsia="Arial" w:cs="Arial"/>
          <w:lang w:val="en-AU"/>
        </w:rPr>
        <w:t>use</w:t>
      </w:r>
      <w:r w:rsidRPr="008D1918" w:rsidR="00EA0160">
        <w:rPr>
          <w:rFonts w:eastAsia="Arial" w:cs="Arial"/>
          <w:lang w:val="en-AU"/>
        </w:rPr>
        <w:t xml:space="preserve"> in Isolated Towns was approximately 10% lower than non-isolated locations in MM 3 and MM 4, and around 17% lower in MM 5, despite the application of existing price loadings and travel arrangements.</w:t>
      </w:r>
    </w:p>
    <w:p w:rsidRPr="00977F09" w:rsidR="2687843E" w:rsidP="63D73602" w:rsidRDefault="002C3B40" w14:paraId="5620A362" w14:textId="5D86A1DB">
      <w:pPr>
        <w:rPr>
          <w:rFonts w:eastAsia="Arial" w:cs="Arial"/>
          <w:lang w:val="en-AU"/>
        </w:rPr>
      </w:pPr>
      <w:r w:rsidRPr="008D1918">
        <w:rPr>
          <w:rFonts w:eastAsia="Arial" w:cs="Arial"/>
          <w:lang w:val="en-AU"/>
        </w:rPr>
        <w:t>Data also shows that these locations have</w:t>
      </w:r>
      <w:r w:rsidRPr="008D1918" w:rsidR="2687843E">
        <w:rPr>
          <w:rFonts w:eastAsia="Arial" w:cs="Arial"/>
          <w:lang w:val="en-AU"/>
        </w:rPr>
        <w:t xml:space="preserve"> higher provider travel costs than </w:t>
      </w:r>
      <w:r w:rsidR="008739E3">
        <w:rPr>
          <w:rFonts w:eastAsia="Arial" w:cs="Arial"/>
          <w:lang w:val="en-AU"/>
        </w:rPr>
        <w:br/>
      </w:r>
      <w:r w:rsidRPr="008D1918" w:rsidR="2687843E">
        <w:rPr>
          <w:rFonts w:eastAsia="Arial" w:cs="Arial"/>
          <w:lang w:val="en-AU"/>
        </w:rPr>
        <w:t>non</w:t>
      </w:r>
      <w:r w:rsidRPr="008D1918" w:rsidR="00536DC4">
        <w:rPr>
          <w:rFonts w:eastAsia="Arial" w:cs="Arial"/>
          <w:lang w:val="en-AU"/>
        </w:rPr>
        <w:t>-</w:t>
      </w:r>
      <w:r w:rsidRPr="008D1918" w:rsidR="2687843E">
        <w:rPr>
          <w:rFonts w:eastAsia="Arial" w:cs="Arial"/>
          <w:lang w:val="en-AU"/>
        </w:rPr>
        <w:t>isolated locations with the same MM</w:t>
      </w:r>
      <w:r w:rsidRPr="008D1918" w:rsidR="00783FB9">
        <w:rPr>
          <w:rFonts w:eastAsia="Arial" w:cs="Arial"/>
          <w:lang w:val="en-AU"/>
        </w:rPr>
        <w:t xml:space="preserve"> category,</w:t>
      </w:r>
      <w:r w:rsidRPr="008D1918" w:rsidR="00095283">
        <w:rPr>
          <w:rFonts w:eastAsia="Arial" w:cs="Arial"/>
          <w:lang w:val="en-AU"/>
        </w:rPr>
        <w:t xml:space="preserve"> indicating a continued need for </w:t>
      </w:r>
      <w:r w:rsidRPr="00977F09" w:rsidR="00095283">
        <w:rPr>
          <w:rFonts w:eastAsia="Arial" w:cs="Arial"/>
          <w:lang w:val="en-AU"/>
        </w:rPr>
        <w:t>additional price loadings</w:t>
      </w:r>
      <w:r w:rsidRPr="00977F09" w:rsidR="2687843E">
        <w:rPr>
          <w:rFonts w:eastAsia="Arial" w:cs="Arial"/>
          <w:lang w:val="en-AU"/>
        </w:rPr>
        <w:t xml:space="preserve">. </w:t>
      </w:r>
    </w:p>
    <w:p w:rsidRPr="008D1918" w:rsidR="004056D7" w:rsidP="63D73602" w:rsidRDefault="2687843E" w14:paraId="03817DF4" w14:textId="4AF9D9BD">
      <w:pPr>
        <w:rPr>
          <w:rFonts w:eastAsia="Arial" w:cs="Arial"/>
          <w:lang w:val="en-AU"/>
        </w:rPr>
      </w:pPr>
      <w:r w:rsidRPr="00977F09">
        <w:rPr>
          <w:rFonts w:eastAsia="Arial" w:cs="Arial"/>
          <w:lang w:val="en-AU"/>
        </w:rPr>
        <w:t xml:space="preserve">Evidence supports the continued application of the </w:t>
      </w:r>
      <w:r w:rsidRPr="00977F09" w:rsidR="00CD7D11">
        <w:rPr>
          <w:rFonts w:eastAsia="Arial" w:cs="Arial"/>
          <w:lang w:val="en-AU"/>
        </w:rPr>
        <w:t xml:space="preserve">ITM </w:t>
      </w:r>
      <w:r w:rsidRPr="00977F09">
        <w:rPr>
          <w:rFonts w:eastAsia="Arial" w:cs="Arial"/>
          <w:lang w:val="en-AU"/>
        </w:rPr>
        <w:t>for towns that are surrounded by, or require travel through, remote or very remote areas. These</w:t>
      </w:r>
      <w:r w:rsidRPr="008D1918">
        <w:rPr>
          <w:rFonts w:eastAsia="Arial" w:cs="Arial"/>
          <w:lang w:val="en-AU"/>
        </w:rPr>
        <w:t xml:space="preserve"> locations continue to exhibit characteristics </w:t>
      </w:r>
      <w:r w:rsidRPr="008D1918" w:rsidR="00F36480">
        <w:rPr>
          <w:rFonts w:eastAsia="Arial" w:cs="Arial"/>
          <w:lang w:val="en-AU"/>
        </w:rPr>
        <w:t>like</w:t>
      </w:r>
      <w:r w:rsidRPr="008D1918">
        <w:rPr>
          <w:rFonts w:eastAsia="Arial" w:cs="Arial"/>
          <w:lang w:val="en-AU"/>
        </w:rPr>
        <w:t xml:space="preserve"> M</w:t>
      </w:r>
      <w:r w:rsidRPr="008D1918" w:rsidR="00CC4898">
        <w:rPr>
          <w:rFonts w:eastAsia="Arial" w:cs="Arial"/>
          <w:lang w:val="en-AU"/>
        </w:rPr>
        <w:t>M</w:t>
      </w:r>
      <w:r w:rsidRPr="008D1918" w:rsidR="00C34680">
        <w:rPr>
          <w:rFonts w:eastAsia="Arial" w:cs="Arial"/>
          <w:lang w:val="en-AU"/>
        </w:rPr>
        <w:t> </w:t>
      </w:r>
      <w:r w:rsidRPr="008D1918">
        <w:rPr>
          <w:rFonts w:eastAsia="Arial" w:cs="Arial"/>
          <w:lang w:val="en-AU"/>
        </w:rPr>
        <w:t xml:space="preserve">6 areas, including lower </w:t>
      </w:r>
      <w:r w:rsidRPr="008D1918" w:rsidR="006D01A9">
        <w:rPr>
          <w:rFonts w:eastAsia="Arial" w:cs="Arial"/>
          <w:lang w:val="en-AU"/>
        </w:rPr>
        <w:t xml:space="preserve">plan </w:t>
      </w:r>
      <w:r w:rsidRPr="008D1918" w:rsidR="005A5696">
        <w:rPr>
          <w:rFonts w:eastAsia="Arial" w:cs="Arial"/>
          <w:lang w:val="en-AU"/>
        </w:rPr>
        <w:t>use</w:t>
      </w:r>
      <w:r w:rsidRPr="008D1918">
        <w:rPr>
          <w:rFonts w:eastAsia="Arial" w:cs="Arial"/>
          <w:lang w:val="en-AU"/>
        </w:rPr>
        <w:t xml:space="preserve"> and higher travel costs, supporting ongoing reclassification to </w:t>
      </w:r>
      <w:r w:rsidRPr="008D1918" w:rsidR="00CD7D11">
        <w:rPr>
          <w:rFonts w:eastAsia="Arial" w:cs="Arial"/>
          <w:lang w:val="en-AU"/>
        </w:rPr>
        <w:t>M</w:t>
      </w:r>
      <w:r w:rsidRPr="008D1918">
        <w:rPr>
          <w:rFonts w:eastAsia="Arial" w:cs="Arial"/>
          <w:lang w:val="en-AU"/>
        </w:rPr>
        <w:t>M</w:t>
      </w:r>
      <w:r w:rsidRPr="008D1918" w:rsidR="00C34680">
        <w:rPr>
          <w:rFonts w:eastAsia="Arial" w:cs="Arial"/>
          <w:lang w:val="en-AU"/>
        </w:rPr>
        <w:t> </w:t>
      </w:r>
      <w:r w:rsidRPr="008D1918">
        <w:rPr>
          <w:rFonts w:eastAsia="Arial" w:cs="Arial"/>
          <w:lang w:val="en-AU"/>
        </w:rPr>
        <w:t xml:space="preserve">6. </w:t>
      </w:r>
    </w:p>
    <w:p w:rsidRPr="008D1918" w:rsidR="2687843E" w:rsidP="63D73602" w:rsidRDefault="00757B7A" w14:paraId="5B278A5D" w14:textId="22402349">
      <w:pPr>
        <w:rPr>
          <w:rFonts w:eastAsia="Arial" w:cs="Arial"/>
          <w:lang w:val="en-AU"/>
        </w:rPr>
      </w:pPr>
      <w:r w:rsidRPr="008D1918">
        <w:rPr>
          <w:rFonts w:eastAsia="Arial" w:cs="Arial"/>
          <w:lang w:val="en-AU"/>
        </w:rPr>
        <w:t>A</w:t>
      </w:r>
      <w:r w:rsidRPr="008D1918" w:rsidR="2687843E">
        <w:rPr>
          <w:rFonts w:eastAsia="Arial" w:cs="Arial"/>
          <w:lang w:val="en-AU"/>
        </w:rPr>
        <w:t>nalysis also identifies a subset of M</w:t>
      </w:r>
      <w:r w:rsidRPr="008D1918" w:rsidR="00CC4898">
        <w:rPr>
          <w:rFonts w:eastAsia="Arial" w:cs="Arial"/>
          <w:lang w:val="en-AU"/>
        </w:rPr>
        <w:t>M</w:t>
      </w:r>
      <w:r w:rsidRPr="008D1918" w:rsidR="00C34680">
        <w:rPr>
          <w:rFonts w:eastAsia="Arial" w:cs="Arial"/>
          <w:lang w:val="en-AU"/>
        </w:rPr>
        <w:t> </w:t>
      </w:r>
      <w:r w:rsidRPr="008D1918" w:rsidR="2687843E">
        <w:rPr>
          <w:rFonts w:eastAsia="Arial" w:cs="Arial"/>
          <w:lang w:val="en-AU"/>
        </w:rPr>
        <w:t>4 and MM</w:t>
      </w:r>
      <w:r w:rsidRPr="008D1918" w:rsidR="00C34680">
        <w:rPr>
          <w:rFonts w:eastAsia="Arial" w:cs="Arial"/>
          <w:lang w:val="en-AU"/>
        </w:rPr>
        <w:t> </w:t>
      </w:r>
      <w:r w:rsidRPr="008D1918" w:rsidR="2687843E">
        <w:rPr>
          <w:rFonts w:eastAsia="Arial" w:cs="Arial"/>
          <w:lang w:val="en-AU"/>
        </w:rPr>
        <w:t xml:space="preserve">5 locations where plan </w:t>
      </w:r>
      <w:r w:rsidRPr="008D1918" w:rsidR="005A5696">
        <w:rPr>
          <w:rFonts w:eastAsia="Arial" w:cs="Arial"/>
          <w:lang w:val="en-AU"/>
        </w:rPr>
        <w:t>use</w:t>
      </w:r>
      <w:r w:rsidRPr="008D1918" w:rsidR="2687843E">
        <w:rPr>
          <w:rFonts w:eastAsia="Arial" w:cs="Arial"/>
          <w:lang w:val="en-AU"/>
        </w:rPr>
        <w:t xml:space="preserve"> remains materially below the national average of 76</w:t>
      </w:r>
      <w:r w:rsidRPr="008D1918" w:rsidR="00B3186D">
        <w:rPr>
          <w:rFonts w:eastAsia="Arial" w:cs="Arial"/>
          <w:lang w:val="en-AU"/>
        </w:rPr>
        <w:t>%</w:t>
      </w:r>
      <w:r w:rsidRPr="008D1918" w:rsidR="2687843E">
        <w:rPr>
          <w:rFonts w:eastAsia="Arial" w:cs="Arial"/>
          <w:lang w:val="en-AU"/>
        </w:rPr>
        <w:t>, with limited improvement over time, extended travel requirements and higher levels of socio‑economic disadvantage. For these locations, modifying the MM</w:t>
      </w:r>
      <w:r w:rsidRPr="008D1918" w:rsidR="0090339A">
        <w:rPr>
          <w:rFonts w:eastAsia="Arial" w:cs="Arial"/>
          <w:lang w:val="en-AU"/>
        </w:rPr>
        <w:t xml:space="preserve"> category</w:t>
      </w:r>
      <w:r w:rsidRPr="008D1918" w:rsidR="2687843E">
        <w:rPr>
          <w:rFonts w:eastAsia="Arial" w:cs="Arial"/>
          <w:lang w:val="en-AU"/>
        </w:rPr>
        <w:t xml:space="preserve"> is not considered proportionate and may increase the risk of market distortion.</w:t>
      </w:r>
    </w:p>
    <w:p w:rsidRPr="008D1918" w:rsidR="2687843E" w:rsidP="63D73602" w:rsidRDefault="2687843E" w14:paraId="09481D50" w14:textId="52913656">
      <w:pPr>
        <w:rPr>
          <w:rFonts w:eastAsia="Arial" w:cs="Arial"/>
          <w:lang w:val="en-AU"/>
        </w:rPr>
      </w:pPr>
      <w:r w:rsidRPr="008D1918">
        <w:rPr>
          <w:rFonts w:eastAsia="Arial" w:cs="Arial"/>
          <w:lang w:val="en-AU"/>
        </w:rPr>
        <w:t xml:space="preserve">A more targeted and transparent approach is therefore required. </w:t>
      </w:r>
      <w:r w:rsidRPr="008D1918" w:rsidR="006F45C3">
        <w:rPr>
          <w:rFonts w:eastAsia="Arial" w:cs="Arial"/>
          <w:lang w:val="en-AU"/>
        </w:rPr>
        <w:t xml:space="preserve">A </w:t>
      </w:r>
      <w:r w:rsidRPr="008D1918" w:rsidR="002F4058">
        <w:rPr>
          <w:rFonts w:eastAsia="Arial" w:cs="Arial"/>
          <w:lang w:val="en-AU"/>
        </w:rPr>
        <w:t>2</w:t>
      </w:r>
      <w:r w:rsidRPr="008D1918" w:rsidR="00AE01DE">
        <w:rPr>
          <w:rFonts w:eastAsia="Arial" w:cs="Arial"/>
          <w:lang w:val="en-AU"/>
        </w:rPr>
        <w:t>-tiered</w:t>
      </w:r>
      <w:r w:rsidRPr="008D1918">
        <w:rPr>
          <w:rFonts w:eastAsia="Arial" w:cs="Arial"/>
          <w:lang w:val="en-AU"/>
        </w:rPr>
        <w:t xml:space="preserve"> framework</w:t>
      </w:r>
      <w:r w:rsidRPr="008D1918" w:rsidR="006F45C3">
        <w:rPr>
          <w:rFonts w:eastAsia="Arial" w:cs="Arial"/>
          <w:lang w:val="en-AU"/>
        </w:rPr>
        <w:t xml:space="preserve">, which </w:t>
      </w:r>
      <w:r w:rsidRPr="008D1918">
        <w:rPr>
          <w:rFonts w:eastAsia="Arial" w:cs="Arial"/>
          <w:lang w:val="en-AU"/>
        </w:rPr>
        <w:t xml:space="preserve">retains the existing </w:t>
      </w:r>
      <w:r w:rsidRPr="008D1918" w:rsidR="00ED0CB6">
        <w:rPr>
          <w:rFonts w:eastAsia="Arial" w:cs="Arial"/>
          <w:lang w:val="en-AU"/>
        </w:rPr>
        <w:t>ITM</w:t>
      </w:r>
      <w:r w:rsidRPr="008D1918">
        <w:rPr>
          <w:rFonts w:eastAsia="Arial" w:cs="Arial"/>
          <w:lang w:val="en-AU"/>
        </w:rPr>
        <w:t xml:space="preserve"> as Type 1 Isolated Towns and introduces </w:t>
      </w:r>
      <w:r w:rsidRPr="008D1918">
        <w:rPr>
          <w:rFonts w:eastAsia="Arial" w:cs="Arial"/>
          <w:lang w:val="en-AU"/>
        </w:rPr>
        <w:t xml:space="preserve">a new Type 2 </w:t>
      </w:r>
      <w:r w:rsidRPr="008D1918" w:rsidR="006E5F9F">
        <w:rPr>
          <w:rFonts w:eastAsia="Arial" w:cs="Arial"/>
          <w:lang w:val="en-AU"/>
        </w:rPr>
        <w:t>ITM</w:t>
      </w:r>
      <w:r w:rsidRPr="008D1918">
        <w:rPr>
          <w:rFonts w:eastAsia="Arial" w:cs="Arial"/>
          <w:lang w:val="en-AU"/>
        </w:rPr>
        <w:t xml:space="preserve"> that applies defined market levers based on objective, data driven criteria</w:t>
      </w:r>
      <w:r w:rsidRPr="008D1918" w:rsidR="00CF4737">
        <w:rPr>
          <w:rFonts w:eastAsia="Arial" w:cs="Arial"/>
          <w:lang w:val="en-AU"/>
        </w:rPr>
        <w:t>,</w:t>
      </w:r>
      <w:r w:rsidRPr="008D1918" w:rsidR="006F45C3">
        <w:rPr>
          <w:rFonts w:eastAsia="Arial" w:cs="Arial"/>
          <w:lang w:val="en-AU"/>
        </w:rPr>
        <w:t xml:space="preserve"> would</w:t>
      </w:r>
      <w:r w:rsidRPr="008D1918">
        <w:rPr>
          <w:rFonts w:eastAsia="Arial" w:cs="Arial"/>
          <w:lang w:val="en-AU"/>
        </w:rPr>
        <w:t xml:space="preserve"> support improved access to supports in thin markets while limiting unintended impacts across the broader care economy.</w:t>
      </w:r>
    </w:p>
    <w:p w:rsidRPr="008D1918" w:rsidR="47C5EE85" w:rsidP="00245B10" w:rsidRDefault="7EF9F6D0" w14:paraId="427321F5" w14:textId="246070EF">
      <w:pPr>
        <w:pStyle w:val="RecommendationH4"/>
        <w:rPr>
          <w:rFonts w:eastAsia="Arial" w:cs="Arial"/>
          <w:bCs/>
        </w:rPr>
      </w:pPr>
      <w:bookmarkStart w:name="_Toc223542046" w:id="292"/>
      <w:r w:rsidRPr="008D1918">
        <w:t xml:space="preserve">Recommendation </w:t>
      </w:r>
      <w:r w:rsidRPr="008D1918" w:rsidR="00B3186D">
        <w:t>1</w:t>
      </w:r>
      <w:r w:rsidRPr="008D1918" w:rsidR="00960111">
        <w:t>7</w:t>
      </w:r>
      <w:r w:rsidRPr="008D1918">
        <w:t>:</w:t>
      </w:r>
      <w:bookmarkEnd w:id="292"/>
      <w:r w:rsidRPr="008D1918">
        <w:t xml:space="preserve"> </w:t>
      </w:r>
    </w:p>
    <w:p w:rsidRPr="008D1918" w:rsidR="00EB28C8" w:rsidP="00B3186D" w:rsidRDefault="7EF9F6D0" w14:paraId="64441F21" w14:textId="27DE608E">
      <w:pPr>
        <w:pStyle w:val="Normalrecommendationtext"/>
        <w:spacing w:line="288" w:lineRule="auto"/>
        <w:rPr>
          <w:rFonts w:eastAsia="Arial"/>
        </w:rPr>
      </w:pPr>
      <w:r w:rsidRPr="008D1918">
        <w:rPr>
          <w:rFonts w:eastAsia="Arial"/>
        </w:rPr>
        <w:t xml:space="preserve">The NDIA should continue publishing the current locations on the </w:t>
      </w:r>
      <w:r w:rsidRPr="008D1918" w:rsidR="00696B81">
        <w:rPr>
          <w:rFonts w:eastAsia="Arial"/>
        </w:rPr>
        <w:t>Isolated Towns Modification</w:t>
      </w:r>
      <w:r w:rsidRPr="008D1918" w:rsidR="00E94060">
        <w:rPr>
          <w:rFonts w:eastAsia="Arial"/>
        </w:rPr>
        <w:t xml:space="preserve"> </w:t>
      </w:r>
      <w:r w:rsidRPr="008D1918">
        <w:rPr>
          <w:rFonts w:eastAsia="Arial"/>
        </w:rPr>
        <w:t xml:space="preserve">list, with an updated definition to reflect inclusion of ‘surrounded by OR travel through remote areas’. These towns </w:t>
      </w:r>
      <w:r w:rsidRPr="008D1918" w:rsidR="00CF4737">
        <w:rPr>
          <w:rFonts w:eastAsia="Arial"/>
        </w:rPr>
        <w:t xml:space="preserve">should </w:t>
      </w:r>
      <w:r w:rsidRPr="008D1918">
        <w:rPr>
          <w:rFonts w:eastAsia="Arial"/>
        </w:rPr>
        <w:t xml:space="preserve">be referred to as Type 1 Isolated Towns and will continue to have their </w:t>
      </w:r>
      <w:r w:rsidRPr="008D1918" w:rsidR="00AE35FF">
        <w:rPr>
          <w:rFonts w:eastAsia="Arial"/>
          <w:color w:val="6B2876" w:themeColor="accent5"/>
        </w:rPr>
        <w:t>Modified Monash</w:t>
      </w:r>
      <w:r w:rsidRPr="008D1918">
        <w:rPr>
          <w:rFonts w:eastAsia="Arial"/>
          <w:color w:val="6B2876" w:themeColor="accent5"/>
        </w:rPr>
        <w:t xml:space="preserve"> </w:t>
      </w:r>
      <w:r w:rsidRPr="008D1918" w:rsidR="000C5244">
        <w:rPr>
          <w:rFonts w:eastAsia="Arial"/>
        </w:rPr>
        <w:t>category</w:t>
      </w:r>
      <w:r w:rsidRPr="008D1918">
        <w:rPr>
          <w:rFonts w:eastAsia="Arial"/>
        </w:rPr>
        <w:t xml:space="preserve"> modified to </w:t>
      </w:r>
      <w:r w:rsidRPr="008D1918" w:rsidR="00696B81">
        <w:rPr>
          <w:rFonts w:eastAsia="Arial"/>
        </w:rPr>
        <w:t>M</w:t>
      </w:r>
      <w:r w:rsidRPr="008D1918" w:rsidR="00AE35FF">
        <w:rPr>
          <w:rFonts w:eastAsia="Arial"/>
        </w:rPr>
        <w:t>M</w:t>
      </w:r>
      <w:r w:rsidRPr="008D1918" w:rsidR="0A97BAFA">
        <w:rPr>
          <w:rFonts w:eastAsia="Arial"/>
        </w:rPr>
        <w:t> </w:t>
      </w:r>
      <w:r w:rsidRPr="008D1918">
        <w:rPr>
          <w:rFonts w:eastAsia="Arial"/>
        </w:rPr>
        <w:t xml:space="preserve">6, resulting in the application of the relevant loading and travel arrangements. The NDIA should also publish the guidelines for managing the Type 1 </w:t>
      </w:r>
      <w:r w:rsidRPr="008D1918" w:rsidR="00696B81">
        <w:rPr>
          <w:rFonts w:eastAsia="Arial"/>
        </w:rPr>
        <w:t>Isolated Towns Modification</w:t>
      </w:r>
      <w:r w:rsidRPr="008D1918">
        <w:rPr>
          <w:rFonts w:eastAsia="Arial"/>
        </w:rPr>
        <w:t>, including the process for transitioning locations that no longer meet the policy definition.</w:t>
      </w:r>
    </w:p>
    <w:p w:rsidRPr="008D1918" w:rsidR="47C5EE85" w:rsidP="00245B10" w:rsidRDefault="7EF9F6D0" w14:paraId="7454C627" w14:textId="0411049F">
      <w:pPr>
        <w:pStyle w:val="RecommendationH4"/>
        <w:rPr>
          <w:rFonts w:eastAsia="Arial" w:cs="Arial"/>
        </w:rPr>
      </w:pPr>
      <w:r w:rsidRPr="008D1918">
        <w:t xml:space="preserve">Recommendation </w:t>
      </w:r>
      <w:r w:rsidRPr="008D1918" w:rsidR="00367DBE">
        <w:t>1</w:t>
      </w:r>
      <w:r w:rsidRPr="008D1918" w:rsidR="00960111">
        <w:t>8</w:t>
      </w:r>
      <w:r w:rsidRPr="008D1918">
        <w:t>:</w:t>
      </w:r>
    </w:p>
    <w:p w:rsidRPr="008D1918" w:rsidR="7A652649" w:rsidP="009E0C08" w:rsidRDefault="7A652649" w14:paraId="54DE4E65" w14:textId="33CF95A3">
      <w:pPr>
        <w:ind w:left="567"/>
        <w:rPr>
          <w:rFonts w:eastAsia="Arial"/>
          <w:color w:val="6B2876" w:themeColor="accent5"/>
          <w:lang w:val="en-AU"/>
        </w:rPr>
      </w:pPr>
      <w:r w:rsidRPr="008D1918">
        <w:rPr>
          <w:rFonts w:eastAsia="Arial"/>
          <w:color w:val="6B2876" w:themeColor="accent5"/>
          <w:lang w:val="en-AU"/>
        </w:rPr>
        <w:t xml:space="preserve">The NDIA should publish a Type 2 </w:t>
      </w:r>
      <w:r w:rsidRPr="008D1918" w:rsidR="00AE35FF">
        <w:rPr>
          <w:rFonts w:eastAsia="Arial"/>
          <w:color w:val="6B2876" w:themeColor="accent5"/>
          <w:lang w:val="en-AU"/>
        </w:rPr>
        <w:t>Isolated Towns Modification</w:t>
      </w:r>
      <w:r w:rsidRPr="008D1918">
        <w:rPr>
          <w:rFonts w:eastAsia="Arial"/>
          <w:color w:val="6B2876" w:themeColor="accent5"/>
          <w:lang w:val="en-AU"/>
        </w:rPr>
        <w:t xml:space="preserve"> </w:t>
      </w:r>
      <w:r w:rsidRPr="008D1918" w:rsidR="13C857F4">
        <w:rPr>
          <w:rFonts w:eastAsia="Arial"/>
          <w:color w:val="6B2876" w:themeColor="accent5"/>
          <w:lang w:val="en-AU"/>
        </w:rPr>
        <w:t>on the NDIS website</w:t>
      </w:r>
      <w:r w:rsidRPr="008D1918">
        <w:rPr>
          <w:rFonts w:eastAsia="Arial"/>
          <w:color w:val="6B2876" w:themeColor="accent5"/>
          <w:lang w:val="en-AU"/>
        </w:rPr>
        <w:t xml:space="preserve">, including the policy definition, guidelines for management and locations that meet the criteria. </w:t>
      </w:r>
      <w:r w:rsidRPr="008D1918" w:rsidR="00CF4737">
        <w:rPr>
          <w:rFonts w:eastAsia="Arial"/>
          <w:color w:val="6B2876" w:themeColor="accent5"/>
          <w:lang w:val="en-AU"/>
        </w:rPr>
        <w:t>P</w:t>
      </w:r>
      <w:r w:rsidRPr="008D1918">
        <w:rPr>
          <w:rFonts w:eastAsia="Arial"/>
          <w:color w:val="6B2876" w:themeColor="accent5"/>
          <w:lang w:val="en-AU"/>
        </w:rPr>
        <w:t xml:space="preserve">roviders </w:t>
      </w:r>
      <w:r w:rsidRPr="008D1918" w:rsidR="65F088E8">
        <w:rPr>
          <w:rFonts w:eastAsia="Arial"/>
          <w:color w:val="6B2876" w:themeColor="accent5"/>
          <w:lang w:val="en-AU"/>
        </w:rPr>
        <w:t xml:space="preserve">in a Type 2 Isolated Towns location </w:t>
      </w:r>
      <w:r w:rsidRPr="008D1918" w:rsidR="006F45C3">
        <w:rPr>
          <w:rFonts w:eastAsia="Arial"/>
          <w:color w:val="6B2876" w:themeColor="accent5"/>
          <w:lang w:val="en-AU"/>
        </w:rPr>
        <w:t xml:space="preserve">should </w:t>
      </w:r>
      <w:r w:rsidRPr="008D1918">
        <w:rPr>
          <w:rFonts w:eastAsia="Arial"/>
          <w:color w:val="6B2876" w:themeColor="accent5"/>
          <w:lang w:val="en-AU"/>
        </w:rPr>
        <w:t>be eligible to negotiate travel costs as part of their service agreements with participants</w:t>
      </w:r>
      <w:r w:rsidRPr="008D1918" w:rsidR="3B33E197">
        <w:rPr>
          <w:rFonts w:eastAsia="Arial"/>
          <w:color w:val="6B2876" w:themeColor="accent5"/>
          <w:lang w:val="en-AU"/>
        </w:rPr>
        <w:t>, but no additional loading applies.</w:t>
      </w:r>
      <w:r w:rsidRPr="008D1918">
        <w:rPr>
          <w:rFonts w:eastAsia="Arial"/>
          <w:color w:val="6B2876" w:themeColor="accent5"/>
          <w:lang w:val="en-AU"/>
        </w:rPr>
        <w:t xml:space="preserve"> </w:t>
      </w:r>
    </w:p>
    <w:p w:rsidRPr="008D1918" w:rsidR="47C5EE85" w:rsidP="009E0C08" w:rsidRDefault="7EF9F6D0" w14:paraId="12A3CE03" w14:textId="14C5CC7C">
      <w:pPr>
        <w:ind w:left="567"/>
        <w:rPr>
          <w:rFonts w:eastAsia="Arial"/>
          <w:color w:val="6B2876" w:themeColor="accent5"/>
          <w:lang w:val="en-AU"/>
        </w:rPr>
      </w:pPr>
      <w:r w:rsidRPr="008D1918">
        <w:rPr>
          <w:rFonts w:eastAsia="Arial"/>
          <w:color w:val="6B2876" w:themeColor="accent5"/>
          <w:lang w:val="en-AU"/>
        </w:rPr>
        <w:t xml:space="preserve">For a location to be listed on the Type 2 </w:t>
      </w:r>
      <w:r w:rsidRPr="008D1918" w:rsidR="00AE35FF">
        <w:rPr>
          <w:rFonts w:eastAsia="Arial"/>
          <w:color w:val="6B2876" w:themeColor="accent5"/>
          <w:lang w:val="en-AU"/>
        </w:rPr>
        <w:t xml:space="preserve">Isolated Towns </w:t>
      </w:r>
      <w:r w:rsidRPr="008D1918" w:rsidR="00673E3C">
        <w:rPr>
          <w:rFonts w:eastAsia="Arial"/>
          <w:color w:val="6B2876" w:themeColor="accent5"/>
          <w:lang w:val="en-AU"/>
        </w:rPr>
        <w:t>Modification</w:t>
      </w:r>
      <w:r w:rsidRPr="008D1918">
        <w:rPr>
          <w:rFonts w:eastAsia="Arial"/>
          <w:color w:val="6B2876" w:themeColor="accent5"/>
          <w:lang w:val="en-AU"/>
        </w:rPr>
        <w:t xml:space="preserve">, it must have been identified as needing additional support based on low </w:t>
      </w:r>
      <w:r w:rsidRPr="008D1918" w:rsidR="00B53C83">
        <w:rPr>
          <w:rFonts w:eastAsia="Arial"/>
          <w:color w:val="6B2876" w:themeColor="accent5"/>
          <w:lang w:val="en-AU"/>
        </w:rPr>
        <w:t xml:space="preserve">plan </w:t>
      </w:r>
      <w:r w:rsidRPr="008D1918">
        <w:rPr>
          <w:rFonts w:eastAsia="Arial"/>
          <w:color w:val="6B2876" w:themeColor="accent5"/>
          <w:lang w:val="en-AU"/>
        </w:rPr>
        <w:t xml:space="preserve">utilisation, travel time and socio-economic disadvantage, specifically meeting the following criteria: </w:t>
      </w:r>
    </w:p>
    <w:p w:rsidRPr="008D1918" w:rsidR="47C5EE85" w:rsidP="009F6459" w:rsidRDefault="7EF9F6D0" w14:paraId="0D0F6286" w14:textId="34B3D4A2">
      <w:pPr>
        <w:pStyle w:val="ListParagraph"/>
        <w:numPr>
          <w:ilvl w:val="0"/>
          <w:numId w:val="22"/>
        </w:numPr>
        <w:ind w:left="1134" w:hanging="357"/>
        <w:contextualSpacing w:val="0"/>
        <w:rPr>
          <w:rFonts w:eastAsia="Arial" w:cs="Arial"/>
          <w:color w:val="6B2976"/>
          <w:lang w:val="en-AU"/>
        </w:rPr>
      </w:pPr>
      <w:r w:rsidRPr="008D1918">
        <w:rPr>
          <w:rFonts w:eastAsia="Arial" w:cs="Arial"/>
          <w:color w:val="6B2976"/>
          <w:lang w:val="en-AU"/>
        </w:rPr>
        <w:t>The location must be classified as a M</w:t>
      </w:r>
      <w:r w:rsidRPr="008D1918" w:rsidR="00CC4898">
        <w:rPr>
          <w:rFonts w:eastAsia="Arial" w:cs="Arial"/>
          <w:color w:val="6B2976"/>
          <w:lang w:val="en-AU"/>
        </w:rPr>
        <w:t>M</w:t>
      </w:r>
      <w:r w:rsidRPr="008D1918" w:rsidR="009E0C08">
        <w:rPr>
          <w:rFonts w:eastAsia="Arial" w:cs="Arial"/>
          <w:color w:val="6B2976"/>
          <w:lang w:val="en-AU"/>
        </w:rPr>
        <w:t> </w:t>
      </w:r>
      <w:r w:rsidRPr="008D1918">
        <w:rPr>
          <w:rFonts w:eastAsia="Arial" w:cs="Arial"/>
          <w:color w:val="6B2976"/>
          <w:lang w:val="en-AU"/>
        </w:rPr>
        <w:t>4 and/or M</w:t>
      </w:r>
      <w:r w:rsidRPr="008D1918" w:rsidR="00CC4898">
        <w:rPr>
          <w:rFonts w:eastAsia="Arial" w:cs="Arial"/>
          <w:color w:val="6B2976"/>
          <w:lang w:val="en-AU"/>
        </w:rPr>
        <w:t>M</w:t>
      </w:r>
      <w:r w:rsidRPr="008D1918" w:rsidR="009E0C08">
        <w:rPr>
          <w:rFonts w:eastAsia="Arial" w:cs="Arial"/>
          <w:color w:val="6B2976"/>
          <w:lang w:val="en-AU"/>
        </w:rPr>
        <w:t> </w:t>
      </w:r>
      <w:r w:rsidRPr="008D1918">
        <w:rPr>
          <w:rFonts w:eastAsia="Arial" w:cs="Arial"/>
          <w:color w:val="6B2976"/>
          <w:lang w:val="en-AU"/>
        </w:rPr>
        <w:t>5</w:t>
      </w:r>
      <w:r w:rsidRPr="008D1918" w:rsidR="00735291">
        <w:rPr>
          <w:rFonts w:eastAsia="Arial" w:cs="Arial"/>
          <w:color w:val="6B2976"/>
          <w:lang w:val="en-AU"/>
        </w:rPr>
        <w:t>;</w:t>
      </w:r>
      <w:r w:rsidRPr="008D1918">
        <w:rPr>
          <w:rFonts w:eastAsia="Arial" w:cs="Arial"/>
          <w:color w:val="6B2976"/>
          <w:lang w:val="en-AU"/>
        </w:rPr>
        <w:t xml:space="preserve"> </w:t>
      </w:r>
      <w:r w:rsidRPr="008D1918" w:rsidR="00766D17">
        <w:rPr>
          <w:rFonts w:eastAsia="Arial" w:cs="Arial"/>
          <w:color w:val="6B2976"/>
          <w:lang w:val="en-AU"/>
        </w:rPr>
        <w:t>and</w:t>
      </w:r>
    </w:p>
    <w:p w:rsidRPr="008D1918" w:rsidR="47C5EE85" w:rsidP="009F6459" w:rsidRDefault="7EF9F6D0" w14:paraId="01875849" w14:textId="6A81B53D">
      <w:pPr>
        <w:pStyle w:val="ListParagraph"/>
        <w:numPr>
          <w:ilvl w:val="0"/>
          <w:numId w:val="22"/>
        </w:numPr>
        <w:ind w:left="1134" w:hanging="357"/>
        <w:contextualSpacing w:val="0"/>
        <w:rPr>
          <w:rFonts w:eastAsia="Arial"/>
          <w:color w:val="6B2876" w:themeColor="accent5"/>
          <w:lang w:val="en-AU"/>
        </w:rPr>
      </w:pPr>
      <w:r w:rsidRPr="008D1918">
        <w:rPr>
          <w:rFonts w:eastAsia="Arial" w:cs="Arial"/>
          <w:color w:val="6B2976"/>
          <w:lang w:val="en-AU"/>
        </w:rPr>
        <w:t xml:space="preserve">The average </w:t>
      </w:r>
      <w:r w:rsidRPr="008D1918" w:rsidR="00735291">
        <w:rPr>
          <w:rFonts w:eastAsia="Arial" w:cs="Arial"/>
          <w:color w:val="6B2976"/>
          <w:lang w:val="en-AU"/>
        </w:rPr>
        <w:t xml:space="preserve">Statistical Area </w:t>
      </w:r>
      <w:r w:rsidRPr="008D1918">
        <w:rPr>
          <w:rFonts w:eastAsia="Arial" w:cs="Arial"/>
          <w:color w:val="6B2976"/>
          <w:lang w:val="en-AU"/>
        </w:rPr>
        <w:t>2 plan utilisation over 3 years is 60% or less (</w:t>
      </w:r>
      <w:r w:rsidRPr="008D1918" w:rsidR="00DC3DCF">
        <w:rPr>
          <w:rFonts w:eastAsia="Arial" w:cs="Arial"/>
          <w:color w:val="6B2976"/>
          <w:lang w:val="en-AU"/>
        </w:rPr>
        <w:t>c</w:t>
      </w:r>
      <w:r w:rsidRPr="008D1918">
        <w:rPr>
          <w:rFonts w:eastAsia="Arial" w:cs="Arial"/>
          <w:color w:val="6B2976"/>
          <w:lang w:val="en-AU"/>
        </w:rPr>
        <w:t>alculated using only M</w:t>
      </w:r>
      <w:r w:rsidRPr="008D1918" w:rsidR="00CC4898">
        <w:rPr>
          <w:rFonts w:eastAsia="Arial" w:cs="Arial"/>
          <w:color w:val="6B2976"/>
          <w:lang w:val="en-AU"/>
        </w:rPr>
        <w:t>M</w:t>
      </w:r>
      <w:r w:rsidRPr="008D1918" w:rsidR="009E0C08">
        <w:rPr>
          <w:rFonts w:eastAsia="Arial" w:cs="Arial"/>
          <w:color w:val="6B2976"/>
          <w:lang w:val="en-AU"/>
        </w:rPr>
        <w:t> </w:t>
      </w:r>
      <w:r w:rsidRPr="008D1918">
        <w:rPr>
          <w:rFonts w:eastAsia="Arial" w:cs="Arial"/>
          <w:color w:val="6B2976"/>
          <w:lang w:val="en-AU"/>
        </w:rPr>
        <w:t>4/5 locations)</w:t>
      </w:r>
      <w:r w:rsidRPr="008D1918" w:rsidR="00735291">
        <w:rPr>
          <w:rFonts w:eastAsia="Arial" w:cs="Arial"/>
          <w:color w:val="6B2976"/>
          <w:lang w:val="en-AU"/>
        </w:rPr>
        <w:t>;</w:t>
      </w:r>
      <w:r w:rsidRPr="008D1918">
        <w:rPr>
          <w:rFonts w:eastAsia="Arial" w:cs="Arial"/>
          <w:color w:val="6B2976"/>
          <w:lang w:val="en-AU"/>
        </w:rPr>
        <w:t xml:space="preserve"> </w:t>
      </w:r>
      <w:r w:rsidRPr="008D1918" w:rsidR="00766D17">
        <w:rPr>
          <w:rFonts w:eastAsia="Arial" w:cs="Arial"/>
          <w:color w:val="6B2976"/>
          <w:lang w:val="en-AU"/>
        </w:rPr>
        <w:t>and</w:t>
      </w:r>
    </w:p>
    <w:p w:rsidRPr="008D1918" w:rsidR="7A652649" w:rsidP="009F6459" w:rsidRDefault="7A652649" w14:paraId="2969DB6F" w14:textId="087BAD5B">
      <w:pPr>
        <w:pStyle w:val="ListParagraph"/>
        <w:numPr>
          <w:ilvl w:val="0"/>
          <w:numId w:val="22"/>
        </w:numPr>
        <w:ind w:left="1134" w:hanging="357"/>
        <w:contextualSpacing w:val="0"/>
        <w:rPr>
          <w:rFonts w:eastAsia="Arial" w:cs="Arial"/>
          <w:color w:val="6B2976"/>
          <w:lang w:val="en-AU"/>
        </w:rPr>
      </w:pPr>
      <w:r w:rsidRPr="008D1918">
        <w:rPr>
          <w:rFonts w:eastAsia="Arial" w:cs="Arial"/>
          <w:color w:val="6B2976"/>
          <w:lang w:val="en-AU"/>
        </w:rPr>
        <w:t>Travel time from a M</w:t>
      </w:r>
      <w:r w:rsidRPr="008D1918" w:rsidR="00CC4898">
        <w:rPr>
          <w:rFonts w:eastAsia="Arial" w:cs="Arial"/>
          <w:color w:val="6B2976"/>
          <w:lang w:val="en-AU"/>
        </w:rPr>
        <w:t>M</w:t>
      </w:r>
      <w:r w:rsidRPr="008D1918" w:rsidR="009E0C08">
        <w:rPr>
          <w:rFonts w:eastAsia="Arial" w:cs="Arial"/>
          <w:color w:val="6B2976"/>
          <w:lang w:val="en-AU"/>
        </w:rPr>
        <w:t> </w:t>
      </w:r>
      <w:r w:rsidRPr="008D1918">
        <w:rPr>
          <w:rFonts w:eastAsia="Arial" w:cs="Arial"/>
          <w:color w:val="6B2976"/>
          <w:lang w:val="en-AU"/>
        </w:rPr>
        <w:t>4</w:t>
      </w:r>
      <w:r w:rsidRPr="008D1918" w:rsidR="00DC1703">
        <w:rPr>
          <w:rFonts w:eastAsia="Arial" w:cs="Arial"/>
          <w:color w:val="6B2976"/>
          <w:lang w:val="en-AU"/>
        </w:rPr>
        <w:t>/</w:t>
      </w:r>
      <w:r w:rsidRPr="008D1918">
        <w:rPr>
          <w:rFonts w:eastAsia="Arial" w:cs="Arial"/>
          <w:color w:val="6B2976"/>
          <w:lang w:val="en-AU"/>
        </w:rPr>
        <w:t xml:space="preserve">5 </w:t>
      </w:r>
      <w:r w:rsidRPr="008D1918" w:rsidR="00370B91">
        <w:rPr>
          <w:rFonts w:eastAsia="Arial" w:cs="Arial"/>
          <w:color w:val="6B2976"/>
          <w:lang w:val="en-AU"/>
        </w:rPr>
        <w:t xml:space="preserve">Statistical Area </w:t>
      </w:r>
      <w:r w:rsidRPr="008D1918">
        <w:rPr>
          <w:rFonts w:eastAsia="Arial" w:cs="Arial"/>
          <w:color w:val="6B2976"/>
          <w:lang w:val="en-AU"/>
        </w:rPr>
        <w:t>2 to the nearest M</w:t>
      </w:r>
      <w:r w:rsidRPr="008D1918" w:rsidR="00CC4898">
        <w:rPr>
          <w:rFonts w:eastAsia="Arial" w:cs="Arial"/>
          <w:color w:val="6B2976"/>
          <w:lang w:val="en-AU"/>
        </w:rPr>
        <w:t>M</w:t>
      </w:r>
      <w:r w:rsidRPr="008D1918" w:rsidR="009E0C08">
        <w:rPr>
          <w:rFonts w:eastAsia="Arial" w:cs="Arial"/>
          <w:color w:val="6B2976"/>
          <w:lang w:val="en-AU"/>
        </w:rPr>
        <w:t> </w:t>
      </w:r>
      <w:r w:rsidRPr="008D1918">
        <w:rPr>
          <w:rFonts w:eastAsia="Arial" w:cs="Arial"/>
          <w:color w:val="6B2976"/>
          <w:lang w:val="en-AU"/>
        </w:rPr>
        <w:t xml:space="preserve">1/2/3 is 70 minutes or </w:t>
      </w:r>
      <w:r w:rsidRPr="008D1918" w:rsidR="00DD05D1">
        <w:rPr>
          <w:rFonts w:eastAsia="Arial" w:cs="Arial"/>
          <w:color w:val="6B2976"/>
          <w:lang w:val="en-AU"/>
        </w:rPr>
        <w:t xml:space="preserve">more </w:t>
      </w:r>
      <w:r w:rsidRPr="008D1918">
        <w:rPr>
          <w:rFonts w:eastAsia="Arial" w:cs="Arial"/>
          <w:color w:val="6B2976"/>
          <w:lang w:val="en-AU"/>
        </w:rPr>
        <w:t>(</w:t>
      </w:r>
      <w:r w:rsidRPr="008D1918" w:rsidR="00DC3DCF">
        <w:rPr>
          <w:rFonts w:eastAsia="Arial" w:cs="Arial"/>
          <w:color w:val="6B2976"/>
          <w:lang w:val="en-AU"/>
        </w:rPr>
        <w:t>c</w:t>
      </w:r>
      <w:r w:rsidRPr="008D1918">
        <w:rPr>
          <w:rFonts w:eastAsia="Arial" w:cs="Arial"/>
          <w:color w:val="6B2976"/>
          <w:lang w:val="en-AU"/>
        </w:rPr>
        <w:t xml:space="preserve">alculated using the </w:t>
      </w:r>
      <w:r w:rsidRPr="008D1918" w:rsidR="00370B91">
        <w:rPr>
          <w:rFonts w:eastAsia="Arial" w:cs="Arial"/>
          <w:color w:val="6B2976"/>
          <w:lang w:val="en-AU"/>
        </w:rPr>
        <w:t xml:space="preserve">Statistical Area </w:t>
      </w:r>
      <w:r w:rsidRPr="008D1918">
        <w:rPr>
          <w:rFonts w:eastAsia="Arial" w:cs="Arial"/>
          <w:color w:val="6B2976"/>
          <w:lang w:val="en-AU"/>
        </w:rPr>
        <w:t>2 location with most participants)</w:t>
      </w:r>
      <w:r w:rsidRPr="008D1918" w:rsidR="00735291">
        <w:rPr>
          <w:rFonts w:eastAsia="Arial" w:cs="Arial"/>
          <w:color w:val="6B2976"/>
          <w:lang w:val="en-AU"/>
        </w:rPr>
        <w:t>;</w:t>
      </w:r>
      <w:r w:rsidRPr="008D1918">
        <w:rPr>
          <w:rFonts w:eastAsia="Arial" w:cs="Arial"/>
          <w:color w:val="6B2976"/>
          <w:lang w:val="en-AU"/>
        </w:rPr>
        <w:t xml:space="preserve"> </w:t>
      </w:r>
      <w:r w:rsidRPr="008D1918" w:rsidR="00E71AFB">
        <w:rPr>
          <w:rFonts w:eastAsia="Arial" w:cs="Arial"/>
          <w:color w:val="6B2976"/>
          <w:lang w:val="en-AU"/>
        </w:rPr>
        <w:t>and</w:t>
      </w:r>
    </w:p>
    <w:p w:rsidR="001931F1" w:rsidP="009F6459" w:rsidRDefault="7A652649" w14:paraId="77A7D83C" w14:textId="3F08E633">
      <w:pPr>
        <w:pStyle w:val="ListParagraph"/>
        <w:numPr>
          <w:ilvl w:val="0"/>
          <w:numId w:val="22"/>
        </w:numPr>
        <w:ind w:left="1134" w:hanging="357"/>
        <w:contextualSpacing w:val="0"/>
        <w:rPr>
          <w:rFonts w:eastAsia="Arial" w:cs="Arial"/>
          <w:color w:val="6B2976"/>
          <w:lang w:val="en-AU"/>
        </w:rPr>
      </w:pPr>
      <w:r w:rsidRPr="008D1918">
        <w:rPr>
          <w:rFonts w:eastAsia="Arial" w:cs="Arial"/>
          <w:color w:val="6B2976"/>
          <w:lang w:val="en-AU"/>
        </w:rPr>
        <w:t xml:space="preserve">The Socio-Economic Indexes for Areas – Index of Relative Socio-Economic Disadvantage decile score at the </w:t>
      </w:r>
      <w:r w:rsidRPr="008D1918" w:rsidR="00735291">
        <w:rPr>
          <w:rFonts w:eastAsia="Arial" w:cs="Arial"/>
          <w:color w:val="6B2976"/>
          <w:lang w:val="en-AU"/>
        </w:rPr>
        <w:t>Statistical Area 2</w:t>
      </w:r>
      <w:r w:rsidRPr="008D1918">
        <w:rPr>
          <w:rFonts w:eastAsia="Arial" w:cs="Arial"/>
          <w:color w:val="6B2976"/>
          <w:lang w:val="en-AU"/>
        </w:rPr>
        <w:t xml:space="preserve"> level is 5 or</w:t>
      </w:r>
      <w:r w:rsidR="001931F1">
        <w:rPr>
          <w:rFonts w:eastAsia="Arial" w:cs="Arial"/>
          <w:color w:val="6B2976"/>
          <w:lang w:val="en-AU"/>
        </w:rPr>
        <w:t> </w:t>
      </w:r>
      <w:r w:rsidRPr="008D1918">
        <w:rPr>
          <w:rFonts w:eastAsia="Arial" w:cs="Arial"/>
          <w:color w:val="6B2976"/>
          <w:lang w:val="en-AU"/>
        </w:rPr>
        <w:t>below</w:t>
      </w:r>
      <w:r w:rsidRPr="008D1918" w:rsidR="009E0C08">
        <w:rPr>
          <w:rFonts w:eastAsia="Arial" w:cs="Arial"/>
          <w:color w:val="6B2976"/>
          <w:lang w:val="en-AU"/>
        </w:rPr>
        <w:t>.</w:t>
      </w:r>
    </w:p>
    <w:p w:rsidR="001931F1" w:rsidRDefault="001931F1" w14:paraId="7BCCD9E1" w14:textId="77777777">
      <w:pPr>
        <w:spacing w:after="0" w:line="240" w:lineRule="auto"/>
        <w:rPr>
          <w:rFonts w:eastAsia="Arial" w:cs="Arial"/>
          <w:color w:val="6B2976"/>
          <w:lang w:val="en-AU"/>
        </w:rPr>
      </w:pPr>
      <w:r>
        <w:rPr>
          <w:rFonts w:eastAsia="Arial" w:cs="Arial"/>
          <w:color w:val="6B2976"/>
          <w:lang w:val="en-AU"/>
        </w:rPr>
        <w:br w:type="page"/>
      </w:r>
    </w:p>
    <w:p w:rsidRPr="008D1918" w:rsidR="47C5EE85" w:rsidP="00245B10" w:rsidRDefault="7EF9F6D0" w14:paraId="45E4CA92" w14:textId="64A7BC6B">
      <w:pPr>
        <w:pStyle w:val="RecommendationH4"/>
        <w:rPr>
          <w:rFonts w:eastAsia="Arial" w:cs="Arial"/>
        </w:rPr>
      </w:pPr>
      <w:r w:rsidRPr="008D1918">
        <w:t xml:space="preserve">Recommendation </w:t>
      </w:r>
      <w:r w:rsidRPr="008D1918" w:rsidR="00D760E5">
        <w:t>19</w:t>
      </w:r>
      <w:r w:rsidRPr="008D1918">
        <w:t>:</w:t>
      </w:r>
    </w:p>
    <w:p w:rsidRPr="008D1918" w:rsidR="47C5EE85" w:rsidP="00EE298B" w:rsidRDefault="7EF9F6D0" w14:paraId="07C76113" w14:textId="3DAC4EBB">
      <w:pPr>
        <w:pStyle w:val="Normalrecommendationtext"/>
        <w:spacing w:line="288" w:lineRule="auto"/>
        <w:rPr>
          <w:rFonts w:eastAsia="Arial" w:cs="Arial"/>
          <w:color w:val="6B2976"/>
        </w:rPr>
      </w:pPr>
      <w:r w:rsidRPr="008D1918">
        <w:rPr>
          <w:rFonts w:eastAsia="Arial"/>
        </w:rPr>
        <w:t xml:space="preserve">The NDIA should monitor and evaluate market levers implemented for locations in the Type 2 </w:t>
      </w:r>
      <w:r w:rsidRPr="008D1918" w:rsidR="00673E3C">
        <w:rPr>
          <w:rFonts w:eastAsia="Arial"/>
        </w:rPr>
        <w:t>Isolated Towns Modification</w:t>
      </w:r>
      <w:r w:rsidRPr="008D1918">
        <w:rPr>
          <w:rFonts w:eastAsia="Arial"/>
        </w:rPr>
        <w:t xml:space="preserve"> for the duration of the </w:t>
      </w:r>
      <w:r w:rsidRPr="008D1918" w:rsidR="006A69E1">
        <w:rPr>
          <w:rFonts w:eastAsia="Arial"/>
        </w:rPr>
        <w:t>adjustment</w:t>
      </w:r>
      <w:r w:rsidRPr="008D1918">
        <w:rPr>
          <w:rFonts w:eastAsia="Arial"/>
        </w:rPr>
        <w:t>. This will allow further investigation to understand the impact of changes made and any unintended consequences of the market intervention</w:t>
      </w:r>
      <w:r w:rsidRPr="008D1918" w:rsidR="1E4802B2">
        <w:rPr>
          <w:rFonts w:eastAsia="Arial"/>
        </w:rPr>
        <w:t xml:space="preserve"> to inform future</w:t>
      </w:r>
      <w:r w:rsidRPr="008D1918" w:rsidR="00CF4737">
        <w:rPr>
          <w:rFonts w:eastAsia="Arial"/>
        </w:rPr>
        <w:t xml:space="preserve"> guidance and advice</w:t>
      </w:r>
      <w:r w:rsidRPr="008D1918">
        <w:rPr>
          <w:rFonts w:eastAsia="Arial"/>
        </w:rPr>
        <w:t>.</w:t>
      </w:r>
    </w:p>
    <w:p w:rsidRPr="008D1918" w:rsidR="00623D83" w:rsidP="00623D83" w:rsidRDefault="00623D83" w14:paraId="2FA69381" w14:textId="54461694">
      <w:pPr>
        <w:rPr>
          <w:rFonts w:eastAsia="Arial" w:cs="Arial"/>
          <w:lang w:val="en-AU"/>
        </w:rPr>
      </w:pPr>
      <w:bookmarkStart w:name="_Toc223539610" w:id="293"/>
      <w:bookmarkStart w:name="_Toc223539823" w:id="294"/>
      <w:bookmarkStart w:name="_Toc223540291" w:id="295"/>
      <w:bookmarkStart w:name="_Toc223540507" w:id="296"/>
      <w:bookmarkStart w:name="_Toc223542047" w:id="297"/>
      <w:r w:rsidRPr="008D1918">
        <w:rPr>
          <w:rFonts w:eastAsia="Arial" w:cs="Arial"/>
          <w:lang w:val="en-AU"/>
        </w:rPr>
        <w:br w:type="page"/>
      </w:r>
    </w:p>
    <w:p w:rsidRPr="008D1918" w:rsidR="000223C0" w:rsidP="00FF598A" w:rsidRDefault="000223C0" w14:paraId="54F4A130" w14:textId="5130DC16">
      <w:pPr>
        <w:pStyle w:val="Heading21"/>
        <w:ind w:left="1077" w:hanging="720"/>
      </w:pPr>
      <w:bookmarkStart w:name="_Toc223604205" w:id="298"/>
      <w:bookmarkStart w:name="_Toc223604444" w:id="299"/>
      <w:bookmarkStart w:name="_Toc227337040" w:id="300"/>
      <w:r w:rsidRPr="008D1918">
        <w:t>Introduction</w:t>
      </w:r>
      <w:bookmarkEnd w:id="293"/>
      <w:bookmarkEnd w:id="294"/>
      <w:bookmarkEnd w:id="295"/>
      <w:bookmarkEnd w:id="296"/>
      <w:bookmarkEnd w:id="297"/>
      <w:bookmarkEnd w:id="298"/>
      <w:bookmarkEnd w:id="299"/>
      <w:bookmarkEnd w:id="300"/>
    </w:p>
    <w:p w:rsidRPr="008D1918" w:rsidR="00252CB0" w:rsidP="000922FE" w:rsidRDefault="002D0E1D" w14:paraId="73ADF2C4" w14:textId="7C4A7033">
      <w:pPr>
        <w:pStyle w:val="Heading31"/>
        <w:ind w:left="1077" w:hanging="720"/>
      </w:pPr>
      <w:bookmarkStart w:name="_Toc196754577" w:id="301"/>
      <w:bookmarkStart w:name="_Toc196758212" w:id="302"/>
      <w:bookmarkStart w:name="_Toc197344288" w:id="303"/>
      <w:bookmarkStart w:name="_Toc200271566" w:id="304"/>
      <w:bookmarkStart w:name="_Toc223539611" w:id="305"/>
      <w:bookmarkStart w:name="_Toc223539824" w:id="306"/>
      <w:bookmarkStart w:name="_Toc223540292" w:id="307"/>
      <w:bookmarkStart w:name="_Toc223540508" w:id="308"/>
      <w:bookmarkStart w:name="_Toc223542048" w:id="309"/>
      <w:bookmarkStart w:name="_Toc223604206" w:id="310"/>
      <w:bookmarkStart w:name="_Toc223604445" w:id="311"/>
      <w:bookmarkStart w:name="_Toc227337041" w:id="312"/>
      <w:r w:rsidRPr="008D1918">
        <w:t>Context</w:t>
      </w:r>
      <w:bookmarkEnd w:id="301"/>
      <w:bookmarkEnd w:id="302"/>
      <w:bookmarkEnd w:id="303"/>
      <w:bookmarkEnd w:id="304"/>
      <w:bookmarkEnd w:id="305"/>
      <w:bookmarkEnd w:id="306"/>
      <w:bookmarkEnd w:id="307"/>
      <w:bookmarkEnd w:id="308"/>
      <w:bookmarkEnd w:id="309"/>
      <w:bookmarkEnd w:id="310"/>
      <w:bookmarkEnd w:id="311"/>
      <w:bookmarkEnd w:id="312"/>
    </w:p>
    <w:p w:rsidRPr="008D1918" w:rsidR="002D631B" w:rsidP="002D631B" w:rsidRDefault="002D631B" w14:paraId="3961E075" w14:textId="4256DA51">
      <w:pPr>
        <w:rPr>
          <w:lang w:val="en-AU"/>
        </w:rPr>
      </w:pPr>
      <w:r w:rsidRPr="008D1918" w:rsidDel="002D631B">
        <w:rPr>
          <w:lang w:val="en-AU"/>
        </w:rPr>
        <w:t xml:space="preserve">The </w:t>
      </w:r>
      <w:r w:rsidRPr="008D1918">
        <w:rPr>
          <w:lang w:val="en-AU"/>
        </w:rPr>
        <w:t xml:space="preserve">NDIS </w:t>
      </w:r>
      <w:r w:rsidRPr="008D1918" w:rsidDel="002D631B">
        <w:rPr>
          <w:lang w:val="en-AU"/>
        </w:rPr>
        <w:t>was</w:t>
      </w:r>
      <w:r w:rsidRPr="008D1918" w:rsidR="00551762">
        <w:rPr>
          <w:lang w:val="en-AU"/>
        </w:rPr>
        <w:t xml:space="preserve"> </w:t>
      </w:r>
      <w:r w:rsidRPr="008D1918" w:rsidDel="002D631B">
        <w:rPr>
          <w:lang w:val="en-AU"/>
        </w:rPr>
        <w:t>established</w:t>
      </w:r>
      <w:r w:rsidRPr="008D1918" w:rsidR="00551762">
        <w:rPr>
          <w:lang w:val="en-AU"/>
        </w:rPr>
        <w:t xml:space="preserve"> </w:t>
      </w:r>
      <w:r w:rsidRPr="008D1918" w:rsidDel="002D631B">
        <w:rPr>
          <w:lang w:val="en-AU"/>
        </w:rPr>
        <w:t>in 2013 to support people with disability to pursue their goals, help them to</w:t>
      </w:r>
      <w:r w:rsidRPr="008D1918" w:rsidR="00551762">
        <w:rPr>
          <w:lang w:val="en-AU"/>
        </w:rPr>
        <w:t xml:space="preserve"> </w:t>
      </w:r>
      <w:r w:rsidRPr="008D1918" w:rsidDel="002D631B">
        <w:rPr>
          <w:lang w:val="en-AU"/>
        </w:rPr>
        <w:t>realise</w:t>
      </w:r>
      <w:r w:rsidRPr="008D1918" w:rsidR="00551762">
        <w:rPr>
          <w:lang w:val="en-AU"/>
        </w:rPr>
        <w:t xml:space="preserve"> </w:t>
      </w:r>
      <w:r w:rsidRPr="008D1918" w:rsidDel="002D631B">
        <w:rPr>
          <w:lang w:val="en-AU"/>
        </w:rPr>
        <w:t>their full potential, assist</w:t>
      </w:r>
      <w:r w:rsidRPr="008D1918" w:rsidR="00551762">
        <w:rPr>
          <w:lang w:val="en-AU"/>
        </w:rPr>
        <w:t xml:space="preserve"> </w:t>
      </w:r>
      <w:r w:rsidRPr="008D1918" w:rsidDel="002D631B">
        <w:rPr>
          <w:lang w:val="en-AU"/>
        </w:rPr>
        <w:t>them to</w:t>
      </w:r>
      <w:r w:rsidRPr="008D1918" w:rsidR="00551762">
        <w:rPr>
          <w:lang w:val="en-AU"/>
        </w:rPr>
        <w:t xml:space="preserve"> </w:t>
      </w:r>
      <w:r w:rsidRPr="008D1918" w:rsidDel="002D631B">
        <w:rPr>
          <w:lang w:val="en-AU"/>
        </w:rPr>
        <w:t>participate</w:t>
      </w:r>
      <w:r w:rsidRPr="008D1918" w:rsidR="00551762">
        <w:rPr>
          <w:lang w:val="en-AU"/>
        </w:rPr>
        <w:t xml:space="preserve"> </w:t>
      </w:r>
      <w:r w:rsidRPr="008D1918" w:rsidDel="002D631B">
        <w:rPr>
          <w:lang w:val="en-AU"/>
        </w:rPr>
        <w:t>in</w:t>
      </w:r>
      <w:r w:rsidRPr="008D1918" w:rsidR="00551762">
        <w:rPr>
          <w:lang w:val="en-AU"/>
        </w:rPr>
        <w:t xml:space="preserve"> </w:t>
      </w:r>
      <w:r w:rsidRPr="008D1918" w:rsidDel="002D631B">
        <w:rPr>
          <w:lang w:val="en-AU"/>
        </w:rPr>
        <w:t xml:space="preserve">and contribute to society, and empower them to exercise choice and control over their lives and futures. </w:t>
      </w:r>
      <w:r w:rsidRPr="008D1918">
        <w:rPr>
          <w:lang w:val="en-AU"/>
        </w:rPr>
        <w:t xml:space="preserve">The NDIS provides funding to eligible </w:t>
      </w:r>
      <w:r w:rsidRPr="008D1918" w:rsidDel="002D631B">
        <w:rPr>
          <w:lang w:val="en-AU"/>
        </w:rPr>
        <w:t>individuals (</w:t>
      </w:r>
      <w:r w:rsidRPr="008D1918">
        <w:rPr>
          <w:lang w:val="en-AU"/>
        </w:rPr>
        <w:t>participants</w:t>
      </w:r>
      <w:r w:rsidRPr="008D1918" w:rsidDel="002D631B">
        <w:rPr>
          <w:lang w:val="en-AU"/>
        </w:rPr>
        <w:t>)</w:t>
      </w:r>
      <w:r w:rsidRPr="008D1918">
        <w:rPr>
          <w:lang w:val="en-AU"/>
        </w:rPr>
        <w:t xml:space="preserve"> so they can</w:t>
      </w:r>
      <w:r w:rsidRPr="008D1918" w:rsidR="00623D83">
        <w:rPr>
          <w:lang w:val="en-AU"/>
        </w:rPr>
        <w:t xml:space="preserve"> </w:t>
      </w:r>
      <w:r w:rsidRPr="008D1918">
        <w:rPr>
          <w:lang w:val="en-AU"/>
        </w:rPr>
        <w:t>purchase the disability-related goods and services (supports) they need</w:t>
      </w:r>
      <w:r w:rsidRPr="008D1918" w:rsidR="006401B0">
        <w:rPr>
          <w:lang w:val="en-AU"/>
        </w:rPr>
        <w:t xml:space="preserve"> in the open market</w:t>
      </w:r>
      <w:r w:rsidRPr="008D1918">
        <w:rPr>
          <w:lang w:val="en-AU"/>
        </w:rPr>
        <w:t>.</w:t>
      </w:r>
    </w:p>
    <w:p w:rsidRPr="008D1918" w:rsidR="002D631B" w:rsidP="5094E1B8" w:rsidRDefault="00DC7CCF" w14:paraId="04151AD2" w14:textId="7C14DD67">
      <w:pPr>
        <w:rPr>
          <w:lang w:val="en-AU"/>
        </w:rPr>
      </w:pPr>
      <w:r w:rsidRPr="008D1918">
        <w:rPr>
          <w:lang w:val="en-AU"/>
        </w:rPr>
        <w:t>In carrying out its functions, t</w:t>
      </w:r>
      <w:r w:rsidRPr="008D1918" w:rsidR="002D631B">
        <w:rPr>
          <w:lang w:val="en-AU"/>
        </w:rPr>
        <w:t>he NDIA</w:t>
      </w:r>
      <w:r w:rsidRPr="008D1918" w:rsidR="00623D83">
        <w:rPr>
          <w:lang w:val="en-AU"/>
        </w:rPr>
        <w:t xml:space="preserve"> </w:t>
      </w:r>
      <w:r w:rsidRPr="008D1918" w:rsidR="00ED7208">
        <w:rPr>
          <w:lang w:val="en-AU"/>
        </w:rPr>
        <w:t>considers whether</w:t>
      </w:r>
      <w:r w:rsidRPr="008D1918" w:rsidR="002D631B">
        <w:rPr>
          <w:lang w:val="en-AU"/>
        </w:rPr>
        <w:t xml:space="preserve"> </w:t>
      </w:r>
      <w:r w:rsidRPr="008D1918" w:rsidR="007A2FBD">
        <w:rPr>
          <w:lang w:val="en-AU"/>
        </w:rPr>
        <w:t xml:space="preserve">the </w:t>
      </w:r>
      <w:r w:rsidRPr="008D1918" w:rsidR="002D631B">
        <w:rPr>
          <w:lang w:val="en-AU"/>
        </w:rPr>
        <w:t>price</w:t>
      </w:r>
      <w:r w:rsidRPr="008D1918" w:rsidR="00ED7208">
        <w:rPr>
          <w:lang w:val="en-AU"/>
        </w:rPr>
        <w:t>s</w:t>
      </w:r>
      <w:r w:rsidRPr="008D1918" w:rsidR="002D631B">
        <w:rPr>
          <w:lang w:val="en-AU"/>
        </w:rPr>
        <w:t xml:space="preserve"> and market settings that </w:t>
      </w:r>
      <w:r w:rsidRPr="008D1918" w:rsidR="00ED7208">
        <w:rPr>
          <w:lang w:val="en-AU"/>
        </w:rPr>
        <w:t xml:space="preserve">apply in </w:t>
      </w:r>
      <w:r w:rsidRPr="008D1918" w:rsidR="002D631B">
        <w:rPr>
          <w:lang w:val="en-AU"/>
        </w:rPr>
        <w:t>this market remain</w:t>
      </w:r>
      <w:r w:rsidRPr="008D1918" w:rsidR="00623D83">
        <w:rPr>
          <w:lang w:val="en-AU"/>
        </w:rPr>
        <w:t xml:space="preserve"> </w:t>
      </w:r>
      <w:r w:rsidRPr="008D1918" w:rsidR="002D631B">
        <w:rPr>
          <w:lang w:val="en-AU"/>
        </w:rPr>
        <w:t>appropriate</w:t>
      </w:r>
      <w:r w:rsidRPr="008D1918" w:rsidR="00623D83">
        <w:rPr>
          <w:lang w:val="en-AU"/>
        </w:rPr>
        <w:t xml:space="preserve"> </w:t>
      </w:r>
      <w:r w:rsidRPr="008D1918" w:rsidR="002D631B">
        <w:rPr>
          <w:lang w:val="en-AU"/>
        </w:rPr>
        <w:t>and reflect current market conditions.</w:t>
      </w:r>
    </w:p>
    <w:p w:rsidRPr="008D1918" w:rsidR="00DC7CCF" w:rsidP="00DC7CCF" w:rsidRDefault="00DC7CCF" w14:paraId="069DA74D" w14:textId="26647B11">
      <w:pPr>
        <w:rPr>
          <w:rFonts w:eastAsia="Segoe UI"/>
        </w:rPr>
      </w:pPr>
      <w:r w:rsidRPr="008D1918">
        <w:rPr>
          <w:rFonts w:eastAsia="Segoe UI"/>
        </w:rPr>
        <w:t xml:space="preserve">On 14 May 2026, the National Disability Insurance Scheme Amendment (Securing the NDIS for Future Generations) Bill 2026 was introduced into Parliament. Amongst other things, the Bill proposes to amend the </w:t>
      </w:r>
      <w:r w:rsidRPr="008D1918">
        <w:rPr>
          <w:rFonts w:eastAsia="Segoe UI"/>
          <w:i/>
          <w:iCs/>
        </w:rPr>
        <w:t>National Disability Insurance Scheme Act 2013</w:t>
      </w:r>
      <w:r w:rsidRPr="008D1918">
        <w:rPr>
          <w:rFonts w:eastAsia="Segoe UI"/>
        </w:rPr>
        <w:t xml:space="preserve"> (NDIS Act) to provide the Minister with the power to make a pricing determination. It would also confer the NDIA with a specific function to provide advice to the Minister</w:t>
      </w:r>
      <w:r w:rsidRPr="008D1918" w:rsidR="00096346">
        <w:rPr>
          <w:rFonts w:eastAsia="Segoe UI"/>
        </w:rPr>
        <w:t xml:space="preserve"> for the NDIS</w:t>
      </w:r>
      <w:r w:rsidRPr="008D1918">
        <w:rPr>
          <w:rFonts w:eastAsia="Segoe UI"/>
        </w:rPr>
        <w:t xml:space="preserve"> for the purposes of making a pricing determination.  </w:t>
      </w:r>
    </w:p>
    <w:p w:rsidRPr="008D1918" w:rsidR="00DC7CCF" w:rsidP="00DC7CCF" w:rsidRDefault="00DC7CCF" w14:paraId="1704F510" w14:textId="34BF2983">
      <w:pPr>
        <w:rPr>
          <w:lang w:val="en-AU"/>
        </w:rPr>
      </w:pPr>
      <w:r w:rsidRPr="008D1918">
        <w:rPr>
          <w:rFonts w:eastAsia="Segoe UI"/>
        </w:rPr>
        <w:t>Consistent with the NDIA’s existing functions, this year’s APR sets out guidance and views regarding appropriate NDIS prices. If the Bill is subsequently passed, it is anticipated the APR will then be used to inform advice provided by the NDIA to the Minister</w:t>
      </w:r>
      <w:r w:rsidRPr="008D1918" w:rsidR="00096346">
        <w:rPr>
          <w:rFonts w:eastAsia="Segoe UI"/>
        </w:rPr>
        <w:t xml:space="preserve"> for the NDIS</w:t>
      </w:r>
      <w:r w:rsidRPr="008D1918">
        <w:rPr>
          <w:rFonts w:eastAsia="Segoe UI"/>
        </w:rPr>
        <w:t xml:space="preserve"> for the purposes of making a pricing determination.</w:t>
      </w:r>
    </w:p>
    <w:p w:rsidRPr="008D1918" w:rsidR="00587AC4" w:rsidP="00805AA3" w:rsidRDefault="002D631B" w14:paraId="403E10C5" w14:textId="7CA9BB9D">
      <w:pPr>
        <w:pStyle w:val="Heading31"/>
        <w:ind w:left="1077" w:hanging="720"/>
      </w:pPr>
      <w:bookmarkStart w:name="_Toc223539612" w:id="313"/>
      <w:bookmarkStart w:name="_Toc223539825" w:id="314"/>
      <w:bookmarkStart w:name="_Toc223540293" w:id="315"/>
      <w:bookmarkStart w:name="_Toc223540509" w:id="316"/>
      <w:bookmarkStart w:name="_Toc223542049" w:id="317"/>
      <w:bookmarkStart w:name="_Toc223604207" w:id="318"/>
      <w:bookmarkStart w:name="_Toc223604446" w:id="319"/>
      <w:bookmarkStart w:name="_Toc227337042" w:id="320"/>
      <w:r w:rsidRPr="008D1918">
        <w:t xml:space="preserve">The </w:t>
      </w:r>
      <w:r w:rsidRPr="008D1918" w:rsidR="365115F9">
        <w:t xml:space="preserve">NDIA’s </w:t>
      </w:r>
      <w:r w:rsidRPr="008D1918">
        <w:t>market stewardship r</w:t>
      </w:r>
      <w:r w:rsidRPr="008D1918" w:rsidR="365115F9">
        <w:t>ole</w:t>
      </w:r>
      <w:bookmarkEnd w:id="313"/>
      <w:bookmarkEnd w:id="314"/>
      <w:bookmarkEnd w:id="315"/>
      <w:bookmarkEnd w:id="316"/>
      <w:bookmarkEnd w:id="317"/>
      <w:bookmarkEnd w:id="318"/>
      <w:bookmarkEnd w:id="319"/>
      <w:bookmarkEnd w:id="320"/>
    </w:p>
    <w:p w:rsidRPr="008D1918" w:rsidR="00587AC4" w:rsidP="00587AC4" w:rsidRDefault="00587AC4" w14:paraId="53DA2D63" w14:textId="24A84FB9">
      <w:pPr>
        <w:rPr>
          <w:lang w:val="en-AU"/>
        </w:rPr>
      </w:pPr>
      <w:r w:rsidRPr="008D1918">
        <w:rPr>
          <w:lang w:val="en-AU"/>
        </w:rPr>
        <w:t xml:space="preserve">The Australian Government’s stewardship of disability support markets is a shared responsibility. The Department of Health, Disability and Ageing </w:t>
      </w:r>
      <w:r w:rsidRPr="008D1918" w:rsidR="00026CEB">
        <w:rPr>
          <w:lang w:val="en-AU"/>
        </w:rPr>
        <w:t xml:space="preserve">(DHDA) </w:t>
      </w:r>
      <w:r w:rsidRPr="008D1918">
        <w:rPr>
          <w:lang w:val="en-AU"/>
        </w:rPr>
        <w:t xml:space="preserve">leads the overall market stewardship framework, with the NDIA, the NDIS </w:t>
      </w:r>
      <w:r w:rsidRPr="008D1918" w:rsidR="00E67F80">
        <w:rPr>
          <w:lang w:val="en-AU"/>
        </w:rPr>
        <w:t xml:space="preserve">Quality and Safeguards </w:t>
      </w:r>
      <w:r w:rsidRPr="008D1918" w:rsidR="29DFD9B3">
        <w:rPr>
          <w:lang w:val="en-AU"/>
        </w:rPr>
        <w:t>Commission</w:t>
      </w:r>
      <w:r w:rsidRPr="008D1918" w:rsidR="00E67F80">
        <w:rPr>
          <w:lang w:val="en-AU"/>
        </w:rPr>
        <w:t xml:space="preserve"> (NDIS Commission)</w:t>
      </w:r>
      <w:r w:rsidRPr="008D1918">
        <w:rPr>
          <w:lang w:val="en-AU"/>
        </w:rPr>
        <w:t>, and state and territory governments each contributing within their areas of responsibility. DHDA’s leadership role encompasses the broader policy settings that shape market conditions</w:t>
      </w:r>
      <w:r w:rsidRPr="008D1918" w:rsidR="005E77C2">
        <w:rPr>
          <w:lang w:val="en-AU"/>
        </w:rPr>
        <w:t xml:space="preserve">. The </w:t>
      </w:r>
      <w:r w:rsidRPr="008D1918">
        <w:rPr>
          <w:lang w:val="en-AU"/>
        </w:rPr>
        <w:t xml:space="preserve">NDIA exercises its functions </w:t>
      </w:r>
      <w:r w:rsidRPr="008D1918" w:rsidR="00DC7CCF">
        <w:rPr>
          <w:lang w:val="en-AU"/>
        </w:rPr>
        <w:t xml:space="preserve">in this regard </w:t>
      </w:r>
      <w:r w:rsidRPr="008D1918">
        <w:rPr>
          <w:lang w:val="en-AU"/>
        </w:rPr>
        <w:t xml:space="preserve">primarily through </w:t>
      </w:r>
      <w:r w:rsidRPr="008D1918" w:rsidR="00ED7208">
        <w:rPr>
          <w:lang w:val="en-AU"/>
        </w:rPr>
        <w:t>providing guidance regarding appropriate NDI</w:t>
      </w:r>
      <w:r w:rsidRPr="008D1918" w:rsidR="00C05D37">
        <w:rPr>
          <w:lang w:val="en-AU"/>
        </w:rPr>
        <w:t>S</w:t>
      </w:r>
      <w:r w:rsidRPr="008D1918" w:rsidR="00ED7208">
        <w:rPr>
          <w:lang w:val="en-AU"/>
        </w:rPr>
        <w:t xml:space="preserve"> </w:t>
      </w:r>
      <w:r w:rsidRPr="008D1918">
        <w:rPr>
          <w:lang w:val="en-AU"/>
        </w:rPr>
        <w:t>pricing</w:t>
      </w:r>
      <w:r w:rsidR="004F25C1">
        <w:rPr>
          <w:lang w:val="en-AU"/>
        </w:rPr>
        <w:t>,</w:t>
      </w:r>
      <w:r w:rsidRPr="008D1918" w:rsidR="00ED7208">
        <w:rPr>
          <w:lang w:val="en-AU"/>
        </w:rPr>
        <w:t xml:space="preserve"> possibilities for</w:t>
      </w:r>
      <w:r w:rsidRPr="008D1918">
        <w:rPr>
          <w:lang w:val="en-AU"/>
        </w:rPr>
        <w:t xml:space="preserve"> targeted intervention where markets are not functioning effectively</w:t>
      </w:r>
      <w:r w:rsidRPr="008D1918" w:rsidR="00ED7208">
        <w:rPr>
          <w:lang w:val="en-AU"/>
        </w:rPr>
        <w:t>, and market monitoring</w:t>
      </w:r>
      <w:r w:rsidRPr="008D1918">
        <w:rPr>
          <w:lang w:val="en-AU"/>
        </w:rPr>
        <w:t>.</w:t>
      </w:r>
    </w:p>
    <w:p w:rsidRPr="008D1918" w:rsidR="00A93BEC" w:rsidP="00587AC4" w:rsidRDefault="00A93BEC" w14:paraId="5668B5BA" w14:textId="3D31EFE8">
      <w:pPr>
        <w:rPr>
          <w:lang w:val="en-AU"/>
        </w:rPr>
      </w:pPr>
      <w:r w:rsidRPr="008D1918">
        <w:rPr>
          <w:lang w:val="en-AU"/>
        </w:rPr>
        <w:t xml:space="preserve">Within this shared framework, the NDIA’s stewardship role is exercised principally through </w:t>
      </w:r>
      <w:r w:rsidRPr="008D1918" w:rsidR="00ED7208">
        <w:rPr>
          <w:lang w:val="en-AU"/>
        </w:rPr>
        <w:t>making recommendations concerning prices</w:t>
      </w:r>
      <w:r w:rsidRPr="008D1918">
        <w:rPr>
          <w:lang w:val="en-AU"/>
        </w:rPr>
        <w:t>. Price</w:t>
      </w:r>
      <w:r w:rsidRPr="008D1918" w:rsidR="00ED7208">
        <w:rPr>
          <w:lang w:val="en-AU"/>
        </w:rPr>
        <w:t>s</w:t>
      </w:r>
      <w:r w:rsidRPr="008D1918">
        <w:rPr>
          <w:lang w:val="en-AU"/>
        </w:rPr>
        <w:t xml:space="preserve"> influence provider behaviour, shape market entry and exit, and affect the quality and range of supports available to participants. </w:t>
      </w:r>
      <w:r w:rsidRPr="008D1918" w:rsidR="00ED7208">
        <w:rPr>
          <w:lang w:val="en-AU"/>
        </w:rPr>
        <w:t>Providing guidance on</w:t>
      </w:r>
      <w:r w:rsidRPr="008D1918">
        <w:rPr>
          <w:lang w:val="en-AU"/>
        </w:rPr>
        <w:t xml:space="preserve"> pricing requires coordination with </w:t>
      </w:r>
      <w:r w:rsidRPr="008D1918">
        <w:rPr>
          <w:lang w:val="en-AU"/>
        </w:rPr>
        <w:t>regulatory, quality assurance and workforce policy settings managed by other agencies. The Pricing Interdepartmental Committee</w:t>
      </w:r>
      <w:r w:rsidRPr="008D1918" w:rsidR="006A1AA4">
        <w:rPr>
          <w:lang w:val="en-AU"/>
        </w:rPr>
        <w:t xml:space="preserve"> (IDC)</w:t>
      </w:r>
      <w:r w:rsidRPr="008D1918">
        <w:rPr>
          <w:lang w:val="en-AU"/>
        </w:rPr>
        <w:t xml:space="preserve">, established in November 2022, provides the primary mechanism for this coordination, bringing together senior representatives from DHDA, </w:t>
      </w:r>
      <w:r w:rsidRPr="008D1918" w:rsidR="0073554F">
        <w:rPr>
          <w:lang w:val="en-AU"/>
        </w:rPr>
        <w:t xml:space="preserve">as well as </w:t>
      </w:r>
      <w:r w:rsidRPr="008D1918">
        <w:rPr>
          <w:lang w:val="en-AU"/>
        </w:rPr>
        <w:t xml:space="preserve">the Department of Finance, </w:t>
      </w:r>
      <w:r w:rsidRPr="008D1918" w:rsidR="003079E8">
        <w:rPr>
          <w:lang w:val="en-AU"/>
        </w:rPr>
        <w:t xml:space="preserve">the </w:t>
      </w:r>
      <w:r w:rsidRPr="008D1918">
        <w:rPr>
          <w:lang w:val="en-AU"/>
        </w:rPr>
        <w:t>Treasury, and the Department of the Prime Minister and Cabinet. This cross-government governance ensures pricing decisions are informed</w:t>
      </w:r>
      <w:r w:rsidRPr="008D1918" w:rsidR="003508B0">
        <w:rPr>
          <w:rFonts w:ascii="Segoe UI" w:hAnsi="Segoe UI" w:cs="Segoe UI"/>
          <w:sz w:val="21"/>
          <w:szCs w:val="21"/>
          <w:lang w:val="en-AU" w:eastAsia="en-AU"/>
        </w:rPr>
        <w:t xml:space="preserve"> </w:t>
      </w:r>
      <w:r w:rsidRPr="008D1918" w:rsidR="003508B0">
        <w:rPr>
          <w:lang w:val="en-AU"/>
        </w:rPr>
        <w:t>by whole</w:t>
      </w:r>
      <w:r w:rsidRPr="008D1918" w:rsidR="76A2BA04">
        <w:rPr>
          <w:lang w:val="en-AU"/>
        </w:rPr>
        <w:t xml:space="preserve"> </w:t>
      </w:r>
      <w:r w:rsidRPr="008D1918" w:rsidR="003508B0">
        <w:rPr>
          <w:lang w:val="en-AU"/>
        </w:rPr>
        <w:t>of</w:t>
      </w:r>
      <w:r w:rsidRPr="008D1918" w:rsidR="010415A4">
        <w:rPr>
          <w:lang w:val="en-AU"/>
        </w:rPr>
        <w:t xml:space="preserve"> </w:t>
      </w:r>
      <w:r w:rsidRPr="008D1918" w:rsidR="003508B0">
        <w:rPr>
          <w:lang w:val="en-AU"/>
        </w:rPr>
        <w:t>government fiscal, policy and market considerations, and aligned across agencies</w:t>
      </w:r>
      <w:r w:rsidRPr="008D1918">
        <w:rPr>
          <w:lang w:val="en-AU"/>
        </w:rPr>
        <w:t>.</w:t>
      </w:r>
    </w:p>
    <w:p w:rsidRPr="008D1918" w:rsidR="00E86BAF" w:rsidP="00F5178C" w:rsidRDefault="00E86BAF" w14:paraId="151748CD" w14:textId="7E6CA9C9">
      <w:pPr>
        <w:pStyle w:val="Heading31"/>
      </w:pPr>
      <w:r w:rsidRPr="008D1918">
        <w:t>Scope and limitations of this review</w:t>
      </w:r>
    </w:p>
    <w:p w:rsidRPr="008D1918" w:rsidR="0002621D" w:rsidP="00507DEE" w:rsidRDefault="0002621D" w14:paraId="6E6C2F85" w14:textId="4734870A">
      <w:pPr>
        <w:rPr>
          <w:lang w:val="en-AU"/>
        </w:rPr>
      </w:pPr>
      <w:r w:rsidRPr="008D1918">
        <w:rPr>
          <w:lang w:val="en-AU"/>
        </w:rPr>
        <w:t>The APR assess</w:t>
      </w:r>
      <w:r w:rsidRPr="008D1918" w:rsidR="009A6784">
        <w:rPr>
          <w:lang w:val="en-AU"/>
        </w:rPr>
        <w:t>es</w:t>
      </w:r>
      <w:r w:rsidRPr="008D1918">
        <w:rPr>
          <w:lang w:val="en-AU"/>
        </w:rPr>
        <w:t xml:space="preserve"> whether current</w:t>
      </w:r>
      <w:r w:rsidRPr="008D1918" w:rsidR="004F6F04">
        <w:rPr>
          <w:lang w:val="en-AU"/>
        </w:rPr>
        <w:t xml:space="preserve"> NDIS</w:t>
      </w:r>
      <w:r w:rsidRPr="008D1918">
        <w:rPr>
          <w:lang w:val="en-AU"/>
        </w:rPr>
        <w:t xml:space="preserve"> price</w:t>
      </w:r>
      <w:r w:rsidRPr="008D1918" w:rsidR="004F6F04">
        <w:rPr>
          <w:lang w:val="en-AU"/>
        </w:rPr>
        <w:t>s</w:t>
      </w:r>
      <w:r w:rsidRPr="008D1918">
        <w:rPr>
          <w:lang w:val="en-AU"/>
        </w:rPr>
        <w:t xml:space="preserve"> remain appropriate and makes recommendations for the forthcoming financial year. </w:t>
      </w:r>
      <w:r w:rsidRPr="008D1918" w:rsidR="00507DEE">
        <w:rPr>
          <w:lang w:val="en-AU"/>
        </w:rPr>
        <w:t xml:space="preserve">It focuses on </w:t>
      </w:r>
      <w:r w:rsidRPr="008D1918" w:rsidR="000F4062">
        <w:rPr>
          <w:lang w:val="en-AU"/>
        </w:rPr>
        <w:t>price</w:t>
      </w:r>
      <w:r w:rsidRPr="008D1918" w:rsidR="004F6F04">
        <w:rPr>
          <w:lang w:val="en-AU"/>
        </w:rPr>
        <w:t>s</w:t>
      </w:r>
      <w:r w:rsidRPr="008D1918" w:rsidR="000F4062">
        <w:rPr>
          <w:lang w:val="en-AU"/>
        </w:rPr>
        <w:t xml:space="preserve"> that can be considered </w:t>
      </w:r>
      <w:r w:rsidRPr="008D1918" w:rsidR="006275B6">
        <w:rPr>
          <w:lang w:val="en-AU"/>
        </w:rPr>
        <w:t>based on</w:t>
      </w:r>
      <w:r w:rsidRPr="008D1918" w:rsidR="000F4062">
        <w:rPr>
          <w:lang w:val="en-AU"/>
        </w:rPr>
        <w:t xml:space="preserve"> current evidence, including market data, benchmarking, consultation and insights from the NDIA’s broader reform work.</w:t>
      </w:r>
    </w:p>
    <w:p w:rsidRPr="008D1918" w:rsidR="000F4062" w:rsidP="00507DEE" w:rsidRDefault="000F4062" w14:paraId="747E5456" w14:textId="76F62456">
      <w:pPr>
        <w:rPr>
          <w:lang w:val="en-AU"/>
        </w:rPr>
      </w:pPr>
      <w:r w:rsidRPr="008D1918">
        <w:rPr>
          <w:lang w:val="en-AU"/>
        </w:rPr>
        <w:t xml:space="preserve">The APR does not </w:t>
      </w:r>
      <w:r w:rsidRPr="008D1918" w:rsidR="004F6F04">
        <w:rPr>
          <w:lang w:val="en-AU"/>
        </w:rPr>
        <w:t xml:space="preserve">make recommendations for the </w:t>
      </w:r>
      <w:r w:rsidRPr="008D1918">
        <w:rPr>
          <w:lang w:val="en-AU"/>
        </w:rPr>
        <w:t>redesign</w:t>
      </w:r>
      <w:r w:rsidRPr="008D1918" w:rsidR="004F6F04">
        <w:rPr>
          <w:lang w:val="en-AU"/>
        </w:rPr>
        <w:t xml:space="preserve"> of</w:t>
      </w:r>
      <w:r w:rsidRPr="008D1918">
        <w:rPr>
          <w:lang w:val="en-AU"/>
        </w:rPr>
        <w:t xml:space="preserve"> the full pricing architecture of the Scheme or </w:t>
      </w:r>
      <w:r w:rsidRPr="008D1918" w:rsidR="004F6F04">
        <w:rPr>
          <w:lang w:val="en-AU"/>
        </w:rPr>
        <w:t xml:space="preserve">seek to </w:t>
      </w:r>
      <w:r w:rsidRPr="008D1918">
        <w:rPr>
          <w:lang w:val="en-AU"/>
        </w:rPr>
        <w:t xml:space="preserve">resolve longer-term structural questions at once. </w:t>
      </w:r>
      <w:r w:rsidRPr="008D1918" w:rsidR="00DC5162">
        <w:rPr>
          <w:lang w:val="en-AU"/>
        </w:rPr>
        <w:t>Recommendations for b</w:t>
      </w:r>
      <w:r w:rsidRPr="008D1918">
        <w:rPr>
          <w:lang w:val="en-AU"/>
        </w:rPr>
        <w:t xml:space="preserve">roader pricing reform </w:t>
      </w:r>
      <w:r w:rsidRPr="008D1918" w:rsidR="00DC5162">
        <w:rPr>
          <w:lang w:val="en-AU"/>
        </w:rPr>
        <w:t>are</w:t>
      </w:r>
      <w:r w:rsidRPr="008D1918">
        <w:rPr>
          <w:lang w:val="en-AU"/>
        </w:rPr>
        <w:t xml:space="preserve"> being progressed through the </w:t>
      </w:r>
      <w:r w:rsidRPr="008D1918" w:rsidR="00493BB6">
        <w:rPr>
          <w:lang w:val="en-AU"/>
        </w:rPr>
        <w:t xml:space="preserve">NDIA’s </w:t>
      </w:r>
      <w:r w:rsidRPr="008D1918" w:rsidR="00A16F79">
        <w:rPr>
          <w:lang w:val="en-AU"/>
        </w:rPr>
        <w:t>3</w:t>
      </w:r>
      <w:r w:rsidRPr="008D1918" w:rsidR="00493BB6">
        <w:rPr>
          <w:lang w:val="en-AU"/>
        </w:rPr>
        <w:t>-Year Pricing Workpla</w:t>
      </w:r>
      <w:r w:rsidRPr="008D1918" w:rsidR="000A0929">
        <w:rPr>
          <w:lang w:val="en-AU"/>
        </w:rPr>
        <w:t xml:space="preserve">n, including targeted reviews, pilot activity and more detailed design work in priority markets. </w:t>
      </w:r>
    </w:p>
    <w:p w:rsidRPr="008D1918" w:rsidR="000A0929" w:rsidP="00507DEE" w:rsidRDefault="00F879A3" w14:paraId="25FDE400" w14:textId="5FF523F4">
      <w:pPr>
        <w:rPr>
          <w:lang w:val="en-AU"/>
        </w:rPr>
      </w:pPr>
      <w:r w:rsidRPr="008D1918">
        <w:rPr>
          <w:lang w:val="en-AU"/>
        </w:rPr>
        <w:t>T</w:t>
      </w:r>
      <w:r w:rsidRPr="008D1918" w:rsidR="000A0929">
        <w:rPr>
          <w:lang w:val="en-AU"/>
        </w:rPr>
        <w:t xml:space="preserve">his APR makes </w:t>
      </w:r>
      <w:r w:rsidRPr="008D1918" w:rsidR="00FC56FE">
        <w:rPr>
          <w:lang w:val="en-AU"/>
        </w:rPr>
        <w:t xml:space="preserve">recommendations </w:t>
      </w:r>
      <w:r w:rsidRPr="008D1918" w:rsidR="000A0929">
        <w:rPr>
          <w:lang w:val="en-AU"/>
        </w:rPr>
        <w:t xml:space="preserve">where the evidence supports action </w:t>
      </w:r>
      <w:r w:rsidRPr="008D1918" w:rsidR="002359D1">
        <w:rPr>
          <w:lang w:val="en-AU"/>
        </w:rPr>
        <w:t>now</w:t>
      </w:r>
      <w:r w:rsidRPr="008D1918" w:rsidR="000A0929">
        <w:rPr>
          <w:lang w:val="en-AU"/>
        </w:rPr>
        <w:t xml:space="preserve"> and identifies areas where further work is </w:t>
      </w:r>
      <w:r w:rsidRPr="008D1918" w:rsidR="00390CC4">
        <w:rPr>
          <w:lang w:val="en-AU"/>
        </w:rPr>
        <w:t xml:space="preserve">being undertaken through the scheduled reform program. This reflects </w:t>
      </w:r>
      <w:r w:rsidRPr="008D1918" w:rsidR="006275B6">
        <w:rPr>
          <w:lang w:val="en-AU"/>
        </w:rPr>
        <w:t>a staged approach to reform</w:t>
      </w:r>
      <w:r w:rsidR="00043C34">
        <w:rPr>
          <w:lang w:val="en-AU"/>
        </w:rPr>
        <w:t xml:space="preserve"> </w:t>
      </w:r>
      <w:r w:rsidRPr="008D1918" w:rsidR="006275B6">
        <w:rPr>
          <w:lang w:val="en-AU"/>
        </w:rPr>
        <w:t xml:space="preserve">with annual </w:t>
      </w:r>
      <w:r w:rsidRPr="008D1918" w:rsidR="00FC56FE">
        <w:rPr>
          <w:lang w:val="en-AU"/>
        </w:rPr>
        <w:t>recommendations</w:t>
      </w:r>
      <w:r w:rsidRPr="008D1918" w:rsidR="006275B6">
        <w:rPr>
          <w:lang w:val="en-AU"/>
        </w:rPr>
        <w:t xml:space="preserve"> operating alongside deeper market and design </w:t>
      </w:r>
      <w:r w:rsidRPr="008D1918" w:rsidR="00FC56FE">
        <w:rPr>
          <w:lang w:val="en-AU"/>
        </w:rPr>
        <w:t xml:space="preserve">reform </w:t>
      </w:r>
      <w:r w:rsidRPr="008D1918" w:rsidR="006275B6">
        <w:rPr>
          <w:lang w:val="en-AU"/>
        </w:rPr>
        <w:t>over</w:t>
      </w:r>
      <w:r w:rsidRPr="008D1918" w:rsidR="000E3822">
        <w:rPr>
          <w:lang w:val="en-AU"/>
        </w:rPr>
        <w:t xml:space="preserve"> </w:t>
      </w:r>
      <w:r w:rsidRPr="008D1918" w:rsidR="006275B6">
        <w:rPr>
          <w:lang w:val="en-AU"/>
        </w:rPr>
        <w:t xml:space="preserve">time. </w:t>
      </w:r>
    </w:p>
    <w:p w:rsidRPr="008D1918" w:rsidR="006275B6" w:rsidP="00E86BAF" w:rsidRDefault="00955E1E" w14:paraId="0444A6ED" w14:textId="6F6AED9D">
      <w:pPr>
        <w:pStyle w:val="Heading31"/>
      </w:pPr>
      <w:bookmarkStart w:name="_Toc227337044" w:id="321"/>
      <w:r>
        <w:t>3</w:t>
      </w:r>
      <w:r w:rsidRPr="008D1918" w:rsidR="006275B6">
        <w:t>-Year Pricing Workplan</w:t>
      </w:r>
      <w:bookmarkEnd w:id="321"/>
    </w:p>
    <w:p w:rsidRPr="008D1918" w:rsidR="006275B6" w:rsidP="00507DEE" w:rsidRDefault="006275B6" w14:paraId="4C40169E" w14:textId="3C00676B">
      <w:pPr>
        <w:rPr>
          <w:rFonts w:eastAsia="Segoe UI"/>
          <w:lang w:val="en-AU"/>
        </w:rPr>
      </w:pPr>
      <w:r w:rsidRPr="008D1918">
        <w:rPr>
          <w:lang w:val="en-AU"/>
        </w:rPr>
        <w:t xml:space="preserve">This APR is delivered within the NDIA’s </w:t>
      </w:r>
      <w:r w:rsidRPr="008D1918" w:rsidR="000E3822">
        <w:rPr>
          <w:lang w:val="en-AU"/>
        </w:rPr>
        <w:t>3</w:t>
      </w:r>
      <w:r w:rsidRPr="008D1918">
        <w:rPr>
          <w:lang w:val="en-AU"/>
        </w:rPr>
        <w:t>-Year Pricing Workplan, which provides a sequenced approach to pricing reform. The first</w:t>
      </w:r>
      <w:r w:rsidRPr="008D1918" w:rsidR="000E3822">
        <w:rPr>
          <w:lang w:val="en-AU"/>
        </w:rPr>
        <w:t xml:space="preserve"> </w:t>
      </w:r>
      <w:r w:rsidRPr="008D1918">
        <w:rPr>
          <w:lang w:val="en-AU"/>
        </w:rPr>
        <w:t xml:space="preserve">year focuses on </w:t>
      </w:r>
      <w:r w:rsidRPr="008D1918" w:rsidR="00B41F71">
        <w:rPr>
          <w:lang w:val="en-AU"/>
        </w:rPr>
        <w:t>building</w:t>
      </w:r>
      <w:r w:rsidRPr="008D1918">
        <w:rPr>
          <w:lang w:val="en-AU"/>
        </w:rPr>
        <w:t xml:space="preserve"> evidence through targeted market analysis, pilots and the APR. The second</w:t>
      </w:r>
      <w:r w:rsidRPr="008D1918" w:rsidR="000E3822">
        <w:rPr>
          <w:lang w:val="en-AU"/>
        </w:rPr>
        <w:t xml:space="preserve"> </w:t>
      </w:r>
      <w:r w:rsidRPr="008D1918">
        <w:rPr>
          <w:lang w:val="en-AU"/>
        </w:rPr>
        <w:t>year focuses on formal pricing reviews guided by terms of reference informed by earlier APRs, pilot findings and consultation. The third year focuses on implementation and consolidation. Through this approach, the APR enables the NDIA to</w:t>
      </w:r>
      <w:r w:rsidRPr="008D1918" w:rsidR="00DC5162">
        <w:rPr>
          <w:lang w:val="en-AU"/>
        </w:rPr>
        <w:t xml:space="preserve"> recommended</w:t>
      </w:r>
      <w:r w:rsidRPr="008D1918">
        <w:rPr>
          <w:lang w:val="en-AU"/>
        </w:rPr>
        <w:t xml:space="preserve"> respon</w:t>
      </w:r>
      <w:r w:rsidRPr="008D1918" w:rsidR="00DC5162">
        <w:rPr>
          <w:lang w:val="en-AU"/>
        </w:rPr>
        <w:t>ses</w:t>
      </w:r>
      <w:r w:rsidRPr="008D1918">
        <w:rPr>
          <w:lang w:val="en-AU"/>
        </w:rPr>
        <w:t xml:space="preserve"> to emerging market pressures where evidence supports early action, while </w:t>
      </w:r>
      <w:r w:rsidRPr="008D1918" w:rsidR="00DC5162">
        <w:rPr>
          <w:lang w:val="en-AU"/>
        </w:rPr>
        <w:t xml:space="preserve">supporting the development and implementation of </w:t>
      </w:r>
      <w:r w:rsidRPr="008D1918">
        <w:rPr>
          <w:lang w:val="en-AU"/>
        </w:rPr>
        <w:t xml:space="preserve">more substantial changes in a measured way. </w:t>
      </w:r>
      <w:r w:rsidRPr="008D1918" w:rsidR="00920128">
        <w:rPr>
          <w:lang w:val="en-AU"/>
        </w:rPr>
        <w:t xml:space="preserve">The Workplan can be found on the NDIS website: </w:t>
      </w:r>
      <w:hyperlink w:history="1" r:id="rId14">
        <w:r w:rsidRPr="008D1918" w:rsidR="00920128">
          <w:rPr>
            <w:rStyle w:val="Hyperlink"/>
            <w:lang w:val="en-AU"/>
          </w:rPr>
          <w:t>https://www.ndis.gov.au/providers/pricing-arrangements/making-pricing-decisions/pricing-work-plan</w:t>
        </w:r>
      </w:hyperlink>
      <w:r w:rsidRPr="008D1918" w:rsidR="00920128">
        <w:rPr>
          <w:lang w:val="en-AU"/>
        </w:rPr>
        <w:t xml:space="preserve"> </w:t>
      </w:r>
      <w:r w:rsidRPr="008D1918" w:rsidR="00996391">
        <w:rPr>
          <w:lang w:val="en-AU"/>
        </w:rPr>
        <w:t xml:space="preserve">.The Workplan may be subject to updates if the amendments to the </w:t>
      </w:r>
      <w:r w:rsidRPr="008D1918" w:rsidR="00996391">
        <w:rPr>
          <w:i/>
          <w:iCs/>
          <w:lang w:val="en-AU"/>
        </w:rPr>
        <w:t xml:space="preserve">National Disability Insurance Scheme Act 2023 </w:t>
      </w:r>
      <w:r w:rsidRPr="008D1918" w:rsidR="00996391">
        <w:rPr>
          <w:lang w:val="en-AU"/>
        </w:rPr>
        <w:t xml:space="preserve">proposed by the </w:t>
      </w:r>
      <w:r w:rsidRPr="008D1918" w:rsidR="00996391">
        <w:t>National Disability Insurance Scheme Amendment (Securing the NDIS for Future Generations) Bill 2026, introduced into Parliament on 14 May 2026, are made.</w:t>
      </w:r>
    </w:p>
    <w:p w:rsidRPr="008D1918" w:rsidR="00A93BEC" w:rsidP="004D1288" w:rsidRDefault="00C92EA3" w14:paraId="46AF5319" w14:textId="7F0B90FF">
      <w:pPr>
        <w:pStyle w:val="Heading31"/>
        <w:ind w:left="1077" w:hanging="720"/>
      </w:pPr>
      <w:bookmarkStart w:name="_Toc200271568" w:id="322"/>
      <w:bookmarkStart w:name="_Toc223539613" w:id="323"/>
      <w:bookmarkStart w:name="_Toc223539826" w:id="324"/>
      <w:bookmarkStart w:name="_Toc223540294" w:id="325"/>
      <w:bookmarkStart w:name="_Toc223540510" w:id="326"/>
      <w:bookmarkStart w:name="_Toc223542050" w:id="327"/>
      <w:bookmarkStart w:name="_Toc223604208" w:id="328"/>
      <w:bookmarkStart w:name="_Toc223604447" w:id="329"/>
      <w:bookmarkStart w:name="_Toc227337045" w:id="330"/>
      <w:r w:rsidRPr="008D1918">
        <w:t xml:space="preserve">Quality </w:t>
      </w:r>
      <w:bookmarkEnd w:id="322"/>
      <w:r w:rsidRPr="008D1918" w:rsidR="00B87EC8">
        <w:t xml:space="preserve">Supports </w:t>
      </w:r>
      <w:bookmarkEnd w:id="323"/>
      <w:bookmarkEnd w:id="324"/>
      <w:bookmarkEnd w:id="325"/>
      <w:bookmarkEnd w:id="326"/>
      <w:bookmarkEnd w:id="327"/>
      <w:bookmarkEnd w:id="328"/>
      <w:bookmarkEnd w:id="329"/>
      <w:r w:rsidRPr="008D1918" w:rsidR="00B87EC8">
        <w:t>Program</w:t>
      </w:r>
      <w:bookmarkEnd w:id="330"/>
    </w:p>
    <w:p w:rsidRPr="008D1918" w:rsidR="009E0871" w:rsidP="356D8F1A" w:rsidRDefault="00F83949" w14:paraId="390298D1" w14:textId="77777777">
      <w:pPr>
        <w:rPr>
          <w:lang w:val="en-AU"/>
        </w:rPr>
      </w:pPr>
      <w:r w:rsidRPr="008D1918">
        <w:rPr>
          <w:lang w:val="en-AU"/>
        </w:rPr>
        <w:t>The Quality Support</w:t>
      </w:r>
      <w:r w:rsidRPr="008D1918" w:rsidR="00884F3F">
        <w:rPr>
          <w:lang w:val="en-AU"/>
        </w:rPr>
        <w:t>s</w:t>
      </w:r>
      <w:r w:rsidRPr="008D1918">
        <w:rPr>
          <w:lang w:val="en-AU"/>
        </w:rPr>
        <w:t xml:space="preserve"> Progr</w:t>
      </w:r>
      <w:r w:rsidRPr="008D1918" w:rsidR="006275B6">
        <w:rPr>
          <w:lang w:val="en-AU"/>
        </w:rPr>
        <w:t>am was</w:t>
      </w:r>
      <w:r w:rsidRPr="008D1918">
        <w:rPr>
          <w:lang w:val="en-AU"/>
        </w:rPr>
        <w:t xml:space="preserve"> established to identify the features of quality service provision, understand the cost associated with delivering quality supports, and assess the relationship between service characteristics and participant outcomes. It includes three </w:t>
      </w:r>
      <w:r w:rsidRPr="008D1918" w:rsidR="006C4890">
        <w:rPr>
          <w:lang w:val="en-AU"/>
        </w:rPr>
        <w:t xml:space="preserve">12-month pilots: </w:t>
      </w:r>
    </w:p>
    <w:p w:rsidRPr="008D1918" w:rsidR="00526AA5" w:rsidP="009F6459" w:rsidRDefault="006C4890" w14:paraId="4F45366B" w14:textId="1A220C53">
      <w:pPr>
        <w:pStyle w:val="ListParagraph"/>
        <w:numPr>
          <w:ilvl w:val="0"/>
          <w:numId w:val="40"/>
        </w:numPr>
        <w:rPr>
          <w:lang w:val="en-AU"/>
        </w:rPr>
      </w:pPr>
      <w:r w:rsidRPr="008D1918">
        <w:rPr>
          <w:lang w:val="en-AU"/>
        </w:rPr>
        <w:t>Supported Independent Living (SIL)</w:t>
      </w:r>
      <w:r w:rsidRPr="008D1918" w:rsidR="00D229E9">
        <w:rPr>
          <w:lang w:val="en-AU"/>
        </w:rPr>
        <w:t xml:space="preserve"> </w:t>
      </w:r>
      <w:r w:rsidRPr="008D1918" w:rsidR="00C21A8C">
        <w:rPr>
          <w:lang w:val="en-AU"/>
        </w:rPr>
        <w:t>p</w:t>
      </w:r>
      <w:r w:rsidRPr="008D1918" w:rsidR="00D229E9">
        <w:rPr>
          <w:lang w:val="en-AU"/>
        </w:rPr>
        <w:t xml:space="preserve">ilot (44 </w:t>
      </w:r>
      <w:r w:rsidRPr="008D1918" w:rsidR="00526AA5">
        <w:rPr>
          <w:lang w:val="en-AU"/>
        </w:rPr>
        <w:t xml:space="preserve">registered </w:t>
      </w:r>
      <w:r w:rsidRPr="008D1918" w:rsidR="00D229E9">
        <w:rPr>
          <w:lang w:val="en-AU"/>
        </w:rPr>
        <w:t>providers)</w:t>
      </w:r>
      <w:r w:rsidRPr="008D1918" w:rsidR="00526AA5">
        <w:rPr>
          <w:lang w:val="en-AU"/>
        </w:rPr>
        <w:t xml:space="preserve">, which </w:t>
      </w:r>
      <w:r w:rsidRPr="008D1918" w:rsidR="00114A9C">
        <w:rPr>
          <w:lang w:val="en-AU"/>
        </w:rPr>
        <w:t>started</w:t>
      </w:r>
      <w:r w:rsidRPr="008D1918" w:rsidR="00526AA5">
        <w:rPr>
          <w:lang w:val="en-AU"/>
        </w:rPr>
        <w:t xml:space="preserve"> in </w:t>
      </w:r>
      <w:r w:rsidRPr="008D1918" w:rsidR="00600DDB">
        <w:rPr>
          <w:lang w:val="en-AU"/>
        </w:rPr>
        <w:t>August</w:t>
      </w:r>
      <w:r w:rsidRPr="008D1918" w:rsidR="00526AA5">
        <w:rPr>
          <w:lang w:val="en-AU"/>
        </w:rPr>
        <w:t xml:space="preserve"> 2025</w:t>
      </w:r>
      <w:r w:rsidRPr="008D1918" w:rsidR="00C94779">
        <w:rPr>
          <w:lang w:val="en-AU"/>
        </w:rPr>
        <w:t>.</w:t>
      </w:r>
    </w:p>
    <w:p w:rsidRPr="008D1918" w:rsidR="009E0871" w:rsidP="009F6459" w:rsidRDefault="00D229E9" w14:paraId="2EA74D1A" w14:textId="53945A88">
      <w:pPr>
        <w:pStyle w:val="ListParagraph"/>
        <w:numPr>
          <w:ilvl w:val="0"/>
          <w:numId w:val="40"/>
        </w:numPr>
        <w:rPr>
          <w:lang w:val="en-AU"/>
        </w:rPr>
      </w:pPr>
      <w:r w:rsidRPr="008D1918">
        <w:rPr>
          <w:lang w:val="en-AU"/>
        </w:rPr>
        <w:t xml:space="preserve">Support Coordination </w:t>
      </w:r>
      <w:r w:rsidRPr="008D1918" w:rsidR="00C21A8C">
        <w:rPr>
          <w:lang w:val="en-AU"/>
        </w:rPr>
        <w:t>p</w:t>
      </w:r>
      <w:r w:rsidRPr="008D1918">
        <w:rPr>
          <w:lang w:val="en-AU"/>
        </w:rPr>
        <w:t>ilot</w:t>
      </w:r>
      <w:r w:rsidRPr="008D1918" w:rsidR="008420E5">
        <w:rPr>
          <w:lang w:val="en-AU"/>
        </w:rPr>
        <w:t xml:space="preserve"> (3 registered providers)</w:t>
      </w:r>
      <w:r w:rsidRPr="008D1918" w:rsidR="009E0871">
        <w:rPr>
          <w:lang w:val="en-AU"/>
        </w:rPr>
        <w:t>, which</w:t>
      </w:r>
      <w:r w:rsidRPr="008D1918">
        <w:rPr>
          <w:lang w:val="en-AU"/>
        </w:rPr>
        <w:t xml:space="preserve"> </w:t>
      </w:r>
      <w:r w:rsidRPr="008D1918" w:rsidR="00114A9C">
        <w:rPr>
          <w:lang w:val="en-AU"/>
        </w:rPr>
        <w:t xml:space="preserve">started </w:t>
      </w:r>
      <w:r w:rsidRPr="008D1918">
        <w:rPr>
          <w:lang w:val="en-AU"/>
        </w:rPr>
        <w:t>in August 2025</w:t>
      </w:r>
      <w:r w:rsidRPr="008D1918" w:rsidR="00C94779">
        <w:rPr>
          <w:lang w:val="en-AU"/>
        </w:rPr>
        <w:t>.</w:t>
      </w:r>
    </w:p>
    <w:p w:rsidRPr="008D1918" w:rsidR="00B20226" w:rsidP="009F6459" w:rsidRDefault="00D229E9" w14:paraId="70AFF135" w14:textId="097D89A1">
      <w:pPr>
        <w:pStyle w:val="ListParagraph"/>
        <w:numPr>
          <w:ilvl w:val="0"/>
          <w:numId w:val="40"/>
        </w:numPr>
        <w:rPr>
          <w:lang w:val="en-AU"/>
        </w:rPr>
      </w:pPr>
      <w:r w:rsidRPr="008D1918">
        <w:rPr>
          <w:lang w:val="en-AU"/>
        </w:rPr>
        <w:t xml:space="preserve">Therapy </w:t>
      </w:r>
      <w:r w:rsidRPr="008D1918" w:rsidR="00C21A8C">
        <w:rPr>
          <w:lang w:val="en-AU"/>
        </w:rPr>
        <w:t>p</w:t>
      </w:r>
      <w:r w:rsidRPr="008D1918">
        <w:rPr>
          <w:lang w:val="en-AU"/>
        </w:rPr>
        <w:t>ilot</w:t>
      </w:r>
      <w:r w:rsidRPr="008D1918" w:rsidR="00742114">
        <w:rPr>
          <w:lang w:val="en-AU"/>
        </w:rPr>
        <w:t xml:space="preserve"> (27 </w:t>
      </w:r>
      <w:r w:rsidRPr="008D1918" w:rsidR="00526AA5">
        <w:rPr>
          <w:lang w:val="en-AU"/>
        </w:rPr>
        <w:t xml:space="preserve">registered </w:t>
      </w:r>
      <w:r w:rsidRPr="008D1918" w:rsidR="00742114">
        <w:rPr>
          <w:lang w:val="en-AU"/>
        </w:rPr>
        <w:t>providers)</w:t>
      </w:r>
      <w:r w:rsidRPr="008D1918" w:rsidR="009E0871">
        <w:rPr>
          <w:lang w:val="en-AU"/>
        </w:rPr>
        <w:t>, which</w:t>
      </w:r>
      <w:r w:rsidRPr="008D1918">
        <w:rPr>
          <w:lang w:val="en-AU"/>
        </w:rPr>
        <w:t xml:space="preserve"> </w:t>
      </w:r>
      <w:r w:rsidRPr="008D1918" w:rsidR="00114A9C">
        <w:rPr>
          <w:lang w:val="en-AU"/>
        </w:rPr>
        <w:t xml:space="preserve">started </w:t>
      </w:r>
      <w:r w:rsidRPr="008D1918" w:rsidR="0030604F">
        <w:rPr>
          <w:lang w:val="en-AU"/>
        </w:rPr>
        <w:t xml:space="preserve">in March 2026. </w:t>
      </w:r>
    </w:p>
    <w:p w:rsidRPr="008D1918" w:rsidR="004D1288" w:rsidP="356D8F1A" w:rsidRDefault="0030604F" w14:paraId="3DA48DA6" w14:textId="63EEA54B">
      <w:pPr>
        <w:rPr>
          <w:rFonts w:cs="Arial"/>
          <w:lang w:val="en-AU"/>
        </w:rPr>
      </w:pPr>
      <w:r w:rsidRPr="008D1918">
        <w:rPr>
          <w:lang w:val="en-AU"/>
        </w:rPr>
        <w:t xml:space="preserve">Collectively, SIL </w:t>
      </w:r>
      <w:r w:rsidRPr="008D1918" w:rsidR="003765C4">
        <w:rPr>
          <w:lang w:val="en-AU"/>
        </w:rPr>
        <w:t>and Therapy providers</w:t>
      </w:r>
      <w:r w:rsidRPr="008D1918" w:rsidR="00B20226">
        <w:rPr>
          <w:lang w:val="en-AU"/>
        </w:rPr>
        <w:t xml:space="preserve"> </w:t>
      </w:r>
      <w:r w:rsidRPr="008D1918" w:rsidR="000752D8">
        <w:rPr>
          <w:lang w:val="en-AU"/>
        </w:rPr>
        <w:t>participating in the pilots</w:t>
      </w:r>
      <w:r w:rsidRPr="008D1918" w:rsidR="003765C4">
        <w:rPr>
          <w:lang w:val="en-AU"/>
        </w:rPr>
        <w:t xml:space="preserve"> represent approximately </w:t>
      </w:r>
      <w:r w:rsidRPr="008D1918" w:rsidR="00E17B10">
        <w:rPr>
          <w:lang w:val="en-AU"/>
        </w:rPr>
        <w:t>30% of participants receiving these supports</w:t>
      </w:r>
      <w:r w:rsidRPr="008D1918" w:rsidR="003C2C81">
        <w:rPr>
          <w:lang w:val="en-AU"/>
        </w:rPr>
        <w:t xml:space="preserve"> </w:t>
      </w:r>
      <w:r w:rsidR="007C0FB8">
        <w:rPr>
          <w:lang w:val="en-AU"/>
        </w:rPr>
        <w:t>and provide</w:t>
      </w:r>
      <w:r w:rsidRPr="008D1918" w:rsidR="003C2C81">
        <w:rPr>
          <w:lang w:val="en-AU"/>
        </w:rPr>
        <w:t xml:space="preserve"> national coverage including </w:t>
      </w:r>
      <w:r w:rsidRPr="008D1918" w:rsidR="00EB5BF3">
        <w:rPr>
          <w:lang w:val="en-AU"/>
        </w:rPr>
        <w:t>regional, remote a</w:t>
      </w:r>
      <w:r w:rsidRPr="008D1918" w:rsidR="007D3A7E">
        <w:rPr>
          <w:lang w:val="en-AU"/>
        </w:rPr>
        <w:t>n</w:t>
      </w:r>
      <w:r w:rsidRPr="008D1918" w:rsidR="00EB5BF3">
        <w:rPr>
          <w:lang w:val="en-AU"/>
        </w:rPr>
        <w:t>d very remote locations</w:t>
      </w:r>
      <w:r w:rsidRPr="008D1918" w:rsidR="00E17B10">
        <w:rPr>
          <w:lang w:val="en-AU"/>
        </w:rPr>
        <w:t xml:space="preserve">. Total grant funding of </w:t>
      </w:r>
      <w:r w:rsidRPr="008D1918" w:rsidR="000A7C45">
        <w:rPr>
          <w:lang w:val="en-AU"/>
        </w:rPr>
        <w:t xml:space="preserve">up to </w:t>
      </w:r>
      <w:r w:rsidRPr="008D1918" w:rsidR="00E17B10">
        <w:rPr>
          <w:lang w:val="en-AU"/>
        </w:rPr>
        <w:t xml:space="preserve">$45 million </w:t>
      </w:r>
      <w:r w:rsidRPr="008D1918" w:rsidR="00A06077">
        <w:rPr>
          <w:lang w:val="en-AU"/>
        </w:rPr>
        <w:t>has been provided. It</w:t>
      </w:r>
      <w:r w:rsidRPr="008D1918" w:rsidR="00E17B10">
        <w:rPr>
          <w:lang w:val="en-AU"/>
        </w:rPr>
        <w:t xml:space="preserve"> </w:t>
      </w:r>
      <w:r w:rsidRPr="008D1918" w:rsidR="004C58FF">
        <w:rPr>
          <w:lang w:val="en-AU"/>
        </w:rPr>
        <w:t>supports</w:t>
      </w:r>
      <w:r w:rsidRPr="008D1918" w:rsidR="00E17B10">
        <w:rPr>
          <w:lang w:val="en-AU"/>
        </w:rPr>
        <w:t xml:space="preserve"> </w:t>
      </w:r>
      <w:r w:rsidRPr="008D1918" w:rsidR="00FF4777">
        <w:rPr>
          <w:lang w:val="en-AU"/>
        </w:rPr>
        <w:t>the participating providers to work</w:t>
      </w:r>
      <w:r w:rsidRPr="008D1918" w:rsidR="00E17B10">
        <w:rPr>
          <w:lang w:val="en-AU"/>
        </w:rPr>
        <w:t xml:space="preserve"> </w:t>
      </w:r>
      <w:r w:rsidRPr="008D1918" w:rsidR="00863187">
        <w:rPr>
          <w:lang w:val="en-AU"/>
        </w:rPr>
        <w:t xml:space="preserve">collaboratively with the </w:t>
      </w:r>
      <w:r w:rsidRPr="008D1918" w:rsidR="00B82E2A">
        <w:rPr>
          <w:lang w:val="en-AU"/>
        </w:rPr>
        <w:t>Agency</w:t>
      </w:r>
      <w:r w:rsidRPr="008D1918" w:rsidR="00680F59">
        <w:rPr>
          <w:lang w:val="en-AU"/>
        </w:rPr>
        <w:t xml:space="preserve"> to</w:t>
      </w:r>
      <w:r w:rsidRPr="008D1918" w:rsidR="007D5A48">
        <w:rPr>
          <w:lang w:val="en-AU"/>
        </w:rPr>
        <w:t xml:space="preserve"> provide insights, evidence and data</w:t>
      </w:r>
      <w:r w:rsidRPr="008D1918" w:rsidR="007342B1">
        <w:rPr>
          <w:lang w:val="en-AU"/>
        </w:rPr>
        <w:t xml:space="preserve"> through </w:t>
      </w:r>
      <w:r w:rsidRPr="008D1918" w:rsidR="00E17B10">
        <w:rPr>
          <w:lang w:val="en-AU"/>
        </w:rPr>
        <w:t>financial reports</w:t>
      </w:r>
      <w:r w:rsidRPr="008D1918" w:rsidR="004C58FF">
        <w:rPr>
          <w:lang w:val="en-AU"/>
        </w:rPr>
        <w:t xml:space="preserve">, case studies and engagement activities. Findings will inform future pricing reviews </w:t>
      </w:r>
      <w:r w:rsidRPr="008D1918" w:rsidR="00FB01E9">
        <w:rPr>
          <w:lang w:val="en-AU"/>
        </w:rPr>
        <w:t>as part of</w:t>
      </w:r>
      <w:r w:rsidRPr="008D1918" w:rsidR="004C58FF">
        <w:rPr>
          <w:lang w:val="en-AU"/>
        </w:rPr>
        <w:t xml:space="preserve"> the </w:t>
      </w:r>
      <w:r w:rsidRPr="008D1918" w:rsidR="00B20226">
        <w:rPr>
          <w:lang w:val="en-AU"/>
        </w:rPr>
        <w:t>3</w:t>
      </w:r>
      <w:r w:rsidRPr="008D1918" w:rsidR="004C58FF">
        <w:rPr>
          <w:lang w:val="en-AU"/>
        </w:rPr>
        <w:t xml:space="preserve">-Year Pricing Workplan. </w:t>
      </w:r>
      <w:r w:rsidRPr="008D1918" w:rsidR="004053C8">
        <w:rPr>
          <w:lang w:val="en-AU"/>
        </w:rPr>
        <w:t xml:space="preserve">More information can be found on the NDIS website </w:t>
      </w:r>
      <w:hyperlink w:history="1" r:id="rId15">
        <w:r w:rsidRPr="008D1918" w:rsidR="00920128">
          <w:rPr>
            <w:rStyle w:val="Hyperlink"/>
            <w:lang w:val="en-AU"/>
          </w:rPr>
          <w:t>https://www.ndis.gov.au/grants/quality-supports-program</w:t>
        </w:r>
      </w:hyperlink>
      <w:r w:rsidRPr="008D1918" w:rsidR="00920128">
        <w:rPr>
          <w:lang w:val="en-AU"/>
        </w:rPr>
        <w:t xml:space="preserve"> </w:t>
      </w:r>
    </w:p>
    <w:p w:rsidRPr="008D1918" w:rsidR="003709F5" w:rsidP="0046239E" w:rsidRDefault="00884F3F" w14:paraId="5DB36F6D" w14:textId="6705EF92">
      <w:pPr>
        <w:pStyle w:val="Heading31"/>
        <w:ind w:left="1077" w:hanging="720"/>
      </w:pPr>
      <w:bookmarkStart w:name="_Toc196754579" w:id="331"/>
      <w:bookmarkStart w:name="_Toc196758214" w:id="332"/>
      <w:bookmarkStart w:name="_Toc197344290" w:id="333"/>
      <w:bookmarkStart w:name="_Toc200271569" w:id="334"/>
      <w:bookmarkStart w:name="_Toc223539618" w:id="335"/>
      <w:bookmarkStart w:name="_Toc223539831" w:id="336"/>
      <w:bookmarkStart w:name="_Toc223540299" w:id="337"/>
      <w:bookmarkStart w:name="_Toc223540515" w:id="338"/>
      <w:bookmarkStart w:name="_Toc223542055" w:id="339"/>
      <w:bookmarkStart w:name="_Toc223604239" w:id="340"/>
      <w:bookmarkStart w:name="_Toc223604450" w:id="341"/>
      <w:bookmarkStart w:name="_Toc227337046" w:id="342"/>
      <w:r w:rsidRPr="008D1918">
        <w:t>APR c</w:t>
      </w:r>
      <w:r w:rsidRPr="008D1918" w:rsidR="00C92EA3">
        <w:t xml:space="preserve">onsultation </w:t>
      </w:r>
      <w:r w:rsidRPr="008D1918" w:rsidR="00466FEC">
        <w:t>p</w:t>
      </w:r>
      <w:r w:rsidRPr="008D1918" w:rsidR="00C92EA3">
        <w:t>rocess</w:t>
      </w:r>
      <w:bookmarkEnd w:id="331"/>
      <w:bookmarkEnd w:id="332"/>
      <w:bookmarkEnd w:id="333"/>
      <w:bookmarkEnd w:id="334"/>
      <w:bookmarkEnd w:id="335"/>
      <w:bookmarkEnd w:id="336"/>
      <w:bookmarkEnd w:id="337"/>
      <w:bookmarkEnd w:id="338"/>
      <w:bookmarkEnd w:id="339"/>
      <w:bookmarkEnd w:id="340"/>
      <w:bookmarkEnd w:id="341"/>
      <w:bookmarkEnd w:id="342"/>
    </w:p>
    <w:p w:rsidRPr="008D1918" w:rsidR="003709F5" w:rsidP="55DD54DF" w:rsidRDefault="00FA5DF8" w14:paraId="5CCBAB9E" w14:textId="2E84D432">
      <w:pPr>
        <w:rPr>
          <w:lang w:val="en-AU"/>
        </w:rPr>
      </w:pPr>
      <w:r w:rsidRPr="008D1918">
        <w:rPr>
          <w:lang w:val="en-AU"/>
        </w:rPr>
        <w:t>This</w:t>
      </w:r>
      <w:r w:rsidRPr="008D1918" w:rsidR="00DB4219">
        <w:rPr>
          <w:lang w:val="en-AU"/>
        </w:rPr>
        <w:t xml:space="preserve"> APR included a formal consultation process with participant</w:t>
      </w:r>
      <w:r w:rsidRPr="008D1918" w:rsidR="00C42800">
        <w:rPr>
          <w:lang w:val="en-AU"/>
        </w:rPr>
        <w:t>s</w:t>
      </w:r>
      <w:r w:rsidRPr="008D1918" w:rsidR="00DB4219">
        <w:rPr>
          <w:lang w:val="en-AU"/>
        </w:rPr>
        <w:t>, providers, peak bodies, professional associations and other stakeholders.</w:t>
      </w:r>
    </w:p>
    <w:p w:rsidRPr="008D1918" w:rsidR="00DB4219" w:rsidP="55DD54DF" w:rsidRDefault="00DB4219" w14:paraId="04412029" w14:textId="681F0071">
      <w:pPr>
        <w:rPr>
          <w:lang w:val="en-AU"/>
        </w:rPr>
      </w:pPr>
      <w:r w:rsidRPr="008D1918">
        <w:rPr>
          <w:lang w:val="en-AU"/>
        </w:rPr>
        <w:t>The consultation received 3,2</w:t>
      </w:r>
      <w:r w:rsidRPr="008D1918" w:rsidR="005D2939">
        <w:rPr>
          <w:lang w:val="en-AU"/>
        </w:rPr>
        <w:t>43</w:t>
      </w:r>
      <w:r w:rsidRPr="008D1918">
        <w:rPr>
          <w:lang w:val="en-AU"/>
        </w:rPr>
        <w:t xml:space="preserve"> responses, the highest response rate in APR history. This provide</w:t>
      </w:r>
      <w:r w:rsidRPr="008D1918" w:rsidR="00413E9B">
        <w:rPr>
          <w:lang w:val="en-AU"/>
        </w:rPr>
        <w:t>s</w:t>
      </w:r>
      <w:r w:rsidRPr="008D1918">
        <w:rPr>
          <w:lang w:val="en-AU"/>
        </w:rPr>
        <w:t xml:space="preserve"> a broad </w:t>
      </w:r>
      <w:r w:rsidRPr="008D1918" w:rsidR="001255A6">
        <w:rPr>
          <w:lang w:val="en-AU"/>
        </w:rPr>
        <w:t xml:space="preserve">evidence base on how current </w:t>
      </w:r>
      <w:r w:rsidRPr="008D1918" w:rsidR="00FC56FE">
        <w:rPr>
          <w:lang w:val="en-AU"/>
        </w:rPr>
        <w:t>prices</w:t>
      </w:r>
      <w:r w:rsidRPr="008D1918" w:rsidR="001255A6">
        <w:rPr>
          <w:lang w:val="en-AU"/>
        </w:rPr>
        <w:t xml:space="preserve"> are affecting market conditions, service delivery and participant experience. </w:t>
      </w:r>
    </w:p>
    <w:p w:rsidRPr="008D1918" w:rsidR="00C92EA3" w:rsidP="00041468" w:rsidRDefault="00C92EA3" w14:paraId="194F08C2" w14:textId="7514AE07">
      <w:pPr>
        <w:pStyle w:val="StyleStyle112pt"/>
      </w:pPr>
      <w:bookmarkStart w:name="_Toc200103456" w:id="343"/>
      <w:bookmarkStart w:name="_Toc200271570" w:id="344"/>
      <w:bookmarkStart w:name="_Toc223345374" w:id="345"/>
      <w:bookmarkStart w:name="_Toc223428361" w:id="346"/>
      <w:bookmarkStart w:name="_Toc223445821" w:id="347"/>
      <w:bookmarkStart w:name="_Toc223539619" w:id="348"/>
      <w:bookmarkStart w:name="_Toc223539832" w:id="349"/>
      <w:bookmarkStart w:name="_Toc223540300" w:id="350"/>
      <w:bookmarkStart w:name="_Toc223540516" w:id="351"/>
      <w:bookmarkStart w:name="_Toc223542056" w:id="352"/>
      <w:bookmarkStart w:name="_Toc223604240" w:id="353"/>
      <w:bookmarkStart w:name="_Toc223604451" w:id="354"/>
      <w:bookmarkStart w:name="_Toc223604662" w:id="355"/>
      <w:bookmarkStart w:name="_Toc223618534" w:id="356"/>
      <w:bookmarkStart w:name="_Toc223702774" w:id="357"/>
      <w:bookmarkStart w:name="_Toc227318679" w:id="358"/>
      <w:bookmarkStart w:name="_Toc227337047" w:id="359"/>
      <w:r w:rsidRPr="008D1918">
        <w:t xml:space="preserve">Consultation with other </w:t>
      </w:r>
      <w:r w:rsidRPr="008D1918" w:rsidR="00195A4F">
        <w:t>g</w:t>
      </w:r>
      <w:r w:rsidRPr="008D1918">
        <w:t xml:space="preserve">overnment </w:t>
      </w:r>
      <w:r w:rsidRPr="008D1918" w:rsidR="00FB3D27">
        <w:t>i</w:t>
      </w:r>
      <w:r w:rsidRPr="008D1918">
        <w:t xml:space="preserve">nsurance and </w:t>
      </w:r>
      <w:bookmarkEnd w:id="343"/>
      <w:bookmarkEnd w:id="344"/>
      <w:bookmarkEnd w:id="345"/>
      <w:bookmarkEnd w:id="346"/>
      <w:bookmarkEnd w:id="347"/>
      <w:bookmarkEnd w:id="348"/>
      <w:bookmarkEnd w:id="349"/>
      <w:bookmarkEnd w:id="350"/>
      <w:bookmarkEnd w:id="351"/>
      <w:bookmarkEnd w:id="352"/>
      <w:r w:rsidRPr="008D1918" w:rsidR="00FB3D27">
        <w:t>f</w:t>
      </w:r>
      <w:r w:rsidRPr="008D1918">
        <w:t xml:space="preserve">unding </w:t>
      </w:r>
      <w:r w:rsidRPr="008D1918" w:rsidR="00195A4F">
        <w:t>s</w:t>
      </w:r>
      <w:r w:rsidRPr="008D1918">
        <w:t>chemes</w:t>
      </w:r>
      <w:bookmarkEnd w:id="353"/>
      <w:bookmarkEnd w:id="354"/>
      <w:bookmarkEnd w:id="355"/>
      <w:bookmarkEnd w:id="356"/>
      <w:bookmarkEnd w:id="357"/>
      <w:bookmarkEnd w:id="358"/>
      <w:bookmarkEnd w:id="359"/>
    </w:p>
    <w:p w:rsidRPr="008D1918" w:rsidR="008B1164" w:rsidP="008B1164" w:rsidRDefault="00C92EA3" w14:paraId="07DA21D1" w14:textId="52B364BD">
      <w:pPr>
        <w:rPr>
          <w:lang w:val="en-AU"/>
        </w:rPr>
      </w:pPr>
      <w:r w:rsidRPr="008D1918">
        <w:rPr>
          <w:lang w:val="en-AU"/>
        </w:rPr>
        <w:t>The NDIA collaborated with 16 Commonwealth</w:t>
      </w:r>
      <w:r w:rsidRPr="008D1918" w:rsidR="00F13ED1">
        <w:rPr>
          <w:lang w:val="en-AU"/>
        </w:rPr>
        <w:t xml:space="preserve">, </w:t>
      </w:r>
      <w:r w:rsidRPr="008D1918" w:rsidR="00206DE8">
        <w:rPr>
          <w:lang w:val="en-AU"/>
        </w:rPr>
        <w:t>s</w:t>
      </w:r>
      <w:r w:rsidRPr="008D1918" w:rsidR="008B1164">
        <w:rPr>
          <w:lang w:val="en-AU"/>
        </w:rPr>
        <w:t xml:space="preserve">tate </w:t>
      </w:r>
      <w:r w:rsidRPr="008D1918" w:rsidR="5C3EF907">
        <w:rPr>
          <w:lang w:val="en-AU"/>
        </w:rPr>
        <w:t xml:space="preserve">and </w:t>
      </w:r>
      <w:r w:rsidRPr="008D1918" w:rsidR="00206DE8">
        <w:rPr>
          <w:lang w:val="en-AU"/>
        </w:rPr>
        <w:t>t</w:t>
      </w:r>
      <w:r w:rsidRPr="008D1918" w:rsidR="00F13ED1">
        <w:rPr>
          <w:lang w:val="en-AU"/>
        </w:rPr>
        <w:t xml:space="preserve">erritory </w:t>
      </w:r>
      <w:r w:rsidRPr="008D1918" w:rsidR="00195A4F">
        <w:rPr>
          <w:lang w:val="en-AU"/>
        </w:rPr>
        <w:t>s</w:t>
      </w:r>
      <w:r w:rsidRPr="008D1918" w:rsidR="008B1164">
        <w:rPr>
          <w:lang w:val="en-AU"/>
        </w:rPr>
        <w:t xml:space="preserve">chemes to </w:t>
      </w:r>
      <w:r w:rsidRPr="008D1918" w:rsidR="00195A4F">
        <w:rPr>
          <w:lang w:val="en-AU"/>
        </w:rPr>
        <w:t xml:space="preserve">establish </w:t>
      </w:r>
      <w:r w:rsidRPr="008D1918" w:rsidR="008B1164">
        <w:rPr>
          <w:lang w:val="en-AU"/>
        </w:rPr>
        <w:t>comparable therapy pricing. The schemes include:</w:t>
      </w:r>
    </w:p>
    <w:p w:rsidRPr="008D1918" w:rsidR="008B1164" w:rsidP="009F6459" w:rsidRDefault="008B1164" w14:paraId="565002DA" w14:textId="472C80B9">
      <w:pPr>
        <w:numPr>
          <w:ilvl w:val="0"/>
          <w:numId w:val="24"/>
        </w:numPr>
        <w:ind w:left="714" w:hanging="357"/>
        <w:contextualSpacing/>
        <w:rPr>
          <w:lang w:val="en-AU"/>
        </w:rPr>
      </w:pPr>
      <w:r w:rsidRPr="008D1918">
        <w:rPr>
          <w:lang w:val="en-AU"/>
        </w:rPr>
        <w:t>Catastrophic Injuries Support (CIS) Scheme</w:t>
      </w:r>
    </w:p>
    <w:p w:rsidRPr="008D1918" w:rsidR="008B1164" w:rsidP="009F6459" w:rsidRDefault="008B1164" w14:paraId="568A3A50" w14:textId="11531FC9">
      <w:pPr>
        <w:numPr>
          <w:ilvl w:val="0"/>
          <w:numId w:val="25"/>
        </w:numPr>
        <w:ind w:left="714" w:hanging="357"/>
        <w:contextualSpacing/>
        <w:rPr>
          <w:lang w:val="en-AU"/>
        </w:rPr>
      </w:pPr>
      <w:r w:rsidRPr="008D1918">
        <w:rPr>
          <w:lang w:val="en-AU"/>
        </w:rPr>
        <w:t>Com</w:t>
      </w:r>
      <w:r w:rsidRPr="008D1918" w:rsidR="00A14316">
        <w:rPr>
          <w:lang w:val="en-AU"/>
        </w:rPr>
        <w:t>c</w:t>
      </w:r>
      <w:r w:rsidRPr="008D1918">
        <w:rPr>
          <w:lang w:val="en-AU"/>
        </w:rPr>
        <w:t>are</w:t>
      </w:r>
    </w:p>
    <w:p w:rsidRPr="008D1918" w:rsidR="008B1164" w:rsidP="009F6459" w:rsidRDefault="008B1164" w14:paraId="0FEBF618" w14:textId="3CF72F0C">
      <w:pPr>
        <w:numPr>
          <w:ilvl w:val="0"/>
          <w:numId w:val="26"/>
        </w:numPr>
        <w:ind w:left="714" w:hanging="357"/>
        <w:contextualSpacing/>
        <w:rPr>
          <w:lang w:val="en-AU"/>
        </w:rPr>
      </w:pPr>
      <w:r w:rsidRPr="008D1918">
        <w:rPr>
          <w:lang w:val="en-AU"/>
        </w:rPr>
        <w:t>Department of Veterans’ Affairs</w:t>
      </w:r>
    </w:p>
    <w:p w:rsidRPr="008D1918" w:rsidR="008B1164" w:rsidP="009F6459" w:rsidRDefault="008B1164" w14:paraId="6A4CA0D4" w14:textId="71D4AEB5">
      <w:pPr>
        <w:numPr>
          <w:ilvl w:val="0"/>
          <w:numId w:val="27"/>
        </w:numPr>
        <w:ind w:left="714" w:hanging="357"/>
        <w:contextualSpacing/>
        <w:rPr>
          <w:lang w:val="en-AU"/>
        </w:rPr>
      </w:pPr>
      <w:r w:rsidRPr="008D1918">
        <w:rPr>
          <w:lang w:val="en-AU"/>
        </w:rPr>
        <w:t>ReturnToWork</w:t>
      </w:r>
      <w:r w:rsidRPr="008D1918" w:rsidR="00F87793">
        <w:rPr>
          <w:lang w:val="en-AU"/>
        </w:rPr>
        <w:t>SA</w:t>
      </w:r>
    </w:p>
    <w:p w:rsidRPr="008D1918" w:rsidR="008B1164" w:rsidP="009F6459" w:rsidRDefault="008B1164" w14:paraId="18C2C201" w14:textId="073F3D4F">
      <w:pPr>
        <w:numPr>
          <w:ilvl w:val="0"/>
          <w:numId w:val="28"/>
        </w:numPr>
        <w:ind w:left="714" w:hanging="357"/>
        <w:contextualSpacing/>
        <w:rPr>
          <w:lang w:val="en-AU"/>
        </w:rPr>
      </w:pPr>
      <w:r w:rsidRPr="008D1918">
        <w:rPr>
          <w:lang w:val="en-AU"/>
        </w:rPr>
        <w:t>State Insurance Regulatory Authority</w:t>
      </w:r>
    </w:p>
    <w:p w:rsidRPr="008D1918" w:rsidR="008B1164" w:rsidP="009F6459" w:rsidRDefault="008B1164" w14:paraId="029963CE" w14:textId="201FB460">
      <w:pPr>
        <w:numPr>
          <w:ilvl w:val="0"/>
          <w:numId w:val="29"/>
        </w:numPr>
        <w:ind w:left="714" w:hanging="357"/>
        <w:contextualSpacing/>
        <w:rPr>
          <w:lang w:val="en-AU"/>
        </w:rPr>
      </w:pPr>
      <w:r w:rsidRPr="008D1918">
        <w:rPr>
          <w:lang w:val="en-AU"/>
        </w:rPr>
        <w:t>Victorian Transport Accident Commission</w:t>
      </w:r>
    </w:p>
    <w:p w:rsidRPr="008D1918" w:rsidR="00BF42E4" w:rsidP="009F6459" w:rsidRDefault="00BF42E4" w14:paraId="464DBA8C" w14:textId="7B5794F2">
      <w:pPr>
        <w:numPr>
          <w:ilvl w:val="0"/>
          <w:numId w:val="29"/>
        </w:numPr>
        <w:ind w:left="714" w:hanging="357"/>
        <w:contextualSpacing/>
        <w:rPr>
          <w:lang w:val="en-AU"/>
        </w:rPr>
      </w:pPr>
      <w:r w:rsidRPr="008D1918">
        <w:rPr>
          <w:lang w:val="en-AU"/>
        </w:rPr>
        <w:t>WorkCover Queensland</w:t>
      </w:r>
    </w:p>
    <w:p w:rsidRPr="008D1918" w:rsidR="008B1164" w:rsidP="009F6459" w:rsidRDefault="008B1164" w14:paraId="5196753B" w14:textId="69FA1274">
      <w:pPr>
        <w:numPr>
          <w:ilvl w:val="0"/>
          <w:numId w:val="30"/>
        </w:numPr>
        <w:ind w:left="714" w:hanging="357"/>
        <w:contextualSpacing/>
        <w:rPr>
          <w:lang w:val="en-AU"/>
        </w:rPr>
      </w:pPr>
      <w:r w:rsidRPr="008D1918">
        <w:rPr>
          <w:lang w:val="en-AU"/>
        </w:rPr>
        <w:t>WorkCover</w:t>
      </w:r>
      <w:r w:rsidRPr="008D1918" w:rsidR="004E6A6F">
        <w:rPr>
          <w:lang w:val="en-AU"/>
        </w:rPr>
        <w:t xml:space="preserve"> </w:t>
      </w:r>
      <w:r w:rsidRPr="008D1918" w:rsidR="00C5440D">
        <w:rPr>
          <w:lang w:val="en-AU"/>
        </w:rPr>
        <w:t>WA</w:t>
      </w:r>
    </w:p>
    <w:p w:rsidRPr="008D1918" w:rsidR="008B1164" w:rsidP="009F6459" w:rsidRDefault="008B1164" w14:paraId="141C3666" w14:textId="39A2E6CD">
      <w:pPr>
        <w:numPr>
          <w:ilvl w:val="0"/>
          <w:numId w:val="31"/>
        </w:numPr>
        <w:ind w:left="714" w:hanging="357"/>
        <w:contextualSpacing/>
        <w:rPr>
          <w:lang w:val="en-AU"/>
        </w:rPr>
      </w:pPr>
      <w:r w:rsidRPr="008D1918">
        <w:rPr>
          <w:lang w:val="en-AU"/>
        </w:rPr>
        <w:t>WorkSafe Victoria</w:t>
      </w:r>
      <w:r w:rsidRPr="008D1918" w:rsidR="00BF42E4">
        <w:rPr>
          <w:lang w:val="en-AU"/>
        </w:rPr>
        <w:t>.</w:t>
      </w:r>
    </w:p>
    <w:p w:rsidRPr="008D1918" w:rsidR="00C92EA3" w:rsidP="00041468" w:rsidRDefault="00C92EA3" w14:paraId="1E2D0C1D" w14:textId="77777777">
      <w:pPr>
        <w:pStyle w:val="StyleStyle112pt"/>
      </w:pPr>
      <w:bookmarkStart w:name="_Toc227130839" w:id="360"/>
      <w:bookmarkStart w:name="_Toc200103457" w:id="361"/>
      <w:bookmarkStart w:name="_Toc200271571" w:id="362"/>
      <w:bookmarkStart w:name="_Toc223345375" w:id="363"/>
      <w:bookmarkStart w:name="_Toc223428362" w:id="364"/>
      <w:bookmarkStart w:name="_Toc223445822" w:id="365"/>
      <w:bookmarkStart w:name="_Toc223539620" w:id="366"/>
      <w:bookmarkStart w:name="_Toc223539833" w:id="367"/>
      <w:bookmarkStart w:name="_Toc223540301" w:id="368"/>
      <w:bookmarkStart w:name="_Toc223540517" w:id="369"/>
      <w:bookmarkStart w:name="_Toc223542057" w:id="370"/>
      <w:bookmarkStart w:name="_Toc223604241" w:id="371"/>
      <w:bookmarkStart w:name="_Toc223604452" w:id="372"/>
      <w:bookmarkStart w:name="_Toc223604663" w:id="373"/>
      <w:bookmarkStart w:name="_Toc223618535" w:id="374"/>
      <w:bookmarkStart w:name="_Toc223702775" w:id="375"/>
      <w:bookmarkStart w:name="_Toc227318680" w:id="376"/>
      <w:bookmarkStart w:name="_Toc227337048" w:id="377"/>
      <w:bookmarkEnd w:id="360"/>
      <w:r w:rsidRPr="008D1918">
        <w:t>Pricing Interdepartmental Committee</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sidRPr="008D1918">
        <w:t xml:space="preserve"> </w:t>
      </w:r>
    </w:p>
    <w:p w:rsidRPr="008D1918" w:rsidR="009F3FC7" w:rsidP="009F3FC7" w:rsidRDefault="7EFB7899" w14:paraId="2977B86F" w14:textId="062675A6">
      <w:pPr>
        <w:textAlignment w:val="baseline"/>
        <w:rPr>
          <w:rFonts w:cs="Arial"/>
          <w:lang w:val="en-AU" w:eastAsia="en-AU"/>
        </w:rPr>
      </w:pPr>
      <w:r w:rsidRPr="008D1918">
        <w:rPr>
          <w:rFonts w:cs="Arial"/>
          <w:lang w:val="en-AU" w:eastAsia="en-AU"/>
        </w:rPr>
        <w:t xml:space="preserve">The </w:t>
      </w:r>
      <w:r w:rsidRPr="008D1918" w:rsidR="1321CEFF">
        <w:rPr>
          <w:rFonts w:cs="Arial"/>
          <w:lang w:val="en-AU" w:eastAsia="en-AU"/>
        </w:rPr>
        <w:t>P</w:t>
      </w:r>
      <w:r w:rsidRPr="008D1918">
        <w:rPr>
          <w:rFonts w:cs="Arial"/>
          <w:lang w:val="en-AU" w:eastAsia="en-AU"/>
        </w:rPr>
        <w:t>ricing Interdepartmental Committee</w:t>
      </w:r>
      <w:r w:rsidRPr="008D1918" w:rsidR="51B027D6">
        <w:rPr>
          <w:rFonts w:cs="Arial"/>
          <w:lang w:val="en-AU" w:eastAsia="en-AU"/>
        </w:rPr>
        <w:t xml:space="preserve"> (IDC)</w:t>
      </w:r>
      <w:r w:rsidRPr="008D1918">
        <w:rPr>
          <w:rFonts w:cs="Arial"/>
          <w:lang w:val="en-AU" w:eastAsia="en-AU"/>
        </w:rPr>
        <w:t>,</w:t>
      </w:r>
      <w:r w:rsidRPr="008D1918" w:rsidR="3A3EBC78">
        <w:rPr>
          <w:rFonts w:cs="Arial"/>
          <w:lang w:val="en-AU" w:eastAsia="en-AU"/>
        </w:rPr>
        <w:t xml:space="preserve"> </w:t>
      </w:r>
      <w:r w:rsidRPr="008D1918">
        <w:rPr>
          <w:rFonts w:cs="Arial"/>
          <w:lang w:val="en-AU" w:eastAsia="en-AU"/>
        </w:rPr>
        <w:t>established</w:t>
      </w:r>
      <w:r w:rsidRPr="008D1918" w:rsidR="3A3EBC78">
        <w:rPr>
          <w:rFonts w:cs="Arial"/>
          <w:lang w:val="en-AU" w:eastAsia="en-AU"/>
        </w:rPr>
        <w:t xml:space="preserve"> </w:t>
      </w:r>
      <w:r w:rsidRPr="008D1918">
        <w:rPr>
          <w:rFonts w:cs="Arial"/>
          <w:lang w:val="en-AU" w:eastAsia="en-AU"/>
        </w:rPr>
        <w:t xml:space="preserve">in November 2022, supports a strategic, </w:t>
      </w:r>
      <w:r w:rsidRPr="008D1918" w:rsidR="4E4555B6">
        <w:rPr>
          <w:rFonts w:cs="Arial"/>
          <w:lang w:val="en-AU" w:eastAsia="en-AU"/>
        </w:rPr>
        <w:t>joint</w:t>
      </w:r>
      <w:r w:rsidRPr="008D1918">
        <w:rPr>
          <w:rFonts w:cs="Arial"/>
          <w:lang w:val="en-AU" w:eastAsia="en-AU"/>
        </w:rPr>
        <w:t xml:space="preserve"> approach to </w:t>
      </w:r>
      <w:r w:rsidRPr="008D1918" w:rsidR="4E4555B6">
        <w:rPr>
          <w:rFonts w:cs="Arial"/>
          <w:lang w:val="en-AU" w:eastAsia="en-AU"/>
        </w:rPr>
        <w:t xml:space="preserve">NDIS </w:t>
      </w:r>
      <w:r w:rsidRPr="008D1918">
        <w:rPr>
          <w:rFonts w:cs="Arial"/>
          <w:lang w:val="en-AU" w:eastAsia="en-AU"/>
        </w:rPr>
        <w:t>pricing. It serves as a key mechanism for aligning pricing</w:t>
      </w:r>
      <w:r w:rsidRPr="008D1918" w:rsidR="3A3EBC78">
        <w:rPr>
          <w:rFonts w:cs="Arial"/>
          <w:lang w:val="en-AU" w:eastAsia="en-AU"/>
        </w:rPr>
        <w:t xml:space="preserve"> </w:t>
      </w:r>
      <w:r w:rsidRPr="008D1918">
        <w:rPr>
          <w:rFonts w:cs="Arial"/>
          <w:lang w:val="en-AU" w:eastAsia="en-AU"/>
        </w:rPr>
        <w:t>policy</w:t>
      </w:r>
      <w:r w:rsidRPr="008D1918" w:rsidR="3A3EBC78">
        <w:rPr>
          <w:rFonts w:cs="Arial"/>
          <w:lang w:val="en-AU" w:eastAsia="en-AU"/>
        </w:rPr>
        <w:t xml:space="preserve"> </w:t>
      </w:r>
      <w:r w:rsidRPr="008D1918">
        <w:rPr>
          <w:rFonts w:cs="Arial"/>
          <w:lang w:val="en-AU" w:eastAsia="en-AU"/>
        </w:rPr>
        <w:t>with broader government, economic, regulatory, and social</w:t>
      </w:r>
      <w:r w:rsidRPr="008D1918" w:rsidR="3A3EBC78">
        <w:rPr>
          <w:rFonts w:cs="Arial"/>
          <w:lang w:val="en-AU" w:eastAsia="en-AU"/>
        </w:rPr>
        <w:t xml:space="preserve"> </w:t>
      </w:r>
      <w:r w:rsidRPr="008D1918">
        <w:rPr>
          <w:rFonts w:cs="Arial"/>
          <w:lang w:val="en-AU" w:eastAsia="en-AU"/>
        </w:rPr>
        <w:t>objectives.</w:t>
      </w:r>
    </w:p>
    <w:p w:rsidRPr="008D1918" w:rsidR="009F3FC7" w:rsidP="004E6A6F" w:rsidRDefault="385D242D" w14:paraId="70EB5549" w14:textId="6F5E6167">
      <w:pPr>
        <w:textAlignment w:val="baseline"/>
        <w:rPr>
          <w:rFonts w:cs="Arial"/>
          <w:lang w:val="en-AU" w:eastAsia="en-AU"/>
        </w:rPr>
      </w:pPr>
      <w:r w:rsidRPr="008D1918">
        <w:rPr>
          <w:rFonts w:cs="Arial"/>
          <w:lang w:val="en-AU" w:eastAsia="en-AU"/>
        </w:rPr>
        <w:t xml:space="preserve">The </w:t>
      </w:r>
      <w:r w:rsidRPr="008D1918" w:rsidR="5CFC4E0F">
        <w:rPr>
          <w:rFonts w:cs="Arial"/>
          <w:lang w:val="en-AU" w:eastAsia="en-AU"/>
        </w:rPr>
        <w:t xml:space="preserve">IDC </w:t>
      </w:r>
      <w:r w:rsidRPr="008D1918">
        <w:rPr>
          <w:rFonts w:cs="Arial"/>
          <w:lang w:val="en-AU" w:eastAsia="en-AU"/>
        </w:rPr>
        <w:t>includes senior representatives from the</w:t>
      </w:r>
      <w:r w:rsidRPr="008D1918" w:rsidR="0A558471">
        <w:rPr>
          <w:rFonts w:cs="Arial"/>
          <w:lang w:val="en-AU" w:eastAsia="en-AU"/>
        </w:rPr>
        <w:t>:</w:t>
      </w:r>
    </w:p>
    <w:p w:rsidRPr="008D1918" w:rsidR="009F3FC7" w:rsidP="009F6459" w:rsidRDefault="00990C2D" w14:paraId="0F33D5FF" w14:textId="79419E5A">
      <w:pPr>
        <w:numPr>
          <w:ilvl w:val="0"/>
          <w:numId w:val="32"/>
        </w:numPr>
        <w:ind w:left="714" w:hanging="357"/>
        <w:contextualSpacing/>
        <w:textAlignment w:val="baseline"/>
        <w:rPr>
          <w:rFonts w:cs="Arial"/>
          <w:lang w:val="en-AU" w:eastAsia="en-AU"/>
        </w:rPr>
      </w:pPr>
      <w:r w:rsidRPr="008D1918">
        <w:rPr>
          <w:rFonts w:cs="Arial"/>
          <w:lang w:val="en-AU" w:eastAsia="en-AU"/>
        </w:rPr>
        <w:t>D</w:t>
      </w:r>
      <w:r w:rsidRPr="008D1918" w:rsidR="00673E3C">
        <w:rPr>
          <w:rFonts w:cs="Arial"/>
          <w:lang w:val="en-AU" w:eastAsia="en-AU"/>
        </w:rPr>
        <w:t>epartment of Health, Disability and Ageing</w:t>
      </w:r>
    </w:p>
    <w:p w:rsidRPr="008D1918" w:rsidR="009F3FC7" w:rsidP="009F6459" w:rsidRDefault="009F3FC7" w14:paraId="52A55082" w14:textId="098EE339">
      <w:pPr>
        <w:numPr>
          <w:ilvl w:val="0"/>
          <w:numId w:val="33"/>
        </w:numPr>
        <w:ind w:left="714" w:hanging="357"/>
        <w:contextualSpacing/>
        <w:textAlignment w:val="baseline"/>
        <w:rPr>
          <w:rFonts w:cs="Arial"/>
          <w:lang w:val="en-AU" w:eastAsia="en-AU"/>
        </w:rPr>
      </w:pPr>
      <w:r w:rsidRPr="008D1918">
        <w:rPr>
          <w:rFonts w:cs="Arial"/>
          <w:lang w:val="en-AU" w:eastAsia="en-AU"/>
        </w:rPr>
        <w:t>Department of Finance</w:t>
      </w:r>
    </w:p>
    <w:p w:rsidRPr="008D1918" w:rsidR="009F3FC7" w:rsidP="009F6459" w:rsidRDefault="009F3FC7" w14:paraId="2B0E5FE6" w14:textId="49AFBC4D">
      <w:pPr>
        <w:numPr>
          <w:ilvl w:val="0"/>
          <w:numId w:val="34"/>
        </w:numPr>
        <w:ind w:left="714" w:hanging="357"/>
        <w:contextualSpacing/>
        <w:textAlignment w:val="baseline"/>
        <w:rPr>
          <w:rFonts w:cs="Arial"/>
          <w:lang w:val="en-AU" w:eastAsia="en-AU"/>
        </w:rPr>
      </w:pPr>
      <w:r w:rsidRPr="008D1918">
        <w:rPr>
          <w:rFonts w:cs="Arial"/>
          <w:lang w:val="en-AU" w:eastAsia="en-AU"/>
        </w:rPr>
        <w:t>Department of the Prime Minister and Cabinet</w:t>
      </w:r>
    </w:p>
    <w:p w:rsidRPr="008D1918" w:rsidR="009F3FC7" w:rsidP="009F6459" w:rsidRDefault="009F3FC7" w14:paraId="4873E9C4" w14:textId="39A3A049">
      <w:pPr>
        <w:numPr>
          <w:ilvl w:val="0"/>
          <w:numId w:val="35"/>
        </w:numPr>
        <w:ind w:left="714" w:hanging="357"/>
        <w:contextualSpacing/>
        <w:textAlignment w:val="baseline"/>
        <w:rPr>
          <w:rFonts w:cs="Arial"/>
          <w:lang w:val="en-AU" w:eastAsia="en-AU"/>
        </w:rPr>
      </w:pPr>
      <w:r w:rsidRPr="008D1918">
        <w:rPr>
          <w:rFonts w:cs="Arial"/>
          <w:lang w:val="en-AU" w:eastAsia="en-AU"/>
        </w:rPr>
        <w:t xml:space="preserve">NDIS </w:t>
      </w:r>
      <w:r w:rsidRPr="008D1918" w:rsidR="00673E3C">
        <w:rPr>
          <w:rFonts w:cs="Arial"/>
          <w:lang w:val="en-AU" w:eastAsia="en-AU"/>
        </w:rPr>
        <w:t xml:space="preserve">Quality and Safeguards </w:t>
      </w:r>
      <w:r w:rsidRPr="008D1918">
        <w:rPr>
          <w:rFonts w:cs="Arial"/>
          <w:lang w:val="en-AU" w:eastAsia="en-AU"/>
        </w:rPr>
        <w:t>Commission</w:t>
      </w:r>
    </w:p>
    <w:p w:rsidRPr="008D1918" w:rsidR="00EC1B0F" w:rsidP="009F6459" w:rsidRDefault="00EC1B0F" w14:paraId="01060C8D" w14:textId="77777777">
      <w:pPr>
        <w:numPr>
          <w:ilvl w:val="0"/>
          <w:numId w:val="35"/>
        </w:numPr>
        <w:contextualSpacing/>
        <w:textAlignment w:val="baseline"/>
        <w:rPr>
          <w:rFonts w:cs="Arial"/>
          <w:lang w:val="en-AU" w:eastAsia="en-AU"/>
        </w:rPr>
      </w:pPr>
      <w:r w:rsidRPr="008D1918">
        <w:rPr>
          <w:rFonts w:cs="Arial"/>
          <w:lang w:val="en-AU" w:eastAsia="en-AU"/>
        </w:rPr>
        <w:t>The Treasury</w:t>
      </w:r>
    </w:p>
    <w:p w:rsidRPr="008D1918" w:rsidR="00C92EA3" w:rsidP="00041468" w:rsidRDefault="00C92EA3" w14:paraId="40B02422" w14:textId="576F5C99">
      <w:pPr>
        <w:pStyle w:val="StyleStyle112pt"/>
      </w:pPr>
      <w:bookmarkStart w:name="_Toc200103458" w:id="378"/>
      <w:bookmarkStart w:name="_Toc200271572" w:id="379"/>
      <w:bookmarkStart w:name="_Toc223345376" w:id="380"/>
      <w:bookmarkStart w:name="_Toc223428363" w:id="381"/>
      <w:bookmarkStart w:name="_Toc223445823" w:id="382"/>
      <w:bookmarkStart w:name="_Toc223539621" w:id="383"/>
      <w:bookmarkStart w:name="_Toc223539834" w:id="384"/>
      <w:bookmarkStart w:name="_Toc223540302" w:id="385"/>
      <w:bookmarkStart w:name="_Toc223540518" w:id="386"/>
      <w:bookmarkStart w:name="_Toc223542058" w:id="387"/>
      <w:bookmarkStart w:name="_Toc223604242" w:id="388"/>
      <w:bookmarkStart w:name="_Toc223604453" w:id="389"/>
      <w:bookmarkStart w:name="_Toc223604664" w:id="390"/>
      <w:bookmarkStart w:name="_Toc223618536" w:id="391"/>
      <w:bookmarkStart w:name="_Toc223702776" w:id="392"/>
      <w:bookmarkStart w:name="_Toc227318681" w:id="393"/>
      <w:bookmarkStart w:name="_Toc227337049" w:id="394"/>
      <w:r w:rsidRPr="008D1918">
        <w:t>Pricing Arrangement Reference Group</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rsidRPr="008D1918" w:rsidR="00AF000B" w:rsidP="0087079E" w:rsidRDefault="003D3726" w14:paraId="1AE50589" w14:textId="2A050131">
      <w:pPr>
        <w:rPr>
          <w:lang w:val="en-AU"/>
        </w:rPr>
      </w:pPr>
      <w:r w:rsidRPr="008D1918">
        <w:rPr>
          <w:lang w:val="en-AU"/>
        </w:rPr>
        <w:t>The APR was informed by advice and peer review from the NDIA’s Pricing Arrangement Reference Group, which</w:t>
      </w:r>
      <w:r w:rsidRPr="008D1918" w:rsidR="004E6A6F">
        <w:rPr>
          <w:lang w:val="en-AU"/>
        </w:rPr>
        <w:t xml:space="preserve"> </w:t>
      </w:r>
      <w:r w:rsidRPr="008D1918">
        <w:rPr>
          <w:lang w:val="en-AU"/>
        </w:rPr>
        <w:t>provides</w:t>
      </w:r>
      <w:r w:rsidRPr="008D1918" w:rsidR="004E6A6F">
        <w:rPr>
          <w:lang w:val="en-AU"/>
        </w:rPr>
        <w:t xml:space="preserve"> </w:t>
      </w:r>
      <w:r w:rsidRPr="008D1918">
        <w:rPr>
          <w:lang w:val="en-AU"/>
        </w:rPr>
        <w:t xml:space="preserve">expert advice </w:t>
      </w:r>
      <w:r w:rsidRPr="008D1918" w:rsidR="00093D7F">
        <w:rPr>
          <w:lang w:val="en-AU"/>
        </w:rPr>
        <w:t xml:space="preserve">on pricing arrangements </w:t>
      </w:r>
      <w:r w:rsidRPr="008D1918">
        <w:rPr>
          <w:lang w:val="en-AU"/>
        </w:rPr>
        <w:t xml:space="preserve">to the NDIA Board via the Chief Executive Officer of the NDIA. This advisory process helps ensure pricing </w:t>
      </w:r>
      <w:r w:rsidRPr="008D1918" w:rsidR="00996391">
        <w:rPr>
          <w:lang w:val="en-AU"/>
        </w:rPr>
        <w:t>guidance is</w:t>
      </w:r>
      <w:r w:rsidRPr="008D1918">
        <w:rPr>
          <w:lang w:val="en-AU"/>
        </w:rPr>
        <w:t xml:space="preserve"> transparent, evidence-based, and aligned with the NDIA’s objectives to support participant outcomes and strengthen market stewardship. More information can be found</w:t>
      </w:r>
      <w:r w:rsidRPr="008D1918" w:rsidR="00933DBA">
        <w:rPr>
          <w:lang w:val="en-AU"/>
        </w:rPr>
        <w:t xml:space="preserve"> on the </w:t>
      </w:r>
      <w:r w:rsidRPr="008D1918">
        <w:rPr>
          <w:lang w:val="en-AU"/>
        </w:rPr>
        <w:t>NDIS website</w:t>
      </w:r>
      <w:r w:rsidRPr="008D1918" w:rsidR="005E3A80">
        <w:rPr>
          <w:lang w:val="en-AU"/>
        </w:rPr>
        <w:t xml:space="preserve"> </w:t>
      </w:r>
      <w:r w:rsidRPr="008D1918" w:rsidR="002C3616">
        <w:rPr>
          <w:lang w:val="en-AU"/>
        </w:rPr>
        <w:t xml:space="preserve">at </w:t>
      </w:r>
      <w:hyperlink w:history="1" r:id="rId16">
        <w:r w:rsidRPr="008D1918" w:rsidR="005E3A80">
          <w:rPr>
            <w:rStyle w:val="Hyperlink"/>
            <w:lang w:val="en-AU"/>
          </w:rPr>
          <w:t>https://www.ndis.gov.au/reference-group-updates/pricing-arrangement-reference-group</w:t>
        </w:r>
      </w:hyperlink>
    </w:p>
    <w:p w:rsidRPr="008D1918" w:rsidR="00F1499B" w:rsidRDefault="00F1499B" w14:paraId="1F52D9F5" w14:textId="77777777">
      <w:pPr>
        <w:spacing w:after="0" w:line="240" w:lineRule="auto"/>
        <w:rPr>
          <w:rFonts w:cs="Arial"/>
          <w:lang w:val="en-AU" w:eastAsia="en-AU"/>
        </w:rPr>
      </w:pPr>
      <w:r w:rsidRPr="008D1918">
        <w:rPr>
          <w:rFonts w:cs="Arial"/>
          <w:lang w:val="en-AU" w:eastAsia="en-AU"/>
        </w:rPr>
        <w:br w:type="page"/>
      </w:r>
    </w:p>
    <w:p w:rsidRPr="008D1918" w:rsidR="00F504FD" w:rsidP="0092027F" w:rsidRDefault="00F504FD" w14:paraId="6EB350BC" w14:textId="4E959062">
      <w:pPr>
        <w:pStyle w:val="Heading21"/>
        <w:ind w:left="1077" w:hanging="720"/>
      </w:pPr>
      <w:bookmarkStart w:name="_Toc223539622" w:id="395"/>
      <w:bookmarkStart w:name="_Toc223539835" w:id="396"/>
      <w:bookmarkStart w:name="_Toc223540303" w:id="397"/>
      <w:bookmarkStart w:name="_Toc223540519" w:id="398"/>
      <w:bookmarkStart w:name="_Toc223542059" w:id="399"/>
      <w:bookmarkStart w:name="_Toc223604243" w:id="400"/>
      <w:bookmarkStart w:name="_Toc223604454" w:id="401"/>
      <w:bookmarkStart w:name="_Toc227337050" w:id="402"/>
      <w:r w:rsidRPr="008D1918">
        <w:t xml:space="preserve">Domestic </w:t>
      </w:r>
      <w:r w:rsidRPr="008D1918" w:rsidR="006B7F0A">
        <w:t>e</w:t>
      </w:r>
      <w:r w:rsidRPr="008D1918">
        <w:t xml:space="preserve">conomic </w:t>
      </w:r>
      <w:r w:rsidRPr="008D1918" w:rsidR="0026325E">
        <w:t>conditions</w:t>
      </w:r>
      <w:bookmarkEnd w:id="395"/>
      <w:bookmarkEnd w:id="396"/>
      <w:bookmarkEnd w:id="397"/>
      <w:bookmarkEnd w:id="398"/>
      <w:bookmarkEnd w:id="399"/>
      <w:bookmarkEnd w:id="400"/>
      <w:bookmarkEnd w:id="401"/>
      <w:bookmarkEnd w:id="402"/>
      <w:r w:rsidRPr="008D1918">
        <w:t xml:space="preserve"> </w:t>
      </w:r>
    </w:p>
    <w:p w:rsidRPr="008D1918" w:rsidR="009A64B2" w:rsidP="00BF1D37" w:rsidRDefault="009A64B2" w14:paraId="2DABADAD" w14:textId="0E954CD9">
      <w:pPr>
        <w:pStyle w:val="Heading31"/>
        <w:ind w:left="1077" w:hanging="720"/>
      </w:pPr>
      <w:bookmarkStart w:name="_Toc223539623" w:id="403"/>
      <w:bookmarkStart w:name="_Toc223539836" w:id="404"/>
      <w:bookmarkStart w:name="_Toc223540304" w:id="405"/>
      <w:bookmarkStart w:name="_Toc223540520" w:id="406"/>
      <w:bookmarkStart w:name="_Toc223542060" w:id="407"/>
      <w:bookmarkStart w:name="_Toc223604244" w:id="408"/>
      <w:bookmarkStart w:name="_Toc223604455" w:id="409"/>
      <w:bookmarkStart w:name="_Toc227337051" w:id="410"/>
      <w:r w:rsidRPr="008D1918">
        <w:t xml:space="preserve">Economic </w:t>
      </w:r>
      <w:r w:rsidRPr="008D1918" w:rsidR="006B7F0A">
        <w:t>o</w:t>
      </w:r>
      <w:r w:rsidRPr="008D1918">
        <w:t>utlook</w:t>
      </w:r>
      <w:bookmarkEnd w:id="403"/>
      <w:bookmarkEnd w:id="404"/>
      <w:bookmarkEnd w:id="405"/>
      <w:bookmarkEnd w:id="406"/>
      <w:bookmarkEnd w:id="407"/>
      <w:bookmarkEnd w:id="408"/>
      <w:bookmarkEnd w:id="409"/>
      <w:bookmarkEnd w:id="410"/>
    </w:p>
    <w:p w:rsidRPr="008D1918" w:rsidR="009A64B2" w:rsidRDefault="009A64B2" w14:paraId="2E328670" w14:textId="346A1980">
      <w:pPr>
        <w:rPr>
          <w:lang w:val="en-AU"/>
        </w:rPr>
      </w:pPr>
      <w:r w:rsidRPr="008D1918">
        <w:rPr>
          <w:lang w:val="en-AU"/>
        </w:rPr>
        <w:t xml:space="preserve">Australia’s economic growth recovered </w:t>
      </w:r>
      <w:r w:rsidRPr="008D1918" w:rsidR="006836B1">
        <w:rPr>
          <w:lang w:val="en-AU"/>
        </w:rPr>
        <w:t xml:space="preserve">in </w:t>
      </w:r>
      <w:r w:rsidRPr="008D1918">
        <w:rPr>
          <w:lang w:val="en-AU"/>
        </w:rPr>
        <w:t xml:space="preserve">2025, following very weak growth in 2024, to reach its fastest annual pace in </w:t>
      </w:r>
      <w:r w:rsidRPr="008D1918" w:rsidR="00617823">
        <w:rPr>
          <w:lang w:val="en-AU"/>
        </w:rPr>
        <w:t>nearly</w:t>
      </w:r>
      <w:r w:rsidRPr="008D1918" w:rsidR="00FD5381">
        <w:rPr>
          <w:lang w:val="en-AU"/>
        </w:rPr>
        <w:t xml:space="preserve"> </w:t>
      </w:r>
      <w:r w:rsidRPr="008D1918" w:rsidR="00FD4ECE">
        <w:rPr>
          <w:lang w:val="en-AU"/>
        </w:rPr>
        <w:t xml:space="preserve">3 </w:t>
      </w:r>
      <w:r w:rsidRPr="008D1918">
        <w:rPr>
          <w:lang w:val="en-AU"/>
        </w:rPr>
        <w:t xml:space="preserve">years in the </w:t>
      </w:r>
      <w:r w:rsidRPr="008D1918" w:rsidR="00FD5381">
        <w:rPr>
          <w:lang w:val="en-AU"/>
        </w:rPr>
        <w:t>December</w:t>
      </w:r>
      <w:r w:rsidRPr="008D1918">
        <w:rPr>
          <w:lang w:val="en-AU"/>
        </w:rPr>
        <w:t xml:space="preserve"> quarter 2025</w:t>
      </w:r>
      <w:r w:rsidRPr="008D1918">
        <w:rPr>
          <w:rStyle w:val="FootnoteReference"/>
          <w:lang w:val="en-AU"/>
        </w:rPr>
        <w:footnoteReference w:id="2"/>
      </w:r>
      <w:r w:rsidRPr="008D1918">
        <w:rPr>
          <w:lang w:val="en-AU"/>
        </w:rPr>
        <w:t>. This rebound was driven by a recovery in private demand, led by strong household spending and investment, as well as ongoing growth in public demand</w:t>
      </w:r>
      <w:r w:rsidRPr="008D1918">
        <w:rPr>
          <w:rStyle w:val="FootnoteReference"/>
          <w:lang w:val="en-AU"/>
        </w:rPr>
        <w:footnoteReference w:id="3"/>
      </w:r>
      <w:r w:rsidRPr="008D1918">
        <w:rPr>
          <w:lang w:val="en-AU"/>
        </w:rPr>
        <w:t xml:space="preserve">. </w:t>
      </w:r>
    </w:p>
    <w:p w:rsidRPr="008D1918" w:rsidR="000D0565" w:rsidRDefault="009A64B2" w14:paraId="39F0DF5F" w14:textId="136B8F1C">
      <w:pPr>
        <w:rPr>
          <w:lang w:val="en-AU"/>
        </w:rPr>
      </w:pPr>
      <w:r w:rsidRPr="008D1918">
        <w:rPr>
          <w:lang w:val="en-AU"/>
        </w:rPr>
        <w:t>While the labour market has remained resilient over the past year, inflationary pressures picked up strongly in the second half of 2025, leading to the Reserve Bank of Australia (RBA) increasing the cash rate target in February</w:t>
      </w:r>
      <w:r w:rsidRPr="008D1918" w:rsidR="000C31C0">
        <w:rPr>
          <w:lang w:val="en-AU"/>
        </w:rPr>
        <w:t xml:space="preserve"> </w:t>
      </w:r>
      <w:r w:rsidRPr="008D1918" w:rsidR="00CA18A3">
        <w:rPr>
          <w:lang w:val="en-AU"/>
        </w:rPr>
        <w:t>and March</w:t>
      </w:r>
      <w:r w:rsidRPr="008D1918">
        <w:rPr>
          <w:lang w:val="en-AU"/>
        </w:rPr>
        <w:t xml:space="preserve"> 2026</w:t>
      </w:r>
      <w:r w:rsidRPr="008D1918">
        <w:rPr>
          <w:rStyle w:val="FootnoteReference"/>
          <w:lang w:val="en-AU"/>
        </w:rPr>
        <w:footnoteReference w:id="4"/>
      </w:r>
      <w:r w:rsidRPr="008D1918">
        <w:rPr>
          <w:lang w:val="en-AU"/>
        </w:rPr>
        <w:t>.</w:t>
      </w:r>
      <w:r w:rsidRPr="008D1918" w:rsidR="006E04F6">
        <w:rPr>
          <w:lang w:val="en-AU"/>
        </w:rPr>
        <w:t xml:space="preserve"> In addition, the conflict in the Middle East </w:t>
      </w:r>
      <w:r w:rsidRPr="008D1918" w:rsidR="00AF0CD9">
        <w:rPr>
          <w:lang w:val="en-AU"/>
        </w:rPr>
        <w:t xml:space="preserve">has </w:t>
      </w:r>
      <w:r w:rsidRPr="008D1918" w:rsidR="00E0326E">
        <w:rPr>
          <w:lang w:val="en-AU"/>
        </w:rPr>
        <w:t xml:space="preserve">introduced significant uncertainty into the Australian economy </w:t>
      </w:r>
      <w:r w:rsidRPr="008D1918" w:rsidR="00381329">
        <w:rPr>
          <w:lang w:val="en-AU"/>
        </w:rPr>
        <w:t xml:space="preserve">and </w:t>
      </w:r>
      <w:r w:rsidRPr="008D1918" w:rsidR="00AF0CD9">
        <w:rPr>
          <w:lang w:val="en-AU"/>
        </w:rPr>
        <w:t>resulted in sharply higher fuel prices</w:t>
      </w:r>
      <w:r w:rsidRPr="008D1918" w:rsidR="008624B2">
        <w:rPr>
          <w:lang w:val="en-AU"/>
        </w:rPr>
        <w:t xml:space="preserve">, which, if sustained, </w:t>
      </w:r>
      <w:r w:rsidRPr="008D1918" w:rsidR="008C5A9C">
        <w:rPr>
          <w:lang w:val="en-AU"/>
        </w:rPr>
        <w:t>will add to inflation</w:t>
      </w:r>
      <w:r w:rsidRPr="008D1918" w:rsidR="004A64E8">
        <w:rPr>
          <w:rStyle w:val="FootnoteReference"/>
          <w:lang w:val="en-AU"/>
        </w:rPr>
        <w:footnoteReference w:id="5"/>
      </w:r>
      <w:r w:rsidRPr="008D1918" w:rsidR="008C5A9C">
        <w:rPr>
          <w:lang w:val="en-AU"/>
        </w:rPr>
        <w:t>.</w:t>
      </w:r>
    </w:p>
    <w:p w:rsidRPr="008D1918" w:rsidR="009319FB" w:rsidP="009319FB" w:rsidRDefault="00153943" w14:paraId="4CFBABA8" w14:textId="656124C1">
      <w:pPr>
        <w:rPr>
          <w:lang w:val="en-AU"/>
        </w:rPr>
      </w:pPr>
      <w:r w:rsidRPr="008D1918">
        <w:rPr>
          <w:lang w:val="en-AU"/>
        </w:rPr>
        <w:t xml:space="preserve">Prior to </w:t>
      </w:r>
      <w:r w:rsidRPr="008D1918" w:rsidR="0018446A">
        <w:rPr>
          <w:lang w:val="en-AU"/>
        </w:rPr>
        <w:t xml:space="preserve">the </w:t>
      </w:r>
      <w:r w:rsidRPr="008D1918" w:rsidR="00456839">
        <w:rPr>
          <w:lang w:val="en-AU"/>
        </w:rPr>
        <w:t xml:space="preserve">conflict </w:t>
      </w:r>
      <w:r w:rsidRPr="008D1918" w:rsidR="0018446A">
        <w:rPr>
          <w:lang w:val="en-AU"/>
        </w:rPr>
        <w:t xml:space="preserve">in the </w:t>
      </w:r>
      <w:r w:rsidRPr="008D1918" w:rsidR="00761918">
        <w:rPr>
          <w:lang w:val="en-AU"/>
        </w:rPr>
        <w:t>Middle East</w:t>
      </w:r>
      <w:r w:rsidRPr="008D1918" w:rsidR="00B000BD">
        <w:rPr>
          <w:lang w:val="en-AU"/>
        </w:rPr>
        <w:t xml:space="preserve">, </w:t>
      </w:r>
      <w:r w:rsidRPr="008D1918" w:rsidR="009A64B2">
        <w:rPr>
          <w:lang w:val="en-AU"/>
        </w:rPr>
        <w:t xml:space="preserve">the Australian economy </w:t>
      </w:r>
      <w:r w:rsidRPr="008D1918" w:rsidR="00DD3461">
        <w:rPr>
          <w:lang w:val="en-AU"/>
        </w:rPr>
        <w:t>was</w:t>
      </w:r>
      <w:r w:rsidRPr="008D1918" w:rsidR="009A64B2">
        <w:rPr>
          <w:lang w:val="en-AU"/>
        </w:rPr>
        <w:t xml:space="preserve"> expected to gain further momentum over 2026, with real Gross Domestic Product (GDP) forecast to grow by 2.</w:t>
      </w:r>
      <w:r w:rsidRPr="008D1918" w:rsidR="00334D85">
        <w:rPr>
          <w:lang w:val="en-AU"/>
        </w:rPr>
        <w:t>1</w:t>
      </w:r>
      <w:r w:rsidRPr="008D1918" w:rsidR="00EA570E">
        <w:rPr>
          <w:lang w:val="en-AU"/>
        </w:rPr>
        <w:t>% by mid-2026</w:t>
      </w:r>
      <w:r w:rsidRPr="008D1918" w:rsidR="006F17AA">
        <w:rPr>
          <w:lang w:val="en-AU"/>
        </w:rPr>
        <w:t>,</w:t>
      </w:r>
      <w:r w:rsidRPr="008D1918" w:rsidR="00EA570E">
        <w:rPr>
          <w:lang w:val="en-AU"/>
        </w:rPr>
        <w:t xml:space="preserve"> before</w:t>
      </w:r>
      <w:r w:rsidRPr="008D1918" w:rsidR="00AC1A08">
        <w:rPr>
          <w:lang w:val="en-AU"/>
        </w:rPr>
        <w:t xml:space="preserve"> </w:t>
      </w:r>
      <w:r w:rsidRPr="008D1918" w:rsidR="00802982">
        <w:rPr>
          <w:lang w:val="en-AU"/>
        </w:rPr>
        <w:t>eas</w:t>
      </w:r>
      <w:r w:rsidRPr="008D1918" w:rsidR="00521661">
        <w:rPr>
          <w:lang w:val="en-AU"/>
        </w:rPr>
        <w:t>ing</w:t>
      </w:r>
      <w:r w:rsidRPr="008D1918" w:rsidR="00283C07">
        <w:rPr>
          <w:lang w:val="en-AU"/>
        </w:rPr>
        <w:t xml:space="preserve"> </w:t>
      </w:r>
      <w:r w:rsidRPr="008D1918" w:rsidR="004A4096">
        <w:rPr>
          <w:lang w:val="en-AU"/>
        </w:rPr>
        <w:t>from late</w:t>
      </w:r>
      <w:r w:rsidRPr="008D1918" w:rsidR="009E2741">
        <w:rPr>
          <w:lang w:val="en-AU"/>
        </w:rPr>
        <w:t>-</w:t>
      </w:r>
      <w:r w:rsidRPr="008D1918" w:rsidR="004A4096">
        <w:rPr>
          <w:lang w:val="en-AU"/>
        </w:rPr>
        <w:t xml:space="preserve">2026 </w:t>
      </w:r>
      <w:r w:rsidRPr="008D1918" w:rsidR="00283C07">
        <w:rPr>
          <w:lang w:val="en-AU"/>
        </w:rPr>
        <w:t>and</w:t>
      </w:r>
      <w:r w:rsidRPr="008D1918" w:rsidR="00521661">
        <w:rPr>
          <w:lang w:val="en-AU"/>
        </w:rPr>
        <w:t xml:space="preserve"> grow</w:t>
      </w:r>
      <w:r w:rsidRPr="008D1918" w:rsidR="003E678C">
        <w:rPr>
          <w:lang w:val="en-AU"/>
        </w:rPr>
        <w:t>ing</w:t>
      </w:r>
      <w:r w:rsidRPr="008D1918" w:rsidR="00521661">
        <w:rPr>
          <w:lang w:val="en-AU"/>
        </w:rPr>
        <w:t xml:space="preserve"> by </w:t>
      </w:r>
      <w:r w:rsidRPr="008D1918" w:rsidR="0029466F">
        <w:rPr>
          <w:lang w:val="en-AU"/>
        </w:rPr>
        <w:t>1.</w:t>
      </w:r>
      <w:r w:rsidRPr="008D1918" w:rsidR="009566D9">
        <w:rPr>
          <w:lang w:val="en-AU"/>
        </w:rPr>
        <w:t>6% over 2027</w:t>
      </w:r>
      <w:r w:rsidRPr="008D1918" w:rsidR="009A64B2">
        <w:rPr>
          <w:rStyle w:val="FootnoteReference"/>
          <w:lang w:val="en-AU"/>
        </w:rPr>
        <w:footnoteReference w:id="6"/>
      </w:r>
      <w:r w:rsidRPr="008D1918" w:rsidR="009A64B2">
        <w:rPr>
          <w:lang w:val="en-AU"/>
        </w:rPr>
        <w:t>.</w:t>
      </w:r>
      <w:r w:rsidRPr="008D1918" w:rsidR="00DD3461">
        <w:rPr>
          <w:lang w:val="en-AU"/>
        </w:rPr>
        <w:t xml:space="preserve"> </w:t>
      </w:r>
      <w:r w:rsidRPr="008D1918" w:rsidR="00AB6D1D">
        <w:rPr>
          <w:lang w:val="en-AU"/>
        </w:rPr>
        <w:t>However, since the conflict</w:t>
      </w:r>
      <w:r w:rsidRPr="008D1918" w:rsidR="003E678C">
        <w:rPr>
          <w:lang w:val="en-AU"/>
        </w:rPr>
        <w:t xml:space="preserve"> in the Middle East</w:t>
      </w:r>
      <w:r w:rsidRPr="008D1918" w:rsidR="00CC1A84">
        <w:rPr>
          <w:lang w:val="en-AU"/>
        </w:rPr>
        <w:t>,</w:t>
      </w:r>
      <w:r w:rsidRPr="008D1918" w:rsidR="00AB6D1D">
        <w:rPr>
          <w:lang w:val="en-AU"/>
        </w:rPr>
        <w:t xml:space="preserve"> </w:t>
      </w:r>
      <w:r w:rsidRPr="008D1918" w:rsidR="00326641">
        <w:rPr>
          <w:lang w:val="en-AU"/>
        </w:rPr>
        <w:t>the outlook for the Australian economy has continued to shift rapidly</w:t>
      </w:r>
      <w:r w:rsidRPr="008D1918" w:rsidR="00D32CF2">
        <w:rPr>
          <w:lang w:val="en-AU"/>
        </w:rPr>
        <w:t>,</w:t>
      </w:r>
      <w:r w:rsidRPr="008D1918" w:rsidR="00597E2E">
        <w:rPr>
          <w:lang w:val="en-AU"/>
        </w:rPr>
        <w:t xml:space="preserve"> with </w:t>
      </w:r>
      <w:r w:rsidRPr="008D1918" w:rsidR="007958B8">
        <w:rPr>
          <w:lang w:val="en-AU"/>
        </w:rPr>
        <w:t>GDP growth</w:t>
      </w:r>
      <w:r w:rsidRPr="008D1918" w:rsidR="00981400">
        <w:rPr>
          <w:lang w:val="en-AU"/>
        </w:rPr>
        <w:t xml:space="preserve"> expected to be</w:t>
      </w:r>
      <w:r w:rsidRPr="008D1918" w:rsidR="007958B8">
        <w:rPr>
          <w:lang w:val="en-AU"/>
        </w:rPr>
        <w:t xml:space="preserve"> </w:t>
      </w:r>
      <w:r w:rsidRPr="008D1918" w:rsidR="008445A4">
        <w:rPr>
          <w:lang w:val="en-AU"/>
        </w:rPr>
        <w:t xml:space="preserve">lower than previously forecasted as higher inflation </w:t>
      </w:r>
      <w:r w:rsidRPr="008D1918" w:rsidR="00D32CF2">
        <w:rPr>
          <w:lang w:val="en-AU"/>
        </w:rPr>
        <w:t xml:space="preserve">and tighter-than-expected monetary policy </w:t>
      </w:r>
      <w:r w:rsidRPr="008D1918" w:rsidR="00585D71">
        <w:rPr>
          <w:lang w:val="en-AU"/>
        </w:rPr>
        <w:t xml:space="preserve">slow </w:t>
      </w:r>
      <w:r w:rsidRPr="008D1918" w:rsidR="00630E7F">
        <w:rPr>
          <w:lang w:val="en-AU"/>
        </w:rPr>
        <w:t>GDP</w:t>
      </w:r>
      <w:r w:rsidRPr="008D1918" w:rsidR="00AC4CEA">
        <w:rPr>
          <w:lang w:val="en-AU"/>
        </w:rPr>
        <w:t xml:space="preserve"> </w:t>
      </w:r>
      <w:r w:rsidRPr="008D1918" w:rsidR="00D32CF2">
        <w:rPr>
          <w:lang w:val="en-AU"/>
        </w:rPr>
        <w:t>growth</w:t>
      </w:r>
      <w:r w:rsidRPr="008D1918" w:rsidR="00AC199D">
        <w:rPr>
          <w:lang w:val="en-AU"/>
        </w:rPr>
        <w:t xml:space="preserve"> </w:t>
      </w:r>
      <w:r w:rsidRPr="008D1918" w:rsidR="00D16446">
        <w:rPr>
          <w:lang w:val="en-AU"/>
        </w:rPr>
        <w:t>over</w:t>
      </w:r>
      <w:r w:rsidRPr="008D1918" w:rsidR="00AC199D">
        <w:rPr>
          <w:lang w:val="en-AU"/>
        </w:rPr>
        <w:t xml:space="preserve"> 2026 and 2027</w:t>
      </w:r>
      <w:r w:rsidRPr="008D1918" w:rsidR="00003F82">
        <w:rPr>
          <w:lang w:val="en-AU"/>
        </w:rPr>
        <w:t>.</w:t>
      </w:r>
    </w:p>
    <w:p w:rsidRPr="008D1918" w:rsidR="009A64B2" w:rsidP="00653637" w:rsidRDefault="009A64B2" w14:paraId="651778E8" w14:textId="77777777">
      <w:pPr>
        <w:pStyle w:val="Heading31"/>
        <w:ind w:left="1077" w:hanging="720"/>
      </w:pPr>
      <w:bookmarkStart w:name="_Toc223539624" w:id="411"/>
      <w:bookmarkStart w:name="_Toc223539837" w:id="412"/>
      <w:bookmarkStart w:name="_Toc223540305" w:id="413"/>
      <w:bookmarkStart w:name="_Toc223540521" w:id="414"/>
      <w:bookmarkStart w:name="_Toc223542061" w:id="415"/>
      <w:bookmarkStart w:name="_Toc223604245" w:id="416"/>
      <w:bookmarkStart w:name="_Toc223604456" w:id="417"/>
      <w:bookmarkStart w:name="_Toc227337052" w:id="418"/>
      <w:r w:rsidRPr="008D1918">
        <w:t>Inflation</w:t>
      </w:r>
      <w:bookmarkStart w:name="_Hlk200001962" w:id="419"/>
      <w:bookmarkEnd w:id="411"/>
      <w:bookmarkEnd w:id="412"/>
      <w:bookmarkEnd w:id="413"/>
      <w:bookmarkEnd w:id="414"/>
      <w:bookmarkEnd w:id="415"/>
      <w:bookmarkEnd w:id="416"/>
      <w:bookmarkEnd w:id="417"/>
      <w:bookmarkEnd w:id="418"/>
    </w:p>
    <w:p w:rsidRPr="008D1918" w:rsidR="009A64B2" w:rsidRDefault="009A64B2" w14:paraId="508645B4" w14:textId="44854DEE">
      <w:pPr>
        <w:rPr>
          <w:lang w:val="en-AU"/>
        </w:rPr>
      </w:pPr>
      <w:r w:rsidRPr="008D1918">
        <w:rPr>
          <w:lang w:val="en-AU"/>
        </w:rPr>
        <w:t xml:space="preserve">Inflation increased in the Australian economy over the second half of 2025, rising above the RBA’s inflation target band and </w:t>
      </w:r>
      <w:r w:rsidRPr="008D1918" w:rsidR="759E312B">
        <w:rPr>
          <w:lang w:val="en-AU"/>
        </w:rPr>
        <w:t xml:space="preserve">reaching </w:t>
      </w:r>
      <w:r w:rsidRPr="008D1918" w:rsidR="004F0FBF">
        <w:rPr>
          <w:lang w:val="en-AU"/>
        </w:rPr>
        <w:t>a</w:t>
      </w:r>
      <w:r w:rsidRPr="008D1918" w:rsidR="759E312B">
        <w:rPr>
          <w:lang w:val="en-AU"/>
        </w:rPr>
        <w:t xml:space="preserve"> 1</w:t>
      </w:r>
      <w:r w:rsidRPr="008D1918" w:rsidR="00CF62FC">
        <w:rPr>
          <w:lang w:val="en-AU"/>
        </w:rPr>
        <w:t>9</w:t>
      </w:r>
      <w:r w:rsidRPr="008D1918" w:rsidR="00930E74">
        <w:rPr>
          <w:lang w:val="en-AU"/>
        </w:rPr>
        <w:t>-</w:t>
      </w:r>
      <w:r w:rsidRPr="008D1918">
        <w:rPr>
          <w:lang w:val="en-AU"/>
        </w:rPr>
        <w:t>month high</w:t>
      </w:r>
      <w:r w:rsidRPr="008D1918" w:rsidR="759E312B">
        <w:rPr>
          <w:lang w:val="en-AU"/>
        </w:rPr>
        <w:t xml:space="preserve"> in</w:t>
      </w:r>
      <w:r w:rsidRPr="008D1918">
        <w:rPr>
          <w:lang w:val="en-AU"/>
        </w:rPr>
        <w:t xml:space="preserve"> </w:t>
      </w:r>
      <w:r w:rsidRPr="008D1918" w:rsidR="00670252">
        <w:rPr>
          <w:lang w:val="en-AU"/>
        </w:rPr>
        <w:t>January</w:t>
      </w:r>
      <w:r w:rsidRPr="008D1918" w:rsidR="00930E74">
        <w:rPr>
          <w:lang w:val="en-AU"/>
        </w:rPr>
        <w:t xml:space="preserve"> 202</w:t>
      </w:r>
      <w:r w:rsidRPr="008D1918" w:rsidR="007434E2">
        <w:rPr>
          <w:lang w:val="en-AU"/>
        </w:rPr>
        <w:t>6</w:t>
      </w:r>
      <w:r w:rsidRPr="008D1918">
        <w:rPr>
          <w:lang w:val="en-AU"/>
        </w:rPr>
        <w:t xml:space="preserve">. This represents a return of inflationary pressures following a period </w:t>
      </w:r>
      <w:r w:rsidRPr="008D1918" w:rsidR="0A516623">
        <w:rPr>
          <w:lang w:val="en-AU"/>
        </w:rPr>
        <w:t>in which</w:t>
      </w:r>
      <w:r w:rsidRPr="008D1918">
        <w:rPr>
          <w:lang w:val="en-AU"/>
        </w:rPr>
        <w:t xml:space="preserve"> inflation had been gradually easing from its peak in late</w:t>
      </w:r>
      <w:r w:rsidRPr="008D1918" w:rsidR="00603DFD">
        <w:rPr>
          <w:lang w:val="en-AU"/>
        </w:rPr>
        <w:t>-</w:t>
      </w:r>
      <w:r w:rsidRPr="008D1918">
        <w:rPr>
          <w:lang w:val="en-AU"/>
        </w:rPr>
        <w:t xml:space="preserve">2022. </w:t>
      </w:r>
      <w:r w:rsidRPr="008D1918" w:rsidR="4162878F">
        <w:rPr>
          <w:rFonts w:eastAsia="Segoe UI"/>
          <w:lang w:val="en-AU"/>
        </w:rPr>
        <w:t xml:space="preserve">The increase </w:t>
      </w:r>
      <w:r w:rsidRPr="008D1918" w:rsidR="001E7A37">
        <w:rPr>
          <w:rFonts w:eastAsia="Segoe UI"/>
          <w:lang w:val="en-AU"/>
        </w:rPr>
        <w:t>affected</w:t>
      </w:r>
      <w:r w:rsidRPr="008D1918">
        <w:rPr>
          <w:lang w:val="en-AU"/>
        </w:rPr>
        <w:t xml:space="preserve"> a wide range of goods and services</w:t>
      </w:r>
      <w:r w:rsidRPr="008D1918" w:rsidR="4162878F">
        <w:rPr>
          <w:rFonts w:eastAsia="Segoe UI"/>
          <w:lang w:val="en-AU"/>
        </w:rPr>
        <w:t xml:space="preserve">. </w:t>
      </w:r>
      <w:r w:rsidRPr="008D1918">
        <w:rPr>
          <w:lang w:val="en-AU"/>
        </w:rPr>
        <w:t>This may lead to higher cost pressures for providers delivering supports to NDIS participants</w:t>
      </w:r>
      <w:r w:rsidRPr="008D1918" w:rsidR="1A365F0F">
        <w:rPr>
          <w:lang w:val="en-AU"/>
        </w:rPr>
        <w:t>, including higher</w:t>
      </w:r>
      <w:r w:rsidRPr="008D1918">
        <w:rPr>
          <w:lang w:val="en-AU"/>
        </w:rPr>
        <w:t xml:space="preserve"> energy, logistics, </w:t>
      </w:r>
      <w:r w:rsidRPr="008D1918">
        <w:rPr>
          <w:lang w:val="en-AU"/>
        </w:rPr>
        <w:t>interest rate and property costs, resulting in pressure to raise prices for their services.</w:t>
      </w:r>
    </w:p>
    <w:p w:rsidRPr="008D1918" w:rsidR="00AB3809" w:rsidRDefault="009A64B2" w14:paraId="6B95F37D" w14:textId="58F26339">
      <w:pPr>
        <w:rPr>
          <w:lang w:val="en-AU"/>
        </w:rPr>
      </w:pPr>
      <w:r w:rsidRPr="008D1918">
        <w:rPr>
          <w:lang w:val="en-AU"/>
        </w:rPr>
        <w:t xml:space="preserve">Headline inflation rose 3.8% in the year to </w:t>
      </w:r>
      <w:r w:rsidRPr="008D1918" w:rsidR="00035C0E">
        <w:rPr>
          <w:lang w:val="en-AU"/>
        </w:rPr>
        <w:t>January</w:t>
      </w:r>
      <w:r w:rsidRPr="008D1918">
        <w:rPr>
          <w:lang w:val="en-AU"/>
        </w:rPr>
        <w:t xml:space="preserve"> 202</w:t>
      </w:r>
      <w:r w:rsidRPr="008D1918" w:rsidR="00035C0E">
        <w:rPr>
          <w:lang w:val="en-AU"/>
        </w:rPr>
        <w:t>6</w:t>
      </w:r>
      <w:r w:rsidRPr="008D1918">
        <w:rPr>
          <w:lang w:val="en-AU"/>
        </w:rPr>
        <w:t xml:space="preserve">, </w:t>
      </w:r>
      <w:r w:rsidRPr="008D1918" w:rsidR="00661399">
        <w:rPr>
          <w:lang w:val="en-AU"/>
        </w:rPr>
        <w:t>unchanged</w:t>
      </w:r>
      <w:r w:rsidRPr="008D1918">
        <w:rPr>
          <w:lang w:val="en-AU"/>
        </w:rPr>
        <w:t xml:space="preserve"> from </w:t>
      </w:r>
      <w:r w:rsidRPr="008D1918" w:rsidR="00394251">
        <w:rPr>
          <w:lang w:val="en-AU"/>
        </w:rPr>
        <w:t>December</w:t>
      </w:r>
      <w:r w:rsidRPr="008D1918">
        <w:rPr>
          <w:lang w:val="en-AU"/>
        </w:rPr>
        <w:t xml:space="preserve"> 2025</w:t>
      </w:r>
      <w:r w:rsidRPr="008D1918">
        <w:rPr>
          <w:rStyle w:val="FootnoteReference"/>
          <w:lang w:val="en-AU"/>
        </w:rPr>
        <w:footnoteReference w:id="7"/>
      </w:r>
      <w:r w:rsidRPr="008D1918">
        <w:rPr>
          <w:lang w:val="en-AU"/>
        </w:rPr>
        <w:t>.</w:t>
      </w:r>
      <w:r w:rsidRPr="008D1918" w:rsidR="0000064A">
        <w:rPr>
          <w:lang w:val="en-AU"/>
        </w:rPr>
        <w:t xml:space="preserve"> This is the </w:t>
      </w:r>
      <w:r w:rsidRPr="008D1918" w:rsidR="002F577A">
        <w:rPr>
          <w:lang w:val="en-AU"/>
        </w:rPr>
        <w:t xml:space="preserve">third time </w:t>
      </w:r>
      <w:r w:rsidRPr="008D1918" w:rsidR="004B4E72">
        <w:rPr>
          <w:lang w:val="en-AU"/>
        </w:rPr>
        <w:t>annual</w:t>
      </w:r>
      <w:r w:rsidRPr="008D1918" w:rsidR="002F577A">
        <w:rPr>
          <w:lang w:val="en-AU"/>
        </w:rPr>
        <w:t xml:space="preserve"> headline inflation has reached</w:t>
      </w:r>
      <w:r w:rsidRPr="008D1918" w:rsidR="008E19CE">
        <w:rPr>
          <w:lang w:val="en-AU"/>
        </w:rPr>
        <w:t xml:space="preserve"> </w:t>
      </w:r>
      <w:r w:rsidRPr="008D1918" w:rsidR="00974322">
        <w:rPr>
          <w:lang w:val="en-AU"/>
        </w:rPr>
        <w:t>3.8%</w:t>
      </w:r>
      <w:r w:rsidRPr="008D1918" w:rsidR="003C3735">
        <w:rPr>
          <w:lang w:val="en-AU"/>
        </w:rPr>
        <w:t xml:space="preserve"> between </w:t>
      </w:r>
      <w:r w:rsidRPr="008D1918" w:rsidR="00976E89">
        <w:rPr>
          <w:lang w:val="en-AU"/>
        </w:rPr>
        <w:t xml:space="preserve">late 2025 </w:t>
      </w:r>
      <w:r w:rsidRPr="008D1918" w:rsidR="002A5E33">
        <w:rPr>
          <w:lang w:val="en-AU"/>
        </w:rPr>
        <w:t>and early 2026</w:t>
      </w:r>
      <w:r w:rsidRPr="008D1918" w:rsidR="00092313">
        <w:rPr>
          <w:rStyle w:val="FootnoteReference"/>
          <w:lang w:val="en-AU"/>
        </w:rPr>
        <w:footnoteReference w:id="8"/>
      </w:r>
      <w:r w:rsidRPr="008D1918" w:rsidR="002A5E33">
        <w:rPr>
          <w:lang w:val="en-AU"/>
        </w:rPr>
        <w:t>.</w:t>
      </w:r>
      <w:r w:rsidRPr="008D1918">
        <w:rPr>
          <w:lang w:val="en-AU"/>
        </w:rPr>
        <w:t xml:space="preserve"> The increase in inflation was higher than expected and is forecast to remain above the RBA target band of 2</w:t>
      </w:r>
      <w:r w:rsidRPr="008D1918">
        <w:rPr>
          <w:rFonts w:cs="Arial"/>
          <w:lang w:val="en-AU"/>
        </w:rPr>
        <w:t>–</w:t>
      </w:r>
      <w:r w:rsidRPr="008D1918">
        <w:rPr>
          <w:lang w:val="en-AU"/>
        </w:rPr>
        <w:t>3% for some time</w:t>
      </w:r>
      <w:r w:rsidRPr="008D1918">
        <w:rPr>
          <w:vertAlign w:val="superscript"/>
          <w:lang w:val="en-AU"/>
        </w:rPr>
        <w:footnoteReference w:id="9"/>
      </w:r>
      <w:r w:rsidRPr="008D1918">
        <w:rPr>
          <w:lang w:val="en-AU"/>
        </w:rPr>
        <w:t xml:space="preserve">. </w:t>
      </w:r>
    </w:p>
    <w:p w:rsidRPr="008D1918" w:rsidR="009A64B2" w:rsidRDefault="009A64B2" w14:paraId="4A2CFA09" w14:textId="2FCEC275">
      <w:pPr>
        <w:rPr>
          <w:lang w:val="en-AU"/>
        </w:rPr>
      </w:pPr>
      <w:r w:rsidRPr="008D1918">
        <w:rPr>
          <w:lang w:val="en-AU"/>
        </w:rPr>
        <w:t>The RBA expects headline inflation to</w:t>
      </w:r>
      <w:r w:rsidRPr="008D1918" w:rsidR="005D008B">
        <w:rPr>
          <w:lang w:val="en-AU"/>
        </w:rPr>
        <w:t xml:space="preserve"> </w:t>
      </w:r>
      <w:r w:rsidRPr="008D1918" w:rsidR="00F12921">
        <w:rPr>
          <w:lang w:val="en-AU"/>
        </w:rPr>
        <w:t xml:space="preserve">increase </w:t>
      </w:r>
      <w:r w:rsidRPr="008D1918" w:rsidR="00376357">
        <w:rPr>
          <w:lang w:val="en-AU"/>
        </w:rPr>
        <w:t>to around 5% over the year to the June quarter 2026</w:t>
      </w:r>
      <w:r w:rsidRPr="008D1918" w:rsidR="00D313C1">
        <w:rPr>
          <w:lang w:val="en-AU"/>
        </w:rPr>
        <w:t xml:space="preserve">. This </w:t>
      </w:r>
      <w:r w:rsidRPr="008D1918" w:rsidR="00835778">
        <w:rPr>
          <w:lang w:val="en-AU"/>
        </w:rPr>
        <w:t xml:space="preserve">is </w:t>
      </w:r>
      <w:r w:rsidRPr="008D1918" w:rsidR="00376357">
        <w:rPr>
          <w:lang w:val="en-AU"/>
        </w:rPr>
        <w:t xml:space="preserve">around </w:t>
      </w:r>
      <w:r w:rsidRPr="008D1918" w:rsidR="008D12C9">
        <w:rPr>
          <w:lang w:val="en-AU"/>
        </w:rPr>
        <w:t>three-quarters</w:t>
      </w:r>
      <w:r w:rsidRPr="008D1918" w:rsidR="00376357">
        <w:rPr>
          <w:lang w:val="en-AU"/>
        </w:rPr>
        <w:t xml:space="preserve"> of a percentage point higher than had been expected in February</w:t>
      </w:r>
      <w:r w:rsidRPr="008D1918" w:rsidR="0098458E">
        <w:rPr>
          <w:lang w:val="en-AU"/>
        </w:rPr>
        <w:t xml:space="preserve"> 2026</w:t>
      </w:r>
      <w:r w:rsidRPr="008D1918" w:rsidR="00971EBD">
        <w:rPr>
          <w:rStyle w:val="FootnoteReference"/>
          <w:lang w:val="en-AU"/>
        </w:rPr>
        <w:footnoteReference w:id="10"/>
      </w:r>
      <w:r w:rsidRPr="008D1918" w:rsidR="00376357">
        <w:rPr>
          <w:lang w:val="en-AU"/>
        </w:rPr>
        <w:t xml:space="preserve">. </w:t>
      </w:r>
      <w:r w:rsidRPr="008D1918" w:rsidR="009F1AC7">
        <w:rPr>
          <w:lang w:val="en-AU"/>
        </w:rPr>
        <w:t>While</w:t>
      </w:r>
      <w:r w:rsidRPr="008D1918" w:rsidR="000B0354">
        <w:rPr>
          <w:lang w:val="en-AU"/>
        </w:rPr>
        <w:t xml:space="preserve"> </w:t>
      </w:r>
      <w:r w:rsidRPr="008D1918" w:rsidR="00FA7ED6">
        <w:rPr>
          <w:lang w:val="en-AU"/>
        </w:rPr>
        <w:t>uncertainties</w:t>
      </w:r>
      <w:r w:rsidRPr="008D1918" w:rsidR="005A0A81">
        <w:rPr>
          <w:lang w:val="en-AU"/>
        </w:rPr>
        <w:t xml:space="preserve"> about the </w:t>
      </w:r>
      <w:r w:rsidRPr="008D1918" w:rsidR="00225103">
        <w:rPr>
          <w:lang w:val="en-AU"/>
        </w:rPr>
        <w:t>outlook</w:t>
      </w:r>
      <w:r w:rsidRPr="008D1918" w:rsidR="000B0354">
        <w:rPr>
          <w:lang w:val="en-AU"/>
        </w:rPr>
        <w:t xml:space="preserve"> for inflation remain, </w:t>
      </w:r>
      <w:r w:rsidRPr="008D1918" w:rsidR="00AF5C6E">
        <w:rPr>
          <w:lang w:val="en-AU"/>
        </w:rPr>
        <w:t>there is a risk inflation will remain above target for longer than previously</w:t>
      </w:r>
      <w:r w:rsidRPr="008D1918" w:rsidR="00865FE8">
        <w:rPr>
          <w:lang w:val="en-AU"/>
        </w:rPr>
        <w:t xml:space="preserve"> </w:t>
      </w:r>
      <w:r w:rsidRPr="008D1918" w:rsidR="00AF5C6E">
        <w:rPr>
          <w:lang w:val="en-AU"/>
        </w:rPr>
        <w:t>anticipated</w:t>
      </w:r>
      <w:r w:rsidRPr="008D1918" w:rsidR="002F404C">
        <w:rPr>
          <w:lang w:val="en-AU"/>
        </w:rPr>
        <w:t xml:space="preserve"> given the rise in oil prices</w:t>
      </w:r>
      <w:r w:rsidRPr="008D1918" w:rsidR="00AB23B1">
        <w:rPr>
          <w:rStyle w:val="FootnoteReference"/>
          <w:lang w:val="en-AU"/>
        </w:rPr>
        <w:footnoteReference w:id="11"/>
      </w:r>
      <w:r w:rsidRPr="008D1918" w:rsidR="00AF5C6E">
        <w:rPr>
          <w:lang w:val="en-AU"/>
        </w:rPr>
        <w:t>.</w:t>
      </w:r>
    </w:p>
    <w:p w:rsidRPr="008D1918" w:rsidR="009F5D4E" w:rsidP="00747707" w:rsidRDefault="009A64B2" w14:paraId="7E689C9E" w14:textId="289716EE">
      <w:r w:rsidRPr="008D1918">
        <w:t xml:space="preserve">In contrast, health inflation eased over the past year and is back below the headline inflation rate for the </w:t>
      </w:r>
      <w:r w:rsidRPr="008D1918" w:rsidR="00E63D67">
        <w:t>second consecutive month</w:t>
      </w:r>
      <w:r w:rsidRPr="008D1918">
        <w:t xml:space="preserve"> since 2023</w:t>
      </w:r>
      <w:r w:rsidRPr="008D1918">
        <w:rPr>
          <w:rStyle w:val="FootnoteReference"/>
        </w:rPr>
        <w:footnoteReference w:id="12"/>
      </w:r>
      <w:r w:rsidRPr="008D1918">
        <w:t xml:space="preserve"> (</w:t>
      </w:r>
      <w:r w:rsidRPr="008D1918" w:rsidR="00F13EA2">
        <w:rPr>
          <w:lang w:val="en-AU"/>
        </w:rPr>
        <w:fldChar w:fldCharType="begin"/>
      </w:r>
      <w:r w:rsidRPr="008D1918" w:rsidR="00F13EA2">
        <w:rPr>
          <w:lang w:val="en-AU"/>
        </w:rPr>
        <w:instrText xml:space="preserve"> REF _Ref223620043 \h </w:instrText>
      </w:r>
      <w:r w:rsidRPr="008D1918" w:rsidR="00762DF8">
        <w:rPr>
          <w:lang w:val="en-AU"/>
        </w:rPr>
        <w:instrText xml:space="preserve"> \* MERGEFORMAT </w:instrText>
      </w:r>
      <w:r w:rsidRPr="008D1918" w:rsidR="00F13EA2">
        <w:rPr>
          <w:lang w:val="en-AU"/>
        </w:rPr>
      </w:r>
      <w:r w:rsidRPr="008D1918" w:rsidR="00F13EA2">
        <w:rPr>
          <w:lang w:val="en-AU"/>
        </w:rPr>
        <w:fldChar w:fldCharType="separate"/>
      </w:r>
      <w:r w:rsidRPr="008D1918" w:rsidR="008F56A2">
        <w:t xml:space="preserve">Figure </w:t>
      </w:r>
      <w:r w:rsidR="008F56A2">
        <w:rPr>
          <w:noProof/>
        </w:rPr>
        <w:t>1</w:t>
      </w:r>
      <w:r w:rsidRPr="008D1918" w:rsidR="00F13EA2">
        <w:rPr>
          <w:lang w:val="en-AU"/>
        </w:rPr>
        <w:fldChar w:fldCharType="end"/>
      </w:r>
      <w:r w:rsidRPr="008D1918">
        <w:t>). Annual inflation for health goods and services rose 3.</w:t>
      </w:r>
      <w:r w:rsidRPr="008D1918" w:rsidR="00D86DC5">
        <w:t>2</w:t>
      </w:r>
      <w:r w:rsidRPr="008D1918">
        <w:t xml:space="preserve">% in </w:t>
      </w:r>
      <w:r w:rsidRPr="008D1918" w:rsidR="00D86DC5">
        <w:t>January</w:t>
      </w:r>
      <w:r w:rsidRPr="008D1918">
        <w:t xml:space="preserve"> 202</w:t>
      </w:r>
      <w:r w:rsidRPr="008D1918" w:rsidR="00D86DC5">
        <w:t>6</w:t>
      </w:r>
      <w:r w:rsidRPr="008D1918">
        <w:t>, driven by a 4.</w:t>
      </w:r>
      <w:r w:rsidRPr="008D1918" w:rsidR="00E21CCD">
        <w:t>2</w:t>
      </w:r>
      <w:r w:rsidRPr="008D1918">
        <w:t>% increase in the cost of medical and hospital services</w:t>
      </w:r>
      <w:r w:rsidRPr="008D1918">
        <w:rPr>
          <w:vertAlign w:val="superscript"/>
        </w:rPr>
        <w:footnoteReference w:id="13"/>
      </w:r>
      <w:r w:rsidRPr="008D1918">
        <w:t>. While health inflation has outpaced headline inflation for the past few years, the gap closed over 2025</w:t>
      </w:r>
      <w:r w:rsidRPr="008D1918" w:rsidR="008C3FCC">
        <w:t>. This suggests</w:t>
      </w:r>
      <w:r w:rsidRPr="008D1918" w:rsidR="004D18D9">
        <w:t xml:space="preserve"> that since the end of 2025</w:t>
      </w:r>
      <w:r w:rsidRPr="008D1918" w:rsidR="004D18D9">
        <w:rPr>
          <w:rStyle w:val="FootnoteReference"/>
        </w:rPr>
        <w:footnoteReference w:id="14"/>
      </w:r>
      <w:r w:rsidRPr="008D1918" w:rsidR="004D18D9">
        <w:t>,</w:t>
      </w:r>
      <w:r w:rsidRPr="008D1918">
        <w:t xml:space="preserve"> cost pressures in the Health</w:t>
      </w:r>
      <w:r w:rsidRPr="008D1918" w:rsidR="002C0882">
        <w:t xml:space="preserve"> C</w:t>
      </w:r>
      <w:r w:rsidRPr="008D1918">
        <w:t>are and Social Assistance (HCSA) industry are slightly below the overall economy.</w:t>
      </w:r>
      <w:r w:rsidRPr="008D1918" w:rsidR="009F5D4E">
        <w:br w:type="page"/>
      </w:r>
    </w:p>
    <w:p w:rsidRPr="008D1918" w:rsidR="009A64B2" w:rsidP="00747707" w:rsidRDefault="00B719CF" w14:paraId="7BBBF3C1" w14:textId="20DF5CF7">
      <w:pPr>
        <w:pStyle w:val="Caption"/>
      </w:pPr>
      <w:bookmarkStart w:name="_Ref223620043" w:id="430"/>
      <w:bookmarkStart w:name="_Ref223620036" w:id="431"/>
      <w:bookmarkEnd w:id="419"/>
      <w:r w:rsidRPr="008D1918">
        <w:t xml:space="preserve">Figure </w:t>
      </w:r>
      <w:r>
        <w:fldChar w:fldCharType="begin"/>
      </w:r>
      <w:r>
        <w:instrText>SEQ Figure \* ARABIC</w:instrText>
      </w:r>
      <w:r>
        <w:fldChar w:fldCharType="separate"/>
      </w:r>
      <w:r w:rsidR="008F56A2">
        <w:rPr>
          <w:noProof/>
        </w:rPr>
        <w:t>1</w:t>
      </w:r>
      <w:r>
        <w:fldChar w:fldCharType="end"/>
      </w:r>
      <w:bookmarkEnd w:id="430"/>
      <w:r w:rsidRPr="008D1918" w:rsidR="000823E2">
        <w:rPr>
          <w:rFonts w:eastAsia="DengXian" w:cs="Cordia New"/>
          <w:color w:val="6B2876" w:themeColor="accent5"/>
        </w:rPr>
        <w:t>: Headline and health inflation (CPI) growth, 201</w:t>
      </w:r>
      <w:r w:rsidRPr="008D1918" w:rsidR="009F53A6">
        <w:rPr>
          <w:rFonts w:eastAsia="DengXian" w:cs="Cordia New"/>
          <w:color w:val="6B2876" w:themeColor="accent5"/>
        </w:rPr>
        <w:t>6</w:t>
      </w:r>
      <w:r w:rsidRPr="008D1918" w:rsidR="000823E2">
        <w:rPr>
          <w:rFonts w:eastAsia="DengXian" w:cs="Cordia New"/>
          <w:color w:val="6B2876" w:themeColor="accent5"/>
        </w:rPr>
        <w:t xml:space="preserve"> to 202</w:t>
      </w:r>
      <w:r w:rsidRPr="008D1918" w:rsidR="009F53A6">
        <w:rPr>
          <w:rFonts w:eastAsia="DengXian" w:cs="Cordia New"/>
          <w:color w:val="6B2876" w:themeColor="accent5"/>
        </w:rPr>
        <w:t>6</w:t>
      </w:r>
      <w:bookmarkEnd w:id="431"/>
    </w:p>
    <w:p w:rsidRPr="008D1918" w:rsidR="003F2C25" w:rsidRDefault="00CE7D8D" w14:paraId="4F93C6FC" w14:textId="7D88C47E">
      <w:pPr>
        <w:spacing w:after="0" w:line="276" w:lineRule="auto"/>
        <w:jc w:val="center"/>
        <w:rPr>
          <w:lang w:val="en-AU"/>
        </w:rPr>
      </w:pPr>
      <w:r w:rsidRPr="008D1918">
        <w:rPr>
          <w:noProof/>
          <w:lang w:val="en-AU"/>
        </w:rPr>
        <w:drawing>
          <wp:inline distT="0" distB="0" distL="0" distR="0" wp14:anchorId="02E71FF2" wp14:editId="5F526ABA">
            <wp:extent cx="5657850" cy="2854325"/>
            <wp:effectExtent l="0" t="0" r="0" b="3175"/>
            <wp:docPr id="107155165" name="Picture 1" descr="Figure 1: A line graph comparing health inflation to headline inflation over time. Overall, health tends to have a higher rate of inflation compared to the headline rate. However, the graph shows that health inflation dipped below headline inflation in late 2025 to early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55165" name="Picture 1" descr="Figure 1: A line graph comparing health inflation to headline inflation over time. Overall, health tends to have a higher rate of inflation compared to the headline rate. However, the graph shows that health inflation dipped below headline inflation in late 2025 to early 20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8808" cy="2854808"/>
                    </a:xfrm>
                    <a:prstGeom prst="rect">
                      <a:avLst/>
                    </a:prstGeom>
                    <a:noFill/>
                  </pic:spPr>
                </pic:pic>
              </a:graphicData>
            </a:graphic>
          </wp:inline>
        </w:drawing>
      </w:r>
    </w:p>
    <w:p w:rsidRPr="008D1918" w:rsidR="009A64B2" w:rsidRDefault="009A64B2" w14:paraId="7483303E" w14:textId="33F37ADC">
      <w:pPr>
        <w:spacing w:before="120" w:after="120" w:line="240" w:lineRule="atLeast"/>
        <w:rPr>
          <w:rFonts w:cs="Calibri"/>
          <w:b/>
          <w:sz w:val="20"/>
          <w:szCs w:val="18"/>
          <w:lang w:val="en-AU" w:eastAsia="en-AU"/>
        </w:rPr>
      </w:pPr>
      <w:r w:rsidRPr="008D1918">
        <w:rPr>
          <w:rFonts w:cs="Calibri"/>
          <w:b/>
          <w:sz w:val="20"/>
          <w:szCs w:val="18"/>
          <w:lang w:val="en-AU" w:eastAsia="en-AU"/>
        </w:rPr>
        <w:t xml:space="preserve">Source: ABS Consumer Price Index, Australia, </w:t>
      </w:r>
      <w:r w:rsidRPr="008D1918" w:rsidR="003B5258">
        <w:rPr>
          <w:rFonts w:cs="Calibri"/>
          <w:b/>
          <w:sz w:val="20"/>
          <w:szCs w:val="18"/>
          <w:lang w:val="en-AU" w:eastAsia="en-AU"/>
        </w:rPr>
        <w:t>January</w:t>
      </w:r>
      <w:r w:rsidRPr="008D1918">
        <w:rPr>
          <w:rFonts w:cs="Calibri"/>
          <w:b/>
          <w:sz w:val="20"/>
          <w:szCs w:val="18"/>
          <w:lang w:val="en-AU" w:eastAsia="en-AU"/>
        </w:rPr>
        <w:t xml:space="preserve"> 202</w:t>
      </w:r>
      <w:r w:rsidRPr="008D1918" w:rsidR="003B5258">
        <w:rPr>
          <w:rFonts w:cs="Calibri"/>
          <w:b/>
          <w:sz w:val="20"/>
          <w:szCs w:val="18"/>
          <w:lang w:val="en-AU" w:eastAsia="en-AU"/>
        </w:rPr>
        <w:t>6</w:t>
      </w:r>
    </w:p>
    <w:p w:rsidRPr="008D1918" w:rsidR="009A64B2" w:rsidP="00E17A09" w:rsidRDefault="009A64B2" w14:paraId="67DEACF0" w14:textId="70C2453A">
      <w:pPr>
        <w:pStyle w:val="Heading31"/>
        <w:ind w:left="1077" w:hanging="720"/>
      </w:pPr>
      <w:bookmarkStart w:name="_Toc223539625" w:id="432"/>
      <w:bookmarkStart w:name="_Toc223539838" w:id="433"/>
      <w:bookmarkStart w:name="_Toc223540306" w:id="434"/>
      <w:bookmarkStart w:name="_Toc223540522" w:id="435"/>
      <w:bookmarkStart w:name="_Toc223542062" w:id="436"/>
      <w:bookmarkStart w:name="_Toc223604246" w:id="437"/>
      <w:bookmarkStart w:name="_Toc223604457" w:id="438"/>
      <w:bookmarkStart w:name="_Toc227337053" w:id="439"/>
      <w:r w:rsidRPr="008D1918">
        <w:t xml:space="preserve">Labour </w:t>
      </w:r>
      <w:r w:rsidRPr="008D1918" w:rsidR="0081731B">
        <w:t>m</w:t>
      </w:r>
      <w:r w:rsidRPr="008D1918">
        <w:t xml:space="preserve">arket </w:t>
      </w:r>
      <w:r w:rsidRPr="008D1918" w:rsidR="0081731B">
        <w:t>c</w:t>
      </w:r>
      <w:r w:rsidRPr="008D1918">
        <w:t>onditions</w:t>
      </w:r>
      <w:bookmarkEnd w:id="432"/>
      <w:bookmarkEnd w:id="433"/>
      <w:bookmarkEnd w:id="434"/>
      <w:bookmarkEnd w:id="435"/>
      <w:bookmarkEnd w:id="436"/>
      <w:bookmarkEnd w:id="437"/>
      <w:bookmarkEnd w:id="438"/>
      <w:bookmarkEnd w:id="439"/>
    </w:p>
    <w:p w:rsidRPr="008D1918" w:rsidR="00CA14EF" w:rsidP="006A25FA" w:rsidRDefault="009A64B2" w14:paraId="14E85FD4" w14:textId="569A4023">
      <w:pPr>
        <w:rPr>
          <w:spacing w:val="-2"/>
          <w:lang w:val="en-AU"/>
        </w:rPr>
      </w:pPr>
      <w:r w:rsidRPr="008D1918">
        <w:rPr>
          <w:lang w:val="en-AU"/>
        </w:rPr>
        <w:t>Australia’s labour market has remained resilient over the past year with</w:t>
      </w:r>
      <w:r w:rsidRPr="008D1918" w:rsidR="00F37E26">
        <w:rPr>
          <w:lang w:val="en-AU"/>
        </w:rPr>
        <w:t xml:space="preserve"> employment continuing to grow,</w:t>
      </w:r>
      <w:r w:rsidRPr="008D1918">
        <w:rPr>
          <w:lang w:val="en-AU"/>
        </w:rPr>
        <w:t xml:space="preserve"> the participation rate near</w:t>
      </w:r>
      <w:r w:rsidRPr="008D1918" w:rsidR="008F3735">
        <w:rPr>
          <w:lang w:val="en-AU"/>
        </w:rPr>
        <w:t>ing</w:t>
      </w:r>
      <w:r w:rsidRPr="008D1918">
        <w:rPr>
          <w:lang w:val="en-AU"/>
        </w:rPr>
        <w:t xml:space="preserve"> record highs, and</w:t>
      </w:r>
      <w:r w:rsidRPr="008D1918" w:rsidR="00C0043A">
        <w:rPr>
          <w:lang w:val="en-AU"/>
        </w:rPr>
        <w:t xml:space="preserve"> the unemployment rate remaining</w:t>
      </w:r>
      <w:r w:rsidRPr="008D1918" w:rsidR="0006163A">
        <w:rPr>
          <w:lang w:val="en-AU"/>
        </w:rPr>
        <w:t xml:space="preserve"> close to historical</w:t>
      </w:r>
      <w:r w:rsidRPr="008D1918" w:rsidR="00C0043A">
        <w:rPr>
          <w:lang w:val="en-AU"/>
        </w:rPr>
        <w:t xml:space="preserve"> low</w:t>
      </w:r>
      <w:r w:rsidRPr="008D1918" w:rsidR="00840B02">
        <w:rPr>
          <w:lang w:val="en-AU"/>
        </w:rPr>
        <w:t>s</w:t>
      </w:r>
      <w:r w:rsidRPr="008D1918">
        <w:rPr>
          <w:spacing w:val="-2"/>
          <w:lang w:val="en-AU"/>
        </w:rPr>
        <w:t xml:space="preserve">. </w:t>
      </w:r>
    </w:p>
    <w:p w:rsidRPr="008D1918" w:rsidR="009A64B2" w:rsidRDefault="009A64B2" w14:paraId="649D5B1C" w14:textId="398BA5EA">
      <w:pPr>
        <w:rPr>
          <w:lang w:val="en-AU"/>
        </w:rPr>
      </w:pPr>
      <w:r w:rsidRPr="008D1918">
        <w:rPr>
          <w:spacing w:val="-2"/>
          <w:lang w:val="en-AU"/>
        </w:rPr>
        <w:t xml:space="preserve">Employment increased by approximately </w:t>
      </w:r>
      <w:r w:rsidRPr="008D1918" w:rsidR="003E5917">
        <w:rPr>
          <w:spacing w:val="-2"/>
          <w:lang w:val="en-AU"/>
        </w:rPr>
        <w:t>264,700</w:t>
      </w:r>
      <w:r w:rsidRPr="008D1918">
        <w:rPr>
          <w:spacing w:val="-2"/>
          <w:lang w:val="en-AU"/>
        </w:rPr>
        <w:t> people</w:t>
      </w:r>
      <w:r w:rsidRPr="008D1918">
        <w:rPr>
          <w:lang w:val="en-AU"/>
        </w:rPr>
        <w:t xml:space="preserve"> over the year to </w:t>
      </w:r>
      <w:r w:rsidRPr="008D1918" w:rsidR="003E5917">
        <w:rPr>
          <w:lang w:val="en-AU"/>
        </w:rPr>
        <w:t>February</w:t>
      </w:r>
      <w:r w:rsidRPr="008D1918">
        <w:rPr>
          <w:lang w:val="en-AU"/>
        </w:rPr>
        <w:t xml:space="preserve"> 202</w:t>
      </w:r>
      <w:r w:rsidRPr="008D1918" w:rsidR="003E5917">
        <w:rPr>
          <w:lang w:val="en-AU"/>
        </w:rPr>
        <w:t>6</w:t>
      </w:r>
      <w:r w:rsidRPr="008D1918">
        <w:rPr>
          <w:vertAlign w:val="superscript"/>
          <w:lang w:val="en-AU"/>
        </w:rPr>
        <w:footnoteReference w:id="15"/>
      </w:r>
      <w:r w:rsidRPr="008D1918">
        <w:rPr>
          <w:lang w:val="en-AU"/>
        </w:rPr>
        <w:t>.</w:t>
      </w:r>
      <w:r w:rsidRPr="008D1918" w:rsidR="00840B02">
        <w:rPr>
          <w:lang w:val="en-AU"/>
        </w:rPr>
        <w:t xml:space="preserve"> </w:t>
      </w:r>
      <w:r w:rsidRPr="008D1918" w:rsidR="004756C9">
        <w:rPr>
          <w:lang w:val="en-AU"/>
        </w:rPr>
        <w:t xml:space="preserve">The participation rate </w:t>
      </w:r>
      <w:r w:rsidRPr="008D1918" w:rsidR="009F4A6A">
        <w:rPr>
          <w:lang w:val="en-AU"/>
        </w:rPr>
        <w:t>rose</w:t>
      </w:r>
      <w:r w:rsidRPr="008D1918" w:rsidR="004756C9">
        <w:rPr>
          <w:lang w:val="en-AU"/>
        </w:rPr>
        <w:t xml:space="preserve"> to 66.</w:t>
      </w:r>
      <w:r w:rsidRPr="008D1918" w:rsidR="00020817">
        <w:rPr>
          <w:lang w:val="en-AU"/>
        </w:rPr>
        <w:t>9</w:t>
      </w:r>
      <w:r w:rsidRPr="008D1918" w:rsidR="004756C9">
        <w:rPr>
          <w:lang w:val="en-AU"/>
        </w:rPr>
        <w:t>%</w:t>
      </w:r>
      <w:r w:rsidRPr="008D1918" w:rsidR="00020817">
        <w:rPr>
          <w:lang w:val="en-AU"/>
        </w:rPr>
        <w:t xml:space="preserve"> in February 2026</w:t>
      </w:r>
      <w:r w:rsidRPr="008D1918" w:rsidR="00D80CE1">
        <w:rPr>
          <w:lang w:val="en-AU"/>
        </w:rPr>
        <w:t xml:space="preserve"> and</w:t>
      </w:r>
      <w:r w:rsidRPr="008D1918" w:rsidR="00020817">
        <w:rPr>
          <w:lang w:val="en-AU"/>
        </w:rPr>
        <w:t xml:space="preserve"> t</w:t>
      </w:r>
      <w:r w:rsidRPr="008D1918" w:rsidR="00840B02">
        <w:rPr>
          <w:lang w:val="en-AU"/>
        </w:rPr>
        <w:t xml:space="preserve">he unemployment rate </w:t>
      </w:r>
      <w:r w:rsidRPr="008D1918" w:rsidR="00002020">
        <w:rPr>
          <w:lang w:val="en-AU"/>
        </w:rPr>
        <w:t>increased to 4.3%</w:t>
      </w:r>
      <w:r w:rsidRPr="008D1918" w:rsidR="006821FE">
        <w:rPr>
          <w:lang w:val="en-AU"/>
        </w:rPr>
        <w:t xml:space="preserve"> in February</w:t>
      </w:r>
      <w:r w:rsidRPr="008D1918" w:rsidR="00002020">
        <w:rPr>
          <w:vertAlign w:val="superscript"/>
          <w:lang w:val="en-AU"/>
        </w:rPr>
        <w:footnoteReference w:id="16"/>
      </w:r>
      <w:r w:rsidRPr="008D1918" w:rsidR="00002020">
        <w:rPr>
          <w:lang w:val="en-AU"/>
        </w:rPr>
        <w:t>.</w:t>
      </w:r>
    </w:p>
    <w:p w:rsidRPr="008D1918" w:rsidR="003A1B29" w:rsidRDefault="009A46C8" w14:paraId="4DD40180" w14:textId="7FA850AA">
      <w:pPr>
        <w:rPr>
          <w:lang w:val="en-AU"/>
        </w:rPr>
      </w:pPr>
      <w:r w:rsidRPr="008D1918">
        <w:rPr>
          <w:lang w:val="en-AU"/>
        </w:rPr>
        <w:t>Prior to the conflict in the Middle East, c</w:t>
      </w:r>
      <w:r w:rsidRPr="008D1918" w:rsidR="009A64B2">
        <w:rPr>
          <w:lang w:val="en-AU"/>
        </w:rPr>
        <w:t xml:space="preserve">onditions in the labour market </w:t>
      </w:r>
      <w:r w:rsidRPr="008D1918" w:rsidR="0047420F">
        <w:rPr>
          <w:lang w:val="en-AU"/>
        </w:rPr>
        <w:t>were</w:t>
      </w:r>
      <w:r w:rsidRPr="008D1918" w:rsidR="009A64B2">
        <w:rPr>
          <w:lang w:val="en-AU"/>
        </w:rPr>
        <w:t xml:space="preserve"> expected to remain resilient, with the unemployment rate forecast to remain low by historic standards, at 4.</w:t>
      </w:r>
      <w:r w:rsidRPr="008D1918" w:rsidR="00B07F05">
        <w:rPr>
          <w:lang w:val="en-AU"/>
        </w:rPr>
        <w:t>3</w:t>
      </w:r>
      <w:r w:rsidRPr="008D1918" w:rsidR="009A64B2">
        <w:rPr>
          <w:lang w:val="en-AU"/>
        </w:rPr>
        <w:t>% over 202</w:t>
      </w:r>
      <w:r w:rsidRPr="008D1918" w:rsidR="00B07F05">
        <w:rPr>
          <w:lang w:val="en-AU"/>
        </w:rPr>
        <w:t xml:space="preserve">6, </w:t>
      </w:r>
      <w:r w:rsidRPr="008D1918" w:rsidR="005C59F0">
        <w:rPr>
          <w:lang w:val="en-AU"/>
        </w:rPr>
        <w:t>before gradually increasing over 2027</w:t>
      </w:r>
      <w:r w:rsidRPr="008D1918" w:rsidR="009A64B2">
        <w:rPr>
          <w:rStyle w:val="FootnoteReference"/>
          <w:lang w:val="en-AU"/>
        </w:rPr>
        <w:footnoteReference w:id="17"/>
      </w:r>
      <w:r w:rsidRPr="008D1918" w:rsidR="009A64B2">
        <w:rPr>
          <w:lang w:val="en-AU"/>
        </w:rPr>
        <w:t>. The participation rate is also expected to remain close to recent record highs at around 67%</w:t>
      </w:r>
      <w:r w:rsidRPr="008D1918" w:rsidR="00E54A49">
        <w:rPr>
          <w:rStyle w:val="FootnoteReference"/>
          <w:lang w:val="en-AU"/>
        </w:rPr>
        <w:footnoteReference w:id="18"/>
      </w:r>
      <w:r w:rsidRPr="008D1918" w:rsidR="009A64B2">
        <w:rPr>
          <w:lang w:val="en-AU"/>
        </w:rPr>
        <w:t>. Employment is forecast to grow at a slower rate, reflecting easing labour demand in the non‑market sector</w:t>
      </w:r>
      <w:r w:rsidRPr="008D1918" w:rsidR="009A64B2">
        <w:rPr>
          <w:rStyle w:val="FootnoteReference"/>
          <w:lang w:val="en-AU"/>
        </w:rPr>
        <w:footnoteReference w:id="19"/>
      </w:r>
      <w:r w:rsidRPr="008D1918" w:rsidR="009A64B2">
        <w:rPr>
          <w:lang w:val="en-AU"/>
        </w:rPr>
        <w:t>.</w:t>
      </w:r>
      <w:r w:rsidRPr="008D1918" w:rsidR="002E0EC2">
        <w:rPr>
          <w:lang w:val="en-AU"/>
        </w:rPr>
        <w:t xml:space="preserve"> </w:t>
      </w:r>
      <w:r w:rsidRPr="008D1918" w:rsidR="00B74BA0">
        <w:rPr>
          <w:lang w:val="en-AU"/>
        </w:rPr>
        <w:t>However, d</w:t>
      </w:r>
      <w:r w:rsidRPr="008D1918" w:rsidR="00947C81">
        <w:rPr>
          <w:lang w:val="en-AU"/>
        </w:rPr>
        <w:t xml:space="preserve">epending on how long the </w:t>
      </w:r>
      <w:r w:rsidRPr="008D1918" w:rsidR="0063745B">
        <w:rPr>
          <w:lang w:val="en-AU"/>
        </w:rPr>
        <w:t xml:space="preserve">conflict </w:t>
      </w:r>
      <w:r w:rsidRPr="008D1918" w:rsidR="00577EF2">
        <w:rPr>
          <w:lang w:val="en-AU"/>
        </w:rPr>
        <w:t xml:space="preserve">in the Middle East </w:t>
      </w:r>
      <w:r w:rsidRPr="008D1918" w:rsidR="00297DCD">
        <w:rPr>
          <w:lang w:val="en-AU"/>
        </w:rPr>
        <w:t xml:space="preserve">persists, </w:t>
      </w:r>
      <w:r w:rsidRPr="008D1918" w:rsidR="002F2C56">
        <w:rPr>
          <w:lang w:val="en-AU"/>
        </w:rPr>
        <w:t xml:space="preserve">labour market </w:t>
      </w:r>
      <w:r w:rsidRPr="008D1918" w:rsidR="00BE11F7">
        <w:rPr>
          <w:lang w:val="en-AU"/>
        </w:rPr>
        <w:t>conditions</w:t>
      </w:r>
      <w:r w:rsidRPr="008D1918" w:rsidR="002F2C56">
        <w:rPr>
          <w:lang w:val="en-AU"/>
        </w:rPr>
        <w:t xml:space="preserve"> </w:t>
      </w:r>
      <w:r w:rsidRPr="008D1918" w:rsidR="00A238E8">
        <w:rPr>
          <w:lang w:val="en-AU"/>
        </w:rPr>
        <w:t xml:space="preserve">could </w:t>
      </w:r>
      <w:r w:rsidRPr="008D1918" w:rsidR="007241EF">
        <w:rPr>
          <w:lang w:val="en-AU"/>
        </w:rPr>
        <w:t xml:space="preserve">weaken </w:t>
      </w:r>
      <w:r w:rsidRPr="008D1918" w:rsidR="00641A66">
        <w:rPr>
          <w:lang w:val="en-AU"/>
        </w:rPr>
        <w:t xml:space="preserve">as economic </w:t>
      </w:r>
      <w:r w:rsidRPr="008D1918" w:rsidR="00641A66">
        <w:rPr>
          <w:lang w:val="en-AU"/>
        </w:rPr>
        <w:t>growth slows</w:t>
      </w:r>
      <w:r w:rsidRPr="008D1918" w:rsidR="008A64C1">
        <w:rPr>
          <w:lang w:val="en-AU"/>
        </w:rPr>
        <w:t xml:space="preserve">, with some </w:t>
      </w:r>
      <w:r w:rsidRPr="008D1918" w:rsidR="00B91AA3">
        <w:rPr>
          <w:lang w:val="en-AU"/>
        </w:rPr>
        <w:t>forecas</w:t>
      </w:r>
      <w:r w:rsidRPr="008D1918" w:rsidR="00A37C71">
        <w:rPr>
          <w:lang w:val="en-AU"/>
        </w:rPr>
        <w:t>ts predicting</w:t>
      </w:r>
      <w:r w:rsidRPr="008D1918" w:rsidR="003471ED">
        <w:rPr>
          <w:lang w:val="en-AU"/>
        </w:rPr>
        <w:t xml:space="preserve"> the</w:t>
      </w:r>
      <w:r w:rsidRPr="008D1918" w:rsidR="00B91AA3">
        <w:rPr>
          <w:lang w:val="en-AU"/>
        </w:rPr>
        <w:t xml:space="preserve"> unemployment rate </w:t>
      </w:r>
      <w:r w:rsidRPr="008D1918" w:rsidR="0097287B">
        <w:rPr>
          <w:lang w:val="en-AU"/>
        </w:rPr>
        <w:t>to</w:t>
      </w:r>
      <w:r w:rsidRPr="008D1918" w:rsidR="008568EA">
        <w:rPr>
          <w:lang w:val="en-AU"/>
        </w:rPr>
        <w:t xml:space="preserve"> </w:t>
      </w:r>
      <w:r w:rsidRPr="008D1918" w:rsidR="00B91AA3">
        <w:rPr>
          <w:lang w:val="en-AU"/>
        </w:rPr>
        <w:t>peak</w:t>
      </w:r>
      <w:r w:rsidRPr="008D1918" w:rsidR="00570FE9">
        <w:rPr>
          <w:lang w:val="en-AU"/>
        </w:rPr>
        <w:t xml:space="preserve"> </w:t>
      </w:r>
      <w:r w:rsidRPr="008D1918" w:rsidR="00D65F08">
        <w:rPr>
          <w:lang w:val="en-AU"/>
        </w:rPr>
        <w:t xml:space="preserve">between </w:t>
      </w:r>
      <w:r w:rsidRPr="008D1918" w:rsidR="00721639">
        <w:rPr>
          <w:lang w:val="en-AU"/>
        </w:rPr>
        <w:t>4.</w:t>
      </w:r>
      <w:r w:rsidRPr="008D1918" w:rsidR="008D54B9">
        <w:rPr>
          <w:lang w:val="en-AU"/>
        </w:rPr>
        <w:t>5</w:t>
      </w:r>
      <w:r w:rsidRPr="008D1918" w:rsidR="00721639">
        <w:rPr>
          <w:lang w:val="en-AU"/>
        </w:rPr>
        <w:t xml:space="preserve">% </w:t>
      </w:r>
      <w:r w:rsidRPr="008D1918" w:rsidR="00291869">
        <w:rPr>
          <w:lang w:val="en-AU"/>
        </w:rPr>
        <w:t>and</w:t>
      </w:r>
      <w:r w:rsidRPr="008D1918" w:rsidR="00B91AA3">
        <w:rPr>
          <w:lang w:val="en-AU"/>
        </w:rPr>
        <w:t xml:space="preserve"> 5% by the end of 2026.</w:t>
      </w:r>
    </w:p>
    <w:p w:rsidRPr="008D1918" w:rsidR="00AD663A" w:rsidP="00747707" w:rsidRDefault="009A64B2" w14:paraId="0800BB96" w14:textId="51A2D97E">
      <w:pPr>
        <w:rPr>
          <w:lang w:val="en-AU"/>
        </w:rPr>
      </w:pPr>
      <w:r w:rsidRPr="008D1918">
        <w:rPr>
          <w:lang w:val="en-AU"/>
        </w:rPr>
        <w:t xml:space="preserve">The HCSA </w:t>
      </w:r>
      <w:r w:rsidRPr="008D1918" w:rsidR="00096A79">
        <w:rPr>
          <w:lang w:val="en-AU"/>
        </w:rPr>
        <w:t xml:space="preserve">sector </w:t>
      </w:r>
      <w:r w:rsidRPr="008D1918">
        <w:rPr>
          <w:lang w:val="en-AU"/>
        </w:rPr>
        <w:t xml:space="preserve">is the largest industry </w:t>
      </w:r>
      <w:r w:rsidRPr="008D1918" w:rsidR="00096A79">
        <w:rPr>
          <w:lang w:val="en-AU"/>
        </w:rPr>
        <w:t xml:space="preserve">employer </w:t>
      </w:r>
      <w:r w:rsidRPr="008D1918">
        <w:rPr>
          <w:lang w:val="en-AU"/>
        </w:rPr>
        <w:t xml:space="preserve">in the Australian economy. Employment in this industry increased by </w:t>
      </w:r>
      <w:r w:rsidRPr="008D1918" w:rsidR="006D30E9">
        <w:rPr>
          <w:lang w:val="en-AU"/>
        </w:rPr>
        <w:t>18,100</w:t>
      </w:r>
      <w:r w:rsidRPr="008D1918">
        <w:rPr>
          <w:lang w:val="en-AU"/>
        </w:rPr>
        <w:t xml:space="preserve"> people (or </w:t>
      </w:r>
      <w:r w:rsidRPr="008D1918" w:rsidR="00D71B22">
        <w:rPr>
          <w:lang w:val="en-AU"/>
        </w:rPr>
        <w:t>0.7</w:t>
      </w:r>
      <w:r w:rsidRPr="008D1918">
        <w:rPr>
          <w:lang w:val="en-AU"/>
        </w:rPr>
        <w:t xml:space="preserve">%) over the year to the </w:t>
      </w:r>
      <w:r w:rsidRPr="008D1918" w:rsidR="00D71B22">
        <w:rPr>
          <w:lang w:val="en-AU"/>
        </w:rPr>
        <w:t>December</w:t>
      </w:r>
      <w:r w:rsidRPr="008D1918">
        <w:rPr>
          <w:lang w:val="en-AU"/>
        </w:rPr>
        <w:t xml:space="preserve"> quarter 2025 to 2.5 million people. This represents 16.</w:t>
      </w:r>
      <w:r w:rsidRPr="008D1918" w:rsidR="00B96AF9">
        <w:rPr>
          <w:lang w:val="en-AU"/>
        </w:rPr>
        <w:t>5</w:t>
      </w:r>
      <w:r w:rsidRPr="008D1918">
        <w:rPr>
          <w:lang w:val="en-AU"/>
        </w:rPr>
        <w:t>% of total employment</w:t>
      </w:r>
      <w:r w:rsidRPr="008D1918">
        <w:rPr>
          <w:vertAlign w:val="superscript"/>
          <w:lang w:val="en-AU"/>
        </w:rPr>
        <w:footnoteReference w:id="20"/>
      </w:r>
      <w:r w:rsidRPr="008D1918">
        <w:rPr>
          <w:lang w:val="en-AU"/>
        </w:rPr>
        <w:t xml:space="preserve">. While employment in the HCSA industry increased over 2025, the </w:t>
      </w:r>
      <w:r w:rsidRPr="008D1918" w:rsidR="00360E92">
        <w:rPr>
          <w:lang w:val="en-AU"/>
        </w:rPr>
        <w:t xml:space="preserve">sector </w:t>
      </w:r>
      <w:r w:rsidRPr="008D1918">
        <w:rPr>
          <w:lang w:val="en-AU"/>
        </w:rPr>
        <w:t>experienced a significant slowdown in employment growth compared to the very strong rates of the past few years</w:t>
      </w:r>
      <w:r w:rsidRPr="008D1918" w:rsidR="00A27A17">
        <w:rPr>
          <w:lang w:val="en-AU"/>
        </w:rPr>
        <w:t xml:space="preserve"> (</w:t>
      </w:r>
      <w:r w:rsidRPr="008D1918" w:rsidR="00F94B4D">
        <w:rPr>
          <w:lang w:val="en-AU"/>
        </w:rPr>
        <w:fldChar w:fldCharType="begin"/>
      </w:r>
      <w:r w:rsidRPr="008D1918" w:rsidR="00F94B4D">
        <w:rPr>
          <w:lang w:val="en-AU"/>
        </w:rPr>
        <w:instrText xml:space="preserve"> REF _Ref228182888 \h </w:instrText>
      </w:r>
      <w:r w:rsidR="008D1918">
        <w:rPr>
          <w:lang w:val="en-AU"/>
        </w:rPr>
        <w:instrText xml:space="preserve"> \* MERGEFORMAT </w:instrText>
      </w:r>
      <w:r w:rsidRPr="008D1918" w:rsidR="00F94B4D">
        <w:rPr>
          <w:lang w:val="en-AU"/>
        </w:rPr>
      </w:r>
      <w:r w:rsidRPr="008D1918" w:rsidR="00F94B4D">
        <w:rPr>
          <w:lang w:val="en-AU"/>
        </w:rPr>
        <w:fldChar w:fldCharType="separate"/>
      </w:r>
      <w:r w:rsidRPr="008D1918" w:rsidR="008F56A2">
        <w:t xml:space="preserve">Figure </w:t>
      </w:r>
      <w:r w:rsidR="008F56A2">
        <w:rPr>
          <w:noProof/>
        </w:rPr>
        <w:t>2</w:t>
      </w:r>
      <w:r w:rsidRPr="008D1918" w:rsidR="00F94B4D">
        <w:rPr>
          <w:lang w:val="en-AU"/>
        </w:rPr>
        <w:fldChar w:fldCharType="end"/>
      </w:r>
      <w:r w:rsidRPr="008D1918" w:rsidR="00A27A17">
        <w:rPr>
          <w:lang w:val="en-AU"/>
        </w:rPr>
        <w:t>)</w:t>
      </w:r>
      <w:r w:rsidRPr="008D1918">
        <w:rPr>
          <w:lang w:val="en-AU"/>
        </w:rPr>
        <w:t>. Despite slowing</w:t>
      </w:r>
      <w:r w:rsidRPr="008D1918" w:rsidR="009D44F9">
        <w:rPr>
          <w:lang w:val="en-AU"/>
        </w:rPr>
        <w:t xml:space="preserve"> down</w:t>
      </w:r>
      <w:r w:rsidRPr="008D1918">
        <w:rPr>
          <w:lang w:val="en-AU"/>
        </w:rPr>
        <w:t xml:space="preserve">, employment in the HCSA industry has still grown at a higher average rate over the past </w:t>
      </w:r>
      <w:r w:rsidRPr="008D1918" w:rsidR="005A1F4A">
        <w:rPr>
          <w:lang w:val="en-AU"/>
        </w:rPr>
        <w:t xml:space="preserve">10 </w:t>
      </w:r>
      <w:r w:rsidRPr="008D1918">
        <w:rPr>
          <w:lang w:val="en-AU"/>
        </w:rPr>
        <w:t>years compared to all industries</w:t>
      </w:r>
      <w:r w:rsidRPr="008D1918">
        <w:rPr>
          <w:vertAlign w:val="superscript"/>
          <w:lang w:val="en-AU"/>
        </w:rPr>
        <w:footnoteReference w:id="21"/>
      </w:r>
      <w:r w:rsidRPr="008D1918">
        <w:rPr>
          <w:lang w:val="en-AU"/>
        </w:rPr>
        <w:t>.</w:t>
      </w:r>
      <w:bookmarkStart w:name="_Ref223623678" w:id="440"/>
    </w:p>
    <w:p w:rsidRPr="008D1918" w:rsidR="009A64B2" w:rsidP="006A25FA" w:rsidRDefault="00DA3552" w14:paraId="393C2BC9" w14:textId="2D24CFE6">
      <w:pPr>
        <w:pStyle w:val="Caption"/>
      </w:pPr>
      <w:bookmarkStart w:name="_Ref228182888" w:id="441"/>
      <w:r w:rsidRPr="008D1918">
        <w:t xml:space="preserve">Figure </w:t>
      </w:r>
      <w:r>
        <w:fldChar w:fldCharType="begin"/>
      </w:r>
      <w:r>
        <w:instrText>SEQ Figure \* ARABIC</w:instrText>
      </w:r>
      <w:r>
        <w:fldChar w:fldCharType="separate"/>
      </w:r>
      <w:r w:rsidR="008F56A2">
        <w:rPr>
          <w:noProof/>
        </w:rPr>
        <w:t>2</w:t>
      </w:r>
      <w:r>
        <w:fldChar w:fldCharType="end"/>
      </w:r>
      <w:bookmarkEnd w:id="440"/>
      <w:bookmarkEnd w:id="441"/>
      <w:r w:rsidRPr="008D1918">
        <w:t xml:space="preserve">: </w:t>
      </w:r>
      <w:r w:rsidRPr="008D1918">
        <w:rPr>
          <w:rFonts w:eastAsia="DengXian" w:cs="Cordia New"/>
          <w:color w:val="6B2876" w:themeColor="accent5"/>
        </w:rPr>
        <w:t>Employment growth in all industries and HCSA industry</w:t>
      </w:r>
      <w:r w:rsidRPr="008D1918" w:rsidR="00FB5DBC">
        <w:rPr>
          <w:rFonts w:eastAsia="DengXian" w:cs="Cordia New"/>
          <w:color w:val="6B2876" w:themeColor="accent5"/>
        </w:rPr>
        <w:t>,</w:t>
      </w:r>
      <w:r w:rsidRPr="008D1918">
        <w:rPr>
          <w:rFonts w:eastAsia="DengXian" w:cs="Cordia New"/>
          <w:color w:val="6B2876" w:themeColor="accent5"/>
        </w:rPr>
        <w:t xml:space="preserve"> 2015 to 2025</w:t>
      </w:r>
    </w:p>
    <w:p w:rsidRPr="008D1918" w:rsidR="00AF7CA3" w:rsidRDefault="00AF7CA3" w14:paraId="1AD2AB46" w14:textId="66B2075E">
      <w:pPr>
        <w:spacing w:after="0" w:line="276" w:lineRule="auto"/>
        <w:jc w:val="center"/>
        <w:rPr>
          <w:lang w:val="en-AU"/>
        </w:rPr>
      </w:pPr>
      <w:r w:rsidRPr="008D1918">
        <w:rPr>
          <w:noProof/>
          <w:lang w:val="en-AU"/>
        </w:rPr>
        <w:drawing>
          <wp:inline distT="0" distB="0" distL="0" distR="0" wp14:anchorId="57A4A5B3" wp14:editId="32D91B0F">
            <wp:extent cx="5650865" cy="2978150"/>
            <wp:effectExtent l="0" t="0" r="6985" b="0"/>
            <wp:docPr id="1419711020" name="Picture 1" descr="Figure 2: A line graph showing the employment growth in all industries and HCSA over time. Overall, HCSA tends to have a higher rate of growth compared to other industries. The graph shows a decrease in growth in the HCSA industry from late 2024 to Decem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711020" name="Picture 1" descr="Figure 2: A line graph showing the employment growth in all industries and HCSA over time. Overall, HCSA tends to have a higher rate of growth compared to other industries. The graph shows a decrease in growth in the HCSA industry from late 2024 to December 20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5240" cy="2980456"/>
                    </a:xfrm>
                    <a:prstGeom prst="rect">
                      <a:avLst/>
                    </a:prstGeom>
                    <a:noFill/>
                  </pic:spPr>
                </pic:pic>
              </a:graphicData>
            </a:graphic>
          </wp:inline>
        </w:drawing>
      </w:r>
    </w:p>
    <w:p w:rsidRPr="008D1918" w:rsidR="009A64B2" w:rsidRDefault="009A64B2" w14:paraId="54688AF8" w14:textId="736F4151">
      <w:pPr>
        <w:rPr>
          <w:rFonts w:cs="Calibri"/>
          <w:b/>
          <w:sz w:val="20"/>
          <w:szCs w:val="18"/>
          <w:lang w:val="en-AU" w:eastAsia="en-AU"/>
        </w:rPr>
      </w:pPr>
      <w:r w:rsidRPr="008D1918">
        <w:rPr>
          <w:rFonts w:cs="Calibri"/>
          <w:b/>
          <w:sz w:val="20"/>
          <w:szCs w:val="18"/>
          <w:lang w:val="en-AU" w:eastAsia="en-AU"/>
        </w:rPr>
        <w:t xml:space="preserve">Source: ABS Labour Account Australia, </w:t>
      </w:r>
      <w:r w:rsidRPr="008D1918" w:rsidR="00AD663A">
        <w:rPr>
          <w:rFonts w:cs="Calibri"/>
          <w:b/>
          <w:sz w:val="20"/>
          <w:szCs w:val="18"/>
          <w:lang w:val="en-AU" w:eastAsia="en-AU"/>
        </w:rPr>
        <w:t>December</w:t>
      </w:r>
      <w:r w:rsidRPr="008D1918">
        <w:rPr>
          <w:rFonts w:cs="Calibri"/>
          <w:b/>
          <w:sz w:val="20"/>
          <w:szCs w:val="18"/>
          <w:lang w:val="en-AU" w:eastAsia="en-AU"/>
        </w:rPr>
        <w:t xml:space="preserve"> 2025 </w:t>
      </w:r>
    </w:p>
    <w:p w:rsidRPr="008D1918" w:rsidR="009A64B2" w:rsidRDefault="009A64B2" w14:paraId="49A83AD6" w14:textId="23411226">
      <w:pPr>
        <w:rPr>
          <w:lang w:val="en-AU"/>
        </w:rPr>
      </w:pPr>
      <w:r w:rsidRPr="008D1918">
        <w:rPr>
          <w:lang w:val="en-AU"/>
        </w:rPr>
        <w:t>Within the care and support workforce, the largest NDIS-related occupation by employment in November 2025 was aged and disability carers, with 347,500 workers</w:t>
      </w:r>
      <w:r w:rsidRPr="008D1918">
        <w:rPr>
          <w:rStyle w:val="FootnoteReference"/>
          <w:lang w:val="en-AU"/>
        </w:rPr>
        <w:footnoteReference w:id="22"/>
      </w:r>
      <w:r w:rsidRPr="008D1918">
        <w:rPr>
          <w:lang w:val="en-AU"/>
        </w:rPr>
        <w:t xml:space="preserve">. This was followed by nursing support and personal care workers, and welfare support workers. Together, these occupations represent </w:t>
      </w:r>
      <w:r w:rsidRPr="008D1918" w:rsidR="00436411">
        <w:rPr>
          <w:lang w:val="en-AU"/>
        </w:rPr>
        <w:t xml:space="preserve">more than </w:t>
      </w:r>
      <w:r w:rsidRPr="008D1918">
        <w:rPr>
          <w:lang w:val="en-AU"/>
        </w:rPr>
        <w:t>77% of workers in NDIS-related occupations</w:t>
      </w:r>
      <w:r w:rsidRPr="008D1918">
        <w:rPr>
          <w:rStyle w:val="FootnoteReference"/>
          <w:lang w:val="en-AU"/>
        </w:rPr>
        <w:footnoteReference w:id="23"/>
      </w:r>
      <w:r w:rsidRPr="008D1918">
        <w:rPr>
          <w:lang w:val="en-AU"/>
        </w:rPr>
        <w:t xml:space="preserve">. </w:t>
      </w:r>
    </w:p>
    <w:p w:rsidRPr="008D1918" w:rsidR="009A64B2" w:rsidRDefault="009A64B2" w14:paraId="55E60F6A" w14:textId="1261F175">
      <w:pPr>
        <w:rPr>
          <w:lang w:val="en-AU"/>
        </w:rPr>
      </w:pPr>
      <w:r w:rsidRPr="008D1918">
        <w:rPr>
          <w:lang w:val="en-AU"/>
        </w:rPr>
        <w:t xml:space="preserve">Demand for workers in the HCSA industry remains strong. There were 59,600 job vacancies in the HCSA </w:t>
      </w:r>
      <w:r w:rsidRPr="008D1918" w:rsidR="000011DB">
        <w:rPr>
          <w:lang w:val="en-AU"/>
        </w:rPr>
        <w:t xml:space="preserve">sector </w:t>
      </w:r>
      <w:r w:rsidRPr="008D1918">
        <w:rPr>
          <w:lang w:val="en-AU"/>
        </w:rPr>
        <w:t>in November 2025</w:t>
      </w:r>
      <w:r w:rsidRPr="008D1918" w:rsidR="00BD6CF0">
        <w:rPr>
          <w:lang w:val="en-AU"/>
        </w:rPr>
        <w:t xml:space="preserve">. This is </w:t>
      </w:r>
      <w:r w:rsidRPr="008D1918">
        <w:rPr>
          <w:lang w:val="en-AU"/>
        </w:rPr>
        <w:t>double the pre-pandemic level of job vacancies for that industry</w:t>
      </w:r>
      <w:r w:rsidRPr="008D1918">
        <w:rPr>
          <w:vertAlign w:val="superscript"/>
          <w:lang w:val="en-AU"/>
        </w:rPr>
        <w:footnoteReference w:id="24"/>
      </w:r>
      <w:r w:rsidRPr="008D1918">
        <w:rPr>
          <w:lang w:val="en-AU"/>
        </w:rPr>
        <w:t>. Aged and disability carers recorded the highest number of vacancies, representing nearly a third of NDIS-related vacancies, followed by nursing support and personal care workers and occupational therapists</w:t>
      </w:r>
      <w:r w:rsidRPr="008D1918">
        <w:rPr>
          <w:vertAlign w:val="superscript"/>
          <w:lang w:val="en-AU"/>
        </w:rPr>
        <w:footnoteReference w:id="25"/>
      </w:r>
      <w:r w:rsidRPr="008D1918" w:rsidR="70F6A6E6">
        <w:rPr>
          <w:lang w:val="en-AU"/>
        </w:rPr>
        <w:t>.</w:t>
      </w:r>
      <w:r w:rsidRPr="008D1918">
        <w:rPr>
          <w:lang w:val="en-AU"/>
        </w:rPr>
        <w:t xml:space="preserve"> This highlights the increasing demand for health care and support services in the Australian economy.</w:t>
      </w:r>
    </w:p>
    <w:p w:rsidRPr="008D1918" w:rsidR="009A64B2" w:rsidRDefault="009A64B2" w14:paraId="75EA3005" w14:textId="5278CB14">
      <w:pPr>
        <w:rPr>
          <w:lang w:val="en-AU"/>
        </w:rPr>
      </w:pPr>
      <w:r w:rsidRPr="008D1918">
        <w:rPr>
          <w:lang w:val="en-AU"/>
        </w:rPr>
        <w:t>Alongside the high number of job vacancies in the HCSA industry, Jobs and Skills Australia considered several NDIS-related occupations to be in shortage in 2025</w:t>
      </w:r>
      <w:r w:rsidRPr="008D1918">
        <w:rPr>
          <w:vertAlign w:val="superscript"/>
          <w:lang w:val="en-AU"/>
        </w:rPr>
        <w:footnoteReference w:id="26"/>
      </w:r>
      <w:r w:rsidRPr="008D1918">
        <w:rPr>
          <w:lang w:val="en-AU"/>
        </w:rPr>
        <w:t>. These include aged and disability carers, physiotherapists, speech therapists and audiologists, occupational therapists, and psychologists. Workforce retention was reported as the cause of the shortage for aged and disability carers</w:t>
      </w:r>
      <w:r w:rsidRPr="008D1918">
        <w:rPr>
          <w:rStyle w:val="FootnoteReference"/>
          <w:lang w:val="en-AU"/>
        </w:rPr>
        <w:footnoteReference w:id="27"/>
      </w:r>
      <w:r w:rsidRPr="008D1918">
        <w:rPr>
          <w:lang w:val="en-AU"/>
        </w:rPr>
        <w:t xml:space="preserve">. This is not unique to the NDIS sector, as shortages are experienced by the broader HCSA industry, particularly </w:t>
      </w:r>
      <w:r w:rsidRPr="008D1918" w:rsidR="00187512">
        <w:rPr>
          <w:lang w:val="en-AU"/>
        </w:rPr>
        <w:t>considering</w:t>
      </w:r>
      <w:r w:rsidRPr="008D1918">
        <w:rPr>
          <w:lang w:val="en-AU"/>
        </w:rPr>
        <w:t xml:space="preserve"> an ageing population and an increased prevalence of chronic conditions. </w:t>
      </w:r>
    </w:p>
    <w:p w:rsidRPr="008D1918" w:rsidR="009A64B2" w:rsidRDefault="009A64B2" w14:paraId="344119D7" w14:textId="6AFE06E4">
      <w:pPr>
        <w:rPr>
          <w:lang w:val="en-AU"/>
        </w:rPr>
      </w:pPr>
      <w:r w:rsidRPr="008D1918">
        <w:rPr>
          <w:lang w:val="en-AU"/>
        </w:rPr>
        <w:t xml:space="preserve">The disability workforce is expected to continue to increase significantly to support the forecast growth in the NDIS and the HCSA industry. Jobs and Skills Australia projects employment in the HCSA industry to grow by 290,300 people (or 12.3%) over the </w:t>
      </w:r>
      <w:r w:rsidRPr="008D1918" w:rsidR="00E72C47">
        <w:rPr>
          <w:lang w:val="en-AU"/>
        </w:rPr>
        <w:t xml:space="preserve">5 </w:t>
      </w:r>
      <w:r w:rsidRPr="008D1918">
        <w:rPr>
          <w:lang w:val="en-AU"/>
        </w:rPr>
        <w:t>years to May 2030</w:t>
      </w:r>
      <w:r w:rsidRPr="008D1918">
        <w:rPr>
          <w:vertAlign w:val="superscript"/>
          <w:lang w:val="en-AU"/>
        </w:rPr>
        <w:footnoteReference w:id="28"/>
      </w:r>
      <w:r w:rsidRPr="008D1918">
        <w:rPr>
          <w:lang w:val="en-AU"/>
        </w:rPr>
        <w:t xml:space="preserve"> (</w:t>
      </w:r>
      <w:r w:rsidRPr="008D1918" w:rsidR="00DA3552">
        <w:rPr>
          <w:lang w:val="en-AU"/>
        </w:rPr>
        <w:fldChar w:fldCharType="begin"/>
      </w:r>
      <w:r w:rsidRPr="008D1918" w:rsidR="00DA3552">
        <w:rPr>
          <w:lang w:val="en-AU"/>
        </w:rPr>
        <w:instrText xml:space="preserve"> REF _Ref223623730 \h </w:instrText>
      </w:r>
      <w:r w:rsidRPr="008D1918" w:rsidR="00762DF8">
        <w:rPr>
          <w:lang w:val="en-AU"/>
        </w:rPr>
        <w:instrText xml:space="preserve"> \* MERGEFORMAT </w:instrText>
      </w:r>
      <w:r w:rsidRPr="008D1918" w:rsidR="00DA3552">
        <w:rPr>
          <w:lang w:val="en-AU"/>
        </w:rPr>
      </w:r>
      <w:r w:rsidRPr="008D1918" w:rsidR="00DA3552">
        <w:rPr>
          <w:lang w:val="en-AU"/>
        </w:rPr>
        <w:fldChar w:fldCharType="separate"/>
      </w:r>
      <w:r w:rsidRPr="008F56A2" w:rsidR="008F56A2">
        <w:rPr>
          <w:lang w:val="en-AU"/>
        </w:rPr>
        <w:t>Figure</w:t>
      </w:r>
      <w:r w:rsidRPr="008D1918" w:rsidR="008F56A2">
        <w:t xml:space="preserve"> </w:t>
      </w:r>
      <w:r w:rsidR="008F56A2">
        <w:rPr>
          <w:noProof/>
        </w:rPr>
        <w:t>3</w:t>
      </w:r>
      <w:r w:rsidRPr="008D1918" w:rsidR="00DA3552">
        <w:rPr>
          <w:lang w:val="en-AU"/>
        </w:rPr>
        <w:fldChar w:fldCharType="end"/>
      </w:r>
      <w:r w:rsidRPr="008D1918">
        <w:rPr>
          <w:lang w:val="en-AU"/>
        </w:rPr>
        <w:t xml:space="preserve">). This is the strongest projected employment growth of all industries and </w:t>
      </w:r>
      <w:r w:rsidRPr="008D1918" w:rsidR="00EB6290">
        <w:rPr>
          <w:lang w:val="en-AU"/>
        </w:rPr>
        <w:t xml:space="preserve">more than </w:t>
      </w:r>
      <w:r w:rsidRPr="008D1918">
        <w:rPr>
          <w:lang w:val="en-AU"/>
        </w:rPr>
        <w:t xml:space="preserve">double the projected increase in the level of employment for the ‘professional, scientific, and technical services’ </w:t>
      </w:r>
      <w:r w:rsidRPr="008D1918" w:rsidR="00985DDD">
        <w:rPr>
          <w:lang w:val="en-AU"/>
        </w:rPr>
        <w:t xml:space="preserve">industry </w:t>
      </w:r>
      <w:r w:rsidRPr="008D1918">
        <w:rPr>
          <w:lang w:val="en-AU"/>
        </w:rPr>
        <w:t>(second largest industry by level of employment in the economy)</w:t>
      </w:r>
      <w:r w:rsidRPr="008D1918">
        <w:rPr>
          <w:vertAlign w:val="superscript"/>
          <w:lang w:val="en-AU"/>
        </w:rPr>
        <w:footnoteReference w:id="29"/>
      </w:r>
      <w:r w:rsidRPr="008D1918">
        <w:rPr>
          <w:lang w:val="en-AU"/>
        </w:rPr>
        <w:t xml:space="preserve">. The occupations projected to have the strongest employment growth over the </w:t>
      </w:r>
      <w:r w:rsidRPr="008D1918" w:rsidR="003C3C27">
        <w:rPr>
          <w:lang w:val="en-AU"/>
        </w:rPr>
        <w:t xml:space="preserve">5 </w:t>
      </w:r>
      <w:r w:rsidRPr="008D1918">
        <w:rPr>
          <w:lang w:val="en-AU"/>
        </w:rPr>
        <w:t>years to May 2030 are predominately in the health therapy area, with both physiotherapists and occupational therapists expected to grow by nearly 20%</w:t>
      </w:r>
      <w:r w:rsidRPr="008D1918">
        <w:rPr>
          <w:rStyle w:val="FootnoteReference"/>
          <w:lang w:val="en-AU"/>
        </w:rPr>
        <w:footnoteReference w:id="30"/>
      </w:r>
      <w:r w:rsidRPr="008D1918">
        <w:rPr>
          <w:lang w:val="en-AU"/>
        </w:rPr>
        <w:t xml:space="preserve">. Employment for aged and disability carers is expected to grow by 39,800 people (or 10.7%) over the </w:t>
      </w:r>
      <w:r w:rsidR="00E31C2D">
        <w:rPr>
          <w:lang w:val="en-AU"/>
        </w:rPr>
        <w:br/>
      </w:r>
      <w:r w:rsidRPr="008D1918" w:rsidR="00F02A85">
        <w:rPr>
          <w:lang w:val="en-AU"/>
        </w:rPr>
        <w:t xml:space="preserve">5 </w:t>
      </w:r>
      <w:r w:rsidRPr="008D1918">
        <w:rPr>
          <w:lang w:val="en-AU"/>
        </w:rPr>
        <w:t>years to May 2030</w:t>
      </w:r>
      <w:r w:rsidRPr="008D1918">
        <w:rPr>
          <w:vertAlign w:val="superscript"/>
          <w:lang w:val="en-AU"/>
        </w:rPr>
        <w:footnoteReference w:id="31"/>
      </w:r>
      <w:r w:rsidRPr="008D1918">
        <w:rPr>
          <w:lang w:val="en-AU"/>
        </w:rPr>
        <w:t>.</w:t>
      </w:r>
    </w:p>
    <w:p w:rsidRPr="008D1918" w:rsidR="009A64B2" w:rsidP="00DA3552" w:rsidRDefault="009A64B2" w14:paraId="68CA6208" w14:textId="1EFC49D4">
      <w:pPr>
        <w:pStyle w:val="Caption"/>
        <w:rPr>
          <w:rFonts w:eastAsia="DengXian" w:cs="Cordia New"/>
          <w:i w:val="0"/>
          <w:color w:val="6B2876" w:themeColor="accent5"/>
        </w:rPr>
      </w:pPr>
      <w:bookmarkStart w:name="_Ref223623730" w:id="442"/>
      <w:r w:rsidRPr="008D1918">
        <w:t xml:space="preserve">Figure </w:t>
      </w:r>
      <w:r>
        <w:fldChar w:fldCharType="begin"/>
      </w:r>
      <w:r>
        <w:instrText>SEQ Figure \* ARABIC</w:instrText>
      </w:r>
      <w:r>
        <w:fldChar w:fldCharType="separate"/>
      </w:r>
      <w:r w:rsidR="008F56A2">
        <w:rPr>
          <w:noProof/>
        </w:rPr>
        <w:t>3</w:t>
      </w:r>
      <w:r>
        <w:fldChar w:fldCharType="end"/>
      </w:r>
      <w:bookmarkEnd w:id="442"/>
      <w:r w:rsidRPr="008D1918">
        <w:rPr>
          <w:rFonts w:eastAsia="DengXian" w:cs="Cordia New"/>
          <w:color w:val="6B2876" w:themeColor="accent5"/>
        </w:rPr>
        <w:t xml:space="preserve">: Projected employment growth for the </w:t>
      </w:r>
      <w:r w:rsidRPr="008D1918" w:rsidR="007678E0">
        <w:rPr>
          <w:rFonts w:eastAsia="DengXian" w:cs="Cordia New"/>
          <w:color w:val="6B2876" w:themeColor="accent5"/>
        </w:rPr>
        <w:t xml:space="preserve">5 </w:t>
      </w:r>
      <w:r w:rsidRPr="008D1918">
        <w:rPr>
          <w:rFonts w:eastAsia="DengXian" w:cs="Cordia New"/>
          <w:color w:val="6B2876" w:themeColor="accent5"/>
        </w:rPr>
        <w:t>largest industries</w:t>
      </w:r>
      <w:r w:rsidRPr="008D1918" w:rsidR="00FB5DBC">
        <w:rPr>
          <w:rFonts w:eastAsia="DengXian" w:cs="Cordia New"/>
          <w:color w:val="6B2876" w:themeColor="accent5"/>
        </w:rPr>
        <w:t>,</w:t>
      </w:r>
      <w:r w:rsidRPr="008D1918">
        <w:rPr>
          <w:rFonts w:eastAsia="DengXian" w:cs="Cordia New"/>
          <w:color w:val="6B2876" w:themeColor="accent5"/>
        </w:rPr>
        <w:t xml:space="preserve"> May 2025 to May </w:t>
      </w:r>
      <w:r w:rsidRPr="008D1918" w:rsidR="00BA0989">
        <w:rPr>
          <w:rFonts w:eastAsia="DengXian" w:cs="Cordia New"/>
          <w:color w:val="6B2876" w:themeColor="accent5"/>
        </w:rPr>
        <w:t>203</w:t>
      </w:r>
      <w:r w:rsidRPr="008D1918" w:rsidR="00746BB7">
        <w:rPr>
          <w:rFonts w:eastAsia="DengXian" w:cs="Cordia New"/>
          <w:color w:val="6B2876" w:themeColor="accent5"/>
        </w:rPr>
        <w:t>5</w:t>
      </w:r>
    </w:p>
    <w:p w:rsidRPr="008D1918" w:rsidR="009A64B2" w:rsidRDefault="009A64B2" w14:paraId="371FC192" w14:textId="77777777">
      <w:pPr>
        <w:spacing w:line="276" w:lineRule="auto"/>
        <w:jc w:val="center"/>
        <w:rPr>
          <w:lang w:val="en-AU"/>
        </w:rPr>
      </w:pPr>
      <w:r w:rsidRPr="008D1918">
        <w:rPr>
          <w:noProof/>
          <w:lang w:val="en-AU"/>
        </w:rPr>
        <w:drawing>
          <wp:inline distT="0" distB="0" distL="0" distR="0" wp14:anchorId="49691A22" wp14:editId="2EE65DB1">
            <wp:extent cx="5760000" cy="2883050"/>
            <wp:effectExtent l="19050" t="19050" r="12700" b="12700"/>
            <wp:docPr id="324761168" name="Picture 3" descr="Figure 3: A figure showing projected employment growth for the five largest industries from May 2025 to May 2030. It is predicted that:&#10;- Healthcare and Social Assistance will increase by almost 300,000, significantly more than the next highest growth industry - Professional, Scientific and Technical Services which is predicted to grow by approx. 140,000. Other industry growth shown on the graph is: Construction - approx. 100,000; Public Administration and Safety - approx. 70,000; and Education and Training - approx. 70,000. Source: Jobs and Skills Australia Employment Projections, May 2025 to M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61168" name="Picture 3" descr="Figure 3: A figure showing projected employment growth for the five largest industries from May 2025 to May 2030. It is predicted that:&#10;- Healthcare and Social Assistance will increase by almost 300,000, significantly more than the next highest growth industry - Professional, Scientific and Technical Services which is predicted to grow by approx. 140,000. Other industry growth shown on the graph is: Construction - approx. 100,000; Public Administration and Safety - approx. 70,000; and Education and Training - approx. 70,000. Source: Jobs and Skills Australia Employment Projections, May 2025 to May "/>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760000" cy="2883050"/>
                    </a:xfrm>
                    <a:prstGeom prst="rect">
                      <a:avLst/>
                    </a:prstGeom>
                    <a:noFill/>
                    <a:ln w="12700">
                      <a:solidFill>
                        <a:srgbClr val="D7D7D7"/>
                      </a:solidFill>
                    </a:ln>
                  </pic:spPr>
                </pic:pic>
              </a:graphicData>
            </a:graphic>
          </wp:inline>
        </w:drawing>
      </w:r>
    </w:p>
    <w:p w:rsidRPr="008D1918" w:rsidR="009A64B2" w:rsidRDefault="009A64B2" w14:paraId="5851D0C2" w14:textId="77777777">
      <w:pPr>
        <w:spacing w:before="120" w:after="60" w:line="240" w:lineRule="atLeast"/>
        <w:rPr>
          <w:rFonts w:cs="Calibri"/>
          <w:b/>
          <w:sz w:val="20"/>
          <w:szCs w:val="18"/>
          <w:lang w:val="en-AU" w:eastAsia="en-AU"/>
        </w:rPr>
      </w:pPr>
      <w:r w:rsidRPr="008D1918">
        <w:rPr>
          <w:rFonts w:cs="Calibri"/>
          <w:b/>
          <w:sz w:val="20"/>
          <w:szCs w:val="18"/>
          <w:lang w:val="en-AU" w:eastAsia="en-AU"/>
        </w:rPr>
        <w:t xml:space="preserve">Source: Jobs and Skills Australia Employment Projections, May 2025 to May 2035 </w:t>
      </w:r>
    </w:p>
    <w:p w:rsidRPr="008D1918" w:rsidR="001519EA" w:rsidP="001519EA" w:rsidRDefault="009A64B2" w14:paraId="55C290B2" w14:textId="1ECFDE38">
      <w:pPr>
        <w:pStyle w:val="Heading31"/>
        <w:ind w:left="1077" w:hanging="720"/>
      </w:pPr>
      <w:bookmarkStart w:name="_Toc223539626" w:id="443"/>
      <w:bookmarkStart w:name="_Toc223539839" w:id="444"/>
      <w:bookmarkStart w:name="_Toc223540307" w:id="445"/>
      <w:bookmarkStart w:name="_Toc223540523" w:id="446"/>
      <w:bookmarkStart w:name="_Toc223542063" w:id="447"/>
      <w:bookmarkStart w:name="_Toc223604247" w:id="448"/>
      <w:bookmarkStart w:name="_Toc223604458" w:id="449"/>
      <w:bookmarkStart w:name="_Toc227337054" w:id="450"/>
      <w:r w:rsidRPr="008D1918">
        <w:t xml:space="preserve">Wage </w:t>
      </w:r>
      <w:r w:rsidRPr="008D1918" w:rsidR="006E349C">
        <w:t>g</w:t>
      </w:r>
      <w:r w:rsidRPr="008D1918">
        <w:t>rowth</w:t>
      </w:r>
      <w:bookmarkEnd w:id="443"/>
      <w:bookmarkEnd w:id="444"/>
      <w:bookmarkEnd w:id="445"/>
      <w:bookmarkEnd w:id="446"/>
      <w:bookmarkEnd w:id="447"/>
      <w:bookmarkEnd w:id="448"/>
      <w:bookmarkEnd w:id="449"/>
      <w:bookmarkEnd w:id="450"/>
    </w:p>
    <w:p w:rsidRPr="008D1918" w:rsidR="000B7935" w:rsidRDefault="009A64B2" w14:paraId="0A638872" w14:textId="46CFEB56">
      <w:pPr>
        <w:rPr>
          <w:lang w:val="en-AU"/>
        </w:rPr>
      </w:pPr>
      <w:r w:rsidRPr="008D1918">
        <w:rPr>
          <w:lang w:val="en-AU"/>
        </w:rPr>
        <w:t xml:space="preserve">Wage growth remained broadly steady </w:t>
      </w:r>
      <w:r w:rsidRPr="008D1918" w:rsidR="00E97BD3">
        <w:rPr>
          <w:lang w:val="en-AU"/>
        </w:rPr>
        <w:t xml:space="preserve">in </w:t>
      </w:r>
      <w:r w:rsidRPr="008D1918">
        <w:rPr>
          <w:lang w:val="en-AU"/>
        </w:rPr>
        <w:t xml:space="preserve">2025 and </w:t>
      </w:r>
      <w:r w:rsidRPr="008D1918" w:rsidR="00670AB6">
        <w:rPr>
          <w:lang w:val="en-AU"/>
        </w:rPr>
        <w:t>remains below</w:t>
      </w:r>
      <w:r w:rsidRPr="008D1918">
        <w:rPr>
          <w:lang w:val="en-AU"/>
        </w:rPr>
        <w:t xml:space="preserve"> the highs in recent years. Wage growth was 3.4% over the year to the </w:t>
      </w:r>
      <w:r w:rsidRPr="008D1918" w:rsidR="0036228E">
        <w:rPr>
          <w:lang w:val="en-AU"/>
        </w:rPr>
        <w:t>December</w:t>
      </w:r>
      <w:r w:rsidRPr="008D1918">
        <w:rPr>
          <w:lang w:val="en-AU"/>
        </w:rPr>
        <w:t xml:space="preserve"> quarter 2025, </w:t>
      </w:r>
      <w:r w:rsidRPr="008D1918" w:rsidR="00DC779B">
        <w:rPr>
          <w:lang w:val="en-AU"/>
        </w:rPr>
        <w:t>up</w:t>
      </w:r>
      <w:r w:rsidRPr="008D1918">
        <w:rPr>
          <w:lang w:val="en-AU"/>
        </w:rPr>
        <w:t xml:space="preserve"> from 3.</w:t>
      </w:r>
      <w:r w:rsidRPr="008D1918" w:rsidR="00DC779B">
        <w:rPr>
          <w:lang w:val="en-AU"/>
        </w:rPr>
        <w:t>2</w:t>
      </w:r>
      <w:r w:rsidRPr="008D1918">
        <w:rPr>
          <w:lang w:val="en-AU"/>
        </w:rPr>
        <w:t xml:space="preserve">% in the </w:t>
      </w:r>
      <w:r w:rsidRPr="008D1918" w:rsidR="00DC779B">
        <w:rPr>
          <w:lang w:val="en-AU"/>
        </w:rPr>
        <w:t>December</w:t>
      </w:r>
      <w:r w:rsidRPr="008D1918">
        <w:rPr>
          <w:lang w:val="en-AU"/>
        </w:rPr>
        <w:t xml:space="preserve"> quarter 2024</w:t>
      </w:r>
      <w:r w:rsidRPr="008D1918" w:rsidR="007C074C">
        <w:rPr>
          <w:lang w:val="en-AU"/>
        </w:rPr>
        <w:t>. Despite</w:t>
      </w:r>
      <w:r w:rsidRPr="008D1918" w:rsidR="00FA18CE">
        <w:rPr>
          <w:lang w:val="en-AU"/>
        </w:rPr>
        <w:t xml:space="preserve"> the slight increase, annual wage growth</w:t>
      </w:r>
      <w:r w:rsidRPr="008D1918">
        <w:rPr>
          <w:lang w:val="en-AU"/>
        </w:rPr>
        <w:t xml:space="preserve"> is now at its </w:t>
      </w:r>
      <w:r w:rsidRPr="008D1918" w:rsidR="00FA18CE">
        <w:rPr>
          <w:lang w:val="en-AU"/>
        </w:rPr>
        <w:t>third</w:t>
      </w:r>
      <w:r w:rsidRPr="008D1918">
        <w:rPr>
          <w:lang w:val="en-AU"/>
        </w:rPr>
        <w:t xml:space="preserve"> lowest level since peaking in the December quarter 2023</w:t>
      </w:r>
      <w:r w:rsidRPr="008D1918">
        <w:rPr>
          <w:vertAlign w:val="superscript"/>
          <w:lang w:val="en-AU"/>
        </w:rPr>
        <w:footnoteReference w:id="32"/>
      </w:r>
      <w:r w:rsidRPr="008D1918">
        <w:rPr>
          <w:lang w:val="en-AU"/>
        </w:rPr>
        <w:t xml:space="preserve">. </w:t>
      </w:r>
    </w:p>
    <w:p w:rsidRPr="008D1918" w:rsidR="009A64B2" w:rsidRDefault="00417BA3" w14:paraId="2435DDEC" w14:textId="33BD68BC">
      <w:pPr>
        <w:rPr>
          <w:lang w:val="en-AU"/>
        </w:rPr>
      </w:pPr>
      <w:r w:rsidRPr="008D1918">
        <w:rPr>
          <w:lang w:val="en-AU"/>
        </w:rPr>
        <w:t>Prior to the conflict in the Middle East, w</w:t>
      </w:r>
      <w:r w:rsidRPr="008D1918" w:rsidR="009A64B2">
        <w:rPr>
          <w:lang w:val="en-AU"/>
        </w:rPr>
        <w:t xml:space="preserve">ages </w:t>
      </w:r>
      <w:r w:rsidRPr="008D1918">
        <w:rPr>
          <w:lang w:val="en-AU"/>
        </w:rPr>
        <w:t>were</w:t>
      </w:r>
      <w:r w:rsidRPr="008D1918" w:rsidR="009A64B2">
        <w:rPr>
          <w:lang w:val="en-AU"/>
        </w:rPr>
        <w:t xml:space="preserve"> forecast to ease slightly over the year ahead as labour market conditions gradually soften. Wages </w:t>
      </w:r>
      <w:r w:rsidRPr="008D1918" w:rsidR="002F2985">
        <w:rPr>
          <w:lang w:val="en-AU"/>
        </w:rPr>
        <w:t xml:space="preserve">were </w:t>
      </w:r>
      <w:r w:rsidRPr="008D1918" w:rsidR="009A64B2">
        <w:rPr>
          <w:lang w:val="en-AU"/>
        </w:rPr>
        <w:t>expected to grow by 3.</w:t>
      </w:r>
      <w:r w:rsidRPr="008D1918" w:rsidR="00E62F53">
        <w:rPr>
          <w:lang w:val="en-AU"/>
        </w:rPr>
        <w:t>1</w:t>
      </w:r>
      <w:r w:rsidRPr="008D1918" w:rsidR="009A64B2">
        <w:rPr>
          <w:lang w:val="en-AU"/>
        </w:rPr>
        <w:t>% in both 202</w:t>
      </w:r>
      <w:r w:rsidRPr="008D1918" w:rsidR="007F0AA2">
        <w:rPr>
          <w:lang w:val="en-AU"/>
        </w:rPr>
        <w:t xml:space="preserve">6 and </w:t>
      </w:r>
      <w:r w:rsidRPr="008D1918" w:rsidR="003C6725">
        <w:rPr>
          <w:lang w:val="en-AU"/>
        </w:rPr>
        <w:t>2027</w:t>
      </w:r>
      <w:r w:rsidRPr="008D1918" w:rsidR="00F57B4E">
        <w:rPr>
          <w:vertAlign w:val="superscript"/>
          <w:lang w:val="en-AU"/>
        </w:rPr>
        <w:footnoteReference w:id="33"/>
      </w:r>
      <w:r w:rsidRPr="008D1918" w:rsidR="009A64B2">
        <w:rPr>
          <w:lang w:val="en-AU"/>
        </w:rPr>
        <w:t xml:space="preserve">. This remains well above the </w:t>
      </w:r>
      <w:r w:rsidRPr="008D1918" w:rsidR="00E64FA5">
        <w:rPr>
          <w:lang w:val="en-AU"/>
        </w:rPr>
        <w:t>5</w:t>
      </w:r>
      <w:r w:rsidRPr="008D1918" w:rsidR="009A64B2">
        <w:rPr>
          <w:lang w:val="en-AU"/>
        </w:rPr>
        <w:t>-year pre-pandemic average rate of 2.1%.</w:t>
      </w:r>
      <w:r w:rsidRPr="008D1918" w:rsidR="00D5477A">
        <w:rPr>
          <w:lang w:val="en-AU"/>
        </w:rPr>
        <w:t xml:space="preserve"> However, given the conflict</w:t>
      </w:r>
      <w:r w:rsidRPr="008D1918" w:rsidR="0098092B">
        <w:rPr>
          <w:lang w:val="en-AU"/>
        </w:rPr>
        <w:t>,</w:t>
      </w:r>
      <w:r w:rsidRPr="008D1918" w:rsidR="0018672D">
        <w:rPr>
          <w:lang w:val="en-AU"/>
        </w:rPr>
        <w:t xml:space="preserve"> </w:t>
      </w:r>
      <w:r w:rsidRPr="008D1918" w:rsidR="00031D54">
        <w:rPr>
          <w:lang w:val="en-AU"/>
        </w:rPr>
        <w:t xml:space="preserve">wages </w:t>
      </w:r>
      <w:r w:rsidRPr="008D1918" w:rsidR="00AB0DB9">
        <w:rPr>
          <w:lang w:val="en-AU"/>
        </w:rPr>
        <w:t xml:space="preserve">growth </w:t>
      </w:r>
      <w:r w:rsidRPr="008D1918" w:rsidR="00E001E9">
        <w:rPr>
          <w:lang w:val="en-AU"/>
        </w:rPr>
        <w:t xml:space="preserve">may </w:t>
      </w:r>
      <w:r w:rsidRPr="008D1918" w:rsidR="004D45AD">
        <w:rPr>
          <w:lang w:val="en-AU"/>
        </w:rPr>
        <w:t>be</w:t>
      </w:r>
      <w:r w:rsidRPr="008D1918" w:rsidR="00BD474A">
        <w:rPr>
          <w:lang w:val="en-AU"/>
        </w:rPr>
        <w:t xml:space="preserve"> limited as </w:t>
      </w:r>
      <w:r w:rsidRPr="008D1918" w:rsidR="00E001E9">
        <w:rPr>
          <w:lang w:val="en-AU"/>
        </w:rPr>
        <w:t>the</w:t>
      </w:r>
      <w:r w:rsidRPr="008D1918" w:rsidR="008762A9">
        <w:rPr>
          <w:lang w:val="en-AU"/>
        </w:rPr>
        <w:t xml:space="preserve"> economic outlook changes and the</w:t>
      </w:r>
      <w:r w:rsidRPr="008D1918" w:rsidR="00E001E9">
        <w:rPr>
          <w:lang w:val="en-AU"/>
        </w:rPr>
        <w:t xml:space="preserve"> </w:t>
      </w:r>
      <w:r w:rsidRPr="008D1918" w:rsidR="00BD474A">
        <w:rPr>
          <w:lang w:val="en-AU"/>
        </w:rPr>
        <w:t>labour market weakens</w:t>
      </w:r>
      <w:r w:rsidRPr="008D1918" w:rsidR="008762A9">
        <w:rPr>
          <w:lang w:val="en-AU"/>
        </w:rPr>
        <w:t>.</w:t>
      </w:r>
      <w:r w:rsidRPr="008D1918" w:rsidR="00857A98">
        <w:rPr>
          <w:lang w:val="en-AU"/>
        </w:rPr>
        <w:t xml:space="preserve"> </w:t>
      </w:r>
    </w:p>
    <w:p w:rsidRPr="008D1918" w:rsidR="00F504FD" w:rsidP="009A4B6F" w:rsidRDefault="009A64B2" w14:paraId="4914B7DD" w14:textId="5858D928">
      <w:pPr>
        <w:rPr>
          <w:lang w:val="en-AU"/>
        </w:rPr>
      </w:pPr>
      <w:bookmarkStart w:name="_Toc223604248" w:id="451"/>
      <w:bookmarkStart w:name="_Toc223604459" w:id="452"/>
      <w:bookmarkStart w:name="_Toc223604670" w:id="453"/>
      <w:r w:rsidRPr="008D1918">
        <w:rPr>
          <w:lang w:val="en-AU"/>
        </w:rPr>
        <w:t xml:space="preserve">The HCSA industry also recorded steady but strong wage growth </w:t>
      </w:r>
      <w:r w:rsidRPr="008D1918" w:rsidR="00911144">
        <w:rPr>
          <w:lang w:val="en-AU"/>
        </w:rPr>
        <w:t xml:space="preserve">in </w:t>
      </w:r>
      <w:r w:rsidRPr="008D1918">
        <w:rPr>
          <w:lang w:val="en-AU"/>
        </w:rPr>
        <w:t>2025, driven by significant award rate increases and high labour demand, though the pace of annual growth has slightly moderated from 2024 levels</w:t>
      </w:r>
      <w:r w:rsidRPr="008D1918">
        <w:rPr>
          <w:vertAlign w:val="superscript"/>
          <w:lang w:val="en-AU"/>
        </w:rPr>
        <w:footnoteReference w:id="34"/>
      </w:r>
      <w:r w:rsidRPr="008D1918">
        <w:rPr>
          <w:lang w:val="en-AU"/>
        </w:rPr>
        <w:t xml:space="preserve">. Wage growth in the HCSA </w:t>
      </w:r>
      <w:r w:rsidRPr="008D1918">
        <w:rPr>
          <w:lang w:val="en-AU"/>
        </w:rPr>
        <w:t xml:space="preserve">industry was </w:t>
      </w:r>
      <w:r w:rsidRPr="008D1918" w:rsidR="0036575A">
        <w:rPr>
          <w:lang w:val="en-AU"/>
        </w:rPr>
        <w:t>4.4</w:t>
      </w:r>
      <w:r w:rsidRPr="008D1918">
        <w:rPr>
          <w:lang w:val="en-AU"/>
        </w:rPr>
        <w:t xml:space="preserve">% over the year to the </w:t>
      </w:r>
      <w:r w:rsidRPr="008D1918" w:rsidR="0036575A">
        <w:rPr>
          <w:lang w:val="en-AU"/>
        </w:rPr>
        <w:t>December</w:t>
      </w:r>
      <w:r w:rsidRPr="008D1918">
        <w:rPr>
          <w:lang w:val="en-AU"/>
        </w:rPr>
        <w:t xml:space="preserve"> quarter 2025, up from </w:t>
      </w:r>
      <w:r w:rsidRPr="008D1918" w:rsidR="00C67DDA">
        <w:rPr>
          <w:lang w:val="en-AU"/>
        </w:rPr>
        <w:t>2.8</w:t>
      </w:r>
      <w:r w:rsidRPr="008D1918">
        <w:rPr>
          <w:lang w:val="en-AU"/>
        </w:rPr>
        <w:t xml:space="preserve">% in the </w:t>
      </w:r>
      <w:r w:rsidRPr="008D1918" w:rsidR="00C67DDA">
        <w:rPr>
          <w:lang w:val="en-AU"/>
        </w:rPr>
        <w:t>December</w:t>
      </w:r>
      <w:r w:rsidRPr="008D1918">
        <w:rPr>
          <w:lang w:val="en-AU"/>
        </w:rPr>
        <w:t xml:space="preserve"> quarter </w:t>
      </w:r>
      <w:r w:rsidRPr="008D1918" w:rsidR="00A36A6B">
        <w:rPr>
          <w:lang w:val="en-AU"/>
        </w:rPr>
        <w:t>2024</w:t>
      </w:r>
      <w:r w:rsidRPr="008D1918">
        <w:rPr>
          <w:vertAlign w:val="superscript"/>
          <w:lang w:val="en-AU"/>
        </w:rPr>
        <w:footnoteReference w:id="35"/>
      </w:r>
      <w:r w:rsidRPr="008D1918">
        <w:rPr>
          <w:lang w:val="en-AU"/>
        </w:rPr>
        <w:t xml:space="preserve">. Wage growth in the HCSA industry remains above the </w:t>
      </w:r>
      <w:r w:rsidR="009A4B6F">
        <w:rPr>
          <w:lang w:val="en-AU"/>
        </w:rPr>
        <w:br/>
      </w:r>
      <w:r w:rsidRPr="008D1918">
        <w:rPr>
          <w:lang w:val="en-AU"/>
        </w:rPr>
        <w:t>all-industries wage growth rate, suggesting some continued upward pressure on wages for care and support sector workers</w:t>
      </w:r>
      <w:r w:rsidRPr="008D1918">
        <w:rPr>
          <w:vertAlign w:val="superscript"/>
          <w:lang w:val="en-AU"/>
        </w:rPr>
        <w:footnoteReference w:id="36"/>
      </w:r>
      <w:r w:rsidRPr="008D1918">
        <w:rPr>
          <w:lang w:val="en-AU"/>
        </w:rPr>
        <w:t>.</w:t>
      </w:r>
      <w:bookmarkEnd w:id="451"/>
      <w:bookmarkEnd w:id="452"/>
      <w:bookmarkEnd w:id="453"/>
    </w:p>
    <w:p w:rsidRPr="008D1918" w:rsidR="00F21D20" w:rsidP="001D163B" w:rsidRDefault="00F21D20" w14:paraId="14E0873D" w14:textId="4FE5E17F">
      <w:pPr>
        <w:pStyle w:val="Heading31"/>
        <w:ind w:left="1077" w:hanging="720"/>
      </w:pPr>
      <w:bookmarkStart w:name="_Toc227337055" w:id="454"/>
      <w:r w:rsidRPr="008D1918">
        <w:t xml:space="preserve">What this means for pricing </w:t>
      </w:r>
      <w:r w:rsidRPr="008D1918" w:rsidR="006D5FF2">
        <w:t xml:space="preserve">and market </w:t>
      </w:r>
      <w:bookmarkEnd w:id="454"/>
      <w:r w:rsidRPr="008D1918" w:rsidR="00D72758">
        <w:t>recommendations</w:t>
      </w:r>
    </w:p>
    <w:p w:rsidRPr="008D1918" w:rsidR="00BD5DBB" w:rsidP="00646AFE" w:rsidRDefault="00051831" w14:paraId="4B89DD42" w14:textId="3BEB1EE6">
      <w:pPr>
        <w:rPr>
          <w:lang w:val="en-AU"/>
        </w:rPr>
      </w:pPr>
      <w:r w:rsidRPr="008D1918">
        <w:rPr>
          <w:lang w:val="en-AU"/>
        </w:rPr>
        <w:t xml:space="preserve">Current economic conditions are relevant to this </w:t>
      </w:r>
      <w:r w:rsidRPr="008D1918" w:rsidR="00FC242A">
        <w:rPr>
          <w:lang w:val="en-AU"/>
        </w:rPr>
        <w:t>APR</w:t>
      </w:r>
      <w:r w:rsidRPr="008D1918">
        <w:rPr>
          <w:lang w:val="en-AU"/>
        </w:rPr>
        <w:t xml:space="preserve"> because disability support providers are exposed to both wage and non-wage cost pressures. Above target inflation increases the cost of inputs such as transport, energy, insurance and premises, while continued wage growth in the </w:t>
      </w:r>
      <w:r w:rsidRPr="008D1918" w:rsidR="00E11C67">
        <w:rPr>
          <w:lang w:val="en-AU"/>
        </w:rPr>
        <w:t>HCSA</w:t>
      </w:r>
      <w:r w:rsidRPr="008D1918" w:rsidR="00492300">
        <w:rPr>
          <w:lang w:val="en-AU"/>
        </w:rPr>
        <w:t xml:space="preserve"> </w:t>
      </w:r>
      <w:r w:rsidRPr="008D1918" w:rsidR="00BD5DBB">
        <w:rPr>
          <w:lang w:val="en-AU"/>
        </w:rPr>
        <w:t xml:space="preserve">sector increases the cost of labour, which remains the primary input for most supports. </w:t>
      </w:r>
    </w:p>
    <w:p w:rsidRPr="008D1918" w:rsidR="00401335" w:rsidP="00646AFE" w:rsidRDefault="00BD5DBB" w14:paraId="781DEB46" w14:textId="4B5DBCCD">
      <w:pPr>
        <w:rPr>
          <w:lang w:val="en-AU"/>
        </w:rPr>
      </w:pPr>
      <w:r w:rsidRPr="008D1918">
        <w:rPr>
          <w:lang w:val="en-AU"/>
        </w:rPr>
        <w:t xml:space="preserve">These pressures </w:t>
      </w:r>
      <w:r w:rsidRPr="008D1918" w:rsidR="003E3D06">
        <w:rPr>
          <w:lang w:val="en-AU"/>
        </w:rPr>
        <w:t xml:space="preserve">affect </w:t>
      </w:r>
      <w:r w:rsidRPr="008D1918" w:rsidR="00901EB5">
        <w:rPr>
          <w:lang w:val="en-AU"/>
        </w:rPr>
        <w:t xml:space="preserve">appropriate </w:t>
      </w:r>
      <w:r w:rsidRPr="008D1918" w:rsidR="00D72758">
        <w:rPr>
          <w:lang w:val="en-AU"/>
        </w:rPr>
        <w:t>NDIS pric</w:t>
      </w:r>
      <w:r w:rsidRPr="008D1918" w:rsidR="00901EB5">
        <w:rPr>
          <w:lang w:val="en-AU"/>
        </w:rPr>
        <w:t>ing</w:t>
      </w:r>
      <w:r w:rsidRPr="008D1918" w:rsidR="003E3D06">
        <w:rPr>
          <w:lang w:val="en-AU"/>
        </w:rPr>
        <w:t xml:space="preserve"> differently across support types. For supports </w:t>
      </w:r>
      <w:r w:rsidRPr="008D1918" w:rsidR="00D72758">
        <w:rPr>
          <w:lang w:val="en-AU"/>
        </w:rPr>
        <w:t>with recommended prices which are assessed</w:t>
      </w:r>
      <w:r w:rsidRPr="008D1918" w:rsidR="003E3D06">
        <w:rPr>
          <w:lang w:val="en-AU"/>
        </w:rPr>
        <w:t xml:space="preserve"> thro</w:t>
      </w:r>
      <w:r w:rsidRPr="008D1918" w:rsidR="00E5421E">
        <w:rPr>
          <w:lang w:val="en-AU"/>
        </w:rPr>
        <w:t xml:space="preserve">ugh cost-based or indexation methods, the question is how current wage and non-wage movements </w:t>
      </w:r>
      <w:r w:rsidRPr="008D1918" w:rsidR="007E669F">
        <w:rPr>
          <w:lang w:val="en-AU"/>
        </w:rPr>
        <w:t xml:space="preserve">should flow through the pricing framework. For supports </w:t>
      </w:r>
      <w:r w:rsidRPr="008D1918" w:rsidR="00901EB5">
        <w:rPr>
          <w:lang w:val="en-AU"/>
        </w:rPr>
        <w:t>with recommended prices which are assessed</w:t>
      </w:r>
      <w:r w:rsidRPr="008D1918" w:rsidR="007E669F">
        <w:rPr>
          <w:lang w:val="en-AU"/>
        </w:rPr>
        <w:t xml:space="preserve"> by reference to exte</w:t>
      </w:r>
      <w:r w:rsidRPr="008D1918" w:rsidR="00401335">
        <w:rPr>
          <w:lang w:val="en-AU"/>
        </w:rPr>
        <w:t xml:space="preserve">rnal markets, the question is whether those market benchmarks have already incorporated current cost pressures and whether NDIS prices remain appropriately positioned relative to them. </w:t>
      </w:r>
    </w:p>
    <w:p w:rsidRPr="008D1918" w:rsidR="00BE78B4" w:rsidP="00646AFE" w:rsidRDefault="00401335" w14:paraId="7DA06E96" w14:textId="6E4D6A50">
      <w:pPr>
        <w:rPr>
          <w:lang w:val="en-AU"/>
        </w:rPr>
      </w:pPr>
      <w:r w:rsidRPr="008D1918">
        <w:rPr>
          <w:lang w:val="en-AU"/>
        </w:rPr>
        <w:t xml:space="preserve">In this context, the macroeconomic </w:t>
      </w:r>
      <w:r w:rsidRPr="008D1918" w:rsidR="00024EAE">
        <w:rPr>
          <w:lang w:val="en-AU"/>
        </w:rPr>
        <w:t xml:space="preserve">environment supports the </w:t>
      </w:r>
      <w:r w:rsidRPr="008D1918" w:rsidR="00901EB5">
        <w:rPr>
          <w:lang w:val="en-AU"/>
        </w:rPr>
        <w:t>use</w:t>
      </w:r>
      <w:r w:rsidRPr="008D1918" w:rsidR="00024EAE">
        <w:rPr>
          <w:lang w:val="en-AU"/>
        </w:rPr>
        <w:t xml:space="preserve"> of different approaches </w:t>
      </w:r>
      <w:r w:rsidRPr="008D1918" w:rsidR="006A50AF">
        <w:rPr>
          <w:lang w:val="en-AU"/>
        </w:rPr>
        <w:t xml:space="preserve">for </w:t>
      </w:r>
      <w:r w:rsidRPr="008D1918" w:rsidR="00901EB5">
        <w:rPr>
          <w:lang w:val="en-AU"/>
        </w:rPr>
        <w:t xml:space="preserve">pricing recommendations made in </w:t>
      </w:r>
      <w:r w:rsidRPr="008D1918" w:rsidR="00024EAE">
        <w:rPr>
          <w:lang w:val="en-AU"/>
        </w:rPr>
        <w:t xml:space="preserve">the APR. </w:t>
      </w:r>
      <w:r w:rsidRPr="008D1918" w:rsidR="00C57EFA">
        <w:rPr>
          <w:lang w:val="en-AU"/>
        </w:rPr>
        <w:t>F</w:t>
      </w:r>
      <w:r w:rsidRPr="008D1918" w:rsidR="00024EAE">
        <w:rPr>
          <w:lang w:val="en-AU"/>
        </w:rPr>
        <w:t>or DSW-related support</w:t>
      </w:r>
      <w:r w:rsidRPr="008D1918" w:rsidR="00171AC4">
        <w:rPr>
          <w:lang w:val="en-AU"/>
        </w:rPr>
        <w:t>s</w:t>
      </w:r>
      <w:r w:rsidRPr="008D1918" w:rsidR="00024EAE">
        <w:rPr>
          <w:lang w:val="en-AU"/>
        </w:rPr>
        <w:t xml:space="preserve">, the </w:t>
      </w:r>
      <w:r w:rsidRPr="008D1918" w:rsidR="00C57EFA">
        <w:rPr>
          <w:lang w:val="en-AU"/>
        </w:rPr>
        <w:t xml:space="preserve">DSW </w:t>
      </w:r>
      <w:r w:rsidRPr="008D1918" w:rsidR="00024EAE">
        <w:rPr>
          <w:lang w:val="en-AU"/>
        </w:rPr>
        <w:t>Cost Model and related indexation</w:t>
      </w:r>
      <w:r w:rsidRPr="008D1918" w:rsidR="00E24C16">
        <w:rPr>
          <w:lang w:val="en-AU"/>
        </w:rPr>
        <w:t xml:space="preserve"> settings provide the primary mechanism for reflecting labour cos</w:t>
      </w:r>
      <w:r w:rsidRPr="008D1918" w:rsidR="005D7F31">
        <w:rPr>
          <w:lang w:val="en-AU"/>
        </w:rPr>
        <w:t xml:space="preserve">t movements. For nursing and other general supports, the blended </w:t>
      </w:r>
      <w:r w:rsidRPr="008D1918" w:rsidR="001A2EF3">
        <w:rPr>
          <w:lang w:val="en-AU"/>
        </w:rPr>
        <w:t>Wage Price Index (</w:t>
      </w:r>
      <w:r w:rsidRPr="008D1918" w:rsidR="001910E9">
        <w:rPr>
          <w:lang w:val="en-AU"/>
        </w:rPr>
        <w:t>WPI</w:t>
      </w:r>
      <w:r w:rsidRPr="008D1918" w:rsidR="001A2EF3">
        <w:rPr>
          <w:lang w:val="en-AU"/>
        </w:rPr>
        <w:t>)</w:t>
      </w:r>
      <w:r w:rsidRPr="008D1918" w:rsidR="001910E9">
        <w:rPr>
          <w:lang w:val="en-AU"/>
        </w:rPr>
        <w:t>/</w:t>
      </w:r>
      <w:r w:rsidRPr="008D1918" w:rsidR="001A2EF3">
        <w:rPr>
          <w:lang w:val="en-AU"/>
        </w:rPr>
        <w:t>Consumer Price Index (</w:t>
      </w:r>
      <w:r w:rsidRPr="008D1918" w:rsidR="001910E9">
        <w:rPr>
          <w:lang w:val="en-AU"/>
        </w:rPr>
        <w:t>CPI</w:t>
      </w:r>
      <w:r w:rsidRPr="008D1918" w:rsidR="001A2EF3">
        <w:rPr>
          <w:lang w:val="en-AU"/>
        </w:rPr>
        <w:t>)</w:t>
      </w:r>
      <w:r w:rsidRPr="008D1918" w:rsidR="001910E9">
        <w:rPr>
          <w:lang w:val="en-AU"/>
        </w:rPr>
        <w:t xml:space="preserve"> approach </w:t>
      </w:r>
      <w:r w:rsidRPr="008D1918" w:rsidR="00993F7F">
        <w:rPr>
          <w:lang w:val="en-AU"/>
        </w:rPr>
        <w:t xml:space="preserve">recognises both wage and broader input cost changes. </w:t>
      </w:r>
      <w:r w:rsidRPr="008D1918" w:rsidR="003E0852">
        <w:rPr>
          <w:lang w:val="en-AU"/>
        </w:rPr>
        <w:t>B</w:t>
      </w:r>
      <w:r w:rsidRPr="008D1918" w:rsidR="00FB0BE6">
        <w:rPr>
          <w:lang w:val="en-AU"/>
        </w:rPr>
        <w:t>enchmarking remains the relevant reference point</w:t>
      </w:r>
      <w:r w:rsidRPr="008D1918" w:rsidR="003E0852">
        <w:rPr>
          <w:lang w:val="en-AU"/>
        </w:rPr>
        <w:t xml:space="preserve"> for therapy supports</w:t>
      </w:r>
      <w:r w:rsidRPr="008D1918" w:rsidR="00FB0BE6">
        <w:rPr>
          <w:lang w:val="en-AU"/>
        </w:rPr>
        <w:t>, while recognising that adjustments</w:t>
      </w:r>
      <w:r w:rsidRPr="008D1918" w:rsidR="00BE78B4">
        <w:rPr>
          <w:lang w:val="en-AU"/>
        </w:rPr>
        <w:t xml:space="preserve"> in benchmark prices may lag </w:t>
      </w:r>
      <w:r w:rsidRPr="008D1918" w:rsidR="008C54E6">
        <w:rPr>
          <w:lang w:val="en-AU"/>
        </w:rPr>
        <w:t xml:space="preserve">behind </w:t>
      </w:r>
      <w:r w:rsidRPr="008D1918" w:rsidR="00BE78B4">
        <w:rPr>
          <w:lang w:val="en-AU"/>
        </w:rPr>
        <w:t>changes in provider cost conditions.</w:t>
      </w:r>
    </w:p>
    <w:p w:rsidRPr="008D1918" w:rsidR="00F1499B" w:rsidP="00646AFE" w:rsidRDefault="00646AFE" w14:paraId="59774F32" w14:textId="2066E593">
      <w:pPr>
        <w:rPr>
          <w:lang w:val="en-AU"/>
        </w:rPr>
      </w:pPr>
      <w:r w:rsidRPr="008D1918">
        <w:rPr>
          <w:lang w:val="en-AU"/>
        </w:rPr>
        <w:t>The persistence of above</w:t>
      </w:r>
      <w:r w:rsidRPr="008D1918" w:rsidR="00BE78B4">
        <w:rPr>
          <w:lang w:val="en-AU"/>
        </w:rPr>
        <w:t xml:space="preserve"> </w:t>
      </w:r>
      <w:r w:rsidRPr="008D1918">
        <w:rPr>
          <w:lang w:val="en-AU"/>
        </w:rPr>
        <w:t xml:space="preserve">target inflation into 2026 means the cost environment </w:t>
      </w:r>
      <w:r w:rsidRPr="008D1918" w:rsidR="00BE78B4">
        <w:rPr>
          <w:lang w:val="en-AU"/>
        </w:rPr>
        <w:t xml:space="preserve">remains </w:t>
      </w:r>
      <w:r w:rsidRPr="008D1918" w:rsidR="007F6CF6">
        <w:rPr>
          <w:lang w:val="en-AU"/>
        </w:rPr>
        <w:t>higher</w:t>
      </w:r>
      <w:r w:rsidRPr="008D1918" w:rsidR="00E1634E">
        <w:rPr>
          <w:lang w:val="en-AU"/>
        </w:rPr>
        <w:t xml:space="preserve"> </w:t>
      </w:r>
      <w:r w:rsidRPr="008D1918" w:rsidR="00DA3F48">
        <w:rPr>
          <w:lang w:val="en-AU"/>
        </w:rPr>
        <w:t xml:space="preserve">than the </w:t>
      </w:r>
      <w:r w:rsidRPr="008D1918">
        <w:rPr>
          <w:lang w:val="en-AU"/>
        </w:rPr>
        <w:t xml:space="preserve">settings under which </w:t>
      </w:r>
      <w:r w:rsidRPr="008D1918" w:rsidR="00DA3F48">
        <w:rPr>
          <w:lang w:val="en-AU"/>
        </w:rPr>
        <w:t xml:space="preserve">many </w:t>
      </w:r>
      <w:r w:rsidRPr="008D1918">
        <w:rPr>
          <w:lang w:val="en-AU"/>
        </w:rPr>
        <w:t>current price</w:t>
      </w:r>
      <w:r w:rsidRPr="008D1918" w:rsidR="00901EB5">
        <w:rPr>
          <w:lang w:val="en-AU"/>
        </w:rPr>
        <w:t>s</w:t>
      </w:r>
      <w:r w:rsidRPr="008D1918">
        <w:rPr>
          <w:lang w:val="en-AU"/>
        </w:rPr>
        <w:t xml:space="preserve"> were </w:t>
      </w:r>
      <w:r w:rsidRPr="008D1918" w:rsidR="00DA3F48">
        <w:rPr>
          <w:lang w:val="en-AU"/>
        </w:rPr>
        <w:t xml:space="preserve">originally calibrated. This context is relevant to both upward and downward price decisions and reinforces the need for pricing </w:t>
      </w:r>
      <w:r w:rsidRPr="008D1918" w:rsidR="00A74405">
        <w:rPr>
          <w:lang w:val="en-AU"/>
        </w:rPr>
        <w:t xml:space="preserve">that </w:t>
      </w:r>
      <w:r w:rsidRPr="008D1918" w:rsidR="00901EB5">
        <w:rPr>
          <w:lang w:val="en-AU"/>
        </w:rPr>
        <w:t>is</w:t>
      </w:r>
      <w:r w:rsidRPr="008D1918" w:rsidR="00C10965">
        <w:rPr>
          <w:lang w:val="en-AU"/>
        </w:rPr>
        <w:t xml:space="preserve"> </w:t>
      </w:r>
      <w:r w:rsidRPr="008D1918" w:rsidR="00A74405">
        <w:rPr>
          <w:lang w:val="en-AU"/>
        </w:rPr>
        <w:t xml:space="preserve">responsive to current market conditions. </w:t>
      </w:r>
      <w:r w:rsidRPr="008D1918" w:rsidDel="000350D3" w:rsidR="00F504FD">
        <w:rPr>
          <w:lang w:val="en-AU"/>
        </w:rPr>
        <w:br w:type="page"/>
      </w:r>
    </w:p>
    <w:p w:rsidRPr="008D1918" w:rsidR="00337E33" w:rsidP="00C033A8" w:rsidRDefault="00337E33" w14:paraId="72EBB4BE" w14:textId="359614CE">
      <w:pPr>
        <w:pStyle w:val="Heading21"/>
      </w:pPr>
      <w:bookmarkStart w:name="_Toc223539627" w:id="455"/>
      <w:bookmarkStart w:name="_Toc223539841" w:id="456"/>
      <w:bookmarkStart w:name="_Toc223540309" w:id="457"/>
      <w:bookmarkStart w:name="_Toc223540525" w:id="458"/>
      <w:bookmarkStart w:name="_Toc223542064" w:id="459"/>
      <w:bookmarkStart w:name="_Toc223604249" w:id="460"/>
      <w:bookmarkStart w:name="_Toc223604460" w:id="461"/>
      <w:bookmarkStart w:name="_Toc227337056" w:id="462"/>
      <w:r w:rsidRPr="008D1918">
        <w:t xml:space="preserve">Participant </w:t>
      </w:r>
      <w:r w:rsidRPr="008D1918" w:rsidR="00351041">
        <w:t>c</w:t>
      </w:r>
      <w:r w:rsidRPr="008D1918">
        <w:t xml:space="preserve">onsiderations for </w:t>
      </w:r>
      <w:r w:rsidRPr="008D1918" w:rsidR="00351041">
        <w:t>p</w:t>
      </w:r>
      <w:r w:rsidRPr="008D1918">
        <w:t xml:space="preserve">ricing </w:t>
      </w:r>
      <w:r w:rsidRPr="008D1918" w:rsidR="00351041">
        <w:t>i</w:t>
      </w:r>
      <w:r w:rsidRPr="008D1918">
        <w:t>mprovement</w:t>
      </w:r>
      <w:bookmarkEnd w:id="455"/>
      <w:bookmarkEnd w:id="456"/>
      <w:bookmarkEnd w:id="457"/>
      <w:bookmarkEnd w:id="458"/>
      <w:bookmarkEnd w:id="459"/>
      <w:bookmarkEnd w:id="460"/>
      <w:bookmarkEnd w:id="461"/>
      <w:bookmarkEnd w:id="462"/>
    </w:p>
    <w:p w:rsidRPr="008D1918" w:rsidR="00231DB4" w:rsidP="001D163B" w:rsidRDefault="00D50455" w14:paraId="6A3792DB" w14:textId="4D0A6151">
      <w:pPr>
        <w:pStyle w:val="Heading31"/>
        <w:ind w:left="1077" w:hanging="720"/>
      </w:pPr>
      <w:bookmarkStart w:name="_Toc223345383" w:id="463"/>
      <w:bookmarkStart w:name="_Toc223428370" w:id="464"/>
      <w:bookmarkStart w:name="_Toc223445830" w:id="465"/>
      <w:bookmarkStart w:name="_Toc223532223" w:id="466"/>
      <w:bookmarkStart w:name="_Toc223538753" w:id="467"/>
      <w:bookmarkStart w:name="_Toc223539009" w:id="468"/>
      <w:bookmarkStart w:name="_Toc223539368" w:id="469"/>
      <w:bookmarkStart w:name="_Toc223539628" w:id="470"/>
      <w:bookmarkStart w:name="_Toc223541401" w:id="471"/>
      <w:bookmarkStart w:name="_Toc223541623" w:id="472"/>
      <w:bookmarkStart w:name="_Toc223541843" w:id="473"/>
      <w:bookmarkStart w:name="_Toc223542065" w:id="474"/>
      <w:bookmarkStart w:name="_Toc223604250" w:id="475"/>
      <w:bookmarkStart w:name="_Toc223604461" w:id="476"/>
      <w:bookmarkStart w:name="_Toc223604672" w:id="477"/>
      <w:bookmarkStart w:name="_Toc223618543" w:id="478"/>
      <w:bookmarkStart w:name="_Toc223539629" w:id="479"/>
      <w:bookmarkStart w:name="_Toc223539843" w:id="480"/>
      <w:bookmarkStart w:name="_Toc223540311" w:id="481"/>
      <w:bookmarkStart w:name="_Toc223540527" w:id="482"/>
      <w:bookmarkStart w:name="_Toc223542066" w:id="483"/>
      <w:bookmarkStart w:name="_Toc223604251" w:id="484"/>
      <w:bookmarkStart w:name="_Toc223604462" w:id="485"/>
      <w:bookmarkStart w:name="_Toc227337057" w:id="486"/>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sidRPr="008D1918">
        <w:t>Context</w:t>
      </w:r>
      <w:bookmarkEnd w:id="479"/>
      <w:bookmarkEnd w:id="480"/>
      <w:bookmarkEnd w:id="481"/>
      <w:bookmarkEnd w:id="482"/>
      <w:bookmarkEnd w:id="483"/>
      <w:bookmarkEnd w:id="484"/>
      <w:bookmarkEnd w:id="485"/>
      <w:bookmarkEnd w:id="486"/>
    </w:p>
    <w:p w:rsidRPr="008D1918" w:rsidR="00231DB4" w:rsidP="00BE63C7" w:rsidRDefault="00231DB4" w14:paraId="7DB3A729" w14:textId="3CCF2FA4">
      <w:pPr>
        <w:rPr>
          <w:lang w:val="en-AU"/>
        </w:rPr>
      </w:pPr>
      <w:r w:rsidRPr="008D1918">
        <w:rPr>
          <w:lang w:val="en-AU"/>
        </w:rPr>
        <w:t>Participant perspectives</w:t>
      </w:r>
      <w:r w:rsidRPr="008D1918" w:rsidR="00494909">
        <w:rPr>
          <w:lang w:val="en-AU"/>
        </w:rPr>
        <w:t xml:space="preserve"> </w:t>
      </w:r>
      <w:r w:rsidRPr="008D1918">
        <w:rPr>
          <w:lang w:val="en-AU"/>
        </w:rPr>
        <w:t>provide</w:t>
      </w:r>
      <w:r w:rsidRPr="008D1918" w:rsidR="00494909">
        <w:rPr>
          <w:lang w:val="en-AU"/>
        </w:rPr>
        <w:t xml:space="preserve"> </w:t>
      </w:r>
      <w:r w:rsidRPr="008D1918">
        <w:rPr>
          <w:lang w:val="en-AU"/>
        </w:rPr>
        <w:t>important contextual insight for</w:t>
      </w:r>
      <w:r w:rsidRPr="008D1918" w:rsidR="00196F74">
        <w:rPr>
          <w:lang w:val="en-AU"/>
        </w:rPr>
        <w:t xml:space="preserve"> recommendations made in the APR</w:t>
      </w:r>
      <w:r w:rsidRPr="008D1918">
        <w:rPr>
          <w:lang w:val="en-AU"/>
        </w:rPr>
        <w:t xml:space="preserve">. While participant views </w:t>
      </w:r>
      <w:r w:rsidRPr="008D1918" w:rsidR="00F3543C">
        <w:rPr>
          <w:lang w:val="en-AU"/>
        </w:rPr>
        <w:t>are not the sole factor considered by</w:t>
      </w:r>
      <w:r w:rsidRPr="008D1918" w:rsidR="00E30E64">
        <w:rPr>
          <w:lang w:val="en-AU"/>
        </w:rPr>
        <w:t xml:space="preserve"> </w:t>
      </w:r>
      <w:r w:rsidRPr="008D1918" w:rsidR="00196F74">
        <w:rPr>
          <w:lang w:val="en-AU"/>
        </w:rPr>
        <w:t>the NDIA in its analysis of</w:t>
      </w:r>
      <w:r w:rsidRPr="008D1918" w:rsidR="00494909">
        <w:rPr>
          <w:lang w:val="en-AU"/>
        </w:rPr>
        <w:t xml:space="preserve"> </w:t>
      </w:r>
      <w:r w:rsidRPr="008D1918">
        <w:rPr>
          <w:lang w:val="en-AU"/>
        </w:rPr>
        <w:t>efficient prices or provider cost structures, they inform implementation design</w:t>
      </w:r>
      <w:r w:rsidRPr="008D1918" w:rsidR="00196F74">
        <w:rPr>
          <w:lang w:val="en-AU"/>
        </w:rPr>
        <w:t xml:space="preserve"> recommendations</w:t>
      </w:r>
      <w:r w:rsidRPr="008D1918">
        <w:rPr>
          <w:lang w:val="en-AU"/>
        </w:rPr>
        <w:t>,</w:t>
      </w:r>
      <w:r w:rsidRPr="008D1918" w:rsidR="00494909">
        <w:rPr>
          <w:lang w:val="en-AU"/>
        </w:rPr>
        <w:t xml:space="preserve"> </w:t>
      </w:r>
      <w:r w:rsidRPr="008D1918">
        <w:rPr>
          <w:lang w:val="en-AU"/>
        </w:rPr>
        <w:t>identify</w:t>
      </w:r>
      <w:r w:rsidRPr="008D1918" w:rsidR="00494909">
        <w:rPr>
          <w:lang w:val="en-AU"/>
        </w:rPr>
        <w:t xml:space="preserve"> </w:t>
      </w:r>
      <w:r w:rsidRPr="008D1918">
        <w:rPr>
          <w:lang w:val="en-AU"/>
        </w:rPr>
        <w:t>transition risks, and highlight areas where pric</w:t>
      </w:r>
      <w:r w:rsidRPr="008D1918" w:rsidR="00196F74">
        <w:rPr>
          <w:lang w:val="en-AU"/>
        </w:rPr>
        <w:t>e</w:t>
      </w:r>
      <w:r w:rsidRPr="008D1918">
        <w:rPr>
          <w:lang w:val="en-AU"/>
        </w:rPr>
        <w:t xml:space="preserve"> changes may interact with market access and choice</w:t>
      </w:r>
      <w:r w:rsidRPr="008D1918" w:rsidR="007A5167">
        <w:rPr>
          <w:lang w:val="en-AU"/>
        </w:rPr>
        <w:t xml:space="preserve"> and control</w:t>
      </w:r>
      <w:r w:rsidRPr="008D1918">
        <w:rPr>
          <w:lang w:val="en-AU"/>
        </w:rPr>
        <w:t>. This chapter draws on</w:t>
      </w:r>
      <w:r w:rsidRPr="008D1918" w:rsidR="00FF6F15">
        <w:rPr>
          <w:lang w:val="en-AU"/>
        </w:rPr>
        <w:t xml:space="preserve"> the</w:t>
      </w:r>
      <w:r w:rsidRPr="008D1918">
        <w:rPr>
          <w:lang w:val="en-AU"/>
        </w:rPr>
        <w:t xml:space="preserve"> participant consultation undertaken for the APR to</w:t>
      </w:r>
      <w:r w:rsidRPr="008D1918" w:rsidR="00494909">
        <w:rPr>
          <w:lang w:val="en-AU"/>
        </w:rPr>
        <w:t xml:space="preserve"> </w:t>
      </w:r>
      <w:r w:rsidRPr="008D1918">
        <w:rPr>
          <w:lang w:val="en-AU"/>
        </w:rPr>
        <w:t>identify</w:t>
      </w:r>
      <w:r w:rsidRPr="008D1918" w:rsidR="00494909">
        <w:rPr>
          <w:lang w:val="en-AU"/>
        </w:rPr>
        <w:t xml:space="preserve"> </w:t>
      </w:r>
      <w:r w:rsidRPr="008D1918">
        <w:rPr>
          <w:lang w:val="en-AU"/>
        </w:rPr>
        <w:t xml:space="preserve">considerations relevant to differentiated pricing. </w:t>
      </w:r>
    </w:p>
    <w:p w:rsidRPr="008D1918" w:rsidR="00A1728A" w:rsidP="001D163B" w:rsidRDefault="00A1728A" w14:paraId="465D3F78" w14:textId="47CA34BD">
      <w:pPr>
        <w:pStyle w:val="Heading31"/>
        <w:ind w:left="1077" w:hanging="720"/>
      </w:pPr>
      <w:bookmarkStart w:name="_Toc227337058" w:id="487"/>
      <w:r w:rsidRPr="008D1918">
        <w:t>Market functioning, participant behaviour and trade</w:t>
      </w:r>
      <w:r w:rsidRPr="008D1918" w:rsidR="0032790B">
        <w:noBreakHyphen/>
      </w:r>
      <w:r w:rsidRPr="008D1918">
        <w:t>offs</w:t>
      </w:r>
      <w:bookmarkEnd w:id="487"/>
    </w:p>
    <w:p w:rsidRPr="008D1918" w:rsidR="00A1728A" w:rsidP="00A1728A" w:rsidRDefault="00A1728A" w14:paraId="2EEA32B0" w14:textId="349E912F">
      <w:pPr>
        <w:rPr>
          <w:lang w:val="en-AU"/>
        </w:rPr>
      </w:pPr>
      <w:r w:rsidRPr="008D1918">
        <w:rPr>
          <w:lang w:val="en-AU"/>
        </w:rPr>
        <w:t xml:space="preserve">Participant </w:t>
      </w:r>
      <w:r w:rsidRPr="008D1918" w:rsidR="00592BEC">
        <w:rPr>
          <w:lang w:val="en-AU"/>
        </w:rPr>
        <w:t>choices</w:t>
      </w:r>
      <w:r w:rsidRPr="008D1918">
        <w:rPr>
          <w:lang w:val="en-AU"/>
        </w:rPr>
        <w:t xml:space="preserve"> reflect broader market conditions, including availability of services, perceived provider capability and the potential trade-offs created by differentiated pricing. Consultation feedback indicated participants’ provider choices are shaped primarily by trust and rapport, availability and reliability of services, and provider qualifications or experience. Registration status was not identified as a primary driver of choice. Participants reported that both registered and unregistered providers can deliver high-quality supports</w:t>
      </w:r>
      <w:r w:rsidRPr="008D1918" w:rsidR="000E418D">
        <w:rPr>
          <w:lang w:val="en-AU"/>
        </w:rPr>
        <w:t>. M</w:t>
      </w:r>
      <w:r w:rsidRPr="008D1918">
        <w:rPr>
          <w:lang w:val="en-AU"/>
        </w:rPr>
        <w:t xml:space="preserve">any participants using registered providers </w:t>
      </w:r>
      <w:r w:rsidRPr="008D1918" w:rsidR="00CD4312">
        <w:rPr>
          <w:lang w:val="en-AU"/>
        </w:rPr>
        <w:t>identif</w:t>
      </w:r>
      <w:r w:rsidRPr="008D1918" w:rsidR="00C4346E">
        <w:rPr>
          <w:lang w:val="en-AU"/>
        </w:rPr>
        <w:t>ied</w:t>
      </w:r>
      <w:r w:rsidRPr="008D1918" w:rsidR="00CD4312">
        <w:rPr>
          <w:lang w:val="en-AU"/>
        </w:rPr>
        <w:t xml:space="preserve"> </w:t>
      </w:r>
      <w:r w:rsidRPr="008D1918" w:rsidR="00EE40BA">
        <w:rPr>
          <w:lang w:val="en-AU"/>
        </w:rPr>
        <w:t xml:space="preserve">training, supervision and oversight </w:t>
      </w:r>
      <w:r w:rsidRPr="008D1918" w:rsidR="00CD4506">
        <w:rPr>
          <w:lang w:val="en-AU"/>
        </w:rPr>
        <w:t>as important indicators of quality</w:t>
      </w:r>
      <w:r w:rsidRPr="008D1918" w:rsidR="008C2DD0">
        <w:rPr>
          <w:lang w:val="en-AU"/>
        </w:rPr>
        <w:t>.</w:t>
      </w:r>
    </w:p>
    <w:p w:rsidRPr="008D1918" w:rsidR="00725FA3" w:rsidP="00A1728A" w:rsidRDefault="00CD4506" w14:paraId="23085897" w14:textId="2D9A1237">
      <w:pPr>
        <w:rPr>
          <w:lang w:val="en-AU"/>
        </w:rPr>
      </w:pPr>
      <w:r w:rsidRPr="008D1918">
        <w:rPr>
          <w:lang w:val="en-AU"/>
        </w:rPr>
        <w:t xml:space="preserve">This was reflected in participants’ responses to registration-based differentiated pricing. </w:t>
      </w:r>
      <w:r w:rsidRPr="008D1918" w:rsidR="00A1728A">
        <w:rPr>
          <w:lang w:val="en-AU"/>
        </w:rPr>
        <w:t xml:space="preserve">When asked whether </w:t>
      </w:r>
      <w:r w:rsidRPr="008D1918" w:rsidR="00134B60">
        <w:rPr>
          <w:lang w:val="en-AU"/>
        </w:rPr>
        <w:t>this</w:t>
      </w:r>
      <w:r w:rsidRPr="008D1918" w:rsidR="00725FA3">
        <w:rPr>
          <w:lang w:val="en-AU"/>
        </w:rPr>
        <w:t xml:space="preserve"> change </w:t>
      </w:r>
      <w:r w:rsidRPr="008D1918" w:rsidR="00A1728A">
        <w:rPr>
          <w:lang w:val="en-AU"/>
        </w:rPr>
        <w:t>would influence provider choice, m</w:t>
      </w:r>
      <w:r w:rsidRPr="008D1918" w:rsidR="00DE1F2F">
        <w:rPr>
          <w:lang w:val="en-AU"/>
        </w:rPr>
        <w:t>any</w:t>
      </w:r>
      <w:r w:rsidRPr="008D1918" w:rsidR="00A1728A">
        <w:rPr>
          <w:lang w:val="en-AU"/>
        </w:rPr>
        <w:t xml:space="preserve"> respondents (43%) said </w:t>
      </w:r>
      <w:r w:rsidRPr="008D1918" w:rsidR="00134B60">
        <w:rPr>
          <w:lang w:val="en-AU"/>
        </w:rPr>
        <w:t>it</w:t>
      </w:r>
      <w:r w:rsidRPr="008D1918" w:rsidR="00A1728A">
        <w:rPr>
          <w:lang w:val="en-AU"/>
        </w:rPr>
        <w:t xml:space="preserve"> would not alter their choices, largely </w:t>
      </w:r>
      <w:r w:rsidRPr="008D1918" w:rsidR="00A14199">
        <w:rPr>
          <w:lang w:val="en-AU"/>
        </w:rPr>
        <w:t>due to</w:t>
      </w:r>
      <w:r w:rsidRPr="008D1918" w:rsidR="00A1728A">
        <w:rPr>
          <w:lang w:val="en-AU"/>
        </w:rPr>
        <w:t xml:space="preserve"> established relationships and the perceived quality of their current providers. Approximately </w:t>
      </w:r>
      <w:r w:rsidR="00E53B61">
        <w:rPr>
          <w:lang w:val="en-AU"/>
        </w:rPr>
        <w:br/>
      </w:r>
      <w:r w:rsidRPr="008D1918" w:rsidR="00A1728A">
        <w:rPr>
          <w:lang w:val="en-AU"/>
        </w:rPr>
        <w:t xml:space="preserve">two-thirds of respondents reported a preference for unregistered providers, citing greater service flexibility, continuity through consistent staffing, more personalised support, and simpler administrative processes. Around one-third </w:t>
      </w:r>
      <w:r w:rsidRPr="008D1918" w:rsidR="00CD06C7">
        <w:rPr>
          <w:lang w:val="en-AU"/>
        </w:rPr>
        <w:t>of respondents</w:t>
      </w:r>
      <w:r w:rsidRPr="008D1918" w:rsidR="00A1728A">
        <w:rPr>
          <w:lang w:val="en-AU"/>
        </w:rPr>
        <w:t xml:space="preserve"> preferred registered providers, citing perceptions of higher service quality, stronger safeguarding mechanisms and greater accountability.</w:t>
      </w:r>
    </w:p>
    <w:p w:rsidRPr="008D1918" w:rsidR="00A1728A" w:rsidP="00A1728A" w:rsidRDefault="00725FA3" w14:paraId="53F6AE9F" w14:textId="416D6911">
      <w:pPr>
        <w:rPr>
          <w:lang w:val="en-AU"/>
        </w:rPr>
      </w:pPr>
      <w:r w:rsidRPr="008D1918">
        <w:rPr>
          <w:lang w:val="en-AU"/>
        </w:rPr>
        <w:t>T</w:t>
      </w:r>
      <w:r w:rsidRPr="008D1918" w:rsidR="000232F2">
        <w:rPr>
          <w:lang w:val="en-AU"/>
        </w:rPr>
        <w:t>hese responses suggest provider choice is driven more by existing relationships and service experience</w:t>
      </w:r>
      <w:r w:rsidRPr="008D1918" w:rsidR="007E3E9C">
        <w:rPr>
          <w:lang w:val="en-AU"/>
        </w:rPr>
        <w:t xml:space="preserve"> than by pricing signals alone</w:t>
      </w:r>
      <w:r w:rsidRPr="008D1918" w:rsidR="00BA0BF8">
        <w:rPr>
          <w:lang w:val="en-AU"/>
        </w:rPr>
        <w:t xml:space="preserve">. They </w:t>
      </w:r>
      <w:r w:rsidRPr="008D1918" w:rsidR="007E3E9C">
        <w:rPr>
          <w:lang w:val="en-AU"/>
        </w:rPr>
        <w:t xml:space="preserve">also indicate that differentiated pricing could still affect participants indirectly by changing the quantity of support they </w:t>
      </w:r>
      <w:r w:rsidRPr="008D1918" w:rsidR="005A3392">
        <w:rPr>
          <w:lang w:val="en-AU"/>
        </w:rPr>
        <w:t xml:space="preserve">can </w:t>
      </w:r>
      <w:r w:rsidRPr="008D1918" w:rsidR="007E3E9C">
        <w:rPr>
          <w:lang w:val="en-AU"/>
        </w:rPr>
        <w:t xml:space="preserve">purchase or the providers available to them. </w:t>
      </w:r>
      <w:r w:rsidRPr="008D1918" w:rsidR="00A1728A">
        <w:rPr>
          <w:lang w:val="en-AU"/>
        </w:rPr>
        <w:t xml:space="preserve">Around 27% of respondents expressed concern that </w:t>
      </w:r>
      <w:r w:rsidRPr="008D1918" w:rsidR="00F3543C">
        <w:rPr>
          <w:lang w:val="en-AU"/>
        </w:rPr>
        <w:t xml:space="preserve">reductions to prices for </w:t>
      </w:r>
      <w:r w:rsidRPr="008D1918" w:rsidR="00A1728A">
        <w:rPr>
          <w:lang w:val="en-AU"/>
        </w:rPr>
        <w:t>unregistered</w:t>
      </w:r>
      <w:r w:rsidRPr="008D1918" w:rsidR="00F3543C">
        <w:rPr>
          <w:lang w:val="en-AU"/>
        </w:rPr>
        <w:t xml:space="preserve"> providers</w:t>
      </w:r>
      <w:r w:rsidRPr="008D1918" w:rsidR="00A1728A">
        <w:rPr>
          <w:lang w:val="en-AU"/>
        </w:rPr>
        <w:t xml:space="preserve"> could decrease available support hours. Participants consistently identified the </w:t>
      </w:r>
      <w:r w:rsidRPr="008D1918" w:rsidR="00A1728A">
        <w:rPr>
          <w:lang w:val="en-AU"/>
        </w:rPr>
        <w:t xml:space="preserve">preferred outcome as one in which they are not required to trade quality against quantity. Consistent minimum standards across all providers were identified as the most effective mechanism for achieving this, rather than </w:t>
      </w:r>
      <w:r w:rsidRPr="008D1918" w:rsidR="003D7167">
        <w:rPr>
          <w:lang w:val="en-AU"/>
        </w:rPr>
        <w:t xml:space="preserve">price </w:t>
      </w:r>
      <w:r w:rsidRPr="008D1918" w:rsidR="00A1728A">
        <w:rPr>
          <w:lang w:val="en-AU"/>
        </w:rPr>
        <w:t>differentiation alone.</w:t>
      </w:r>
    </w:p>
    <w:p w:rsidRPr="008D1918" w:rsidR="00A1728A" w:rsidP="00A1728A" w:rsidRDefault="00A1728A" w14:paraId="6F8F274E" w14:textId="5C04C63F">
      <w:pPr>
        <w:rPr>
          <w:lang w:val="en-AU"/>
        </w:rPr>
      </w:pPr>
      <w:r w:rsidRPr="008D1918">
        <w:rPr>
          <w:lang w:val="en-AU"/>
        </w:rPr>
        <w:t xml:space="preserve">Reported behavioural responses reinforce this </w:t>
      </w:r>
      <w:r w:rsidRPr="008D1918" w:rsidR="00904C28">
        <w:rPr>
          <w:lang w:val="en-AU"/>
        </w:rPr>
        <w:t>interpretation</w:t>
      </w:r>
      <w:r w:rsidRPr="008D1918">
        <w:rPr>
          <w:lang w:val="en-AU"/>
        </w:rPr>
        <w:t xml:space="preserve">. Around one-third of respondents preferred registered providers and would maintain that preference under differentiated pricing. Another group indicated they would switch to registered providers if pricing signalled a meaningful quality difference. However, the largest group indicated their choices would remain unchanged, reflecting the dominance of relationship-based and availability-based decision-making. </w:t>
      </w:r>
      <w:r w:rsidRPr="008D1918" w:rsidR="0009436A">
        <w:rPr>
          <w:lang w:val="en-AU"/>
        </w:rPr>
        <w:t xml:space="preserve">Around 7% of respondents </w:t>
      </w:r>
      <w:r w:rsidRPr="008D1918">
        <w:rPr>
          <w:lang w:val="en-AU"/>
        </w:rPr>
        <w:t>indicated that provider choice depends on support type, with preferences for registered providers for higher-risk or higher-intensity supports.</w:t>
      </w:r>
    </w:p>
    <w:p w:rsidRPr="008D1918" w:rsidR="00A1728A" w:rsidP="00041468" w:rsidRDefault="00A1728A" w14:paraId="1F63FCB5" w14:textId="718CBC1C">
      <w:pPr>
        <w:pStyle w:val="StyleStyle112pt"/>
      </w:pPr>
      <w:bookmarkStart w:name="_Toc227318691" w:id="488"/>
      <w:bookmarkStart w:name="_Toc227337059" w:id="489"/>
      <w:r w:rsidRPr="008D1918">
        <w:t>Limits of pricing as a quality signal</w:t>
      </w:r>
      <w:bookmarkEnd w:id="488"/>
      <w:bookmarkEnd w:id="489"/>
      <w:r w:rsidRPr="008D1918">
        <w:t xml:space="preserve"> </w:t>
      </w:r>
    </w:p>
    <w:p w:rsidRPr="008D1918" w:rsidR="00A1728A" w:rsidP="00A1728A" w:rsidRDefault="00A1728A" w14:paraId="007D55EF" w14:textId="04771633">
      <w:pPr>
        <w:rPr>
          <w:lang w:val="en-AU"/>
        </w:rPr>
      </w:pPr>
      <w:r w:rsidRPr="008D1918">
        <w:rPr>
          <w:lang w:val="en-AU"/>
        </w:rPr>
        <w:t xml:space="preserve">These behavioural patterns point to a fundamental constraint: pricing, in isolation, has limited effectiveness as an indicator of provider quality. Consultation revealed </w:t>
      </w:r>
      <w:r w:rsidRPr="008D1918" w:rsidR="006A5A62">
        <w:rPr>
          <w:lang w:val="en-AU"/>
        </w:rPr>
        <w:t xml:space="preserve">a </w:t>
      </w:r>
      <w:r w:rsidRPr="008D1918">
        <w:rPr>
          <w:lang w:val="en-AU"/>
        </w:rPr>
        <w:t xml:space="preserve">clear distinction between support for differentiation in principle and confidence that price differences would signal quality differences in practice. </w:t>
      </w:r>
    </w:p>
    <w:p w:rsidRPr="008D1918" w:rsidR="00A1728A" w:rsidP="00A1728A" w:rsidRDefault="00A1728A" w14:paraId="635652DE" w14:textId="2480558B">
      <w:pPr>
        <w:rPr>
          <w:lang w:val="en-AU"/>
        </w:rPr>
      </w:pPr>
      <w:r w:rsidRPr="008D1918">
        <w:rPr>
          <w:lang w:val="en-AU"/>
        </w:rPr>
        <w:t xml:space="preserve">A substantial proportion of participants supported differentiated pricing as a fairer reflection of regulatory obligations between registered and unregistered providers. Participants noted that differentiation could incentivise investment in governance and quality systems, including encouraging some unregistered providers to pursue registration. However, an equally substantial proportion </w:t>
      </w:r>
      <w:r w:rsidRPr="008D1918" w:rsidR="00AA563A">
        <w:rPr>
          <w:lang w:val="en-AU"/>
        </w:rPr>
        <w:t xml:space="preserve">of respondents </w:t>
      </w:r>
      <w:r w:rsidRPr="008D1918">
        <w:rPr>
          <w:lang w:val="en-AU"/>
        </w:rPr>
        <w:t xml:space="preserve">reported no observable difference in service quality between registered and unregistered providers. For these participants, </w:t>
      </w:r>
      <w:r w:rsidRPr="008D1918" w:rsidR="00EF0B45">
        <w:rPr>
          <w:lang w:val="en-AU"/>
        </w:rPr>
        <w:t xml:space="preserve">a recommendation of </w:t>
      </w:r>
      <w:r w:rsidRPr="008D1918">
        <w:rPr>
          <w:lang w:val="en-AU"/>
        </w:rPr>
        <w:t xml:space="preserve">higher prices for registered providers would represent a cost increase without corresponding benefit. Participants consistently indicated that they assess provider quality through experience, trust, relationships and professional credentials rather than price signals. </w:t>
      </w:r>
    </w:p>
    <w:p w:rsidRPr="008D1918" w:rsidR="00A1728A" w:rsidP="00A1728A" w:rsidRDefault="00A1728A" w14:paraId="0C5E16AC" w14:textId="4C19F0D8">
      <w:pPr>
        <w:rPr>
          <w:lang w:val="en-AU"/>
        </w:rPr>
      </w:pPr>
      <w:r w:rsidRPr="008D1918">
        <w:rPr>
          <w:lang w:val="en-AU"/>
        </w:rPr>
        <w:t xml:space="preserve">This finding underscores a core limitation: when </w:t>
      </w:r>
      <w:r w:rsidRPr="008D1918" w:rsidR="00BD7B84">
        <w:rPr>
          <w:lang w:val="en-AU"/>
        </w:rPr>
        <w:t>participants</w:t>
      </w:r>
      <w:r w:rsidRPr="008D1918">
        <w:rPr>
          <w:lang w:val="en-AU"/>
        </w:rPr>
        <w:t xml:space="preserve"> lived experiences do not align with the assumed quality distinction implied by price, pricing cannot function effectively as a proxy for quality. </w:t>
      </w:r>
      <w:r w:rsidR="00135882">
        <w:rPr>
          <w:lang w:val="en-AU"/>
        </w:rPr>
        <w:t>R</w:t>
      </w:r>
      <w:r w:rsidRPr="008D1918">
        <w:rPr>
          <w:lang w:val="en-AU"/>
        </w:rPr>
        <w:t xml:space="preserve">egistration status was seen as playing a limited role for therapy supports, where professional regulation through bodies such as </w:t>
      </w:r>
      <w:r w:rsidRPr="008D1918" w:rsidR="002C3636">
        <w:rPr>
          <w:lang w:val="en-AU"/>
        </w:rPr>
        <w:t>the Australian Health Practitioner Regulation Agency</w:t>
      </w:r>
      <w:r w:rsidRPr="008D1918" w:rsidDel="002C3636" w:rsidR="002C3636">
        <w:rPr>
          <w:lang w:val="en-AU"/>
        </w:rPr>
        <w:t xml:space="preserve"> </w:t>
      </w:r>
      <w:r w:rsidRPr="008D1918">
        <w:rPr>
          <w:lang w:val="en-AU"/>
        </w:rPr>
        <w:t>provides an independent quality assurance mechanism. These insights reinforce the importance of anchoring price differentiation in verifiable structural characteristics, such as the cost of registration obligations, rather than assumed quality differences.</w:t>
      </w:r>
    </w:p>
    <w:p w:rsidRPr="008D1918" w:rsidR="00414935" w:rsidP="00041468" w:rsidRDefault="00414935" w14:paraId="08A5C416" w14:textId="7B3A4246">
      <w:pPr>
        <w:pStyle w:val="StyleStyle112pt"/>
      </w:pPr>
      <w:bookmarkStart w:name="_Toc223345388" w:id="490"/>
      <w:bookmarkStart w:name="_Toc223428375" w:id="491"/>
      <w:bookmarkStart w:name="_Toc223445835" w:id="492"/>
      <w:bookmarkStart w:name="_Toc223539633" w:id="493"/>
      <w:bookmarkStart w:name="_Toc223539847" w:id="494"/>
      <w:bookmarkStart w:name="_Toc223540315" w:id="495"/>
      <w:bookmarkStart w:name="_Toc223540531" w:id="496"/>
      <w:bookmarkStart w:name="_Toc223542070" w:id="497"/>
      <w:bookmarkStart w:name="_Toc223604255" w:id="498"/>
      <w:bookmarkStart w:name="_Toc223604466" w:id="499"/>
      <w:bookmarkStart w:name="_Toc223604677" w:id="500"/>
      <w:bookmarkStart w:name="_Toc223618548" w:id="501"/>
      <w:bookmarkStart w:name="_Toc223702787" w:id="502"/>
      <w:bookmarkStart w:name="_Toc227318692" w:id="503"/>
      <w:bookmarkStart w:name="_Toc227337060" w:id="504"/>
      <w:r w:rsidRPr="008D1918">
        <w:t>Alternative bas</w:t>
      </w:r>
      <w:r w:rsidRPr="008D1918" w:rsidR="00B521C7">
        <w:t>i</w:t>
      </w:r>
      <w:r w:rsidRPr="008D1918">
        <w:t>s for differentiation</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rsidRPr="008D1918" w:rsidR="009705C5" w:rsidP="005002DB" w:rsidRDefault="009705C5" w14:paraId="5D42678E" w14:textId="5D6950AF">
      <w:pPr>
        <w:spacing w:after="160"/>
        <w:rPr>
          <w:lang w:val="en-AU"/>
        </w:rPr>
      </w:pPr>
      <w:r w:rsidRPr="008D1918">
        <w:rPr>
          <w:lang w:val="en-AU"/>
        </w:rPr>
        <w:t>Given these constraints, participants identified alternative bases for differentiated pricing that better reflect their experience. Provider capability was the most supported basis</w:t>
      </w:r>
      <w:r w:rsidRPr="008D1918" w:rsidR="00A7066C">
        <w:rPr>
          <w:lang w:val="en-AU"/>
        </w:rPr>
        <w:t>. P</w:t>
      </w:r>
      <w:r w:rsidRPr="008D1918">
        <w:rPr>
          <w:lang w:val="en-AU"/>
        </w:rPr>
        <w:t xml:space="preserve">articipants emphasised that pricing should reflect skills, </w:t>
      </w:r>
      <w:r w:rsidRPr="008D1918">
        <w:rPr>
          <w:lang w:val="en-AU"/>
        </w:rPr>
        <w:t xml:space="preserve">experience and the complexity of supports delivered. While existing differentiation for high-intensity supports is recognised, some participants considered further </w:t>
      </w:r>
      <w:r w:rsidRPr="008D1918" w:rsidR="00C63CB2">
        <w:rPr>
          <w:lang w:val="en-AU"/>
        </w:rPr>
        <w:t xml:space="preserve">detail </w:t>
      </w:r>
      <w:r w:rsidRPr="008D1918">
        <w:rPr>
          <w:lang w:val="en-AU"/>
        </w:rPr>
        <w:t xml:space="preserve">is required to distinguish activities involving different levels of risk and expertise. </w:t>
      </w:r>
    </w:p>
    <w:p w:rsidRPr="008D1918" w:rsidR="009705C5" w:rsidP="005002DB" w:rsidRDefault="009705C5" w14:paraId="578B97F6" w14:textId="14909104">
      <w:pPr>
        <w:spacing w:after="160"/>
        <w:rPr>
          <w:lang w:val="en-AU"/>
        </w:rPr>
      </w:pPr>
      <w:r w:rsidRPr="008D1918">
        <w:rPr>
          <w:lang w:val="en-AU"/>
        </w:rPr>
        <w:t>Seven per</w:t>
      </w:r>
      <w:r w:rsidRPr="008D1918" w:rsidR="00FD4ECE">
        <w:rPr>
          <w:lang w:val="en-AU"/>
        </w:rPr>
        <w:t xml:space="preserve"> </w:t>
      </w:r>
      <w:r w:rsidRPr="008D1918">
        <w:rPr>
          <w:lang w:val="en-AU"/>
        </w:rPr>
        <w:t xml:space="preserve">cent of respondents indicated provider choice under differentiated pricing depends on support type, preferring registered providers for high-risk supports while opting for unregistered providers for </w:t>
      </w:r>
      <w:r w:rsidRPr="008D1918" w:rsidR="00A1728A">
        <w:rPr>
          <w:lang w:val="en-AU"/>
        </w:rPr>
        <w:t>lower skill</w:t>
      </w:r>
      <w:r w:rsidRPr="008D1918">
        <w:rPr>
          <w:lang w:val="en-AU"/>
        </w:rPr>
        <w:t xml:space="preserve"> supports to maximise hours. Some participants also supported differentiation based on legal entity type, noting sole traders and la</w:t>
      </w:r>
      <w:r w:rsidRPr="008D1918" w:rsidR="00FA4886">
        <w:rPr>
          <w:lang w:val="en-AU"/>
        </w:rPr>
        <w:t>r</w:t>
      </w:r>
      <w:r w:rsidRPr="008D1918">
        <w:rPr>
          <w:lang w:val="en-AU"/>
        </w:rPr>
        <w:t xml:space="preserve">ger organisations face structurally different cost environments. </w:t>
      </w:r>
    </w:p>
    <w:p w:rsidRPr="008D1918" w:rsidR="009705C5" w:rsidP="005002DB" w:rsidRDefault="009705C5" w14:paraId="2151AF5B" w14:textId="1D6481A7">
      <w:pPr>
        <w:spacing w:after="160"/>
        <w:rPr>
          <w:lang w:val="en-AU"/>
        </w:rPr>
      </w:pPr>
      <w:r w:rsidRPr="008D1918">
        <w:rPr>
          <w:lang w:val="en-AU"/>
        </w:rPr>
        <w:t xml:space="preserve">Collectively, these insights indicate participants support fair and targeted </w:t>
      </w:r>
      <w:r w:rsidRPr="008D1918" w:rsidR="00DE366E">
        <w:rPr>
          <w:lang w:val="en-AU"/>
        </w:rPr>
        <w:t xml:space="preserve">recommendations as to pricing </w:t>
      </w:r>
      <w:r w:rsidRPr="008D1918">
        <w:rPr>
          <w:lang w:val="en-AU"/>
        </w:rPr>
        <w:t xml:space="preserve">differentiation but </w:t>
      </w:r>
      <w:r w:rsidRPr="008D1918" w:rsidR="00A1728A">
        <w:rPr>
          <w:lang w:val="en-AU"/>
        </w:rPr>
        <w:t>do not view</w:t>
      </w:r>
      <w:r w:rsidRPr="008D1918">
        <w:rPr>
          <w:lang w:val="en-AU"/>
        </w:rPr>
        <w:t xml:space="preserve"> pricing as a </w:t>
      </w:r>
      <w:r w:rsidRPr="008D1918" w:rsidR="00A1728A">
        <w:rPr>
          <w:lang w:val="en-AU"/>
        </w:rPr>
        <w:t>trusted</w:t>
      </w:r>
      <w:r w:rsidRPr="008D1918">
        <w:rPr>
          <w:lang w:val="en-AU"/>
        </w:rPr>
        <w:t xml:space="preserve"> quality signal. Price </w:t>
      </w:r>
      <w:r w:rsidRPr="008D1918" w:rsidR="00DE366E">
        <w:rPr>
          <w:lang w:val="en-AU"/>
        </w:rPr>
        <w:t xml:space="preserve">recommendations </w:t>
      </w:r>
      <w:r w:rsidRPr="008D1918">
        <w:rPr>
          <w:lang w:val="en-AU"/>
        </w:rPr>
        <w:t xml:space="preserve">must operate alongside regulatory and quality assurance mechanisms designed to protect participant safety rather than substituting for them. </w:t>
      </w:r>
    </w:p>
    <w:p w:rsidRPr="008D1918" w:rsidR="00A1728A" w:rsidP="001D163B" w:rsidRDefault="00A1728A" w14:paraId="58AD6111" w14:textId="2EAD1281">
      <w:pPr>
        <w:pStyle w:val="Heading31"/>
        <w:ind w:left="1077" w:hanging="720"/>
      </w:pPr>
      <w:bookmarkStart w:name="_Toc227337061" w:id="505"/>
      <w:r w:rsidRPr="008D1918">
        <w:t>Continuity of supports</w:t>
      </w:r>
      <w:bookmarkEnd w:id="505"/>
      <w:r w:rsidRPr="008D1918">
        <w:t xml:space="preserve"> </w:t>
      </w:r>
    </w:p>
    <w:p w:rsidRPr="008D1918" w:rsidR="003D5934" w:rsidP="005002DB" w:rsidRDefault="003D5934" w14:paraId="336F699F" w14:textId="1801F2AF">
      <w:pPr>
        <w:spacing w:after="160"/>
        <w:rPr>
          <w:lang w:val="en-AU"/>
        </w:rPr>
      </w:pPr>
      <w:r w:rsidRPr="008D1918">
        <w:rPr>
          <w:lang w:val="en-AU"/>
        </w:rPr>
        <w:t>Continuity of</w:t>
      </w:r>
      <w:r w:rsidRPr="008D1918" w:rsidR="00DF5AB8">
        <w:rPr>
          <w:lang w:val="en-AU"/>
        </w:rPr>
        <w:t xml:space="preserve"> </w:t>
      </w:r>
      <w:r w:rsidRPr="008D1918">
        <w:rPr>
          <w:lang w:val="en-AU"/>
        </w:rPr>
        <w:t>support</w:t>
      </w:r>
      <w:r w:rsidRPr="008D1918" w:rsidR="00DF5AB8">
        <w:rPr>
          <w:lang w:val="en-AU"/>
        </w:rPr>
        <w:t xml:space="preserve"> </w:t>
      </w:r>
      <w:r w:rsidRPr="008D1918">
        <w:rPr>
          <w:lang w:val="en-AU"/>
        </w:rPr>
        <w:t>is</w:t>
      </w:r>
      <w:r w:rsidRPr="008D1918" w:rsidR="00DF5AB8">
        <w:rPr>
          <w:lang w:val="en-AU"/>
        </w:rPr>
        <w:t xml:space="preserve"> </w:t>
      </w:r>
      <w:r w:rsidRPr="008D1918">
        <w:rPr>
          <w:lang w:val="en-AU"/>
        </w:rPr>
        <w:t>a central factor</w:t>
      </w:r>
      <w:r w:rsidRPr="008D1918" w:rsidR="00DF5AB8">
        <w:rPr>
          <w:lang w:val="en-AU"/>
        </w:rPr>
        <w:t xml:space="preserve"> </w:t>
      </w:r>
      <w:r w:rsidRPr="008D1918">
        <w:rPr>
          <w:lang w:val="en-AU"/>
        </w:rPr>
        <w:t>shaping risks associated with differentiated pricing. Participants place a high value on</w:t>
      </w:r>
      <w:r w:rsidRPr="008D1918" w:rsidR="00DF5AB8">
        <w:rPr>
          <w:lang w:val="en-AU"/>
        </w:rPr>
        <w:t xml:space="preserve"> </w:t>
      </w:r>
      <w:r w:rsidRPr="008D1918">
        <w:rPr>
          <w:lang w:val="en-AU"/>
        </w:rPr>
        <w:t>maintaining</w:t>
      </w:r>
      <w:r w:rsidRPr="008D1918" w:rsidR="00DF5AB8">
        <w:rPr>
          <w:lang w:val="en-AU"/>
        </w:rPr>
        <w:t xml:space="preserve"> </w:t>
      </w:r>
      <w:r w:rsidRPr="008D1918">
        <w:rPr>
          <w:lang w:val="en-AU"/>
        </w:rPr>
        <w:t>stable access</w:t>
      </w:r>
      <w:r w:rsidRPr="008D1918" w:rsidR="00DF5AB8">
        <w:rPr>
          <w:lang w:val="en-AU"/>
        </w:rPr>
        <w:t xml:space="preserve"> </w:t>
      </w:r>
      <w:r w:rsidRPr="008D1918">
        <w:rPr>
          <w:lang w:val="en-AU"/>
        </w:rPr>
        <w:t>to</w:t>
      </w:r>
      <w:r w:rsidRPr="008D1918" w:rsidR="006D020D">
        <w:rPr>
          <w:lang w:val="en-AU"/>
        </w:rPr>
        <w:t>,</w:t>
      </w:r>
      <w:r w:rsidRPr="008D1918">
        <w:rPr>
          <w:lang w:val="en-AU"/>
        </w:rPr>
        <w:t xml:space="preserve"> and</w:t>
      </w:r>
      <w:r w:rsidRPr="008D1918" w:rsidR="00DF5AB8">
        <w:rPr>
          <w:lang w:val="en-AU"/>
        </w:rPr>
        <w:t xml:space="preserve"> </w:t>
      </w:r>
      <w:r w:rsidRPr="008D1918">
        <w:rPr>
          <w:lang w:val="en-AU"/>
        </w:rPr>
        <w:t>relationships with</w:t>
      </w:r>
      <w:r w:rsidRPr="008D1918" w:rsidR="006D020D">
        <w:rPr>
          <w:lang w:val="en-AU"/>
        </w:rPr>
        <w:t>,</w:t>
      </w:r>
      <w:r w:rsidRPr="008D1918">
        <w:rPr>
          <w:lang w:val="en-AU"/>
        </w:rPr>
        <w:t xml:space="preserve"> their current providers. </w:t>
      </w:r>
      <w:r w:rsidRPr="008D1918" w:rsidR="0008092F">
        <w:rPr>
          <w:lang w:val="en-AU"/>
        </w:rPr>
        <w:t>Losing</w:t>
      </w:r>
      <w:r w:rsidRPr="008D1918">
        <w:rPr>
          <w:lang w:val="en-AU"/>
        </w:rPr>
        <w:t xml:space="preserve"> access to current providers was raised by 22% of respondents as a key concern, reflecting the possibility some unregistered providers may exit the market or reduce service availability if price</w:t>
      </w:r>
      <w:r w:rsidRPr="008D1918" w:rsidR="00DE366E">
        <w:rPr>
          <w:lang w:val="en-AU"/>
        </w:rPr>
        <w:t>s</w:t>
      </w:r>
      <w:r w:rsidRPr="008D1918">
        <w:rPr>
          <w:lang w:val="en-AU"/>
        </w:rPr>
        <w:t xml:space="preserve"> are reduced.</w:t>
      </w:r>
    </w:p>
    <w:p w:rsidRPr="008D1918" w:rsidR="00414935" w:rsidP="005002DB" w:rsidRDefault="003D5934" w14:paraId="25B8F289" w14:textId="2CE1CEE8">
      <w:pPr>
        <w:spacing w:after="160"/>
        <w:rPr>
          <w:lang w:val="en-AU"/>
        </w:rPr>
      </w:pPr>
      <w:r w:rsidRPr="008D1918">
        <w:rPr>
          <w:lang w:val="en-AU"/>
        </w:rPr>
        <w:t xml:space="preserve">Provider-switching patterns offer important context for assessing the likelihood of disruption. Analysis </w:t>
      </w:r>
      <w:r w:rsidRPr="008D1918" w:rsidR="009D6403">
        <w:rPr>
          <w:lang w:val="en-AU"/>
        </w:rPr>
        <w:t xml:space="preserve">compared </w:t>
      </w:r>
      <w:r w:rsidRPr="008D1918">
        <w:rPr>
          <w:lang w:val="en-AU"/>
        </w:rPr>
        <w:t>provider retention between November 2023</w:t>
      </w:r>
      <w:r w:rsidRPr="008D1918" w:rsidR="00431301">
        <w:rPr>
          <w:lang w:val="en-AU"/>
        </w:rPr>
        <w:t xml:space="preserve"> to </w:t>
      </w:r>
      <w:r w:rsidRPr="008D1918">
        <w:rPr>
          <w:lang w:val="en-AU"/>
        </w:rPr>
        <w:t>October 2024 and November 2024</w:t>
      </w:r>
      <w:r w:rsidRPr="008D1918" w:rsidR="00431301">
        <w:rPr>
          <w:lang w:val="en-AU"/>
        </w:rPr>
        <w:t xml:space="preserve"> to </w:t>
      </w:r>
      <w:r w:rsidRPr="008D1918">
        <w:rPr>
          <w:lang w:val="en-AU"/>
        </w:rPr>
        <w:t>October 2025, for participants with an active plan at the end of October 2025</w:t>
      </w:r>
      <w:r w:rsidRPr="008D1918" w:rsidR="006F4BAE">
        <w:rPr>
          <w:lang w:val="en-AU"/>
        </w:rPr>
        <w:t>. I</w:t>
      </w:r>
      <w:r w:rsidRPr="008D1918" w:rsidR="00B56733">
        <w:rPr>
          <w:lang w:val="en-AU"/>
        </w:rPr>
        <w:t>t</w:t>
      </w:r>
      <w:r w:rsidRPr="008D1918" w:rsidR="009D6403">
        <w:rPr>
          <w:lang w:val="en-AU"/>
        </w:rPr>
        <w:t xml:space="preserve"> showed </w:t>
      </w:r>
      <w:r w:rsidRPr="008D1918">
        <w:rPr>
          <w:lang w:val="en-AU"/>
        </w:rPr>
        <w:t>complete provider switching is</w:t>
      </w:r>
      <w:r w:rsidRPr="008D1918" w:rsidR="006C76CA">
        <w:rPr>
          <w:lang w:val="en-AU"/>
        </w:rPr>
        <w:t xml:space="preserve"> </w:t>
      </w:r>
      <w:r w:rsidRPr="008D1918">
        <w:rPr>
          <w:lang w:val="en-AU"/>
        </w:rPr>
        <w:t>relatively uncommon</w:t>
      </w:r>
      <w:r w:rsidRPr="008D1918" w:rsidR="006C76CA">
        <w:rPr>
          <w:lang w:val="en-AU"/>
        </w:rPr>
        <w:t xml:space="preserve"> </w:t>
      </w:r>
      <w:r w:rsidRPr="008D1918">
        <w:rPr>
          <w:lang w:val="en-AU"/>
        </w:rPr>
        <w:t xml:space="preserve">across all support categories. </w:t>
      </w:r>
      <w:r w:rsidRPr="008D1918" w:rsidR="00A351D4">
        <w:rPr>
          <w:lang w:val="en-AU"/>
        </w:rPr>
        <w:fldChar w:fldCharType="begin"/>
      </w:r>
      <w:r w:rsidRPr="008D1918" w:rsidR="00A351D4">
        <w:rPr>
          <w:lang w:val="en-AU"/>
        </w:rPr>
        <w:instrText xml:space="preserve"> REF _Ref223685002 \h </w:instrText>
      </w:r>
      <w:r w:rsidRPr="008D1918" w:rsidR="00762DF8">
        <w:rPr>
          <w:lang w:val="en-AU"/>
        </w:rPr>
        <w:instrText xml:space="preserve"> \* MERGEFORMAT </w:instrText>
      </w:r>
      <w:r w:rsidRPr="008D1918" w:rsidR="00A351D4">
        <w:rPr>
          <w:lang w:val="en-AU"/>
        </w:rPr>
      </w:r>
      <w:r w:rsidRPr="008D1918" w:rsidR="00A351D4">
        <w:rPr>
          <w:lang w:val="en-AU"/>
        </w:rPr>
        <w:fldChar w:fldCharType="separate"/>
      </w:r>
      <w:r w:rsidRPr="008F56A2" w:rsidR="008F56A2">
        <w:rPr>
          <w:lang w:val="en-AU"/>
        </w:rPr>
        <w:t>Table</w:t>
      </w:r>
      <w:r w:rsidRPr="008D1918" w:rsidR="008F56A2">
        <w:t xml:space="preserve"> </w:t>
      </w:r>
      <w:r w:rsidR="008F56A2">
        <w:rPr>
          <w:noProof/>
        </w:rPr>
        <w:t>1</w:t>
      </w:r>
      <w:r w:rsidRPr="008D1918" w:rsidR="00A351D4">
        <w:rPr>
          <w:lang w:val="en-AU"/>
        </w:rPr>
        <w:fldChar w:fldCharType="end"/>
      </w:r>
      <w:r w:rsidRPr="008D1918" w:rsidR="006C76CA">
        <w:rPr>
          <w:lang w:val="en-AU"/>
        </w:rPr>
        <w:t xml:space="preserve"> </w:t>
      </w:r>
      <w:r w:rsidRPr="008D1918">
        <w:rPr>
          <w:rFonts w:eastAsia="Arial"/>
          <w:lang w:val="en-AU"/>
        </w:rPr>
        <w:t>summarises</w:t>
      </w:r>
      <w:r w:rsidRPr="008D1918" w:rsidR="006C76CA">
        <w:rPr>
          <w:lang w:val="en-AU"/>
        </w:rPr>
        <w:t xml:space="preserve"> </w:t>
      </w:r>
      <w:r w:rsidRPr="008D1918">
        <w:rPr>
          <w:rFonts w:eastAsia="Arial"/>
          <w:lang w:val="en-AU"/>
        </w:rPr>
        <w:t xml:space="preserve">retention and switching patterns across key </w:t>
      </w:r>
      <w:r w:rsidRPr="008D1918">
        <w:rPr>
          <w:lang w:val="en-AU"/>
        </w:rPr>
        <w:t>categories</w:t>
      </w:r>
      <w:r w:rsidRPr="008D1918" w:rsidR="00414935">
        <w:rPr>
          <w:rFonts w:eastAsia="Arial" w:cs="Arial"/>
          <w:lang w:val="en-AU"/>
        </w:rPr>
        <w:t>.</w:t>
      </w:r>
    </w:p>
    <w:p w:rsidRPr="008D1918" w:rsidR="00414935" w:rsidP="005002DB" w:rsidRDefault="000D3380" w14:paraId="1C96CA61" w14:textId="7DE33427">
      <w:pPr>
        <w:pStyle w:val="Caption"/>
        <w:spacing w:after="120"/>
        <w:rPr>
          <w:rFonts w:eastAsia="DengXian" w:cs="Arial"/>
          <w:i w:val="0"/>
          <w:iCs w:val="0"/>
          <w:color w:val="6B2876"/>
        </w:rPr>
      </w:pPr>
      <w:bookmarkStart w:name="_Ref223685002" w:id="506"/>
      <w:r w:rsidRPr="008D1918">
        <w:t xml:space="preserve">Table </w:t>
      </w:r>
      <w:r>
        <w:fldChar w:fldCharType="begin"/>
      </w:r>
      <w:r>
        <w:instrText>SEQ Table \* ARABIC</w:instrText>
      </w:r>
      <w:r>
        <w:fldChar w:fldCharType="separate"/>
      </w:r>
      <w:r w:rsidR="008F56A2">
        <w:rPr>
          <w:noProof/>
        </w:rPr>
        <w:t>1</w:t>
      </w:r>
      <w:r>
        <w:fldChar w:fldCharType="end"/>
      </w:r>
      <w:bookmarkEnd w:id="506"/>
      <w:r w:rsidRPr="008D1918" w:rsidR="00414935">
        <w:rPr>
          <w:rFonts w:eastAsia="DengXian" w:cs="Arial"/>
          <w:color w:val="6B2876"/>
        </w:rPr>
        <w:t>: Provider retention and switching</w:t>
      </w:r>
      <w:r w:rsidRPr="008D1918" w:rsidR="00FB5DBC">
        <w:rPr>
          <w:rFonts w:eastAsia="DengXian" w:cs="Arial"/>
          <w:color w:val="6B2876"/>
        </w:rPr>
        <w:t>,</w:t>
      </w:r>
      <w:r w:rsidRPr="008D1918" w:rsidR="00414935">
        <w:rPr>
          <w:rFonts w:eastAsia="DengXian" w:cs="Arial"/>
          <w:color w:val="6B2876"/>
        </w:rPr>
        <w:t xml:space="preserve"> between November 2023</w:t>
      </w:r>
      <w:r w:rsidRPr="008D1918" w:rsidR="0046377C">
        <w:rPr>
          <w:rFonts w:eastAsia="DengXian" w:cs="Arial"/>
          <w:color w:val="6B2876"/>
        </w:rPr>
        <w:t xml:space="preserve"> to </w:t>
      </w:r>
      <w:r w:rsidRPr="008D1918" w:rsidR="00414935">
        <w:rPr>
          <w:rFonts w:eastAsia="DengXian" w:cs="Arial"/>
          <w:color w:val="6B2876"/>
        </w:rPr>
        <w:t>October 2024 and November 2024</w:t>
      </w:r>
      <w:r w:rsidRPr="008D1918" w:rsidR="0046377C">
        <w:rPr>
          <w:rFonts w:eastAsia="DengXian" w:cs="Arial"/>
          <w:color w:val="6B2876"/>
        </w:rPr>
        <w:t xml:space="preserve"> to </w:t>
      </w:r>
      <w:r w:rsidRPr="008D1918" w:rsidR="00414935">
        <w:rPr>
          <w:rFonts w:eastAsia="DengXian" w:cs="Arial"/>
          <w:color w:val="6B2876"/>
        </w:rPr>
        <w:t>October 2025</w:t>
      </w:r>
    </w:p>
    <w:tbl>
      <w:tblPr>
        <w:tblStyle w:val="GridTable4-Accent121"/>
        <w:tblW w:w="9016" w:type="dxa"/>
        <w:tblInd w:w="0" w:type="dxa"/>
        <w:tblLook w:val="04A0" w:firstRow="1" w:lastRow="0" w:firstColumn="1" w:lastColumn="0" w:noHBand="0" w:noVBand="1"/>
        <w:tblCaption w:val="TABLE 3: NUMBER OF ACTIVE REGISTERED PROVIDERS BY CATEGORY FROM WHICH THEY PURCHASED DSW SUPPORTS, 31 DECEMBER 2022"/>
        <w:tblDescription w:val="Table 1 Provider retention and switching between November 2023–October 2024 and November 2024–October 2025&#10;Support coordination: Same providers - 62.60%, All new providers - 5.90%,  Kept some providers, removed others - 16.40%,  Kept some providers, added others - 10.90%, Kept some providers, removed and added others  - 4.20%&#10;Therapy supports: Same providers – 26.60%, All new providers – 6.00%,  Kept some providers, removed others – 24.50%,  Kept some providers, added others – 16.00%, Kept some providers, removed and added others  - 26.9%&#10;DSW related supports: Same providers – 34.90%, All new providers – 4.40%,  Kept some providers, removed others – 22.80%,  Kept some providers, added others – 14.50%, Kept some providers, removed and added others – 23.40%&#10;Plan management: Same providers – 89.80%, All new providers – 3.50%,  Kept some providers, removed others – 10.600%,  Kept some providers, added others – 5.30%, Kept some providers, removed and added others – 1.80%"/>
      </w:tblPr>
      <w:tblGrid>
        <w:gridCol w:w="2727"/>
        <w:gridCol w:w="1578"/>
        <w:gridCol w:w="1566"/>
        <w:gridCol w:w="1566"/>
        <w:gridCol w:w="1579"/>
      </w:tblGrid>
      <w:tr w:rsidRPr="008D1918" w:rsidR="002E562F" w:rsidTr="0030446C" w14:paraId="20D875E6" w14:textId="77777777">
        <w:trPr>
          <w:cnfStyle w:val="100000000000" w:firstRow="1" w:lastRow="0" w:firstColumn="0" w:lastColumn="0" w:oddVBand="0" w:evenVBand="0" w:oddHBand="0" w:evenHBand="0" w:firstRowFirstColumn="0" w:firstRowLastColumn="0" w:lastRowFirstColumn="0" w:lastRowLastColumn="0"/>
          <w:trHeight w:val="615"/>
          <w:tblHeader/>
        </w:trPr>
        <w:tc>
          <w:tcPr>
            <w:cnfStyle w:val="001000000000" w:firstRow="0" w:lastRow="0" w:firstColumn="1" w:lastColumn="0" w:oddVBand="0" w:evenVBand="0" w:oddHBand="0" w:evenHBand="0" w:firstRowFirstColumn="0" w:firstRowLastColumn="0" w:lastRowFirstColumn="0" w:lastRowLastColumn="0"/>
            <w:tcW w:w="2835" w:type="dxa"/>
            <w:hideMark/>
          </w:tcPr>
          <w:p w:rsidRPr="008D1918" w:rsidR="00414935" w:rsidP="001D163B" w:rsidRDefault="00414935" w14:paraId="5FDEAC93" w14:textId="77777777">
            <w:pPr>
              <w:keepNext/>
              <w:spacing w:before="60" w:after="60"/>
              <w:rPr>
                <w:rFonts w:cs="Arial"/>
                <w:b w:val="0"/>
                <w:color w:val="F9F9F9" w:themeColor="background1"/>
                <w:sz w:val="20"/>
                <w:szCs w:val="20"/>
                <w:lang w:val="en-AU"/>
              </w:rPr>
            </w:pPr>
          </w:p>
        </w:tc>
        <w:tc>
          <w:tcPr>
            <w:tcW w:w="1588" w:type="dxa"/>
            <w:hideMark/>
          </w:tcPr>
          <w:p w:rsidRPr="008D1918" w:rsidR="00414935" w:rsidP="001D163B" w:rsidRDefault="00414935" w14:paraId="7C8F6C39" w14:textId="52DB539D">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color w:val="F9F9F9" w:themeColor="background1"/>
                <w:sz w:val="20"/>
                <w:szCs w:val="20"/>
                <w:lang w:val="en-AU"/>
              </w:rPr>
            </w:pPr>
            <w:r w:rsidRPr="008D1918">
              <w:rPr>
                <w:rFonts w:cs="Arial"/>
                <w:color w:val="F9F9F9" w:themeColor="background1"/>
                <w:sz w:val="20"/>
                <w:szCs w:val="20"/>
                <w:lang w:val="en-AU"/>
              </w:rPr>
              <w:t xml:space="preserve">Support </w:t>
            </w:r>
            <w:r w:rsidRPr="008D1918" w:rsidR="00D8466C">
              <w:rPr>
                <w:rFonts w:cs="Arial"/>
                <w:color w:val="F9F9F9" w:themeColor="background1"/>
                <w:sz w:val="20"/>
                <w:szCs w:val="20"/>
                <w:lang w:val="en-AU"/>
              </w:rPr>
              <w:t>c</w:t>
            </w:r>
            <w:r w:rsidRPr="008D1918">
              <w:rPr>
                <w:rFonts w:cs="Arial"/>
                <w:color w:val="F9F9F9" w:themeColor="background1"/>
                <w:sz w:val="20"/>
                <w:szCs w:val="20"/>
                <w:lang w:val="en-AU"/>
              </w:rPr>
              <w:t>oordination</w:t>
            </w:r>
          </w:p>
        </w:tc>
        <w:tc>
          <w:tcPr>
            <w:tcW w:w="1588" w:type="dxa"/>
            <w:hideMark/>
          </w:tcPr>
          <w:p w:rsidRPr="008D1918" w:rsidR="00414935" w:rsidP="001D163B" w:rsidRDefault="00414935" w14:paraId="2537CB55" w14:textId="77777777">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color w:val="F9F9F9" w:themeColor="background1"/>
                <w:sz w:val="20"/>
                <w:szCs w:val="20"/>
                <w:lang w:val="en-AU"/>
              </w:rPr>
            </w:pPr>
            <w:r w:rsidRPr="008D1918">
              <w:rPr>
                <w:rFonts w:cs="Arial"/>
                <w:color w:val="F9F9F9" w:themeColor="background1"/>
                <w:sz w:val="20"/>
                <w:szCs w:val="20"/>
                <w:lang w:val="en-AU"/>
              </w:rPr>
              <w:t>Therapy supports</w:t>
            </w:r>
          </w:p>
        </w:tc>
        <w:tc>
          <w:tcPr>
            <w:tcW w:w="1588" w:type="dxa"/>
            <w:hideMark/>
          </w:tcPr>
          <w:p w:rsidRPr="008D1918" w:rsidR="00414935" w:rsidP="001D163B" w:rsidRDefault="00976A69" w14:paraId="688042D5" w14:textId="261ACA11">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color w:val="F9F9F9" w:themeColor="background1"/>
                <w:sz w:val="20"/>
                <w:szCs w:val="20"/>
                <w:lang w:val="en-AU"/>
              </w:rPr>
            </w:pPr>
            <w:r w:rsidRPr="008D1918">
              <w:rPr>
                <w:rFonts w:cs="Arial"/>
                <w:color w:val="F9F9F9" w:themeColor="background1"/>
                <w:sz w:val="20"/>
                <w:szCs w:val="20"/>
                <w:lang w:val="en-AU"/>
              </w:rPr>
              <w:t>DSW-</w:t>
            </w:r>
            <w:r w:rsidRPr="008D1918" w:rsidR="00414935">
              <w:rPr>
                <w:rFonts w:cs="Arial"/>
                <w:color w:val="F9F9F9" w:themeColor="background1"/>
                <w:sz w:val="20"/>
                <w:szCs w:val="20"/>
                <w:lang w:val="en-AU"/>
              </w:rPr>
              <w:t>related supports</w:t>
            </w:r>
          </w:p>
        </w:tc>
        <w:tc>
          <w:tcPr>
            <w:tcW w:w="1588" w:type="dxa"/>
          </w:tcPr>
          <w:p w:rsidRPr="008D1918" w:rsidR="00414935" w:rsidP="001D163B" w:rsidRDefault="00414935" w14:paraId="1B90E61C" w14:textId="46B2DBF1">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color w:val="F9F9F9" w:themeColor="background1"/>
                <w:sz w:val="20"/>
                <w:szCs w:val="20"/>
                <w:lang w:val="en-AU"/>
              </w:rPr>
            </w:pPr>
            <w:r w:rsidRPr="008D1918">
              <w:rPr>
                <w:rFonts w:cs="Arial"/>
                <w:color w:val="F9F9F9" w:themeColor="background1"/>
                <w:sz w:val="20"/>
                <w:szCs w:val="20"/>
                <w:lang w:val="en-AU"/>
              </w:rPr>
              <w:t xml:space="preserve">Plan </w:t>
            </w:r>
            <w:r w:rsidRPr="008D1918" w:rsidR="00D8466C">
              <w:rPr>
                <w:rFonts w:cs="Arial"/>
                <w:color w:val="F9F9F9" w:themeColor="background1"/>
                <w:sz w:val="20"/>
                <w:szCs w:val="20"/>
                <w:lang w:val="en-AU"/>
              </w:rPr>
              <w:t>m</w:t>
            </w:r>
            <w:r w:rsidRPr="008D1918">
              <w:rPr>
                <w:rFonts w:cs="Arial"/>
                <w:color w:val="F9F9F9" w:themeColor="background1"/>
                <w:sz w:val="20"/>
                <w:szCs w:val="20"/>
                <w:lang w:val="en-AU"/>
              </w:rPr>
              <w:t>anagement</w:t>
            </w:r>
          </w:p>
        </w:tc>
      </w:tr>
      <w:tr w:rsidRPr="008D1918" w:rsidR="00173A73" w:rsidTr="00001BB7" w14:paraId="0899B818" w14:textId="77777777">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835" w:type="dxa"/>
            <w:vAlign w:val="center"/>
            <w:hideMark/>
          </w:tcPr>
          <w:p w:rsidRPr="008D1918" w:rsidR="00414935" w:rsidP="001D163B" w:rsidRDefault="00414935" w14:paraId="2B2FB519" w14:textId="77777777">
            <w:pPr>
              <w:keepNext/>
              <w:spacing w:before="60" w:after="60"/>
              <w:rPr>
                <w:rFonts w:cs="Arial"/>
                <w:sz w:val="20"/>
                <w:szCs w:val="20"/>
                <w:lang w:val="en-AU"/>
              </w:rPr>
            </w:pPr>
            <w:r w:rsidRPr="008D1918">
              <w:rPr>
                <w:rFonts w:cs="Arial"/>
                <w:sz w:val="20"/>
                <w:szCs w:val="20"/>
                <w:lang w:val="en-AU"/>
              </w:rPr>
              <w:t>Same providers</w:t>
            </w:r>
          </w:p>
        </w:tc>
        <w:tc>
          <w:tcPr>
            <w:tcW w:w="1588" w:type="dxa"/>
            <w:vAlign w:val="center"/>
            <w:hideMark/>
          </w:tcPr>
          <w:p w:rsidRPr="008D1918" w:rsidR="00414935" w:rsidP="001D163B" w:rsidRDefault="00414935" w14:paraId="604350EE" w14:textId="77777777">
            <w:pPr>
              <w:keepNext/>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62.60%</w:t>
            </w:r>
          </w:p>
        </w:tc>
        <w:tc>
          <w:tcPr>
            <w:tcW w:w="1588" w:type="dxa"/>
            <w:vAlign w:val="center"/>
            <w:hideMark/>
          </w:tcPr>
          <w:p w:rsidRPr="008D1918" w:rsidR="00414935" w:rsidP="001D163B" w:rsidRDefault="00414935" w14:paraId="118493EE" w14:textId="77777777">
            <w:pPr>
              <w:keepNext/>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26.60%</w:t>
            </w:r>
          </w:p>
        </w:tc>
        <w:tc>
          <w:tcPr>
            <w:tcW w:w="1588" w:type="dxa"/>
            <w:vAlign w:val="center"/>
            <w:hideMark/>
          </w:tcPr>
          <w:p w:rsidRPr="008D1918" w:rsidR="00414935" w:rsidP="001D163B" w:rsidRDefault="00414935" w14:paraId="262BC04B" w14:textId="77777777">
            <w:pPr>
              <w:keepNext/>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34.90%</w:t>
            </w:r>
          </w:p>
        </w:tc>
        <w:tc>
          <w:tcPr>
            <w:tcW w:w="1588" w:type="dxa"/>
            <w:vAlign w:val="center"/>
          </w:tcPr>
          <w:p w:rsidRPr="008D1918" w:rsidR="00414935" w:rsidP="001D163B" w:rsidRDefault="00414935" w14:paraId="777CC4E0" w14:textId="77777777">
            <w:pPr>
              <w:keepNext/>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78.80%</w:t>
            </w:r>
          </w:p>
        </w:tc>
      </w:tr>
      <w:tr w:rsidRPr="008D1918" w:rsidR="008E0FBF" w:rsidTr="00001BB7" w14:paraId="4712BACE" w14:textId="77777777">
        <w:trPr>
          <w:trHeight w:val="15"/>
        </w:trPr>
        <w:tc>
          <w:tcPr>
            <w:cnfStyle w:val="001000000000" w:firstRow="0" w:lastRow="0" w:firstColumn="1" w:lastColumn="0" w:oddVBand="0" w:evenVBand="0" w:oddHBand="0" w:evenHBand="0" w:firstRowFirstColumn="0" w:firstRowLastColumn="0" w:lastRowFirstColumn="0" w:lastRowLastColumn="0"/>
            <w:tcW w:w="2835" w:type="dxa"/>
            <w:vAlign w:val="center"/>
            <w:hideMark/>
          </w:tcPr>
          <w:p w:rsidRPr="008D1918" w:rsidR="00414935" w:rsidP="001D163B" w:rsidRDefault="00414935" w14:paraId="0C3827CB" w14:textId="77777777">
            <w:pPr>
              <w:keepNext/>
              <w:spacing w:before="60" w:after="60"/>
              <w:rPr>
                <w:rFonts w:cs="Arial"/>
                <w:sz w:val="20"/>
                <w:szCs w:val="20"/>
                <w:lang w:val="en-AU"/>
              </w:rPr>
            </w:pPr>
            <w:r w:rsidRPr="008D1918">
              <w:rPr>
                <w:rFonts w:cs="Arial"/>
                <w:sz w:val="20"/>
                <w:szCs w:val="20"/>
                <w:lang w:val="en-AU"/>
              </w:rPr>
              <w:t>All new providers</w:t>
            </w:r>
          </w:p>
        </w:tc>
        <w:tc>
          <w:tcPr>
            <w:tcW w:w="1588" w:type="dxa"/>
            <w:vAlign w:val="center"/>
            <w:hideMark/>
          </w:tcPr>
          <w:p w:rsidRPr="008D1918" w:rsidR="00414935" w:rsidP="001D163B" w:rsidRDefault="00414935" w14:paraId="615B5DA0" w14:textId="77777777">
            <w:pPr>
              <w:keepNext/>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5.90%</w:t>
            </w:r>
          </w:p>
        </w:tc>
        <w:tc>
          <w:tcPr>
            <w:tcW w:w="1588" w:type="dxa"/>
            <w:vAlign w:val="center"/>
            <w:hideMark/>
          </w:tcPr>
          <w:p w:rsidRPr="008D1918" w:rsidR="00414935" w:rsidP="001D163B" w:rsidRDefault="00414935" w14:paraId="0923BCE3" w14:textId="77777777">
            <w:pPr>
              <w:keepNext/>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6.00%</w:t>
            </w:r>
          </w:p>
        </w:tc>
        <w:tc>
          <w:tcPr>
            <w:tcW w:w="1588" w:type="dxa"/>
            <w:vAlign w:val="center"/>
            <w:hideMark/>
          </w:tcPr>
          <w:p w:rsidRPr="008D1918" w:rsidR="00414935" w:rsidP="001D163B" w:rsidRDefault="00414935" w14:paraId="3B120A4F" w14:textId="77777777">
            <w:pPr>
              <w:keepNext/>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4.40%</w:t>
            </w:r>
          </w:p>
        </w:tc>
        <w:tc>
          <w:tcPr>
            <w:tcW w:w="1588" w:type="dxa"/>
            <w:vAlign w:val="center"/>
          </w:tcPr>
          <w:p w:rsidRPr="008D1918" w:rsidR="00414935" w:rsidP="001D163B" w:rsidRDefault="00414935" w14:paraId="3E225B3B" w14:textId="77777777">
            <w:pPr>
              <w:keepNext/>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3.50%</w:t>
            </w:r>
          </w:p>
        </w:tc>
      </w:tr>
      <w:tr w:rsidRPr="008D1918" w:rsidR="00173A73" w:rsidTr="0030446C" w14:paraId="69573DC2" w14:textId="77777777">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835" w:type="dxa"/>
            <w:vAlign w:val="center"/>
            <w:hideMark/>
          </w:tcPr>
          <w:p w:rsidRPr="008D1918" w:rsidR="00414935" w:rsidP="0067073F" w:rsidRDefault="00414935" w14:paraId="5BA6FFD1" w14:textId="73AA5612">
            <w:pPr>
              <w:spacing w:before="60" w:after="0"/>
              <w:rPr>
                <w:rFonts w:cs="Arial"/>
                <w:sz w:val="20"/>
                <w:szCs w:val="20"/>
                <w:lang w:val="en-AU"/>
              </w:rPr>
            </w:pPr>
            <w:r w:rsidRPr="008D1918">
              <w:rPr>
                <w:rFonts w:cs="Arial"/>
                <w:sz w:val="20"/>
                <w:szCs w:val="20"/>
                <w:lang w:val="en-AU"/>
              </w:rPr>
              <w:t>Kept some providers, removed others</w:t>
            </w:r>
          </w:p>
        </w:tc>
        <w:tc>
          <w:tcPr>
            <w:tcW w:w="1588" w:type="dxa"/>
            <w:vAlign w:val="center"/>
            <w:hideMark/>
          </w:tcPr>
          <w:p w:rsidRPr="008D1918" w:rsidR="00414935" w:rsidP="00165490" w:rsidRDefault="00414935" w14:paraId="30B0CE2B" w14:textId="77777777">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16.40%</w:t>
            </w:r>
          </w:p>
        </w:tc>
        <w:tc>
          <w:tcPr>
            <w:tcW w:w="1588" w:type="dxa"/>
            <w:vAlign w:val="center"/>
            <w:hideMark/>
          </w:tcPr>
          <w:p w:rsidRPr="008D1918" w:rsidR="00414935" w:rsidP="00165490" w:rsidRDefault="00414935" w14:paraId="09E207EA" w14:textId="77777777">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24.50%</w:t>
            </w:r>
          </w:p>
        </w:tc>
        <w:tc>
          <w:tcPr>
            <w:tcW w:w="1588" w:type="dxa"/>
            <w:vAlign w:val="center"/>
            <w:hideMark/>
          </w:tcPr>
          <w:p w:rsidRPr="008D1918" w:rsidR="00414935" w:rsidP="00165490" w:rsidRDefault="00414935" w14:paraId="3F5649A4" w14:textId="77777777">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22.80%</w:t>
            </w:r>
          </w:p>
        </w:tc>
        <w:tc>
          <w:tcPr>
            <w:tcW w:w="1588" w:type="dxa"/>
            <w:vAlign w:val="center"/>
          </w:tcPr>
          <w:p w:rsidRPr="008D1918" w:rsidR="00414935" w:rsidP="00165490" w:rsidRDefault="00414935" w14:paraId="6C53E3CE" w14:textId="77777777">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10.60%</w:t>
            </w:r>
          </w:p>
        </w:tc>
      </w:tr>
      <w:tr w:rsidRPr="008D1918" w:rsidR="008E0FBF" w:rsidTr="0030446C" w14:paraId="0BE53773" w14:textId="77777777">
        <w:trPr>
          <w:trHeight w:val="15"/>
        </w:trPr>
        <w:tc>
          <w:tcPr>
            <w:cnfStyle w:val="001000000000" w:firstRow="0" w:lastRow="0" w:firstColumn="1" w:lastColumn="0" w:oddVBand="0" w:evenVBand="0" w:oddHBand="0" w:evenHBand="0" w:firstRowFirstColumn="0" w:firstRowLastColumn="0" w:lastRowFirstColumn="0" w:lastRowLastColumn="0"/>
            <w:tcW w:w="2835" w:type="dxa"/>
            <w:vAlign w:val="center"/>
            <w:hideMark/>
          </w:tcPr>
          <w:p w:rsidRPr="008D1918" w:rsidR="00414935" w:rsidP="0067073F" w:rsidRDefault="00414935" w14:paraId="58475805" w14:textId="7A55AF78">
            <w:pPr>
              <w:spacing w:before="60" w:after="0"/>
              <w:rPr>
                <w:rFonts w:cs="Arial"/>
                <w:sz w:val="20"/>
                <w:szCs w:val="20"/>
                <w:lang w:val="en-AU"/>
              </w:rPr>
            </w:pPr>
            <w:r w:rsidRPr="008D1918">
              <w:rPr>
                <w:rFonts w:cs="Arial"/>
                <w:sz w:val="20"/>
                <w:szCs w:val="20"/>
                <w:lang w:val="en-AU"/>
              </w:rPr>
              <w:t xml:space="preserve">Kept some providers, </w:t>
            </w:r>
            <w:r w:rsidRPr="008D1918" w:rsidR="00051DC3">
              <w:rPr>
                <w:rFonts w:cs="Arial"/>
                <w:sz w:val="20"/>
                <w:szCs w:val="20"/>
                <w:lang w:val="en-AU"/>
              </w:rPr>
              <w:br/>
            </w:r>
            <w:r w:rsidRPr="008D1918">
              <w:rPr>
                <w:rFonts w:cs="Arial"/>
                <w:sz w:val="20"/>
                <w:szCs w:val="20"/>
                <w:lang w:val="en-AU"/>
              </w:rPr>
              <w:t>added others</w:t>
            </w:r>
          </w:p>
        </w:tc>
        <w:tc>
          <w:tcPr>
            <w:tcW w:w="1588" w:type="dxa"/>
            <w:vAlign w:val="center"/>
            <w:hideMark/>
          </w:tcPr>
          <w:p w:rsidRPr="008D1918" w:rsidR="00414935" w:rsidP="00165490" w:rsidRDefault="00414935" w14:paraId="4408A1FD" w14:textId="77777777">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10.90%</w:t>
            </w:r>
          </w:p>
        </w:tc>
        <w:tc>
          <w:tcPr>
            <w:tcW w:w="1588" w:type="dxa"/>
            <w:vAlign w:val="center"/>
            <w:hideMark/>
          </w:tcPr>
          <w:p w:rsidRPr="008D1918" w:rsidR="00414935" w:rsidP="00165490" w:rsidRDefault="00414935" w14:paraId="1A3B4F83" w14:textId="77777777">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16.00%</w:t>
            </w:r>
          </w:p>
        </w:tc>
        <w:tc>
          <w:tcPr>
            <w:tcW w:w="1588" w:type="dxa"/>
            <w:vAlign w:val="center"/>
            <w:hideMark/>
          </w:tcPr>
          <w:p w:rsidRPr="008D1918" w:rsidR="00414935" w:rsidP="00165490" w:rsidRDefault="00414935" w14:paraId="70661DF1" w14:textId="77777777">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14.50%</w:t>
            </w:r>
          </w:p>
        </w:tc>
        <w:tc>
          <w:tcPr>
            <w:tcW w:w="1588" w:type="dxa"/>
            <w:vAlign w:val="center"/>
          </w:tcPr>
          <w:p w:rsidRPr="008D1918" w:rsidR="00414935" w:rsidP="00165490" w:rsidRDefault="00414935" w14:paraId="1897A016" w14:textId="77777777">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5.30%</w:t>
            </w:r>
          </w:p>
        </w:tc>
      </w:tr>
      <w:tr w:rsidRPr="008D1918" w:rsidR="00173A73" w:rsidTr="0030446C" w14:paraId="59F7194A" w14:textId="77777777">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835" w:type="dxa"/>
            <w:vAlign w:val="center"/>
            <w:hideMark/>
          </w:tcPr>
          <w:p w:rsidRPr="008D1918" w:rsidR="00414935" w:rsidP="0067073F" w:rsidRDefault="00414935" w14:paraId="7F82371A" w14:textId="3B21642E">
            <w:pPr>
              <w:spacing w:before="60" w:after="0"/>
              <w:rPr>
                <w:rFonts w:cs="Arial"/>
                <w:sz w:val="20"/>
                <w:szCs w:val="20"/>
                <w:lang w:val="en-AU"/>
              </w:rPr>
            </w:pPr>
            <w:r w:rsidRPr="008D1918">
              <w:rPr>
                <w:rFonts w:cs="Arial"/>
                <w:sz w:val="20"/>
                <w:szCs w:val="20"/>
                <w:lang w:val="en-AU"/>
              </w:rPr>
              <w:t>Kept some providers, removed and added others</w:t>
            </w:r>
          </w:p>
        </w:tc>
        <w:tc>
          <w:tcPr>
            <w:tcW w:w="1588" w:type="dxa"/>
            <w:vAlign w:val="center"/>
            <w:hideMark/>
          </w:tcPr>
          <w:p w:rsidRPr="008D1918" w:rsidR="00414935" w:rsidP="00165490" w:rsidRDefault="00414935" w14:paraId="4188D9E8" w14:textId="77777777">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4.20%</w:t>
            </w:r>
          </w:p>
        </w:tc>
        <w:tc>
          <w:tcPr>
            <w:tcW w:w="1588" w:type="dxa"/>
            <w:vAlign w:val="center"/>
            <w:hideMark/>
          </w:tcPr>
          <w:p w:rsidRPr="008D1918" w:rsidR="00414935" w:rsidP="00165490" w:rsidRDefault="00414935" w14:paraId="3A1C5DB1" w14:textId="77777777">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26.90%</w:t>
            </w:r>
          </w:p>
        </w:tc>
        <w:tc>
          <w:tcPr>
            <w:tcW w:w="1588" w:type="dxa"/>
            <w:vAlign w:val="center"/>
            <w:hideMark/>
          </w:tcPr>
          <w:p w:rsidRPr="008D1918" w:rsidR="00414935" w:rsidP="00165490" w:rsidRDefault="00414935" w14:paraId="6D4322EB" w14:textId="77777777">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23.40%</w:t>
            </w:r>
          </w:p>
        </w:tc>
        <w:tc>
          <w:tcPr>
            <w:tcW w:w="1588" w:type="dxa"/>
            <w:vAlign w:val="center"/>
          </w:tcPr>
          <w:p w:rsidRPr="008D1918" w:rsidR="00414935" w:rsidP="00165490" w:rsidRDefault="00414935" w14:paraId="439F867C" w14:textId="77777777">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1.80%</w:t>
            </w:r>
          </w:p>
        </w:tc>
      </w:tr>
    </w:tbl>
    <w:p w:rsidRPr="008D1918" w:rsidR="00414935" w:rsidP="00B14B97" w:rsidRDefault="00414935" w14:paraId="77920857" w14:textId="77777777">
      <w:pPr>
        <w:spacing w:before="120" w:after="360" w:line="240" w:lineRule="atLeast"/>
        <w:rPr>
          <w:rFonts w:cs="Arial"/>
          <w:b/>
          <w:bCs/>
          <w:sz w:val="20"/>
          <w:szCs w:val="20"/>
          <w:lang w:val="en-AU"/>
        </w:rPr>
      </w:pPr>
      <w:r w:rsidRPr="008D1918">
        <w:rPr>
          <w:rFonts w:cs="Arial"/>
          <w:b/>
          <w:bCs/>
          <w:sz w:val="20"/>
          <w:szCs w:val="20"/>
          <w:lang w:val="en-AU"/>
        </w:rPr>
        <w:t>Source: NDIS internal administrative data</w:t>
      </w:r>
    </w:p>
    <w:p w:rsidRPr="008D1918" w:rsidR="003B6635" w:rsidP="003B6635" w:rsidRDefault="00B224F4" w14:paraId="74CBCBB2" w14:textId="2A995D37">
      <w:pPr>
        <w:rPr>
          <w:lang w:val="en-AU"/>
        </w:rPr>
      </w:pPr>
      <w:r w:rsidRPr="008D1918">
        <w:rPr>
          <w:lang w:val="en-AU"/>
        </w:rPr>
        <w:t xml:space="preserve">Complete switching rates ranged from 3.5% </w:t>
      </w:r>
      <w:r w:rsidRPr="008D1918" w:rsidR="005A21FD">
        <w:rPr>
          <w:lang w:val="en-AU"/>
        </w:rPr>
        <w:t>(</w:t>
      </w:r>
      <w:r w:rsidRPr="008D1918" w:rsidR="005B272D">
        <w:rPr>
          <w:lang w:val="en-AU"/>
        </w:rPr>
        <w:t>P</w:t>
      </w:r>
      <w:r w:rsidRPr="008D1918" w:rsidR="005A21FD">
        <w:rPr>
          <w:lang w:val="en-AU"/>
        </w:rPr>
        <w:t xml:space="preserve">lan </w:t>
      </w:r>
      <w:r w:rsidRPr="008D1918" w:rsidR="005B272D">
        <w:rPr>
          <w:lang w:val="en-AU"/>
        </w:rPr>
        <w:t>M</w:t>
      </w:r>
      <w:r w:rsidRPr="008D1918" w:rsidR="005A21FD">
        <w:rPr>
          <w:lang w:val="en-AU"/>
        </w:rPr>
        <w:t xml:space="preserve">anagement) to 6.7% </w:t>
      </w:r>
      <w:r w:rsidRPr="008D1918" w:rsidR="0072675C">
        <w:rPr>
          <w:lang w:val="en-AU"/>
        </w:rPr>
        <w:t>(</w:t>
      </w:r>
      <w:r w:rsidRPr="008D1918" w:rsidR="005B272D">
        <w:rPr>
          <w:lang w:val="en-AU"/>
        </w:rPr>
        <w:t>S</w:t>
      </w:r>
      <w:r w:rsidRPr="008D1918" w:rsidR="00E94A0C">
        <w:rPr>
          <w:lang w:val="en-AU"/>
        </w:rPr>
        <w:t>ocial</w:t>
      </w:r>
      <w:r w:rsidRPr="008D1918" w:rsidR="00920681">
        <w:rPr>
          <w:lang w:val="en-AU"/>
        </w:rPr>
        <w:t xml:space="preserve">, </w:t>
      </w:r>
      <w:r w:rsidRPr="008D1918" w:rsidR="005B272D">
        <w:rPr>
          <w:lang w:val="en-AU"/>
        </w:rPr>
        <w:t>C</w:t>
      </w:r>
      <w:r w:rsidRPr="008D1918" w:rsidR="00920681">
        <w:rPr>
          <w:lang w:val="en-AU"/>
        </w:rPr>
        <w:t xml:space="preserve">ommunity and </w:t>
      </w:r>
      <w:r w:rsidRPr="008D1918" w:rsidR="005B272D">
        <w:rPr>
          <w:lang w:val="en-AU"/>
        </w:rPr>
        <w:t>C</w:t>
      </w:r>
      <w:r w:rsidRPr="008D1918" w:rsidR="00920681">
        <w:rPr>
          <w:lang w:val="en-AU"/>
        </w:rPr>
        <w:t>ivic</w:t>
      </w:r>
      <w:r w:rsidRPr="008D1918" w:rsidR="00E94A0C">
        <w:rPr>
          <w:lang w:val="en-AU"/>
        </w:rPr>
        <w:t xml:space="preserve"> </w:t>
      </w:r>
      <w:r w:rsidRPr="008D1918" w:rsidR="005B272D">
        <w:rPr>
          <w:lang w:val="en-AU"/>
        </w:rPr>
        <w:t>P</w:t>
      </w:r>
      <w:r w:rsidRPr="008D1918" w:rsidR="00E94A0C">
        <w:rPr>
          <w:lang w:val="en-AU"/>
        </w:rPr>
        <w:t>articipation</w:t>
      </w:r>
      <w:r w:rsidRPr="008D1918" w:rsidR="00926B59">
        <w:rPr>
          <w:lang w:val="en-AU"/>
        </w:rPr>
        <w:t xml:space="preserve"> – not listed above</w:t>
      </w:r>
      <w:r w:rsidRPr="008D1918" w:rsidR="005A21FD">
        <w:rPr>
          <w:lang w:val="en-AU"/>
        </w:rPr>
        <w:t xml:space="preserve">). Therapy supports </w:t>
      </w:r>
      <w:r w:rsidRPr="008D1918" w:rsidR="00E9559B">
        <w:rPr>
          <w:lang w:val="en-AU"/>
        </w:rPr>
        <w:t>showed a similar low complete switch rate of 6</w:t>
      </w:r>
      <w:r w:rsidRPr="008D1918" w:rsidR="00D33678">
        <w:rPr>
          <w:lang w:val="en-AU"/>
        </w:rPr>
        <w:t>.0</w:t>
      </w:r>
      <w:r w:rsidRPr="008D1918" w:rsidR="00E9559B">
        <w:rPr>
          <w:lang w:val="en-AU"/>
        </w:rPr>
        <w:t>%, with changes likely reflecting shifts between therapy modalities rather than disengagement</w:t>
      </w:r>
      <w:r w:rsidRPr="008D1918" w:rsidR="003B6635">
        <w:rPr>
          <w:lang w:val="en-AU"/>
        </w:rPr>
        <w:t>.</w:t>
      </w:r>
      <w:r w:rsidRPr="008D1918" w:rsidR="00E9559B">
        <w:rPr>
          <w:lang w:val="en-AU"/>
        </w:rPr>
        <w:t xml:space="preserve"> DSW-related supports recorded the lowest rate at 4.4%, with higher rates of partial change reflecting the diverse ways participants allocate DSW funding across multiple providers. These </w:t>
      </w:r>
      <w:r w:rsidRPr="008D1918" w:rsidR="006742C7">
        <w:rPr>
          <w:lang w:val="en-AU"/>
        </w:rPr>
        <w:t>patterns</w:t>
      </w:r>
      <w:r w:rsidRPr="008D1918" w:rsidR="00E9559B">
        <w:rPr>
          <w:lang w:val="en-AU"/>
        </w:rPr>
        <w:t xml:space="preserve"> suggest </w:t>
      </w:r>
      <w:r w:rsidRPr="008D1918" w:rsidR="00935434">
        <w:rPr>
          <w:lang w:val="en-AU"/>
        </w:rPr>
        <w:t>moderate adjustments</w:t>
      </w:r>
      <w:r w:rsidRPr="008D1918" w:rsidR="00DE366E">
        <w:rPr>
          <w:lang w:val="en-AU"/>
        </w:rPr>
        <w:t xml:space="preserve"> to recommended pricing</w:t>
      </w:r>
      <w:r w:rsidRPr="008D1918" w:rsidR="00935434">
        <w:rPr>
          <w:lang w:val="en-AU"/>
        </w:rPr>
        <w:t xml:space="preserve"> are unlikely to cause widespread provider churn, though maintaining continuity requires particular attention </w:t>
      </w:r>
      <w:r w:rsidRPr="008D1918" w:rsidR="00284CFB">
        <w:rPr>
          <w:lang w:val="en-AU"/>
        </w:rPr>
        <w:t xml:space="preserve">in </w:t>
      </w:r>
      <w:r w:rsidRPr="008D1918" w:rsidR="00935434">
        <w:rPr>
          <w:lang w:val="en-AU"/>
        </w:rPr>
        <w:t xml:space="preserve">thin markets and for participants with specialised support needs. </w:t>
      </w:r>
      <w:r w:rsidRPr="008D1918" w:rsidR="003B6635">
        <w:rPr>
          <w:lang w:val="en-AU"/>
        </w:rPr>
        <w:t> </w:t>
      </w:r>
    </w:p>
    <w:p w:rsidRPr="008D1918" w:rsidR="00404E9C" w:rsidP="001D163B" w:rsidRDefault="00D27E73" w14:paraId="11C49335" w14:textId="23BC3C56">
      <w:pPr>
        <w:pStyle w:val="Heading31"/>
        <w:ind w:left="1077" w:hanging="720"/>
      </w:pPr>
      <w:bookmarkStart w:name="_Toc227337062" w:id="507"/>
      <w:r w:rsidRPr="008D1918">
        <w:t>Implementation considerations</w:t>
      </w:r>
      <w:bookmarkEnd w:id="507"/>
    </w:p>
    <w:p w:rsidRPr="008D1918" w:rsidR="00F1499B" w:rsidP="000350D3" w:rsidRDefault="00762667" w14:paraId="5A343723" w14:textId="20799D07">
      <w:pPr>
        <w:rPr>
          <w:lang w:val="en-AU"/>
        </w:rPr>
      </w:pPr>
      <w:r w:rsidRPr="008D1918">
        <w:rPr>
          <w:lang w:val="en-AU"/>
        </w:rPr>
        <w:t xml:space="preserve">Participants identified measures to support informed decision making under differentiated pricing, including clearer information about the practical </w:t>
      </w:r>
      <w:r w:rsidRPr="008D1918" w:rsidR="00A31C18">
        <w:rPr>
          <w:lang w:val="en-AU"/>
        </w:rPr>
        <w:t>benefits</w:t>
      </w:r>
      <w:r w:rsidRPr="008D1918">
        <w:rPr>
          <w:lang w:val="en-AU"/>
        </w:rPr>
        <w:t xml:space="preserve"> of engaging registered versus unregistered providers (24% of respondents), improved tools for comparing providers on quality and price, and clear examples </w:t>
      </w:r>
      <w:r w:rsidRPr="008D1918" w:rsidR="00A31C18">
        <w:rPr>
          <w:lang w:val="en-AU"/>
        </w:rPr>
        <w:t>showing how changes would affect individual plan budgets. More broadly, participants empha</w:t>
      </w:r>
      <w:r w:rsidRPr="008D1918" w:rsidR="00084459">
        <w:rPr>
          <w:lang w:val="en-AU"/>
        </w:rPr>
        <w:t>s</w:t>
      </w:r>
      <w:r w:rsidRPr="008D1918" w:rsidR="00A31C18">
        <w:rPr>
          <w:lang w:val="en-AU"/>
        </w:rPr>
        <w:t xml:space="preserve">ised that pricing adjustments should be accompanied by accessible information about what protections apply when transitioning provider types. </w:t>
      </w:r>
    </w:p>
    <w:p w:rsidRPr="008D1918" w:rsidR="007E4C5E" w:rsidRDefault="007E4C5E" w14:paraId="7E2D6FA3" w14:textId="77777777">
      <w:pPr>
        <w:spacing w:after="0" w:line="240" w:lineRule="auto"/>
        <w:rPr>
          <w:lang w:val="en-AU"/>
        </w:rPr>
      </w:pPr>
      <w:bookmarkStart w:name="_Toc223539636" w:id="508"/>
      <w:bookmarkStart w:name="_Toc223539850" w:id="509"/>
      <w:bookmarkStart w:name="_Toc223540318" w:id="510"/>
      <w:bookmarkStart w:name="_Toc223540534" w:id="511"/>
      <w:bookmarkStart w:name="_Toc223542073" w:id="512"/>
      <w:bookmarkStart w:name="_Toc223604258" w:id="513"/>
      <w:bookmarkStart w:name="_Toc223604469" w:id="514"/>
      <w:r w:rsidRPr="008D1918">
        <w:rPr>
          <w:lang w:val="en-AU"/>
        </w:rPr>
        <w:br w:type="page"/>
      </w:r>
    </w:p>
    <w:p w:rsidRPr="008D1918" w:rsidR="00584B78" w:rsidP="00757D0C" w:rsidRDefault="00584B78" w14:paraId="3FFF46DF" w14:textId="46EF9B9D">
      <w:pPr>
        <w:pStyle w:val="Heading21"/>
        <w:ind w:left="1077" w:hanging="720"/>
      </w:pPr>
      <w:bookmarkStart w:name="_Toc227337063" w:id="515"/>
      <w:r w:rsidRPr="008D1918">
        <w:t xml:space="preserve">Differentiated </w:t>
      </w:r>
      <w:r w:rsidRPr="008D1918" w:rsidR="00404E9C">
        <w:t>p</w:t>
      </w:r>
      <w:r w:rsidRPr="008D1918">
        <w:t>ricing</w:t>
      </w:r>
      <w:bookmarkEnd w:id="508"/>
      <w:bookmarkEnd w:id="509"/>
      <w:bookmarkEnd w:id="510"/>
      <w:bookmarkEnd w:id="511"/>
      <w:bookmarkEnd w:id="512"/>
      <w:bookmarkEnd w:id="513"/>
      <w:bookmarkEnd w:id="514"/>
      <w:bookmarkEnd w:id="515"/>
      <w:r w:rsidRPr="008D1918">
        <w:t xml:space="preserve"> </w:t>
      </w:r>
    </w:p>
    <w:p w:rsidRPr="008D1918" w:rsidR="00404E9C" w:rsidP="001D163B" w:rsidRDefault="00404E9C" w14:paraId="43DB4569" w14:textId="668DC584">
      <w:pPr>
        <w:pStyle w:val="Heading31"/>
        <w:ind w:left="1077" w:hanging="720"/>
      </w:pPr>
      <w:bookmarkStart w:name="_Toc223539637" w:id="516"/>
      <w:bookmarkStart w:name="_Toc223539851" w:id="517"/>
      <w:bookmarkStart w:name="_Toc223540319" w:id="518"/>
      <w:bookmarkStart w:name="_Toc223540535" w:id="519"/>
      <w:bookmarkStart w:name="_Toc223542074" w:id="520"/>
      <w:bookmarkStart w:name="_Toc223604259" w:id="521"/>
      <w:bookmarkStart w:name="_Toc223604470" w:id="522"/>
      <w:bookmarkStart w:name="_Toc227337064" w:id="523"/>
      <w:bookmarkStart w:name="_Toc223428380" w:id="524"/>
      <w:bookmarkStart w:name="_Toc223445840" w:id="525"/>
      <w:r w:rsidRPr="008D1918">
        <w:t>Context and purpose</w:t>
      </w:r>
      <w:bookmarkEnd w:id="516"/>
      <w:bookmarkEnd w:id="517"/>
      <w:bookmarkEnd w:id="518"/>
      <w:bookmarkEnd w:id="519"/>
      <w:bookmarkEnd w:id="520"/>
      <w:bookmarkEnd w:id="521"/>
      <w:bookmarkEnd w:id="522"/>
      <w:bookmarkEnd w:id="523"/>
    </w:p>
    <w:p w:rsidRPr="008D1918" w:rsidR="00381DF9" w:rsidP="00E9567F" w:rsidRDefault="00381DF9" w14:paraId="386D13A2" w14:textId="1D22A5B6">
      <w:pPr>
        <w:rPr>
          <w:lang w:val="en-AU"/>
        </w:rPr>
      </w:pPr>
      <w:r w:rsidRPr="008D1918">
        <w:rPr>
          <w:lang w:val="en-AU"/>
        </w:rPr>
        <w:t xml:space="preserve">The participant consultation examined in Chapter 4 establishes that participants support fair pricing differentiation but do not rely on price as a quality signal. This chapter addresses the structural question: where materially different obligations, cost structures or regulatory requirements exist across providers delivering the same support, should a single price </w:t>
      </w:r>
      <w:r w:rsidRPr="008D1918" w:rsidR="007D20E5">
        <w:rPr>
          <w:lang w:val="en-AU"/>
        </w:rPr>
        <w:t>recommendation</w:t>
      </w:r>
      <w:r w:rsidRPr="008D1918">
        <w:rPr>
          <w:lang w:val="en-AU"/>
        </w:rPr>
        <w:t xml:space="preserve"> apply. </w:t>
      </w:r>
    </w:p>
    <w:p w:rsidRPr="008D1918" w:rsidR="00E9567F" w:rsidP="00E9567F" w:rsidRDefault="00E9567F" w14:paraId="358D9A01" w14:textId="1C64ABAB">
      <w:pPr>
        <w:rPr>
          <w:lang w:val="en-AU"/>
        </w:rPr>
      </w:pPr>
      <w:r w:rsidRPr="008D1918">
        <w:rPr>
          <w:lang w:val="en-AU"/>
        </w:rPr>
        <w:t>Price</w:t>
      </w:r>
      <w:r w:rsidRPr="008D1918" w:rsidR="009469CA">
        <w:rPr>
          <w:lang w:val="en-AU"/>
        </w:rPr>
        <w:t>s</w:t>
      </w:r>
      <w:r w:rsidRPr="008D1918">
        <w:rPr>
          <w:lang w:val="en-AU"/>
        </w:rPr>
        <w:t xml:space="preserve"> play</w:t>
      </w:r>
      <w:r w:rsidRPr="008D1918" w:rsidR="000E0277">
        <w:rPr>
          <w:lang w:val="en-AU"/>
        </w:rPr>
        <w:t xml:space="preserve"> </w:t>
      </w:r>
      <w:r w:rsidRPr="008D1918">
        <w:rPr>
          <w:lang w:val="en-AU"/>
        </w:rPr>
        <w:t xml:space="preserve">a </w:t>
      </w:r>
      <w:r w:rsidRPr="00A15CD5">
        <w:rPr>
          <w:lang w:val="en-AU"/>
        </w:rPr>
        <w:t>central role</w:t>
      </w:r>
      <w:r w:rsidRPr="00A15CD5" w:rsidR="000E0277">
        <w:rPr>
          <w:lang w:val="en-AU"/>
        </w:rPr>
        <w:t xml:space="preserve"> </w:t>
      </w:r>
      <w:r w:rsidRPr="00A15CD5">
        <w:rPr>
          <w:lang w:val="en-AU"/>
        </w:rPr>
        <w:t>in shaping NDIS markets. They influence how supports are delivered, which delivery models are</w:t>
      </w:r>
      <w:r w:rsidRPr="00A15CD5" w:rsidR="000E0277">
        <w:rPr>
          <w:lang w:val="en-AU"/>
        </w:rPr>
        <w:t xml:space="preserve"> </w:t>
      </w:r>
      <w:r w:rsidRPr="00A15CD5">
        <w:rPr>
          <w:lang w:val="en-AU"/>
        </w:rPr>
        <w:t xml:space="preserve">viable and how risk is shared between the </w:t>
      </w:r>
      <w:r w:rsidRPr="00A15CD5" w:rsidR="00E03FCF">
        <w:rPr>
          <w:lang w:val="en-AU"/>
        </w:rPr>
        <w:t>NDIS</w:t>
      </w:r>
      <w:r w:rsidRPr="00A15CD5">
        <w:rPr>
          <w:lang w:val="en-AU"/>
        </w:rPr>
        <w:t>,</w:t>
      </w:r>
      <w:r w:rsidRPr="00A15CD5" w:rsidR="000E0277">
        <w:rPr>
          <w:lang w:val="en-AU"/>
        </w:rPr>
        <w:t xml:space="preserve"> </w:t>
      </w:r>
      <w:r w:rsidRPr="00A15CD5">
        <w:rPr>
          <w:lang w:val="en-AU"/>
        </w:rPr>
        <w:t>providers</w:t>
      </w:r>
      <w:r w:rsidRPr="00A15CD5" w:rsidR="000E0277">
        <w:rPr>
          <w:lang w:val="en-AU"/>
        </w:rPr>
        <w:t xml:space="preserve"> </w:t>
      </w:r>
      <w:r w:rsidRPr="00A15CD5">
        <w:rPr>
          <w:lang w:val="en-AU"/>
        </w:rPr>
        <w:t>and participants.</w:t>
      </w:r>
      <w:r w:rsidRPr="00A15CD5" w:rsidR="000E0277">
        <w:rPr>
          <w:lang w:val="en-AU"/>
        </w:rPr>
        <w:t xml:space="preserve"> </w:t>
      </w:r>
      <w:r w:rsidRPr="00A15CD5">
        <w:rPr>
          <w:lang w:val="en-AU"/>
        </w:rPr>
        <w:t xml:space="preserve">Where providers operate under broadly similar conditions, a uniform </w:t>
      </w:r>
      <w:r w:rsidRPr="00A15CD5" w:rsidR="009F1B25">
        <w:rPr>
          <w:lang w:val="en-AU"/>
        </w:rPr>
        <w:t xml:space="preserve">maximum </w:t>
      </w:r>
      <w:r w:rsidRPr="00A15CD5">
        <w:rPr>
          <w:lang w:val="en-AU"/>
        </w:rPr>
        <w:t>price can function as a reasonable market signal.</w:t>
      </w:r>
      <w:r w:rsidRPr="00A15CD5" w:rsidR="000E0277">
        <w:rPr>
          <w:lang w:val="en-AU"/>
        </w:rPr>
        <w:t xml:space="preserve"> </w:t>
      </w:r>
      <w:r w:rsidRPr="00A15CD5" w:rsidR="65B58B68">
        <w:rPr>
          <w:lang w:val="en-AU"/>
        </w:rPr>
        <w:t>However, w</w:t>
      </w:r>
      <w:r w:rsidRPr="00A15CD5">
        <w:rPr>
          <w:lang w:val="en-AU"/>
        </w:rPr>
        <w:t xml:space="preserve">here materially different </w:t>
      </w:r>
      <w:r w:rsidRPr="00A15CD5" w:rsidR="00647DAA">
        <w:rPr>
          <w:lang w:val="en-AU"/>
        </w:rPr>
        <w:t xml:space="preserve">conditions and </w:t>
      </w:r>
      <w:r w:rsidRPr="00A15CD5">
        <w:rPr>
          <w:lang w:val="en-AU"/>
        </w:rPr>
        <w:t xml:space="preserve">cost structures exist across providers delivering the same support, a single </w:t>
      </w:r>
      <w:r w:rsidRPr="00A15CD5" w:rsidR="009F1B25">
        <w:rPr>
          <w:lang w:val="en-AU"/>
        </w:rPr>
        <w:t xml:space="preserve">maximum </w:t>
      </w:r>
      <w:r w:rsidRPr="00A15CD5">
        <w:rPr>
          <w:lang w:val="en-AU"/>
        </w:rPr>
        <w:t>price may not adequately reflect the diversity of delivery conditions.</w:t>
      </w:r>
    </w:p>
    <w:p w:rsidRPr="008D1918" w:rsidR="00404E9C" w:rsidP="00E9567F" w:rsidRDefault="00E9567F" w14:paraId="3DD630B8" w14:textId="21AED02D">
      <w:pPr>
        <w:rPr>
          <w:lang w:val="en-AU"/>
        </w:rPr>
      </w:pPr>
      <w:r w:rsidRPr="008D1918">
        <w:rPr>
          <w:lang w:val="en-AU"/>
        </w:rPr>
        <w:t xml:space="preserve">The </w:t>
      </w:r>
      <w:r w:rsidRPr="008D1918" w:rsidR="00E545CA">
        <w:rPr>
          <w:lang w:val="en-AU"/>
        </w:rPr>
        <w:t xml:space="preserve">Independent Pricing Committee </w:t>
      </w:r>
      <w:r w:rsidRPr="008D1918" w:rsidR="00655B17">
        <w:rPr>
          <w:lang w:val="en-AU"/>
        </w:rPr>
        <w:t>has recommended that NDIS prices</w:t>
      </w:r>
      <w:r w:rsidRPr="008D1918" w:rsidR="002C7FA0">
        <w:rPr>
          <w:lang w:val="en-AU"/>
        </w:rPr>
        <w:t xml:space="preserve"> </w:t>
      </w:r>
      <w:r w:rsidRPr="008D1918">
        <w:rPr>
          <w:lang w:val="en-AU"/>
        </w:rPr>
        <w:t>move beyond the assumption that uniform hourly pricing is always</w:t>
      </w:r>
      <w:r w:rsidRPr="008D1918" w:rsidR="000E0277">
        <w:rPr>
          <w:lang w:val="en-AU"/>
        </w:rPr>
        <w:t xml:space="preserve"> </w:t>
      </w:r>
      <w:r w:rsidRPr="008D1918" w:rsidR="0074732E">
        <w:rPr>
          <w:lang w:val="en-AU"/>
        </w:rPr>
        <w:t>appropriate and</w:t>
      </w:r>
      <w:r w:rsidRPr="008D1918" w:rsidR="000E0277">
        <w:rPr>
          <w:lang w:val="en-AU"/>
        </w:rPr>
        <w:t xml:space="preserve"> </w:t>
      </w:r>
      <w:r w:rsidR="00AB6549">
        <w:rPr>
          <w:lang w:val="en-AU"/>
        </w:rPr>
        <w:t xml:space="preserve">move </w:t>
      </w:r>
      <w:r w:rsidRPr="008D1918" w:rsidR="00B94130">
        <w:rPr>
          <w:lang w:val="en-AU"/>
        </w:rPr>
        <w:t>towards differentiated</w:t>
      </w:r>
      <w:r w:rsidRPr="008D1918">
        <w:rPr>
          <w:lang w:val="en-AU"/>
        </w:rPr>
        <w:t xml:space="preserve"> approaches that better reflect the diversity of supports, delivery</w:t>
      </w:r>
      <w:r w:rsidRPr="008D1918" w:rsidR="000E0277">
        <w:rPr>
          <w:lang w:val="en-AU"/>
        </w:rPr>
        <w:t xml:space="preserve"> </w:t>
      </w:r>
      <w:r w:rsidRPr="008D1918">
        <w:rPr>
          <w:lang w:val="en-AU"/>
        </w:rPr>
        <w:t>contexts</w:t>
      </w:r>
      <w:r w:rsidRPr="008D1918" w:rsidR="000E0277">
        <w:rPr>
          <w:lang w:val="en-AU"/>
        </w:rPr>
        <w:t xml:space="preserve"> </w:t>
      </w:r>
      <w:r w:rsidRPr="008D1918">
        <w:rPr>
          <w:lang w:val="en-AU"/>
        </w:rPr>
        <w:t>and provider obligations.</w:t>
      </w:r>
      <w:r w:rsidRPr="008D1918" w:rsidR="008608A6">
        <w:rPr>
          <w:lang w:val="en-AU"/>
        </w:rPr>
        <w:t xml:space="preserve"> </w:t>
      </w:r>
      <w:r w:rsidRPr="008D1918">
        <w:rPr>
          <w:lang w:val="en-AU"/>
        </w:rPr>
        <w:t>Submissions</w:t>
      </w:r>
      <w:r w:rsidRPr="008D1918" w:rsidR="00701CC2">
        <w:rPr>
          <w:lang w:val="en-AU"/>
        </w:rPr>
        <w:t xml:space="preserve"> to this</w:t>
      </w:r>
      <w:r w:rsidRPr="008D1918">
        <w:rPr>
          <w:lang w:val="en-AU"/>
        </w:rPr>
        <w:t xml:space="preserve"> APR</w:t>
      </w:r>
      <w:r w:rsidRPr="008D1918" w:rsidR="000E0277">
        <w:rPr>
          <w:lang w:val="en-AU"/>
        </w:rPr>
        <w:t xml:space="preserve"> </w:t>
      </w:r>
      <w:r w:rsidRPr="008D1918">
        <w:rPr>
          <w:lang w:val="en-AU"/>
        </w:rPr>
        <w:t>indicated</w:t>
      </w:r>
      <w:r w:rsidRPr="008D1918" w:rsidR="000E0277">
        <w:rPr>
          <w:lang w:val="en-AU"/>
        </w:rPr>
        <w:t xml:space="preserve"> </w:t>
      </w:r>
      <w:r w:rsidRPr="008D1918">
        <w:rPr>
          <w:lang w:val="en-AU"/>
        </w:rPr>
        <w:t>broad agreement that some form of differentiation is</w:t>
      </w:r>
      <w:r w:rsidRPr="008D1918" w:rsidR="000E0277">
        <w:rPr>
          <w:lang w:val="en-AU"/>
        </w:rPr>
        <w:t xml:space="preserve"> </w:t>
      </w:r>
      <w:r w:rsidRPr="008D1918" w:rsidR="00DD699F">
        <w:rPr>
          <w:lang w:val="en-AU"/>
        </w:rPr>
        <w:t>warranted but</w:t>
      </w:r>
      <w:r w:rsidRPr="008D1918" w:rsidR="00B63073">
        <w:rPr>
          <w:lang w:val="en-AU"/>
        </w:rPr>
        <w:t xml:space="preserve"> cautioned</w:t>
      </w:r>
      <w:r w:rsidRPr="008D1918">
        <w:rPr>
          <w:lang w:val="en-AU"/>
        </w:rPr>
        <w:t xml:space="preserve"> against excessive fragmentation of price</w:t>
      </w:r>
      <w:r w:rsidRPr="008D1918" w:rsidR="009F1B25">
        <w:rPr>
          <w:lang w:val="en-AU"/>
        </w:rPr>
        <w:t>s</w:t>
      </w:r>
      <w:r w:rsidRPr="008D1918">
        <w:rPr>
          <w:lang w:val="en-AU"/>
        </w:rPr>
        <w:t xml:space="preserve"> which could increase administrative complexity, reduce market transparency and create unintended incentives for providers to restructure operations to </w:t>
      </w:r>
      <w:r w:rsidRPr="008D1918" w:rsidR="00655B17">
        <w:rPr>
          <w:lang w:val="en-AU"/>
        </w:rPr>
        <w:t>charge</w:t>
      </w:r>
      <w:r w:rsidRPr="008D1918">
        <w:rPr>
          <w:lang w:val="en-AU"/>
        </w:rPr>
        <w:t xml:space="preserve"> higher rates. The </w:t>
      </w:r>
      <w:r w:rsidRPr="008D1918" w:rsidR="09B98AD8">
        <w:rPr>
          <w:lang w:val="en-AU"/>
        </w:rPr>
        <w:t>NDIA’s</w:t>
      </w:r>
      <w:r w:rsidRPr="008D1918">
        <w:rPr>
          <w:lang w:val="en-AU"/>
        </w:rPr>
        <w:t xml:space="preserve"> approach is to </w:t>
      </w:r>
      <w:r w:rsidRPr="008D1918" w:rsidR="001A323B">
        <w:rPr>
          <w:lang w:val="en-AU"/>
        </w:rPr>
        <w:t>recommend</w:t>
      </w:r>
      <w:r w:rsidRPr="008D1918">
        <w:rPr>
          <w:lang w:val="en-AU"/>
        </w:rPr>
        <w:t xml:space="preserve"> differentiation selectively, where structural differences between providers are clear, enduring, consistently</w:t>
      </w:r>
      <w:r w:rsidRPr="008D1918" w:rsidR="000E0277">
        <w:rPr>
          <w:lang w:val="en-AU"/>
        </w:rPr>
        <w:t xml:space="preserve"> </w:t>
      </w:r>
      <w:r w:rsidRPr="008D1918">
        <w:rPr>
          <w:lang w:val="en-AU"/>
        </w:rPr>
        <w:t>applicable</w:t>
      </w:r>
      <w:r w:rsidRPr="008D1918" w:rsidR="000E0277">
        <w:rPr>
          <w:lang w:val="en-AU"/>
        </w:rPr>
        <w:t xml:space="preserve"> </w:t>
      </w:r>
      <w:r w:rsidRPr="008D1918">
        <w:rPr>
          <w:lang w:val="en-AU"/>
        </w:rPr>
        <w:t>and verifiable</w:t>
      </w:r>
      <w:r w:rsidRPr="008D1918" w:rsidR="5CC47D64">
        <w:rPr>
          <w:lang w:val="en-AU"/>
        </w:rPr>
        <w:t xml:space="preserve">, </w:t>
      </w:r>
      <w:r w:rsidRPr="008D1918">
        <w:rPr>
          <w:lang w:val="en-AU"/>
        </w:rPr>
        <w:t>not as a</w:t>
      </w:r>
      <w:r w:rsidRPr="008D1918" w:rsidR="000E0277">
        <w:rPr>
          <w:lang w:val="en-AU"/>
        </w:rPr>
        <w:t xml:space="preserve"> </w:t>
      </w:r>
      <w:r w:rsidRPr="008D1918">
        <w:rPr>
          <w:lang w:val="en-AU"/>
        </w:rPr>
        <w:t>generalised</w:t>
      </w:r>
      <w:r w:rsidRPr="008D1918" w:rsidR="000E0277">
        <w:rPr>
          <w:lang w:val="en-AU"/>
        </w:rPr>
        <w:t xml:space="preserve"> </w:t>
      </w:r>
      <w:r w:rsidRPr="008D1918">
        <w:rPr>
          <w:lang w:val="en-AU"/>
        </w:rPr>
        <w:t xml:space="preserve">response to </w:t>
      </w:r>
      <w:r w:rsidRPr="008D1918" w:rsidR="00E86B61">
        <w:rPr>
          <w:lang w:val="en-AU"/>
        </w:rPr>
        <w:t xml:space="preserve">variations in </w:t>
      </w:r>
      <w:r w:rsidRPr="008D1918">
        <w:rPr>
          <w:lang w:val="en-AU"/>
        </w:rPr>
        <w:t>cost pressure</w:t>
      </w:r>
      <w:r w:rsidRPr="008D1918" w:rsidR="00E86B61">
        <w:rPr>
          <w:lang w:val="en-AU"/>
        </w:rPr>
        <w:t>s</w:t>
      </w:r>
      <w:r w:rsidRPr="008D1918">
        <w:rPr>
          <w:lang w:val="en-AU"/>
        </w:rPr>
        <w:t>.</w:t>
      </w:r>
    </w:p>
    <w:p w:rsidRPr="008D1918" w:rsidR="00A71313" w:rsidP="001D163B" w:rsidRDefault="00B3168F" w14:paraId="1F45E6C8" w14:textId="4F52EFD1">
      <w:pPr>
        <w:pStyle w:val="Heading31"/>
        <w:ind w:left="1077" w:hanging="720"/>
      </w:pPr>
      <w:bookmarkStart w:name="_Toc223539638" w:id="526"/>
      <w:bookmarkStart w:name="_Toc223539852" w:id="527"/>
      <w:bookmarkStart w:name="_Toc223540320" w:id="528"/>
      <w:bookmarkStart w:name="_Toc223540536" w:id="529"/>
      <w:bookmarkStart w:name="_Toc223542075" w:id="530"/>
      <w:bookmarkStart w:name="_Toc223604260" w:id="531"/>
      <w:bookmarkStart w:name="_Toc223604471" w:id="532"/>
      <w:bookmarkStart w:name="_Toc227337065" w:id="533"/>
      <w:r w:rsidRPr="008D1918">
        <w:t>How differentiation already operates</w:t>
      </w:r>
      <w:bookmarkEnd w:id="526"/>
      <w:bookmarkEnd w:id="527"/>
      <w:bookmarkEnd w:id="528"/>
      <w:bookmarkEnd w:id="529"/>
      <w:bookmarkEnd w:id="530"/>
      <w:bookmarkEnd w:id="531"/>
      <w:bookmarkEnd w:id="532"/>
      <w:bookmarkEnd w:id="533"/>
    </w:p>
    <w:bookmarkEnd w:id="524"/>
    <w:bookmarkEnd w:id="525"/>
    <w:p w:rsidRPr="008D1918" w:rsidR="002141BC" w:rsidP="0B50E515" w:rsidRDefault="009B518C" w14:paraId="6D0B0D32" w14:textId="6C6FC986">
      <w:pPr>
        <w:rPr>
          <w:lang w:val="en-AU"/>
        </w:rPr>
      </w:pPr>
      <w:r w:rsidRPr="008D1918">
        <w:rPr>
          <w:lang w:val="en-AU"/>
        </w:rPr>
        <w:t xml:space="preserve">Differentiated pricing is not new </w:t>
      </w:r>
      <w:r w:rsidRPr="008D1918" w:rsidR="00E86B61">
        <w:rPr>
          <w:lang w:val="en-AU"/>
        </w:rPr>
        <w:t xml:space="preserve">within </w:t>
      </w:r>
      <w:r w:rsidRPr="008D1918">
        <w:rPr>
          <w:lang w:val="en-AU"/>
        </w:rPr>
        <w:t xml:space="preserve">the NDIS. The </w:t>
      </w:r>
      <w:r w:rsidRPr="008D1918" w:rsidR="00C8607F">
        <w:rPr>
          <w:lang w:val="en-AU"/>
        </w:rPr>
        <w:t>NDIA’s</w:t>
      </w:r>
      <w:r w:rsidRPr="008D1918">
        <w:rPr>
          <w:lang w:val="en-AU"/>
        </w:rPr>
        <w:t xml:space="preserve"> pricing framework already applies differentiation in targeted ways where service delivery conditions differ predictably. Geographic adjustments using the Modified Monash Model recognise the higher costs of delivering services in </w:t>
      </w:r>
      <w:r w:rsidRPr="008D1918" w:rsidR="00EA27BD">
        <w:rPr>
          <w:lang w:val="en-AU"/>
        </w:rPr>
        <w:t xml:space="preserve">rural </w:t>
      </w:r>
      <w:r w:rsidRPr="008D1918">
        <w:rPr>
          <w:lang w:val="en-AU"/>
        </w:rPr>
        <w:t xml:space="preserve">and remote areas. Time-of-day loadings reflect the penalty rates applicable to work performed outside standard business hours and on weekends and public holidays. Higher rates </w:t>
      </w:r>
      <w:r w:rsidRPr="008D1918" w:rsidR="008C6C94">
        <w:rPr>
          <w:lang w:val="en-AU"/>
        </w:rPr>
        <w:t>exist</w:t>
      </w:r>
      <w:r w:rsidRPr="008D1918" w:rsidR="005B272D">
        <w:rPr>
          <w:lang w:val="en-AU"/>
        </w:rPr>
        <w:t xml:space="preserve"> </w:t>
      </w:r>
      <w:r w:rsidRPr="008D1918">
        <w:rPr>
          <w:lang w:val="en-AU"/>
        </w:rPr>
        <w:t>for supports involving greater intensity or complexity</w:t>
      </w:r>
      <w:r w:rsidRPr="008D1918" w:rsidR="00470D66">
        <w:rPr>
          <w:lang w:val="en-AU"/>
        </w:rPr>
        <w:t>.</w:t>
      </w:r>
      <w:r w:rsidRPr="008D1918" w:rsidR="000150A7">
        <w:rPr>
          <w:lang w:val="en-AU"/>
        </w:rPr>
        <w:t xml:space="preserve"> These </w:t>
      </w:r>
      <w:r w:rsidRPr="008D1918" w:rsidR="005B2AA2">
        <w:rPr>
          <w:lang w:val="en-AU"/>
        </w:rPr>
        <w:t>share common characteristics</w:t>
      </w:r>
      <w:r w:rsidRPr="008D1918" w:rsidR="00092108">
        <w:rPr>
          <w:lang w:val="en-AU"/>
        </w:rPr>
        <w:t>:</w:t>
      </w:r>
      <w:r w:rsidRPr="008D1918" w:rsidR="005B2AA2">
        <w:rPr>
          <w:lang w:val="en-AU"/>
        </w:rPr>
        <w:t xml:space="preserve"> each is anchored in objective,</w:t>
      </w:r>
      <w:r w:rsidRPr="008D1918" w:rsidR="000A0741">
        <w:rPr>
          <w:lang w:val="en-AU"/>
        </w:rPr>
        <w:t xml:space="preserve"> verifiable characteristics; each reflects </w:t>
      </w:r>
      <w:r w:rsidRPr="008D1918" w:rsidR="006E79CE">
        <w:rPr>
          <w:lang w:val="en-AU"/>
        </w:rPr>
        <w:t xml:space="preserve">structural rather than discretionary cost differences; and each can be administered consistently without subjective assessment. The extensions </w:t>
      </w:r>
      <w:r w:rsidRPr="008D1918" w:rsidR="00264DF6">
        <w:rPr>
          <w:lang w:val="en-AU"/>
        </w:rPr>
        <w:t xml:space="preserve">recommended </w:t>
      </w:r>
      <w:r w:rsidRPr="008D1918" w:rsidR="006E79CE">
        <w:rPr>
          <w:lang w:val="en-AU"/>
        </w:rPr>
        <w:t>in this APR are designed to meet the same criteria.</w:t>
      </w:r>
    </w:p>
    <w:p w:rsidRPr="008D1918" w:rsidR="009B518C" w:rsidP="001D163B" w:rsidRDefault="009B518C" w14:paraId="6F7DCD70" w14:textId="43CB8AF9">
      <w:pPr>
        <w:pStyle w:val="Heading31"/>
        <w:ind w:left="1077" w:hanging="720"/>
      </w:pPr>
      <w:bookmarkStart w:name="_Toc223539639" w:id="534"/>
      <w:bookmarkStart w:name="_Toc223539853" w:id="535"/>
      <w:bookmarkStart w:name="_Toc223540321" w:id="536"/>
      <w:bookmarkStart w:name="_Toc223540537" w:id="537"/>
      <w:bookmarkStart w:name="_Toc223542076" w:id="538"/>
      <w:bookmarkStart w:name="_Toc223604261" w:id="539"/>
      <w:bookmarkStart w:name="_Toc223604472" w:id="540"/>
      <w:bookmarkStart w:name="_Toc227337066" w:id="541"/>
      <w:r w:rsidRPr="008D1918">
        <w:t>Registration status as a basi</w:t>
      </w:r>
      <w:r w:rsidRPr="008D1918" w:rsidR="002141BC">
        <w:t>s</w:t>
      </w:r>
      <w:r w:rsidRPr="008D1918">
        <w:t xml:space="preserve"> for differentiation</w:t>
      </w:r>
      <w:bookmarkEnd w:id="534"/>
      <w:bookmarkEnd w:id="535"/>
      <w:bookmarkEnd w:id="536"/>
      <w:bookmarkEnd w:id="537"/>
      <w:bookmarkEnd w:id="538"/>
      <w:bookmarkEnd w:id="539"/>
      <w:bookmarkEnd w:id="540"/>
      <w:bookmarkEnd w:id="541"/>
      <w:r w:rsidRPr="008D1918">
        <w:t xml:space="preserve"> </w:t>
      </w:r>
    </w:p>
    <w:p w:rsidRPr="008D1918" w:rsidR="00977BDA" w:rsidP="00977BDA" w:rsidRDefault="00977BDA" w14:paraId="5CCC1EAE" w14:textId="209A431D">
      <w:pPr>
        <w:rPr>
          <w:lang w:val="en-AU"/>
        </w:rPr>
      </w:pPr>
      <w:r w:rsidRPr="008D1918">
        <w:rPr>
          <w:lang w:val="en-AU"/>
        </w:rPr>
        <w:t xml:space="preserve">Provider registration is a meaningful structural distinction within the NDIS. Registration determines a provider’s ability to </w:t>
      </w:r>
      <w:r w:rsidRPr="008D1918" w:rsidR="1B04FBEE">
        <w:rPr>
          <w:lang w:val="en-AU"/>
        </w:rPr>
        <w:t>deliver supports to</w:t>
      </w:r>
      <w:r w:rsidRPr="008D1918">
        <w:rPr>
          <w:lang w:val="en-AU"/>
        </w:rPr>
        <w:t xml:space="preserve"> </w:t>
      </w:r>
      <w:r w:rsidRPr="008D1918" w:rsidR="00650AF4">
        <w:rPr>
          <w:lang w:val="en-AU"/>
        </w:rPr>
        <w:t>Agency</w:t>
      </w:r>
      <w:r w:rsidRPr="008D1918">
        <w:rPr>
          <w:lang w:val="en-AU"/>
        </w:rPr>
        <w:t xml:space="preserve">-managed participants, underpins NDIS </w:t>
      </w:r>
      <w:r w:rsidRPr="008D1918" w:rsidR="00DC4A84">
        <w:rPr>
          <w:lang w:val="en-AU"/>
        </w:rPr>
        <w:t xml:space="preserve">Quality and Safeguards </w:t>
      </w:r>
      <w:r w:rsidRPr="008D1918">
        <w:rPr>
          <w:lang w:val="en-AU"/>
        </w:rPr>
        <w:t xml:space="preserve">Commission </w:t>
      </w:r>
      <w:r w:rsidRPr="008D1918" w:rsidR="00DC4A84">
        <w:rPr>
          <w:lang w:val="en-AU"/>
        </w:rPr>
        <w:t>(NDIS Commission)</w:t>
      </w:r>
      <w:r w:rsidRPr="008D1918">
        <w:rPr>
          <w:lang w:val="en-AU"/>
        </w:rPr>
        <w:t xml:space="preserve"> oversight, and signals a provider has met the applicable NDIS Practice Standards, passed audit requirements and established internal systems necessary for ongoing compliance. These obligations are enduring, verifiable and </w:t>
      </w:r>
      <w:r w:rsidR="002206D9">
        <w:rPr>
          <w:lang w:val="en-AU"/>
        </w:rPr>
        <w:t xml:space="preserve">at </w:t>
      </w:r>
      <w:r w:rsidRPr="008D1918">
        <w:rPr>
          <w:lang w:val="en-AU"/>
        </w:rPr>
        <w:t>provider-level</w:t>
      </w:r>
      <w:r w:rsidRPr="008D1918" w:rsidR="632D9DEA">
        <w:rPr>
          <w:lang w:val="en-AU"/>
        </w:rPr>
        <w:t>.</w:t>
      </w:r>
      <w:r w:rsidRPr="008D1918">
        <w:rPr>
          <w:lang w:val="en-AU"/>
        </w:rPr>
        <w:t xml:space="preserve"> </w:t>
      </w:r>
      <w:r w:rsidRPr="008D1918" w:rsidR="6F84A020">
        <w:rPr>
          <w:lang w:val="en-AU"/>
        </w:rPr>
        <w:t>T</w:t>
      </w:r>
      <w:r w:rsidRPr="008D1918">
        <w:rPr>
          <w:lang w:val="en-AU"/>
        </w:rPr>
        <w:t>hey do not depend on individual participant</w:t>
      </w:r>
      <w:r w:rsidRPr="008D1918" w:rsidR="009F14E9">
        <w:rPr>
          <w:lang w:val="en-AU"/>
        </w:rPr>
        <w:t xml:space="preserve"> characteristic</w:t>
      </w:r>
      <w:r w:rsidRPr="008D1918">
        <w:rPr>
          <w:lang w:val="en-AU"/>
        </w:rPr>
        <w:t xml:space="preserve">s or the nature of specific support episodes. </w:t>
      </w:r>
    </w:p>
    <w:p w:rsidRPr="008D1918" w:rsidR="00977BDA" w:rsidP="00977BDA" w:rsidRDefault="00977BDA" w14:paraId="2F4BF116" w14:textId="7C9A8D3F">
      <w:pPr>
        <w:rPr>
          <w:lang w:val="en-AU"/>
        </w:rPr>
      </w:pPr>
      <w:r w:rsidRPr="008D1918">
        <w:rPr>
          <w:lang w:val="en-AU"/>
        </w:rPr>
        <w:t xml:space="preserve">The regulatory and governance obligations associated with registration impose costs unregistered providers do not </w:t>
      </w:r>
      <w:r w:rsidRPr="008D1918" w:rsidR="00D97DA5">
        <w:rPr>
          <w:lang w:val="en-AU"/>
        </w:rPr>
        <w:t>incur</w:t>
      </w:r>
      <w:r w:rsidRPr="008D1918">
        <w:rPr>
          <w:lang w:val="en-AU"/>
        </w:rPr>
        <w:t>. These include costs associated with initial and ongoing audit and certification</w:t>
      </w:r>
      <w:r w:rsidRPr="008D1918" w:rsidR="00C50CA7">
        <w:rPr>
          <w:lang w:val="en-AU"/>
        </w:rPr>
        <w:t>;</w:t>
      </w:r>
      <w:r w:rsidRPr="008D1918">
        <w:rPr>
          <w:lang w:val="en-AU"/>
        </w:rPr>
        <w:t xml:space="preserve"> compliance with Practice Standards including those relating to governance, risk management and human resources</w:t>
      </w:r>
      <w:r w:rsidRPr="008D1918" w:rsidR="00FE2B9C">
        <w:rPr>
          <w:lang w:val="en-AU"/>
        </w:rPr>
        <w:t>;</w:t>
      </w:r>
      <w:r w:rsidRPr="008D1918">
        <w:rPr>
          <w:lang w:val="en-AU"/>
        </w:rPr>
        <w:t xml:space="preserve"> maintaining worker screening and training records to the standard required by the NDIS Commission</w:t>
      </w:r>
      <w:r w:rsidRPr="008D1918" w:rsidR="00FE2B9C">
        <w:rPr>
          <w:lang w:val="en-AU"/>
        </w:rPr>
        <w:t>;</w:t>
      </w:r>
      <w:r w:rsidRPr="008D1918">
        <w:rPr>
          <w:lang w:val="en-AU"/>
        </w:rPr>
        <w:t xml:space="preserve"> and administrative systems for quality reporting and complaints handling. While these costs </w:t>
      </w:r>
      <w:r w:rsidRPr="008D1918" w:rsidR="00E56F2B">
        <w:rPr>
          <w:lang w:val="en-AU"/>
        </w:rPr>
        <w:t>vary</w:t>
      </w:r>
      <w:r w:rsidRPr="008D1918">
        <w:rPr>
          <w:lang w:val="en-AU"/>
        </w:rPr>
        <w:t xml:space="preserve"> by provider size and operating model, their existence is a structural feature of the registration requirement, not a discretionary business decision. </w:t>
      </w:r>
    </w:p>
    <w:p w:rsidRPr="008D1918" w:rsidR="00977BDA" w:rsidP="00977BDA" w:rsidRDefault="00977BDA" w14:paraId="5671B9EE" w14:textId="55C47382">
      <w:pPr>
        <w:rPr>
          <w:lang w:val="en-AU"/>
        </w:rPr>
      </w:pPr>
      <w:r w:rsidRPr="008D1918">
        <w:rPr>
          <w:lang w:val="en-AU"/>
        </w:rPr>
        <w:t>The current</w:t>
      </w:r>
      <w:r w:rsidRPr="008D1918" w:rsidR="00264DF6">
        <w:rPr>
          <w:lang w:val="en-AU"/>
        </w:rPr>
        <w:t xml:space="preserve"> approach to</w:t>
      </w:r>
      <w:r w:rsidRPr="008D1918">
        <w:rPr>
          <w:lang w:val="en-AU"/>
        </w:rPr>
        <w:t xml:space="preserve"> </w:t>
      </w:r>
      <w:r w:rsidRPr="008D1918" w:rsidR="00074A0F">
        <w:rPr>
          <w:lang w:val="en-AU"/>
        </w:rPr>
        <w:t>prices does</w:t>
      </w:r>
      <w:r w:rsidRPr="008D1918">
        <w:rPr>
          <w:lang w:val="en-AU"/>
        </w:rPr>
        <w:t xml:space="preserve"> not reflect these differences. </w:t>
      </w:r>
      <w:r w:rsidRPr="008D1918" w:rsidR="005158AF">
        <w:rPr>
          <w:lang w:val="en-AU"/>
        </w:rPr>
        <w:t xml:space="preserve">Making </w:t>
      </w:r>
      <w:r w:rsidRPr="008D1918">
        <w:rPr>
          <w:lang w:val="en-AU"/>
        </w:rPr>
        <w:t xml:space="preserve">identical price </w:t>
      </w:r>
      <w:r w:rsidRPr="008D1918" w:rsidR="005158AF">
        <w:rPr>
          <w:lang w:val="en-AU"/>
        </w:rPr>
        <w:t>recommendations concerning</w:t>
      </w:r>
      <w:r w:rsidRPr="008D1918">
        <w:rPr>
          <w:lang w:val="en-AU"/>
        </w:rPr>
        <w:t xml:space="preserve"> providers operating under materially different regulatory and governance settings treats the obligations of registration as commercially irrelevant to pricing. This weakens the alignment between the </w:t>
      </w:r>
      <w:r w:rsidRPr="008D1918" w:rsidR="00ED3D50">
        <w:rPr>
          <w:lang w:val="en-AU"/>
        </w:rPr>
        <w:t xml:space="preserve">NDIS </w:t>
      </w:r>
      <w:r w:rsidRPr="008D1918">
        <w:rPr>
          <w:lang w:val="en-AU"/>
        </w:rPr>
        <w:t xml:space="preserve">regulatory framework and its pricing </w:t>
      </w:r>
      <w:r w:rsidRPr="008D1918" w:rsidR="0074732E">
        <w:rPr>
          <w:lang w:val="en-AU"/>
        </w:rPr>
        <w:t>framework and</w:t>
      </w:r>
      <w:r w:rsidRPr="008D1918">
        <w:rPr>
          <w:lang w:val="en-AU"/>
        </w:rPr>
        <w:t xml:space="preserve"> may reduce the incentive for providers to register or maintain registration where the cost of compliance is not reflected in the prices they charge. </w:t>
      </w:r>
    </w:p>
    <w:p w:rsidRPr="008D1918" w:rsidR="002141BC" w:rsidP="00977BDA" w:rsidRDefault="00977BDA" w14:paraId="7E8DEA98" w14:textId="40A2502F">
      <w:pPr>
        <w:rPr>
          <w:lang w:val="en-AU"/>
        </w:rPr>
      </w:pPr>
      <w:r w:rsidRPr="008D1918">
        <w:rPr>
          <w:lang w:val="en-AU"/>
        </w:rPr>
        <w:t xml:space="preserve">Participant consultation provided nuanced insights on this question. While 43% of respondents indicated differentiated pricing would not </w:t>
      </w:r>
      <w:r w:rsidRPr="008D1918" w:rsidR="00C70951">
        <w:rPr>
          <w:lang w:val="en-AU"/>
        </w:rPr>
        <w:t>change</w:t>
      </w:r>
      <w:r w:rsidRPr="008D1918">
        <w:rPr>
          <w:lang w:val="en-AU"/>
        </w:rPr>
        <w:t xml:space="preserve"> their provider choices, </w:t>
      </w:r>
      <w:r w:rsidRPr="008D1918" w:rsidR="00BC30A2">
        <w:rPr>
          <w:lang w:val="en-AU"/>
        </w:rPr>
        <w:t>about</w:t>
      </w:r>
      <w:r w:rsidRPr="008D1918">
        <w:rPr>
          <w:lang w:val="en-AU"/>
        </w:rPr>
        <w:t xml:space="preserve"> two-thirds expressed a preference for unregistered providers</w:t>
      </w:r>
      <w:r w:rsidRPr="008D1918" w:rsidR="00BC30A2">
        <w:rPr>
          <w:lang w:val="en-AU"/>
        </w:rPr>
        <w:t>.</w:t>
      </w:r>
      <w:r w:rsidRPr="008D1918">
        <w:rPr>
          <w:lang w:val="en-AU"/>
        </w:rPr>
        <w:t xml:space="preserve"> </w:t>
      </w:r>
      <w:r w:rsidRPr="008D1918" w:rsidR="00BC30A2">
        <w:rPr>
          <w:lang w:val="en-AU"/>
        </w:rPr>
        <w:t>P</w:t>
      </w:r>
      <w:r w:rsidRPr="008D1918">
        <w:rPr>
          <w:lang w:val="en-AU"/>
        </w:rPr>
        <w:t xml:space="preserve">articipants consistently acknowledged that registration-based differentiation reflects real differences in provider obligations. However, participants also indicated that pricing has limited effectiveness as a quality signal, and they assess provider quality through experience, trust and professional credentials rather than price. Registration-based pricing </w:t>
      </w:r>
      <w:r w:rsidRPr="008D1918" w:rsidR="005158AF">
        <w:rPr>
          <w:lang w:val="en-AU"/>
        </w:rPr>
        <w:t xml:space="preserve">differentiation would </w:t>
      </w:r>
      <w:r w:rsidRPr="008D1918">
        <w:rPr>
          <w:lang w:val="en-AU"/>
        </w:rPr>
        <w:t xml:space="preserve">reflect the </w:t>
      </w:r>
      <w:r w:rsidRPr="008D1918" w:rsidR="00000F0F">
        <w:rPr>
          <w:lang w:val="en-AU"/>
        </w:rPr>
        <w:t>NDIA’s</w:t>
      </w:r>
      <w:r w:rsidRPr="008D1918">
        <w:rPr>
          <w:lang w:val="en-AU"/>
        </w:rPr>
        <w:t xml:space="preserve"> verifiable basis for confidence </w:t>
      </w:r>
      <w:r w:rsidRPr="008D1918" w:rsidR="006C69A9">
        <w:rPr>
          <w:lang w:val="en-AU"/>
        </w:rPr>
        <w:t>that</w:t>
      </w:r>
      <w:r w:rsidRPr="008D1918">
        <w:rPr>
          <w:lang w:val="en-AU"/>
        </w:rPr>
        <w:t xml:space="preserve"> minimum standards </w:t>
      </w:r>
      <w:r w:rsidRPr="008D1918" w:rsidR="00DC184B">
        <w:rPr>
          <w:lang w:val="en-AU"/>
        </w:rPr>
        <w:t xml:space="preserve">have been met </w:t>
      </w:r>
      <w:r w:rsidRPr="008D1918">
        <w:rPr>
          <w:lang w:val="en-AU"/>
        </w:rPr>
        <w:t xml:space="preserve">— it </w:t>
      </w:r>
      <w:r w:rsidRPr="008D1918" w:rsidR="005158AF">
        <w:rPr>
          <w:lang w:val="en-AU"/>
        </w:rPr>
        <w:t>would</w:t>
      </w:r>
      <w:r w:rsidRPr="008D1918">
        <w:rPr>
          <w:lang w:val="en-AU"/>
        </w:rPr>
        <w:t xml:space="preserve"> not </w:t>
      </w:r>
      <w:r w:rsidRPr="008D1918" w:rsidR="00E44CC6">
        <w:rPr>
          <w:lang w:val="en-AU"/>
        </w:rPr>
        <w:t>mean</w:t>
      </w:r>
      <w:r w:rsidRPr="008D1918">
        <w:rPr>
          <w:lang w:val="en-AU"/>
        </w:rPr>
        <w:t xml:space="preserve"> registered providers deliver higher quality supports.</w:t>
      </w:r>
    </w:p>
    <w:p w:rsidRPr="008D1918" w:rsidR="000E4CF5" w:rsidP="001D163B" w:rsidRDefault="00977BDA" w14:paraId="23BAE0B5" w14:textId="426A8347">
      <w:pPr>
        <w:pStyle w:val="Heading31"/>
        <w:ind w:left="1077" w:hanging="720"/>
      </w:pPr>
      <w:bookmarkStart w:name="_Toc223539640" w:id="542"/>
      <w:bookmarkStart w:name="_Toc223539854" w:id="543"/>
      <w:bookmarkStart w:name="_Toc223540322" w:id="544"/>
      <w:bookmarkStart w:name="_Toc223540538" w:id="545"/>
      <w:bookmarkStart w:name="_Toc223542077" w:id="546"/>
      <w:bookmarkStart w:name="_Toc223604262" w:id="547"/>
      <w:bookmarkStart w:name="_Toc223604473" w:id="548"/>
      <w:bookmarkStart w:name="_Toc227337067" w:id="549"/>
      <w:r w:rsidRPr="008D1918">
        <w:t xml:space="preserve">Application in this </w:t>
      </w:r>
      <w:bookmarkEnd w:id="542"/>
      <w:bookmarkEnd w:id="543"/>
      <w:bookmarkEnd w:id="544"/>
      <w:bookmarkEnd w:id="545"/>
      <w:bookmarkEnd w:id="546"/>
      <w:bookmarkEnd w:id="547"/>
      <w:bookmarkEnd w:id="548"/>
      <w:r w:rsidRPr="008D1918" w:rsidR="005D764F">
        <w:t>APR</w:t>
      </w:r>
      <w:bookmarkEnd w:id="549"/>
    </w:p>
    <w:p w:rsidRPr="008D1918" w:rsidR="00C634F8" w:rsidP="00460944" w:rsidRDefault="45246551" w14:paraId="0CC57864" w14:textId="6B5C5D26">
      <w:pPr>
        <w:rPr>
          <w:lang w:val="en-AU"/>
        </w:rPr>
      </w:pPr>
      <w:r w:rsidRPr="008D1918">
        <w:rPr>
          <w:lang w:val="en-AU"/>
        </w:rPr>
        <w:t xml:space="preserve">This APR applies differentiated pricing in </w:t>
      </w:r>
      <w:r w:rsidRPr="008D1918" w:rsidR="00B51753">
        <w:rPr>
          <w:lang w:val="en-AU"/>
        </w:rPr>
        <w:t xml:space="preserve">its </w:t>
      </w:r>
      <w:r w:rsidRPr="008D1918" w:rsidR="005158AF">
        <w:rPr>
          <w:lang w:val="en-AU"/>
        </w:rPr>
        <w:t xml:space="preserve">recommendations relating to </w:t>
      </w:r>
      <w:r w:rsidRPr="008D1918">
        <w:rPr>
          <w:lang w:val="en-AU"/>
        </w:rPr>
        <w:t>one support category</w:t>
      </w:r>
      <w:r w:rsidRPr="008D1918" w:rsidR="003712C6">
        <w:rPr>
          <w:lang w:val="en-AU"/>
        </w:rPr>
        <w:t>:</w:t>
      </w:r>
      <w:r w:rsidRPr="008D1918" w:rsidR="00C634F8">
        <w:rPr>
          <w:lang w:val="en-AU"/>
        </w:rPr>
        <w:t xml:space="preserve"> </w:t>
      </w:r>
      <w:r w:rsidRPr="008D1918">
        <w:rPr>
          <w:lang w:val="en-AU"/>
        </w:rPr>
        <w:t>S</w:t>
      </w:r>
      <w:r w:rsidRPr="008D1918" w:rsidR="00C634F8">
        <w:rPr>
          <w:lang w:val="en-AU"/>
        </w:rPr>
        <w:t>ocial</w:t>
      </w:r>
      <w:r w:rsidRPr="008D1918" w:rsidR="00137167">
        <w:rPr>
          <w:lang w:val="en-AU"/>
        </w:rPr>
        <w:t>,</w:t>
      </w:r>
      <w:r w:rsidRPr="008D1918" w:rsidR="00257752">
        <w:rPr>
          <w:lang w:val="en-AU"/>
        </w:rPr>
        <w:t xml:space="preserve"> </w:t>
      </w:r>
      <w:r w:rsidRPr="008D1918">
        <w:rPr>
          <w:lang w:val="en-AU"/>
        </w:rPr>
        <w:t>C</w:t>
      </w:r>
      <w:r w:rsidRPr="008D1918" w:rsidR="00C634F8">
        <w:rPr>
          <w:lang w:val="en-AU"/>
        </w:rPr>
        <w:t xml:space="preserve">ommunity </w:t>
      </w:r>
      <w:r w:rsidRPr="008D1918" w:rsidR="00137167">
        <w:rPr>
          <w:lang w:val="en-AU"/>
        </w:rPr>
        <w:t>and Civic</w:t>
      </w:r>
      <w:r w:rsidRPr="008D1918" w:rsidR="00C634F8">
        <w:rPr>
          <w:lang w:val="en-AU"/>
        </w:rPr>
        <w:t xml:space="preserve"> </w:t>
      </w:r>
      <w:r w:rsidRPr="008D1918">
        <w:rPr>
          <w:lang w:val="en-AU"/>
        </w:rPr>
        <w:t>P</w:t>
      </w:r>
      <w:r w:rsidRPr="008D1918" w:rsidR="00C634F8">
        <w:rPr>
          <w:lang w:val="en-AU"/>
        </w:rPr>
        <w:t>articipation (</w:t>
      </w:r>
      <w:r w:rsidRPr="008D1918">
        <w:rPr>
          <w:lang w:val="en-AU"/>
        </w:rPr>
        <w:t>S</w:t>
      </w:r>
      <w:r w:rsidRPr="008D1918" w:rsidR="00137167">
        <w:rPr>
          <w:lang w:val="en-AU"/>
        </w:rPr>
        <w:t>C</w:t>
      </w:r>
      <w:r w:rsidRPr="008D1918">
        <w:rPr>
          <w:lang w:val="en-AU"/>
        </w:rPr>
        <w:t>CP</w:t>
      </w:r>
      <w:r w:rsidRPr="008D1918" w:rsidR="00C634F8">
        <w:rPr>
          <w:lang w:val="en-AU"/>
        </w:rPr>
        <w:t>)</w:t>
      </w:r>
      <w:r w:rsidRPr="008D1918">
        <w:rPr>
          <w:lang w:val="en-AU"/>
        </w:rPr>
        <w:t xml:space="preserve"> supports</w:t>
      </w:r>
      <w:r w:rsidRPr="008D1918" w:rsidR="00C634F8">
        <w:rPr>
          <w:lang w:val="en-AU"/>
        </w:rPr>
        <w:t xml:space="preserve">. </w:t>
      </w:r>
    </w:p>
    <w:p w:rsidRPr="008D1918" w:rsidR="00460944" w:rsidP="00460944" w:rsidRDefault="00B51753" w14:paraId="422B0F52" w14:textId="2EB07A04">
      <w:pPr>
        <w:rPr>
          <w:lang w:val="en-AU"/>
        </w:rPr>
      </w:pPr>
      <w:r w:rsidRPr="00A15CD5">
        <w:rPr>
          <w:lang w:val="en-AU"/>
        </w:rPr>
        <w:t>Under the recommendation, u</w:t>
      </w:r>
      <w:r w:rsidRPr="00A15CD5" w:rsidR="45246551">
        <w:rPr>
          <w:lang w:val="en-AU"/>
        </w:rPr>
        <w:t xml:space="preserve">nregistered providers face a </w:t>
      </w:r>
      <w:r w:rsidRPr="00A15CD5" w:rsidR="33865885">
        <w:rPr>
          <w:lang w:val="en-AU"/>
        </w:rPr>
        <w:t>1</w:t>
      </w:r>
      <w:r w:rsidRPr="00A15CD5" w:rsidR="45246551">
        <w:rPr>
          <w:lang w:val="en-AU"/>
        </w:rPr>
        <w:t xml:space="preserve">0% </w:t>
      </w:r>
      <w:r w:rsidRPr="00A15CD5">
        <w:rPr>
          <w:lang w:val="en-AU"/>
        </w:rPr>
        <w:t xml:space="preserve">price </w:t>
      </w:r>
      <w:r w:rsidRPr="00A15CD5" w:rsidR="45246551">
        <w:rPr>
          <w:lang w:val="en-AU"/>
        </w:rPr>
        <w:t xml:space="preserve">reduction </w:t>
      </w:r>
      <w:r w:rsidRPr="00A15CD5" w:rsidR="6E27C35A">
        <w:rPr>
          <w:lang w:val="en-AU"/>
        </w:rPr>
        <w:t xml:space="preserve">and </w:t>
      </w:r>
      <w:r w:rsidRPr="00A15CD5" w:rsidR="29D2B69A">
        <w:rPr>
          <w:lang w:val="en-AU"/>
        </w:rPr>
        <w:t>ceasing of indexation</w:t>
      </w:r>
      <w:r w:rsidRPr="00A15CD5" w:rsidR="45246551">
        <w:rPr>
          <w:lang w:val="en-AU"/>
        </w:rPr>
        <w:t xml:space="preserve">, while registered providers continue at the existing rate. This </w:t>
      </w:r>
      <w:r w:rsidRPr="00A15CD5" w:rsidR="005158AF">
        <w:rPr>
          <w:lang w:val="en-AU"/>
        </w:rPr>
        <w:t xml:space="preserve">recommendation </w:t>
      </w:r>
      <w:r w:rsidRPr="00A15CD5" w:rsidR="45246551">
        <w:rPr>
          <w:lang w:val="en-AU"/>
        </w:rPr>
        <w:t>reflects the distinctive market structure of S</w:t>
      </w:r>
      <w:r w:rsidRPr="00A15CD5" w:rsidR="005B619A">
        <w:rPr>
          <w:lang w:val="en-AU"/>
        </w:rPr>
        <w:t>C</w:t>
      </w:r>
      <w:r w:rsidRPr="00A15CD5" w:rsidR="45246551">
        <w:rPr>
          <w:lang w:val="en-AU"/>
        </w:rPr>
        <w:t>CP supports, where unregistered providers are predominantly sole traders</w:t>
      </w:r>
      <w:r w:rsidRPr="00A15CD5" w:rsidR="001D5148">
        <w:rPr>
          <w:lang w:val="en-AU"/>
        </w:rPr>
        <w:t xml:space="preserve"> and</w:t>
      </w:r>
      <w:r w:rsidRPr="00A15CD5" w:rsidR="45246551">
        <w:rPr>
          <w:lang w:val="en-AU"/>
        </w:rPr>
        <w:t xml:space="preserve"> many already claim below the </w:t>
      </w:r>
      <w:r w:rsidRPr="00A15CD5">
        <w:rPr>
          <w:lang w:val="en-AU"/>
        </w:rPr>
        <w:t xml:space="preserve">maximum </w:t>
      </w:r>
      <w:r w:rsidRPr="00A15CD5" w:rsidR="45246551">
        <w:rPr>
          <w:lang w:val="en-AU"/>
        </w:rPr>
        <w:t>price</w:t>
      </w:r>
      <w:r w:rsidRPr="00A15CD5">
        <w:rPr>
          <w:lang w:val="en-AU"/>
        </w:rPr>
        <w:t xml:space="preserve"> </w:t>
      </w:r>
      <w:r w:rsidRPr="00A15CD5" w:rsidR="00B245FC">
        <w:rPr>
          <w:lang w:val="en-AU"/>
        </w:rPr>
        <w:t>publi</w:t>
      </w:r>
      <w:r w:rsidRPr="00A15CD5" w:rsidR="0049593A">
        <w:rPr>
          <w:lang w:val="en-AU"/>
        </w:rPr>
        <w:t>s</w:t>
      </w:r>
      <w:r w:rsidRPr="00A15CD5" w:rsidR="00B245FC">
        <w:rPr>
          <w:lang w:val="en-AU"/>
        </w:rPr>
        <w:t>hed</w:t>
      </w:r>
      <w:r w:rsidRPr="00A15CD5">
        <w:rPr>
          <w:lang w:val="en-AU"/>
        </w:rPr>
        <w:t xml:space="preserve"> by the NDIA</w:t>
      </w:r>
      <w:r w:rsidRPr="00A15CD5" w:rsidR="007817AC">
        <w:rPr>
          <w:lang w:val="en-AU"/>
        </w:rPr>
        <w:t>. T</w:t>
      </w:r>
      <w:r w:rsidRPr="00A15CD5" w:rsidR="45246551">
        <w:rPr>
          <w:lang w:val="en-AU"/>
        </w:rPr>
        <w:t xml:space="preserve">he existing uniform rate does not reflect the materially different cost structures and operating conditions across the </w:t>
      </w:r>
      <w:r w:rsidRPr="00A15CD5" w:rsidR="00F86E10">
        <w:rPr>
          <w:lang w:val="en-AU"/>
        </w:rPr>
        <w:t xml:space="preserve">2 </w:t>
      </w:r>
      <w:r w:rsidRPr="00A15CD5" w:rsidR="00E168E8">
        <w:rPr>
          <w:lang w:val="en-AU"/>
        </w:rPr>
        <w:t xml:space="preserve">market </w:t>
      </w:r>
      <w:r w:rsidRPr="00A15CD5" w:rsidR="45246551">
        <w:rPr>
          <w:lang w:val="en-AU"/>
        </w:rPr>
        <w:t>segments.</w:t>
      </w:r>
    </w:p>
    <w:p w:rsidRPr="008D1918" w:rsidR="00460944" w:rsidP="00460944" w:rsidRDefault="45246551" w14:paraId="08F787F2" w14:textId="4345C298">
      <w:pPr>
        <w:rPr>
          <w:lang w:val="en-AU"/>
        </w:rPr>
      </w:pPr>
      <w:r w:rsidRPr="008D1918">
        <w:rPr>
          <w:lang w:val="en-AU"/>
        </w:rPr>
        <w:t>The</w:t>
      </w:r>
      <w:r w:rsidRPr="008D1918" w:rsidR="005158AF">
        <w:rPr>
          <w:lang w:val="en-AU"/>
        </w:rPr>
        <w:t xml:space="preserve"> recommended</w:t>
      </w:r>
      <w:r w:rsidRPr="008D1918">
        <w:rPr>
          <w:lang w:val="en-AU"/>
        </w:rPr>
        <w:t xml:space="preserve"> </w:t>
      </w:r>
      <w:r w:rsidRPr="008D1918" w:rsidR="10E8198B">
        <w:rPr>
          <w:lang w:val="en-AU"/>
        </w:rPr>
        <w:t>1</w:t>
      </w:r>
      <w:r w:rsidRPr="008D1918">
        <w:rPr>
          <w:lang w:val="en-AU"/>
        </w:rPr>
        <w:t xml:space="preserve">0% </w:t>
      </w:r>
      <w:r w:rsidRPr="008D1918" w:rsidR="00036EAA">
        <w:rPr>
          <w:lang w:val="en-AU"/>
        </w:rPr>
        <w:t>reduction</w:t>
      </w:r>
      <w:r w:rsidRPr="008D1918">
        <w:rPr>
          <w:lang w:val="en-AU"/>
        </w:rPr>
        <w:t xml:space="preserve"> </w:t>
      </w:r>
      <w:r w:rsidRPr="008D1918" w:rsidR="1188DC35">
        <w:rPr>
          <w:lang w:val="en-AU"/>
        </w:rPr>
        <w:t>is</w:t>
      </w:r>
      <w:r w:rsidRPr="008D1918">
        <w:rPr>
          <w:lang w:val="en-AU"/>
        </w:rPr>
        <w:t xml:space="preserve"> a policy judgment anchored in multiple evidence sources: consultation feedback, analysis of claiming behaviour showing significant headroom between typical unregistered </w:t>
      </w:r>
      <w:r w:rsidRPr="008D1918" w:rsidR="00595052">
        <w:rPr>
          <w:lang w:val="en-AU"/>
        </w:rPr>
        <w:t xml:space="preserve">provider </w:t>
      </w:r>
      <w:r w:rsidRPr="008D1918">
        <w:rPr>
          <w:lang w:val="en-AU"/>
        </w:rPr>
        <w:t xml:space="preserve">claims and the </w:t>
      </w:r>
      <w:r w:rsidRPr="008D1918" w:rsidR="002977C2">
        <w:rPr>
          <w:lang w:val="en-AU"/>
        </w:rPr>
        <w:t xml:space="preserve">existing NDIS </w:t>
      </w:r>
      <w:r w:rsidRPr="008D1918">
        <w:rPr>
          <w:lang w:val="en-AU"/>
        </w:rPr>
        <w:t>price, the structural characteristics of the unregistered SC</w:t>
      </w:r>
      <w:r w:rsidRPr="008D1918" w:rsidR="00FF214C">
        <w:rPr>
          <w:lang w:val="en-AU"/>
        </w:rPr>
        <w:t>C</w:t>
      </w:r>
      <w:r w:rsidRPr="008D1918">
        <w:rPr>
          <w:lang w:val="en-AU"/>
        </w:rPr>
        <w:t xml:space="preserve">P provider market, and the need for a differential meaningful enough to shape market behaviour while not so large as to create unacceptable disruption. The detailed evidence and rationale are set out in the </w:t>
      </w:r>
      <w:r w:rsidRPr="008D1918" w:rsidR="004472BC">
        <w:rPr>
          <w:lang w:val="en-AU"/>
        </w:rPr>
        <w:t>S</w:t>
      </w:r>
      <w:r w:rsidRPr="008D1918" w:rsidR="00FF214C">
        <w:rPr>
          <w:lang w:val="en-AU"/>
        </w:rPr>
        <w:t>C</w:t>
      </w:r>
      <w:r w:rsidRPr="008D1918" w:rsidR="004472BC">
        <w:rPr>
          <w:lang w:val="en-AU"/>
        </w:rPr>
        <w:t>CP</w:t>
      </w:r>
      <w:r w:rsidRPr="008D1918">
        <w:rPr>
          <w:lang w:val="en-AU"/>
        </w:rPr>
        <w:t xml:space="preserve"> chapter of this report.</w:t>
      </w:r>
    </w:p>
    <w:p w:rsidRPr="008D1918" w:rsidR="00F1213B" w:rsidP="00460944" w:rsidRDefault="00460944" w14:paraId="1B270983" w14:textId="5252EFB2">
      <w:pPr>
        <w:rPr>
          <w:lang w:val="en-AU"/>
        </w:rPr>
      </w:pPr>
      <w:r w:rsidRPr="008D1918">
        <w:rPr>
          <w:lang w:val="en-AU"/>
        </w:rPr>
        <w:t>For other support categories, differentiation based on registration status is</w:t>
      </w:r>
      <w:r w:rsidRPr="008D1918" w:rsidR="001C2427">
        <w:rPr>
          <w:lang w:val="en-AU"/>
        </w:rPr>
        <w:t xml:space="preserve"> </w:t>
      </w:r>
      <w:r w:rsidRPr="008D1918">
        <w:rPr>
          <w:lang w:val="en-AU"/>
        </w:rPr>
        <w:t>established</w:t>
      </w:r>
      <w:r w:rsidRPr="008D1918" w:rsidR="001C2427">
        <w:rPr>
          <w:lang w:val="en-AU"/>
        </w:rPr>
        <w:t xml:space="preserve"> </w:t>
      </w:r>
      <w:r w:rsidRPr="008D1918">
        <w:rPr>
          <w:lang w:val="en-AU"/>
        </w:rPr>
        <w:t xml:space="preserve">as a pricing principle but not yet applied to specific price </w:t>
      </w:r>
      <w:r w:rsidRPr="008D1918" w:rsidR="005158AF">
        <w:rPr>
          <w:lang w:val="en-AU"/>
        </w:rPr>
        <w:t>recommendations</w:t>
      </w:r>
      <w:r w:rsidRPr="008D1918">
        <w:rPr>
          <w:lang w:val="en-AU"/>
        </w:rPr>
        <w:t>. For therapy supports, external benchmarking against observed market rates is the primary mechanism</w:t>
      </w:r>
      <w:r w:rsidRPr="008D1918" w:rsidR="005158AF">
        <w:rPr>
          <w:lang w:val="en-AU"/>
        </w:rPr>
        <w:t xml:space="preserve"> for determining recommended prices</w:t>
      </w:r>
      <w:r w:rsidRPr="008D1918">
        <w:rPr>
          <w:lang w:val="en-AU"/>
        </w:rPr>
        <w:t>, and the benchmarking</w:t>
      </w:r>
      <w:r w:rsidRPr="008D1918" w:rsidR="001C2427">
        <w:rPr>
          <w:lang w:val="en-AU"/>
        </w:rPr>
        <w:t xml:space="preserve"> </w:t>
      </w:r>
      <w:r w:rsidRPr="008D1918">
        <w:rPr>
          <w:lang w:val="en-AU"/>
        </w:rPr>
        <w:t>methodology</w:t>
      </w:r>
      <w:r w:rsidRPr="008D1918" w:rsidR="001C2427">
        <w:rPr>
          <w:lang w:val="en-AU"/>
        </w:rPr>
        <w:t xml:space="preserve"> </w:t>
      </w:r>
      <w:r w:rsidRPr="008D1918">
        <w:rPr>
          <w:lang w:val="en-AU"/>
        </w:rPr>
        <w:t>already captures differences in delivery context. For DSW</w:t>
      </w:r>
      <w:r w:rsidRPr="008D1918" w:rsidR="00FF214C">
        <w:rPr>
          <w:lang w:val="en-AU"/>
        </w:rPr>
        <w:t>-</w:t>
      </w:r>
      <w:r w:rsidRPr="008D1918">
        <w:rPr>
          <w:lang w:val="en-AU"/>
        </w:rPr>
        <w:t xml:space="preserve">related supports, the scheduled </w:t>
      </w:r>
      <w:r w:rsidRPr="008D1918" w:rsidR="00D83F70">
        <w:rPr>
          <w:lang w:val="en-AU"/>
        </w:rPr>
        <w:t>DSW</w:t>
      </w:r>
      <w:r w:rsidRPr="008D1918">
        <w:rPr>
          <w:lang w:val="en-AU"/>
        </w:rPr>
        <w:t xml:space="preserve"> Cost Model Review in 2026–27 </w:t>
      </w:r>
      <w:r w:rsidRPr="008D1918" w:rsidR="00C91353">
        <w:rPr>
          <w:lang w:val="en-AU"/>
        </w:rPr>
        <w:t xml:space="preserve">is </w:t>
      </w:r>
      <w:r w:rsidRPr="008D1918">
        <w:rPr>
          <w:lang w:val="en-AU"/>
        </w:rPr>
        <w:t>the</w:t>
      </w:r>
      <w:r w:rsidRPr="008D1918" w:rsidR="001C2427">
        <w:rPr>
          <w:lang w:val="en-AU"/>
        </w:rPr>
        <w:t xml:space="preserve"> </w:t>
      </w:r>
      <w:r w:rsidRPr="008D1918">
        <w:rPr>
          <w:lang w:val="en-AU"/>
        </w:rPr>
        <w:t>appropriate vehicle</w:t>
      </w:r>
      <w:r w:rsidRPr="008D1918" w:rsidR="001C2427">
        <w:rPr>
          <w:lang w:val="en-AU"/>
        </w:rPr>
        <w:t xml:space="preserve"> </w:t>
      </w:r>
      <w:r w:rsidRPr="008D1918">
        <w:rPr>
          <w:lang w:val="en-AU"/>
        </w:rPr>
        <w:t xml:space="preserve">for considering how registration-based differences should be reflected in model assumptions. </w:t>
      </w:r>
    </w:p>
    <w:p w:rsidRPr="008D1918" w:rsidR="00424105" w:rsidP="00041468" w:rsidRDefault="00424105" w14:paraId="0D83822D" w14:textId="280391EE">
      <w:pPr>
        <w:pStyle w:val="StyleStyle112pt"/>
      </w:pPr>
      <w:bookmarkStart w:name="_Toc223539641" w:id="550"/>
      <w:bookmarkStart w:name="_Toc223539855" w:id="551"/>
      <w:bookmarkStart w:name="_Toc223540323" w:id="552"/>
      <w:bookmarkStart w:name="_Toc223540539" w:id="553"/>
      <w:bookmarkStart w:name="_Toc223542078" w:id="554"/>
      <w:bookmarkStart w:name="_Toc227318700" w:id="555"/>
      <w:bookmarkStart w:name="_Toc227337068" w:id="556"/>
      <w:r w:rsidRPr="008D1918">
        <w:t xml:space="preserve">Provider-side </w:t>
      </w:r>
      <w:bookmarkStart w:name="_Toc223604263" w:id="557"/>
      <w:bookmarkStart w:name="_Toc223604474" w:id="558"/>
      <w:r w:rsidRPr="008D1918">
        <w:t>versus participant</w:t>
      </w:r>
      <w:r w:rsidRPr="008D1918" w:rsidR="009A442A">
        <w:t>-</w:t>
      </w:r>
      <w:r w:rsidRPr="008D1918" w:rsidDel="00424105">
        <w:t>side</w:t>
      </w:r>
      <w:r w:rsidRPr="008D1918">
        <w:t xml:space="preserve"> differentiation</w:t>
      </w:r>
      <w:bookmarkEnd w:id="550"/>
      <w:bookmarkEnd w:id="551"/>
      <w:bookmarkEnd w:id="552"/>
      <w:bookmarkEnd w:id="553"/>
      <w:bookmarkEnd w:id="554"/>
      <w:bookmarkEnd w:id="555"/>
      <w:bookmarkEnd w:id="556"/>
      <w:bookmarkEnd w:id="557"/>
      <w:bookmarkEnd w:id="558"/>
    </w:p>
    <w:p w:rsidRPr="008D1918" w:rsidR="00F1213B" w:rsidP="00F1213B" w:rsidRDefault="00F1213B" w14:paraId="0C52D877" w14:textId="52C266C4">
      <w:pPr>
        <w:rPr>
          <w:lang w:val="en-AU"/>
        </w:rPr>
      </w:pPr>
      <w:r w:rsidRPr="008D1918">
        <w:rPr>
          <w:lang w:val="en-AU"/>
        </w:rPr>
        <w:t xml:space="preserve">The </w:t>
      </w:r>
      <w:r w:rsidRPr="008D1918" w:rsidR="00BF3A7E">
        <w:rPr>
          <w:lang w:val="en-AU"/>
        </w:rPr>
        <w:t>NDIA</w:t>
      </w:r>
      <w:r w:rsidRPr="008D1918">
        <w:rPr>
          <w:lang w:val="en-AU"/>
        </w:rPr>
        <w:t xml:space="preserve"> has given greater weight to provider-side differentiation than participant-side differentiation. Provider characteristics such as registration status are stable,</w:t>
      </w:r>
      <w:r w:rsidRPr="008D1918" w:rsidR="00AD4AEB">
        <w:rPr>
          <w:lang w:val="en-AU"/>
        </w:rPr>
        <w:t xml:space="preserve"> </w:t>
      </w:r>
      <w:r w:rsidRPr="008D1918">
        <w:rPr>
          <w:lang w:val="en-AU"/>
        </w:rPr>
        <w:t>transparent</w:t>
      </w:r>
      <w:r w:rsidRPr="008D1918" w:rsidR="00AD4AEB">
        <w:rPr>
          <w:lang w:val="en-AU"/>
        </w:rPr>
        <w:t xml:space="preserve"> </w:t>
      </w:r>
      <w:r w:rsidRPr="008D1918">
        <w:rPr>
          <w:lang w:val="en-AU"/>
        </w:rPr>
        <w:t xml:space="preserve">and administratively straightforward to verify. They are known to the </w:t>
      </w:r>
      <w:r w:rsidRPr="008D1918" w:rsidR="00BF3A7E">
        <w:rPr>
          <w:lang w:val="en-AU"/>
        </w:rPr>
        <w:t xml:space="preserve">NDIA </w:t>
      </w:r>
      <w:r w:rsidRPr="008D1918">
        <w:rPr>
          <w:lang w:val="en-AU"/>
        </w:rPr>
        <w:t>through existing registration and claiming</w:t>
      </w:r>
      <w:r w:rsidRPr="008D1918" w:rsidR="00963653">
        <w:rPr>
          <w:lang w:val="en-AU"/>
        </w:rPr>
        <w:t xml:space="preserve"> </w:t>
      </w:r>
      <w:r w:rsidRPr="008D1918" w:rsidR="00666C00">
        <w:rPr>
          <w:lang w:val="en-AU"/>
        </w:rPr>
        <w:t>systems and</w:t>
      </w:r>
      <w:r w:rsidRPr="008D1918" w:rsidR="00963653">
        <w:rPr>
          <w:lang w:val="en-AU"/>
        </w:rPr>
        <w:t xml:space="preserve"> </w:t>
      </w:r>
      <w:r w:rsidRPr="008D1918">
        <w:rPr>
          <w:lang w:val="en-AU"/>
        </w:rPr>
        <w:t>can be applied consistently across all participants and support episodes without requiring subjective assessment.</w:t>
      </w:r>
    </w:p>
    <w:p w:rsidRPr="008D1918" w:rsidR="00460944" w:rsidP="000E4CF5" w:rsidRDefault="00F1213B" w14:paraId="2758BC51" w14:textId="06ED44A6">
      <w:pPr>
        <w:rPr>
          <w:lang w:val="en-AU"/>
        </w:rPr>
      </w:pPr>
      <w:r w:rsidRPr="008D1918">
        <w:rPr>
          <w:lang w:val="en-AU"/>
        </w:rPr>
        <w:t>Participant</w:t>
      </w:r>
      <w:r w:rsidRPr="008D1918" w:rsidR="063B67DF">
        <w:rPr>
          <w:lang w:val="en-AU"/>
        </w:rPr>
        <w:t>-level</w:t>
      </w:r>
      <w:r w:rsidRPr="008D1918">
        <w:rPr>
          <w:lang w:val="en-AU"/>
        </w:rPr>
        <w:t xml:space="preserve"> characteristics such as age, disability type, cultural background, communication</w:t>
      </w:r>
      <w:r w:rsidRPr="008D1918" w:rsidR="00AD4AEB">
        <w:rPr>
          <w:lang w:val="en-AU"/>
        </w:rPr>
        <w:t xml:space="preserve"> </w:t>
      </w:r>
      <w:r w:rsidRPr="008D1918">
        <w:rPr>
          <w:lang w:val="en-AU"/>
        </w:rPr>
        <w:t>needs</w:t>
      </w:r>
      <w:r w:rsidRPr="008D1918" w:rsidR="00AD4AEB">
        <w:rPr>
          <w:lang w:val="en-AU"/>
        </w:rPr>
        <w:t xml:space="preserve"> </w:t>
      </w:r>
      <w:r w:rsidRPr="008D1918">
        <w:rPr>
          <w:lang w:val="en-AU"/>
        </w:rPr>
        <w:t>and geographic location are relevant to the cost and complexity of support delivery. However, they are multidimensional, context-specific</w:t>
      </w:r>
      <w:r w:rsidRPr="008D1918" w:rsidR="00174206">
        <w:rPr>
          <w:lang w:val="en-AU"/>
        </w:rPr>
        <w:t xml:space="preserve"> </w:t>
      </w:r>
      <w:r w:rsidRPr="008D1918">
        <w:rPr>
          <w:lang w:val="en-AU"/>
        </w:rPr>
        <w:t xml:space="preserve">and change over time. Incorporating these characteristics into </w:t>
      </w:r>
      <w:r w:rsidRPr="008D1918" w:rsidR="00CD1FA7">
        <w:rPr>
          <w:lang w:val="en-AU"/>
        </w:rPr>
        <w:t xml:space="preserve">pricing recommendations </w:t>
      </w:r>
      <w:r w:rsidRPr="008D1918">
        <w:rPr>
          <w:lang w:val="en-AU"/>
        </w:rPr>
        <w:t>raises questions of administrative feasibility, equity between participants, and the risk of creating incentives for providers to</w:t>
      </w:r>
      <w:r w:rsidRPr="008D1918" w:rsidR="00AC7C8E">
        <w:rPr>
          <w:lang w:val="en-AU"/>
        </w:rPr>
        <w:t xml:space="preserve"> </w:t>
      </w:r>
      <w:r w:rsidRPr="008D1918">
        <w:rPr>
          <w:lang w:val="en-AU"/>
        </w:rPr>
        <w:t>favour</w:t>
      </w:r>
      <w:r w:rsidRPr="008D1918" w:rsidR="00AC7C8E">
        <w:rPr>
          <w:lang w:val="en-AU"/>
        </w:rPr>
        <w:t xml:space="preserve"> </w:t>
      </w:r>
      <w:r w:rsidRPr="008D1918">
        <w:rPr>
          <w:lang w:val="en-AU"/>
        </w:rPr>
        <w:t>participants with less complex needs. Other parts of the Scheme including plan design, service commissioning and the forthcoming Therapy Pricing Review</w:t>
      </w:r>
      <w:r w:rsidRPr="008D1918" w:rsidR="00AC7C8E">
        <w:rPr>
          <w:lang w:val="en-AU"/>
        </w:rPr>
        <w:t xml:space="preserve"> </w:t>
      </w:r>
      <w:r w:rsidRPr="008D1918" w:rsidR="006A156C">
        <w:rPr>
          <w:lang w:val="en-AU"/>
        </w:rPr>
        <w:t>are</w:t>
      </w:r>
      <w:r w:rsidRPr="008D1918" w:rsidR="00AC7C8E">
        <w:rPr>
          <w:lang w:val="en-AU"/>
        </w:rPr>
        <w:t xml:space="preserve"> </w:t>
      </w:r>
      <w:r w:rsidRPr="008D1918">
        <w:rPr>
          <w:lang w:val="en-AU"/>
        </w:rPr>
        <w:t xml:space="preserve">better suited to addressing participant-level variation in the cost and complexity of support delivery than </w:t>
      </w:r>
      <w:r w:rsidRPr="008D1918" w:rsidR="002D0BB9">
        <w:rPr>
          <w:lang w:val="en-AU"/>
        </w:rPr>
        <w:t>this</w:t>
      </w:r>
      <w:r w:rsidRPr="008D1918">
        <w:rPr>
          <w:lang w:val="en-AU"/>
        </w:rPr>
        <w:t xml:space="preserve"> APR.</w:t>
      </w:r>
    </w:p>
    <w:p w:rsidRPr="008D1918" w:rsidR="00263C67" w:rsidP="00041468" w:rsidRDefault="004A043B" w14:paraId="7B015504" w14:textId="5AB12A7A">
      <w:pPr>
        <w:pStyle w:val="StyleStyle112pt"/>
      </w:pPr>
      <w:bookmarkStart w:name="_Toc223428385" w:id="559"/>
      <w:bookmarkStart w:name="_Toc223445845" w:id="560"/>
      <w:bookmarkStart w:name="_Toc223539642" w:id="561"/>
      <w:bookmarkStart w:name="_Toc223542079" w:id="562"/>
      <w:bookmarkStart w:name="_Toc223539856" w:id="563"/>
      <w:bookmarkStart w:name="_Toc223540324" w:id="564"/>
      <w:bookmarkStart w:name="_Toc223540540" w:id="565"/>
      <w:bookmarkStart w:name="_Toc223604264" w:id="566"/>
      <w:bookmarkStart w:name="_Toc223604475" w:id="567"/>
      <w:bookmarkStart w:name="_Toc227318701" w:id="568"/>
      <w:bookmarkStart w:name="_Toc227337069" w:id="569"/>
      <w:r w:rsidRPr="008D1918">
        <w:t>Limits of differentiat</w:t>
      </w:r>
      <w:r w:rsidRPr="008D1918" w:rsidR="2B9336D8">
        <w:t xml:space="preserve">ed </w:t>
      </w:r>
      <w:bookmarkEnd w:id="559"/>
      <w:bookmarkEnd w:id="560"/>
      <w:bookmarkEnd w:id="561"/>
      <w:bookmarkEnd w:id="562"/>
      <w:bookmarkEnd w:id="563"/>
      <w:bookmarkEnd w:id="564"/>
      <w:bookmarkEnd w:id="565"/>
      <w:bookmarkEnd w:id="566"/>
      <w:bookmarkEnd w:id="567"/>
      <w:r w:rsidRPr="008D1918" w:rsidR="2B9336D8">
        <w:t>pricing</w:t>
      </w:r>
      <w:bookmarkEnd w:id="568"/>
      <w:bookmarkEnd w:id="569"/>
    </w:p>
    <w:p w:rsidRPr="008D1918" w:rsidR="00CA0FA3" w:rsidP="00CA0FA3" w:rsidRDefault="00CA0FA3" w14:paraId="55F7D5E3" w14:textId="62FC3702">
      <w:pPr>
        <w:rPr>
          <w:lang w:val="en-AU"/>
        </w:rPr>
      </w:pPr>
      <w:r w:rsidRPr="008D1918">
        <w:rPr>
          <w:lang w:val="en-AU"/>
        </w:rPr>
        <w:t xml:space="preserve">Differentiated pricing has clear limits. </w:t>
      </w:r>
      <w:r w:rsidRPr="008D1918" w:rsidR="007500DE">
        <w:rPr>
          <w:lang w:val="en-AU"/>
        </w:rPr>
        <w:t>Recommended prices</w:t>
      </w:r>
      <w:r w:rsidRPr="008D1918">
        <w:rPr>
          <w:lang w:val="en-AU"/>
        </w:rPr>
        <w:t xml:space="preserve"> cannot </w:t>
      </w:r>
      <w:r w:rsidRPr="008D1918" w:rsidR="00FB2314">
        <w:rPr>
          <w:lang w:val="en-AU"/>
        </w:rPr>
        <w:t>capture</w:t>
      </w:r>
      <w:r w:rsidRPr="008D1918">
        <w:rPr>
          <w:lang w:val="en-AU"/>
        </w:rPr>
        <w:t xml:space="preserve"> every source of cost variation, respond to all competitive pressures, or substitute for broader reforms to service design, workforce development and market structure. Differentiated pricing does not address funding levels or plan adequacy. Where cost pressures are widespread across providers operating within a support category, the appropriate response </w:t>
      </w:r>
      <w:r w:rsidRPr="008D1918" w:rsidR="007500DE">
        <w:rPr>
          <w:lang w:val="en-AU"/>
        </w:rPr>
        <w:t>would be</w:t>
      </w:r>
      <w:r w:rsidRPr="008D1918">
        <w:rPr>
          <w:lang w:val="en-AU"/>
        </w:rPr>
        <w:t xml:space="preserve"> to adjust the base price rather than introduce targeted differentiation. </w:t>
      </w:r>
    </w:p>
    <w:p w:rsidRPr="008D1918" w:rsidR="00CA0FA3" w:rsidP="00CA0FA3" w:rsidRDefault="00CA0FA3" w14:paraId="5446355C" w14:textId="00D73055">
      <w:pPr>
        <w:rPr>
          <w:lang w:val="en-AU"/>
        </w:rPr>
      </w:pPr>
      <w:r w:rsidRPr="008D1918">
        <w:rPr>
          <w:lang w:val="en-AU"/>
        </w:rPr>
        <w:t>Differentiation is most effective where cost differences are structural, concentrated in identifiable provider groups and clearly linked to obligations or characteristics the Scheme can verify. It is less effective where cost differences arise from individual business decisions, competitive dynamics or</w:t>
      </w:r>
      <w:r w:rsidRPr="008D1918" w:rsidR="007500DE">
        <w:rPr>
          <w:lang w:val="en-AU"/>
        </w:rPr>
        <w:t xml:space="preserve"> other external</w:t>
      </w:r>
      <w:r w:rsidRPr="008D1918">
        <w:rPr>
          <w:lang w:val="en-AU"/>
        </w:rPr>
        <w:t xml:space="preserve"> factors. </w:t>
      </w:r>
    </w:p>
    <w:p w:rsidRPr="008D1918" w:rsidR="00CA0FA3" w:rsidP="00CA0FA3" w:rsidRDefault="00BC5751" w14:paraId="4E1E8B73" w14:textId="0EE47130">
      <w:pPr>
        <w:rPr>
          <w:lang w:val="en-AU"/>
        </w:rPr>
      </w:pPr>
      <w:r w:rsidRPr="008D1918">
        <w:rPr>
          <w:lang w:val="en-AU"/>
        </w:rPr>
        <w:t xml:space="preserve">Differentiated pricing </w:t>
      </w:r>
      <w:r w:rsidRPr="008D1918" w:rsidR="007500DE">
        <w:rPr>
          <w:lang w:val="en-AU"/>
        </w:rPr>
        <w:t xml:space="preserve">would </w:t>
      </w:r>
      <w:r w:rsidRPr="008D1918">
        <w:rPr>
          <w:lang w:val="en-AU"/>
        </w:rPr>
        <w:t>also involve implementation risks. If applied too broadly or on weakly specified grounds, it may reduce transparency, increase administrative complexity and create incentives for provider</w:t>
      </w:r>
      <w:r w:rsidRPr="008D1918" w:rsidR="00237137">
        <w:rPr>
          <w:lang w:val="en-AU"/>
        </w:rPr>
        <w:t>s</w:t>
      </w:r>
      <w:r w:rsidRPr="008D1918">
        <w:rPr>
          <w:lang w:val="en-AU"/>
        </w:rPr>
        <w:t xml:space="preserve"> to reorganise around pricing categories rather than service need. </w:t>
      </w:r>
      <w:r w:rsidRPr="008D1918" w:rsidR="002977C2">
        <w:rPr>
          <w:lang w:val="en-AU"/>
        </w:rPr>
        <w:t>D</w:t>
      </w:r>
      <w:r w:rsidRPr="008D1918" w:rsidR="007500DE">
        <w:rPr>
          <w:lang w:val="en-AU"/>
        </w:rPr>
        <w:t>ifferentiated pricing</w:t>
      </w:r>
      <w:r w:rsidRPr="008D1918">
        <w:rPr>
          <w:lang w:val="en-AU"/>
        </w:rPr>
        <w:t xml:space="preserve"> should therefore remain targeted and proportionate, with clear criteria for where it is </w:t>
      </w:r>
      <w:r w:rsidRPr="008D1918" w:rsidR="00197946">
        <w:rPr>
          <w:lang w:val="en-AU"/>
        </w:rPr>
        <w:t xml:space="preserve">and is not </w:t>
      </w:r>
      <w:r w:rsidRPr="008D1918">
        <w:rPr>
          <w:lang w:val="en-AU"/>
        </w:rPr>
        <w:t>warranted</w:t>
      </w:r>
      <w:r w:rsidRPr="008D1918" w:rsidR="62B1C4B4">
        <w:rPr>
          <w:lang w:val="en-AU"/>
        </w:rPr>
        <w:t>.</w:t>
      </w:r>
    </w:p>
    <w:p w:rsidRPr="008D1918" w:rsidR="00966E98" w:rsidP="001D163B" w:rsidRDefault="00BD0CBF" w14:paraId="540616EE" w14:textId="3E2EE503">
      <w:pPr>
        <w:pStyle w:val="Heading31"/>
        <w:ind w:left="1077" w:hanging="720"/>
      </w:pPr>
      <w:bookmarkStart w:name="_Toc223428386" w:id="570"/>
      <w:bookmarkStart w:name="_Toc223445846" w:id="571"/>
      <w:bookmarkStart w:name="_Toc223539643" w:id="572"/>
      <w:bookmarkStart w:name="_Toc223539857" w:id="573"/>
      <w:bookmarkStart w:name="_Toc223540325" w:id="574"/>
      <w:bookmarkStart w:name="_Toc223540541" w:id="575"/>
      <w:bookmarkStart w:name="_Toc223542080" w:id="576"/>
      <w:bookmarkStart w:name="_Toc223604265" w:id="577"/>
      <w:bookmarkStart w:name="_Toc223604476" w:id="578"/>
      <w:bookmarkStart w:name="_Toc227337070" w:id="579"/>
      <w:r w:rsidRPr="008D1918">
        <w:t>Policy direction</w:t>
      </w:r>
      <w:bookmarkEnd w:id="570"/>
      <w:bookmarkEnd w:id="571"/>
      <w:bookmarkEnd w:id="572"/>
      <w:bookmarkEnd w:id="573"/>
      <w:bookmarkEnd w:id="574"/>
      <w:bookmarkEnd w:id="575"/>
      <w:bookmarkEnd w:id="576"/>
      <w:bookmarkEnd w:id="577"/>
      <w:bookmarkEnd w:id="578"/>
      <w:bookmarkEnd w:id="579"/>
    </w:p>
    <w:p w:rsidRPr="008D1918" w:rsidR="00F102D5" w:rsidP="00F102D5" w:rsidRDefault="00F102D5" w14:paraId="0CE56C6E" w14:textId="1702585D">
      <w:pPr>
        <w:rPr>
          <w:lang w:val="en-AU"/>
        </w:rPr>
      </w:pPr>
      <w:r w:rsidRPr="008D1918">
        <w:rPr>
          <w:lang w:val="en-AU"/>
        </w:rPr>
        <w:t xml:space="preserve">The </w:t>
      </w:r>
      <w:r w:rsidRPr="008D1918" w:rsidR="64F932C5">
        <w:rPr>
          <w:lang w:val="en-AU"/>
        </w:rPr>
        <w:t>NDIA</w:t>
      </w:r>
      <w:r w:rsidRPr="008D1918">
        <w:rPr>
          <w:lang w:val="en-AU"/>
        </w:rPr>
        <w:t xml:space="preserve"> </w:t>
      </w:r>
      <w:r w:rsidRPr="008D1918" w:rsidR="00E97361">
        <w:rPr>
          <w:lang w:val="en-AU"/>
        </w:rPr>
        <w:t>will</w:t>
      </w:r>
      <w:r w:rsidRPr="008D1918">
        <w:rPr>
          <w:lang w:val="en-AU"/>
        </w:rPr>
        <w:t xml:space="preserve"> continue </w:t>
      </w:r>
      <w:r w:rsidRPr="008D1918" w:rsidR="00E97361">
        <w:rPr>
          <w:lang w:val="en-AU"/>
        </w:rPr>
        <w:t>to</w:t>
      </w:r>
      <w:r w:rsidRPr="008D1918">
        <w:rPr>
          <w:lang w:val="en-AU"/>
        </w:rPr>
        <w:t xml:space="preserve"> </w:t>
      </w:r>
      <w:r w:rsidRPr="008D1918" w:rsidR="007500DE">
        <w:rPr>
          <w:lang w:val="en-AU"/>
        </w:rPr>
        <w:t>recommend</w:t>
      </w:r>
      <w:r w:rsidRPr="008D1918">
        <w:rPr>
          <w:lang w:val="en-AU"/>
        </w:rPr>
        <w:t xml:space="preserve"> differentiated pricing selectively and with restraint</w:t>
      </w:r>
      <w:r w:rsidRPr="008D1918" w:rsidR="00DD4819">
        <w:rPr>
          <w:lang w:val="en-AU"/>
        </w:rPr>
        <w:t xml:space="preserve"> </w:t>
      </w:r>
      <w:r w:rsidRPr="008D1918">
        <w:rPr>
          <w:lang w:val="en-AU"/>
        </w:rPr>
        <w:t xml:space="preserve">where it </w:t>
      </w:r>
      <w:r w:rsidRPr="008D1918" w:rsidR="007500DE">
        <w:rPr>
          <w:lang w:val="en-AU"/>
        </w:rPr>
        <w:t xml:space="preserve">would </w:t>
      </w:r>
      <w:r w:rsidRPr="008D1918">
        <w:rPr>
          <w:lang w:val="en-AU"/>
        </w:rPr>
        <w:t>improve the targeting of price</w:t>
      </w:r>
      <w:r w:rsidRPr="008D1918" w:rsidR="007500DE">
        <w:rPr>
          <w:lang w:val="en-AU"/>
        </w:rPr>
        <w:t>s</w:t>
      </w:r>
      <w:r w:rsidRPr="008D1918">
        <w:rPr>
          <w:lang w:val="en-AU"/>
        </w:rPr>
        <w:t>, align pricing with the obligations providers actually bear, and meet</w:t>
      </w:r>
      <w:r w:rsidR="00B546F0">
        <w:rPr>
          <w:lang w:val="en-AU"/>
        </w:rPr>
        <w:t>s</w:t>
      </w:r>
      <w:r w:rsidRPr="008D1918">
        <w:rPr>
          <w:lang w:val="en-AU"/>
        </w:rPr>
        <w:t xml:space="preserve"> the criteria of being objective, verifiable and transparent. The NDIS operates in a mixed market where different provider models coexist. Price </w:t>
      </w:r>
      <w:r w:rsidRPr="008D1918" w:rsidR="007500DE">
        <w:rPr>
          <w:lang w:val="en-AU"/>
        </w:rPr>
        <w:t>recommendations</w:t>
      </w:r>
      <w:r w:rsidRPr="008D1918">
        <w:rPr>
          <w:lang w:val="en-AU"/>
        </w:rPr>
        <w:t xml:space="preserve"> do not remove the need for commercial decisions by providers, nor do they guarantee the financial viability of any individual provider. What differentiation can do is ensure that where the </w:t>
      </w:r>
      <w:r w:rsidRPr="008D1918" w:rsidR="00F44E09">
        <w:rPr>
          <w:lang w:val="en-AU"/>
        </w:rPr>
        <w:t xml:space="preserve">NDIS </w:t>
      </w:r>
      <w:r w:rsidRPr="008D1918">
        <w:rPr>
          <w:lang w:val="en-AU"/>
        </w:rPr>
        <w:t xml:space="preserve">requires providers to meet additional obligations, the pricing framework recognises those obligations in a targeted and evidence-based way. </w:t>
      </w:r>
    </w:p>
    <w:p w:rsidRPr="008D1918" w:rsidR="617A0444" w:rsidP="00F35BE1" w:rsidRDefault="00F102D5" w14:paraId="79E0EEAF" w14:textId="74B7F1C4">
      <w:pPr>
        <w:rPr>
          <w:lang w:val="en-AU"/>
        </w:rPr>
      </w:pPr>
      <w:r w:rsidRPr="008D1918">
        <w:rPr>
          <w:lang w:val="en-AU"/>
        </w:rPr>
        <w:t xml:space="preserve">The </w:t>
      </w:r>
      <w:r w:rsidRPr="008D1918" w:rsidR="005E0CC5">
        <w:rPr>
          <w:lang w:val="en-AU"/>
        </w:rPr>
        <w:t>next</w:t>
      </w:r>
      <w:r w:rsidRPr="008D1918">
        <w:rPr>
          <w:lang w:val="en-AU"/>
        </w:rPr>
        <w:t xml:space="preserve"> </w:t>
      </w:r>
      <w:r w:rsidRPr="008D1918" w:rsidR="00D07245">
        <w:rPr>
          <w:lang w:val="en-AU"/>
        </w:rPr>
        <w:t>APR</w:t>
      </w:r>
      <w:r w:rsidRPr="008D1918">
        <w:rPr>
          <w:lang w:val="en-AU"/>
        </w:rPr>
        <w:t xml:space="preserve"> will assess the impact of the S</w:t>
      </w:r>
      <w:r w:rsidRPr="008D1918" w:rsidR="005F60B1">
        <w:rPr>
          <w:lang w:val="en-AU"/>
        </w:rPr>
        <w:t>C</w:t>
      </w:r>
      <w:r w:rsidRPr="008D1918">
        <w:rPr>
          <w:lang w:val="en-AU"/>
        </w:rPr>
        <w:t>CP differentiation on provider behaviour, participant access, claiming patterns and registration rates, and adjust the approach if warranted. Differentiation for other support categories will be progressed as evidence matures and the results of the Quality Support</w:t>
      </w:r>
      <w:r w:rsidRPr="008D1918" w:rsidR="009A1458">
        <w:rPr>
          <w:lang w:val="en-AU"/>
        </w:rPr>
        <w:t>s</w:t>
      </w:r>
      <w:r w:rsidRPr="008D1918">
        <w:rPr>
          <w:lang w:val="en-AU"/>
        </w:rPr>
        <w:t xml:space="preserve"> P</w:t>
      </w:r>
      <w:r w:rsidRPr="008D1918" w:rsidR="009A1458">
        <w:rPr>
          <w:lang w:val="en-AU"/>
        </w:rPr>
        <w:t>rogram p</w:t>
      </w:r>
      <w:r w:rsidRPr="008D1918">
        <w:rPr>
          <w:lang w:val="en-AU"/>
        </w:rPr>
        <w:t>ilots become available</w:t>
      </w:r>
      <w:r w:rsidRPr="008D1918" w:rsidR="70AAE98A">
        <w:rPr>
          <w:lang w:val="en-AU"/>
        </w:rPr>
        <w:t>.</w:t>
      </w:r>
    </w:p>
    <w:p w:rsidRPr="008D1918" w:rsidR="001A5C3D" w:rsidP="009C4415" w:rsidRDefault="001A5C3D" w14:paraId="777ACE6C" w14:textId="77777777">
      <w:pPr>
        <w:rPr>
          <w:lang w:val="en-AU"/>
        </w:rPr>
      </w:pPr>
      <w:r w:rsidRPr="008D1918">
        <w:rPr>
          <w:lang w:val="en-AU"/>
        </w:rPr>
        <w:br w:type="page"/>
      </w:r>
    </w:p>
    <w:p w:rsidRPr="008D1918" w:rsidR="00561352" w:rsidP="001D163B" w:rsidRDefault="00FD17AF" w14:paraId="206EE405" w14:textId="531F7955">
      <w:pPr>
        <w:pStyle w:val="Heading21"/>
        <w:ind w:left="1077" w:hanging="720"/>
      </w:pPr>
      <w:bookmarkStart w:name="_Toc227337071" w:id="580"/>
      <w:r w:rsidRPr="008D1918">
        <w:t>Pricing context for this APR</w:t>
      </w:r>
      <w:bookmarkEnd w:id="580"/>
    </w:p>
    <w:p w:rsidRPr="008D1918" w:rsidR="00561352" w:rsidP="00561352" w:rsidRDefault="00561352" w14:paraId="258B4D62" w14:textId="2EAF298D">
      <w:pPr>
        <w:rPr>
          <w:lang w:val="en-AU"/>
        </w:rPr>
      </w:pPr>
      <w:r w:rsidRPr="008D1918">
        <w:rPr>
          <w:lang w:val="en-AU"/>
        </w:rPr>
        <w:t xml:space="preserve">The </w:t>
      </w:r>
      <w:r w:rsidRPr="008D1918" w:rsidR="00537CD9">
        <w:rPr>
          <w:lang w:val="en-AU"/>
        </w:rPr>
        <w:t xml:space="preserve">participant chapter </w:t>
      </w:r>
      <w:r w:rsidRPr="008D1918" w:rsidR="000538F9">
        <w:rPr>
          <w:lang w:val="en-AU"/>
        </w:rPr>
        <w:t xml:space="preserve">(Chapter 4) </w:t>
      </w:r>
      <w:r w:rsidRPr="008D1918" w:rsidR="00537CD9">
        <w:rPr>
          <w:lang w:val="en-AU"/>
        </w:rPr>
        <w:t xml:space="preserve">showed pricing does not </w:t>
      </w:r>
      <w:r w:rsidRPr="008D1918" w:rsidR="004568F3">
        <w:rPr>
          <w:lang w:val="en-AU"/>
        </w:rPr>
        <w:t>operate</w:t>
      </w:r>
      <w:r w:rsidRPr="008D1918" w:rsidR="00537CD9">
        <w:rPr>
          <w:lang w:val="en-AU"/>
        </w:rPr>
        <w:t xml:space="preserve"> as a reliable signal of quality on its own, and continuity of support remains a central consideration for participants. The differentiated pricing chapter </w:t>
      </w:r>
      <w:r w:rsidRPr="008D1918" w:rsidR="000538F9">
        <w:rPr>
          <w:lang w:val="en-AU"/>
        </w:rPr>
        <w:t xml:space="preserve">(Chapter 5) </w:t>
      </w:r>
      <w:r w:rsidRPr="008D1918" w:rsidR="00537CD9">
        <w:rPr>
          <w:lang w:val="en-AU"/>
        </w:rPr>
        <w:t>set</w:t>
      </w:r>
      <w:r w:rsidR="00E37BBC">
        <w:rPr>
          <w:lang w:val="en-AU"/>
        </w:rPr>
        <w:t>s</w:t>
      </w:r>
      <w:r w:rsidRPr="008D1918" w:rsidR="00537CD9">
        <w:rPr>
          <w:lang w:val="en-AU"/>
        </w:rPr>
        <w:t xml:space="preserve"> out the circumstances in which pricing c</w:t>
      </w:r>
      <w:r w:rsidRPr="008D1918" w:rsidR="007500DE">
        <w:rPr>
          <w:lang w:val="en-AU"/>
        </w:rPr>
        <w:t>ould</w:t>
      </w:r>
      <w:r w:rsidRPr="008D1918" w:rsidR="00537CD9">
        <w:rPr>
          <w:lang w:val="en-AU"/>
        </w:rPr>
        <w:t xml:space="preserve"> be used as a targeted response to structural differences between providers. The </w:t>
      </w:r>
      <w:r w:rsidRPr="008D1918" w:rsidR="0064598A">
        <w:rPr>
          <w:lang w:val="en-AU"/>
        </w:rPr>
        <w:t>following</w:t>
      </w:r>
      <w:r w:rsidRPr="008D1918" w:rsidR="00537CD9">
        <w:rPr>
          <w:lang w:val="en-AU"/>
        </w:rPr>
        <w:t xml:space="preserve"> support</w:t>
      </w:r>
      <w:r w:rsidRPr="008D1918" w:rsidR="00415475">
        <w:rPr>
          <w:lang w:val="en-AU"/>
        </w:rPr>
        <w:t>-</w:t>
      </w:r>
      <w:r w:rsidRPr="008D1918" w:rsidR="00537CD9">
        <w:rPr>
          <w:lang w:val="en-AU"/>
        </w:rPr>
        <w:t xml:space="preserve">specific chapters apply that broader framework across the major </w:t>
      </w:r>
      <w:r w:rsidRPr="008D1918" w:rsidR="009C1819">
        <w:rPr>
          <w:lang w:val="en-AU"/>
        </w:rPr>
        <w:t>NDIS</w:t>
      </w:r>
      <w:r w:rsidRPr="008D1918" w:rsidR="00537CD9">
        <w:rPr>
          <w:lang w:val="en-AU"/>
        </w:rPr>
        <w:t xml:space="preserve"> support markets. </w:t>
      </w:r>
    </w:p>
    <w:p w:rsidRPr="008D1918" w:rsidR="00B96B4F" w:rsidP="00537CD9" w:rsidRDefault="00537CD9" w14:paraId="3B820727" w14:textId="22B51746">
      <w:pPr>
        <w:rPr>
          <w:lang w:val="en-AU"/>
        </w:rPr>
      </w:pPr>
      <w:r w:rsidRPr="008D1918">
        <w:rPr>
          <w:lang w:val="en-AU"/>
        </w:rPr>
        <w:t>Taken together, the Scheme-wide data points to a small number of recurring patterns</w:t>
      </w:r>
      <w:r w:rsidRPr="008D1918" w:rsidR="00B96B4F">
        <w:rPr>
          <w:lang w:val="en-AU"/>
        </w:rPr>
        <w:t>:</w:t>
      </w:r>
    </w:p>
    <w:p w:rsidRPr="008D1918" w:rsidR="00B96B4F" w:rsidP="009F6459" w:rsidRDefault="00B96B4F" w14:paraId="5FE72387" w14:textId="62DFD159">
      <w:pPr>
        <w:pStyle w:val="ListParagraph"/>
        <w:numPr>
          <w:ilvl w:val="0"/>
          <w:numId w:val="35"/>
        </w:numPr>
        <w:rPr>
          <w:lang w:val="en-AU"/>
        </w:rPr>
      </w:pPr>
      <w:r w:rsidRPr="008D1918">
        <w:rPr>
          <w:lang w:val="en-AU"/>
        </w:rPr>
        <w:t>P</w:t>
      </w:r>
      <w:r w:rsidRPr="008D1918" w:rsidR="00537CD9">
        <w:rPr>
          <w:lang w:val="en-AU"/>
        </w:rPr>
        <w:t>rovider-count growth does not always translate into stable effective supply</w:t>
      </w:r>
      <w:r w:rsidRPr="008D1918" w:rsidR="003F239F">
        <w:rPr>
          <w:lang w:val="en-AU"/>
        </w:rPr>
        <w:t>.</w:t>
      </w:r>
    </w:p>
    <w:p w:rsidRPr="008D1918" w:rsidR="00B96B4F" w:rsidP="009F6459" w:rsidRDefault="00537CD9" w14:paraId="50B1A44D" w14:textId="4C21BB76">
      <w:pPr>
        <w:pStyle w:val="ListParagraph"/>
        <w:numPr>
          <w:ilvl w:val="0"/>
          <w:numId w:val="35"/>
        </w:numPr>
        <w:rPr>
          <w:lang w:val="en-AU"/>
        </w:rPr>
      </w:pPr>
      <w:r w:rsidRPr="008D1918">
        <w:rPr>
          <w:lang w:val="en-AU"/>
        </w:rPr>
        <w:t xml:space="preserve">Registered and unregistered </w:t>
      </w:r>
      <w:r w:rsidRPr="008D1918" w:rsidR="00502E15">
        <w:rPr>
          <w:lang w:val="en-AU"/>
        </w:rPr>
        <w:t xml:space="preserve">provider </w:t>
      </w:r>
      <w:r w:rsidRPr="008D1918">
        <w:rPr>
          <w:lang w:val="en-AU"/>
        </w:rPr>
        <w:t xml:space="preserve">markets often operate under materially different delivery models and obligations. </w:t>
      </w:r>
    </w:p>
    <w:p w:rsidRPr="008D1918" w:rsidR="00B96B4F" w:rsidP="009F6459" w:rsidRDefault="00B96B4F" w14:paraId="00A4C7B8" w14:textId="77777777">
      <w:pPr>
        <w:pStyle w:val="ListParagraph"/>
        <w:numPr>
          <w:ilvl w:val="0"/>
          <w:numId w:val="35"/>
        </w:numPr>
        <w:rPr>
          <w:lang w:val="en-AU"/>
        </w:rPr>
      </w:pPr>
      <w:r w:rsidRPr="008D1918">
        <w:rPr>
          <w:lang w:val="en-AU"/>
        </w:rPr>
        <w:t>S</w:t>
      </w:r>
      <w:r w:rsidRPr="008D1918" w:rsidR="00537CD9">
        <w:rPr>
          <w:lang w:val="en-AU"/>
        </w:rPr>
        <w:t xml:space="preserve">ome pricing issues arise from market specific features, including workforce dynamics, claiming design and service intensity, rather than from a common Scheme-wide cause. </w:t>
      </w:r>
    </w:p>
    <w:p w:rsidRPr="008D1918" w:rsidR="00537CD9" w:rsidP="00537CD9" w:rsidRDefault="00537CD9" w14:paraId="006F8663" w14:textId="05419488">
      <w:pPr>
        <w:rPr>
          <w:lang w:val="en-AU"/>
        </w:rPr>
      </w:pPr>
      <w:r w:rsidRPr="008D1918">
        <w:rPr>
          <w:lang w:val="en-AU"/>
        </w:rPr>
        <w:t>These patterns do not justify a single pricing response across all supports. They indicate the need for a</w:t>
      </w:r>
      <w:r w:rsidRPr="008D1918" w:rsidR="007500DE">
        <w:rPr>
          <w:lang w:val="en-AU"/>
        </w:rPr>
        <w:t xml:space="preserve">n </w:t>
      </w:r>
      <w:r w:rsidRPr="008D1918">
        <w:rPr>
          <w:lang w:val="en-AU"/>
        </w:rPr>
        <w:t>approach that is responsive to differences in market structure</w:t>
      </w:r>
      <w:r w:rsidRPr="008D1918" w:rsidR="00852EDD">
        <w:rPr>
          <w:lang w:val="en-AU"/>
        </w:rPr>
        <w:t>s</w:t>
      </w:r>
      <w:r w:rsidRPr="008D1918">
        <w:rPr>
          <w:lang w:val="en-AU"/>
        </w:rPr>
        <w:t xml:space="preserve"> and delivery conditions. </w:t>
      </w:r>
    </w:p>
    <w:p w:rsidRPr="008D1918" w:rsidR="005A10FF" w:rsidRDefault="00292F52" w14:paraId="181F9678" w14:textId="3FEBCDB8">
      <w:pPr>
        <w:rPr>
          <w:lang w:val="en-AU"/>
        </w:rPr>
      </w:pPr>
      <w:r w:rsidRPr="008D1918">
        <w:rPr>
          <w:lang w:val="en-AU"/>
        </w:rPr>
        <w:t xml:space="preserve">This </w:t>
      </w:r>
      <w:r w:rsidRPr="008D1918" w:rsidR="00852EDD">
        <w:rPr>
          <w:lang w:val="en-AU"/>
        </w:rPr>
        <w:t xml:space="preserve">chapter </w:t>
      </w:r>
      <w:r w:rsidRPr="008D1918">
        <w:rPr>
          <w:lang w:val="en-AU"/>
        </w:rPr>
        <w:t>does not seek to restate the detailed evidence for each market</w:t>
      </w:r>
      <w:r w:rsidRPr="008D1918" w:rsidR="00881A21">
        <w:rPr>
          <w:lang w:val="en-AU"/>
        </w:rPr>
        <w:t>;</w:t>
      </w:r>
      <w:r w:rsidRPr="008D1918">
        <w:rPr>
          <w:lang w:val="en-AU"/>
        </w:rPr>
        <w:t xml:space="preserve"> </w:t>
      </w:r>
      <w:r w:rsidRPr="008D1918" w:rsidR="00881A21">
        <w:rPr>
          <w:lang w:val="en-AU"/>
        </w:rPr>
        <w:t>i</w:t>
      </w:r>
      <w:r w:rsidRPr="008D1918">
        <w:rPr>
          <w:lang w:val="en-AU"/>
        </w:rPr>
        <w:t xml:space="preserve">ts purpose is to signal that the pricing problem does not present in the same way across the Scheme </w:t>
      </w:r>
      <w:r w:rsidRPr="008D1918" w:rsidR="00D30CA1">
        <w:rPr>
          <w:lang w:val="en-AU"/>
        </w:rPr>
        <w:t xml:space="preserve">so the </w:t>
      </w:r>
      <w:r w:rsidRPr="008D1918">
        <w:rPr>
          <w:lang w:val="en-AU"/>
        </w:rPr>
        <w:t xml:space="preserve">appropriate response must be assessed support by support. </w:t>
      </w:r>
      <w:bookmarkStart w:name="_Toc200103476" w:id="581"/>
      <w:bookmarkStart w:name="_Toc200271589" w:id="582"/>
    </w:p>
    <w:bookmarkEnd w:id="581"/>
    <w:bookmarkEnd w:id="582"/>
    <w:p w:rsidRPr="008D1918" w:rsidR="00060C70" w:rsidP="00060C70" w:rsidRDefault="00060C70" w14:paraId="6559C8B6" w14:textId="77777777">
      <w:pPr>
        <w:spacing w:after="0" w:line="240" w:lineRule="auto"/>
        <w:rPr>
          <w:rFonts w:eastAsia="Arial" w:cs="Arial"/>
          <w:lang w:val="en-AU"/>
        </w:rPr>
      </w:pPr>
      <w:r w:rsidRPr="008D1918">
        <w:rPr>
          <w:rFonts w:eastAsia="Arial" w:cs="Arial"/>
          <w:lang w:val="en-AU"/>
        </w:rPr>
        <w:br w:type="page"/>
      </w:r>
    </w:p>
    <w:p w:rsidRPr="008D1918" w:rsidR="00701CE3" w:rsidP="00163E81" w:rsidRDefault="00A97A75" w14:paraId="0CC80E56" w14:textId="7F354FCC">
      <w:pPr>
        <w:pStyle w:val="Heading21"/>
        <w:ind w:left="1077" w:hanging="720"/>
      </w:pPr>
      <w:bookmarkStart w:name="_Toc223539652" w:id="583"/>
      <w:bookmarkStart w:name="_Toc223539869" w:id="584"/>
      <w:bookmarkStart w:name="_Toc223540337" w:id="585"/>
      <w:bookmarkStart w:name="_Toc223540553" w:id="586"/>
      <w:bookmarkStart w:name="_Toc223542089" w:id="587"/>
      <w:bookmarkStart w:name="_Toc223604274" w:id="588"/>
      <w:bookmarkStart w:name="_Toc223604485" w:id="589"/>
      <w:bookmarkStart w:name="_Toc227337072" w:id="590"/>
      <w:r w:rsidRPr="008D1918">
        <w:t>Disability Support Worker-</w:t>
      </w:r>
      <w:r w:rsidRPr="008D1918" w:rsidR="00553426">
        <w:t>r</w:t>
      </w:r>
      <w:r w:rsidRPr="008D1918">
        <w:t xml:space="preserve">elated </w:t>
      </w:r>
      <w:r w:rsidRPr="008D1918" w:rsidR="00553426">
        <w:t>s</w:t>
      </w:r>
      <w:r w:rsidRPr="008D1918" w:rsidR="00337E33">
        <w:t>upports</w:t>
      </w:r>
      <w:bookmarkEnd w:id="583"/>
      <w:bookmarkEnd w:id="584"/>
      <w:bookmarkEnd w:id="585"/>
      <w:bookmarkEnd w:id="586"/>
      <w:bookmarkEnd w:id="587"/>
      <w:bookmarkEnd w:id="588"/>
      <w:bookmarkEnd w:id="589"/>
      <w:bookmarkEnd w:id="590"/>
    </w:p>
    <w:p w:rsidRPr="008D1918" w:rsidR="00701CE3" w:rsidDel="00982A5A" w:rsidP="00A97A75" w:rsidRDefault="000810A4" w14:paraId="4831A709" w14:textId="77777777">
      <w:pPr>
        <w:pStyle w:val="Heading31"/>
        <w:ind w:left="1077" w:hanging="720"/>
      </w:pPr>
      <w:bookmarkStart w:name="_Toc196754625" w:id="591"/>
      <w:bookmarkStart w:name="_Toc196758227" w:id="592"/>
      <w:bookmarkStart w:name="_Toc197344303" w:id="593"/>
      <w:bookmarkStart w:name="_Toc200271593" w:id="594"/>
      <w:bookmarkStart w:name="_Toc223539653" w:id="595"/>
      <w:bookmarkStart w:name="_Toc223539870" w:id="596"/>
      <w:bookmarkStart w:name="_Toc223540338" w:id="597"/>
      <w:bookmarkStart w:name="_Toc223540554" w:id="598"/>
      <w:bookmarkStart w:name="_Toc223542090" w:id="599"/>
      <w:bookmarkStart w:name="_Toc223604275" w:id="600"/>
      <w:bookmarkStart w:name="_Toc223604486" w:id="601"/>
      <w:bookmarkStart w:name="_Toc227337073" w:id="602"/>
      <w:r w:rsidRPr="008D1918" w:rsidDel="00982A5A">
        <w:t>Context</w:t>
      </w:r>
      <w:bookmarkEnd w:id="591"/>
      <w:bookmarkEnd w:id="592"/>
      <w:bookmarkEnd w:id="593"/>
      <w:bookmarkEnd w:id="594"/>
      <w:bookmarkEnd w:id="595"/>
      <w:bookmarkEnd w:id="596"/>
      <w:bookmarkEnd w:id="597"/>
      <w:bookmarkEnd w:id="598"/>
      <w:bookmarkEnd w:id="599"/>
      <w:bookmarkEnd w:id="600"/>
      <w:bookmarkEnd w:id="601"/>
      <w:bookmarkEnd w:id="602"/>
    </w:p>
    <w:p w:rsidRPr="008D1918" w:rsidR="00A97A75" w:rsidRDefault="00A97A75" w14:paraId="33E1DE7C" w14:textId="52598ABC">
      <w:pPr>
        <w:rPr>
          <w:lang w:val="en-AU"/>
        </w:rPr>
      </w:pPr>
      <w:bookmarkStart w:name="_Toc195553323" w:id="603"/>
      <w:bookmarkStart w:name="_Toc195553384" w:id="604"/>
      <w:bookmarkStart w:name="_Toc195553405" w:id="605"/>
      <w:bookmarkStart w:name="_Toc200103481" w:id="606"/>
      <w:bookmarkStart w:name="_Toc200271594" w:id="607"/>
      <w:r w:rsidRPr="008D1918">
        <w:rPr>
          <w:lang w:val="en-AU"/>
        </w:rPr>
        <w:t xml:space="preserve">Disability </w:t>
      </w:r>
      <w:r w:rsidRPr="008D1918" w:rsidR="00881A21">
        <w:rPr>
          <w:lang w:val="en-AU"/>
        </w:rPr>
        <w:t>S</w:t>
      </w:r>
      <w:r w:rsidRPr="008D1918">
        <w:rPr>
          <w:lang w:val="en-AU"/>
        </w:rPr>
        <w:t xml:space="preserve">upport </w:t>
      </w:r>
      <w:r w:rsidRPr="008D1918" w:rsidR="00881A21">
        <w:rPr>
          <w:lang w:val="en-AU"/>
        </w:rPr>
        <w:t>W</w:t>
      </w:r>
      <w:r w:rsidRPr="008D1918">
        <w:rPr>
          <w:lang w:val="en-AU"/>
        </w:rPr>
        <w:t xml:space="preserve">orkers </w:t>
      </w:r>
      <w:r w:rsidRPr="008D1918" w:rsidR="001E3F3E">
        <w:rPr>
          <w:lang w:val="en-AU"/>
        </w:rPr>
        <w:t xml:space="preserve">(DSW) </w:t>
      </w:r>
      <w:r w:rsidRPr="008D1918">
        <w:rPr>
          <w:lang w:val="en-AU"/>
        </w:rPr>
        <w:t>are the largest workforce within the NDIS</w:t>
      </w:r>
      <w:r w:rsidRPr="008D1918" w:rsidR="00791609">
        <w:rPr>
          <w:lang w:val="en-AU"/>
        </w:rPr>
        <w:t xml:space="preserve"> and deliver </w:t>
      </w:r>
      <w:r w:rsidRPr="008D1918">
        <w:rPr>
          <w:lang w:val="en-AU"/>
        </w:rPr>
        <w:t xml:space="preserve">supports that account for the majority of </w:t>
      </w:r>
      <w:r w:rsidRPr="008D1918" w:rsidR="006A349B">
        <w:rPr>
          <w:lang w:val="en-AU"/>
        </w:rPr>
        <w:t xml:space="preserve">NDIS </w:t>
      </w:r>
      <w:r w:rsidRPr="008D1918">
        <w:rPr>
          <w:lang w:val="en-AU"/>
        </w:rPr>
        <w:t xml:space="preserve">expenditure. DSW-related supports span a broad range of activities, from assistance with daily living and </w:t>
      </w:r>
      <w:r w:rsidR="00D74B3E">
        <w:rPr>
          <w:lang w:val="en-AU"/>
        </w:rPr>
        <w:br/>
      </w:r>
      <w:r w:rsidRPr="008D1918">
        <w:rPr>
          <w:lang w:val="en-AU"/>
        </w:rPr>
        <w:t xml:space="preserve">self-care to </w:t>
      </w:r>
      <w:r w:rsidRPr="008D1918" w:rsidR="00830A6B">
        <w:rPr>
          <w:lang w:val="en-AU"/>
        </w:rPr>
        <w:t>S</w:t>
      </w:r>
      <w:r w:rsidRPr="008D1918">
        <w:rPr>
          <w:lang w:val="en-AU"/>
        </w:rPr>
        <w:t xml:space="preserve">upported </w:t>
      </w:r>
      <w:r w:rsidRPr="008D1918" w:rsidR="00830A6B">
        <w:rPr>
          <w:lang w:val="en-AU"/>
        </w:rPr>
        <w:t>I</w:t>
      </w:r>
      <w:r w:rsidRPr="008D1918">
        <w:rPr>
          <w:lang w:val="en-AU"/>
        </w:rPr>
        <w:t xml:space="preserve">ndependent </w:t>
      </w:r>
      <w:r w:rsidRPr="008D1918" w:rsidR="00830A6B">
        <w:rPr>
          <w:lang w:val="en-AU"/>
        </w:rPr>
        <w:t>L</w:t>
      </w:r>
      <w:r w:rsidRPr="008D1918">
        <w:rPr>
          <w:lang w:val="en-AU"/>
        </w:rPr>
        <w:t>iving</w:t>
      </w:r>
      <w:r w:rsidRPr="008D1918" w:rsidR="002D5074">
        <w:rPr>
          <w:lang w:val="en-AU"/>
        </w:rPr>
        <w:t xml:space="preserve"> (SIL)</w:t>
      </w:r>
      <w:r w:rsidRPr="008D1918">
        <w:rPr>
          <w:lang w:val="en-AU"/>
        </w:rPr>
        <w:t xml:space="preserve">, community participation, </w:t>
      </w:r>
      <w:r w:rsidRPr="008D1918" w:rsidR="00830A6B">
        <w:rPr>
          <w:lang w:val="en-AU"/>
        </w:rPr>
        <w:t>S</w:t>
      </w:r>
      <w:r w:rsidRPr="008D1918">
        <w:rPr>
          <w:lang w:val="en-AU"/>
        </w:rPr>
        <w:t>hort</w:t>
      </w:r>
      <w:r w:rsidRPr="008D1918" w:rsidR="00830A6B">
        <w:rPr>
          <w:lang w:val="en-AU"/>
        </w:rPr>
        <w:t xml:space="preserve"> T</w:t>
      </w:r>
      <w:r w:rsidRPr="008D1918">
        <w:rPr>
          <w:lang w:val="en-AU"/>
        </w:rPr>
        <w:t xml:space="preserve">erm </w:t>
      </w:r>
      <w:r w:rsidRPr="008D1918" w:rsidR="00830A6B">
        <w:rPr>
          <w:lang w:val="en-AU"/>
        </w:rPr>
        <w:t>A</w:t>
      </w:r>
      <w:r w:rsidRPr="008D1918">
        <w:rPr>
          <w:lang w:val="en-AU"/>
        </w:rPr>
        <w:t xml:space="preserve">ccommodation and high-intensity support for participants with complex needs. In the </w:t>
      </w:r>
      <w:r w:rsidRPr="008D1918" w:rsidR="00396618">
        <w:rPr>
          <w:lang w:val="en-AU"/>
        </w:rPr>
        <w:t>6</w:t>
      </w:r>
      <w:r w:rsidRPr="008D1918">
        <w:rPr>
          <w:lang w:val="en-AU"/>
        </w:rPr>
        <w:t xml:space="preserve"> months to December 2025 </w:t>
      </w:r>
      <w:r w:rsidRPr="008D1918" w:rsidR="007471B5">
        <w:rPr>
          <w:lang w:val="en-AU"/>
        </w:rPr>
        <w:t>more than</w:t>
      </w:r>
      <w:r w:rsidRPr="008D1918">
        <w:rPr>
          <w:lang w:val="en-AU"/>
        </w:rPr>
        <w:t xml:space="preserve"> 325,000 participants accessed DSW-related supports through approximately 145,000 providers, with total payments of $17.1</w:t>
      </w:r>
      <w:r w:rsidRPr="008D1918" w:rsidR="00AF4764">
        <w:rPr>
          <w:lang w:val="en-AU"/>
        </w:rPr>
        <w:t> </w:t>
      </w:r>
      <w:r w:rsidRPr="008D1918">
        <w:rPr>
          <w:lang w:val="en-AU"/>
        </w:rPr>
        <w:t xml:space="preserve">billion. This represents approximately </w:t>
      </w:r>
      <w:r w:rsidRPr="008D1918" w:rsidR="00F443CC">
        <w:rPr>
          <w:lang w:val="en-AU"/>
        </w:rPr>
        <w:t>66</w:t>
      </w:r>
      <w:r w:rsidRPr="008D1918">
        <w:rPr>
          <w:lang w:val="en-AU"/>
        </w:rPr>
        <w:t>% of total NDIS expenditure over the period.</w:t>
      </w:r>
    </w:p>
    <w:p w:rsidRPr="008D1918" w:rsidR="00A97A75" w:rsidP="00041468" w:rsidRDefault="00A97A75" w14:paraId="7B210932" w14:textId="30C30E9D">
      <w:pPr>
        <w:pStyle w:val="StyleStyle112pt"/>
      </w:pPr>
      <w:bookmarkStart w:name="_Toc223428396" w:id="608"/>
      <w:bookmarkStart w:name="_Toc223445855" w:id="609"/>
      <w:bookmarkStart w:name="_Toc223539654" w:id="610"/>
      <w:bookmarkStart w:name="_Toc223539871" w:id="611"/>
      <w:bookmarkStart w:name="_Toc223540339" w:id="612"/>
      <w:bookmarkStart w:name="_Toc223540555" w:id="613"/>
      <w:bookmarkStart w:name="_Toc223542091" w:id="614"/>
      <w:bookmarkStart w:name="_Toc223604276" w:id="615"/>
      <w:bookmarkStart w:name="_Toc223604487" w:id="616"/>
      <w:bookmarkStart w:name="_Toc223604698" w:id="617"/>
      <w:bookmarkStart w:name="_Toc223618569" w:id="618"/>
      <w:bookmarkStart w:name="_Toc223702808" w:id="619"/>
      <w:bookmarkStart w:name="_Toc227318706" w:id="620"/>
      <w:bookmarkStart w:name="_Toc227337074" w:id="621"/>
      <w:r w:rsidRPr="008D1918">
        <w:t>Approach to</w:t>
      </w:r>
      <w:r w:rsidRPr="008D1918" w:rsidR="003522D0">
        <w:t xml:space="preserve"> determining recommended</w:t>
      </w:r>
      <w:r w:rsidRPr="008D1918">
        <w:t xml:space="preserve"> DSW-related price</w:t>
      </w:r>
      <w:r w:rsidRPr="008D1918" w:rsidR="003522D0">
        <w:t>s</w:t>
      </w:r>
      <w:r w:rsidRPr="008D1918">
        <w:t xml:space="preserve"> </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rsidRPr="008D1918" w:rsidR="00A97A75" w:rsidRDefault="00A97A75" w14:paraId="3D6AAE50" w14:textId="461459CD">
      <w:pPr>
        <w:rPr>
          <w:lang w:val="en-AU"/>
        </w:rPr>
      </w:pPr>
      <w:r w:rsidRPr="008D1918">
        <w:rPr>
          <w:lang w:val="en-AU"/>
        </w:rPr>
        <w:t xml:space="preserve">The NDIA uses the DSW Cost Model to estimate the cost a provider would likely incur to deliver a billable hour of support. The model informs </w:t>
      </w:r>
      <w:r w:rsidRPr="008D1918" w:rsidR="003522D0">
        <w:rPr>
          <w:lang w:val="en-AU"/>
        </w:rPr>
        <w:t>the NDIA’s price guidance</w:t>
      </w:r>
      <w:r w:rsidRPr="008D1918">
        <w:rPr>
          <w:lang w:val="en-AU"/>
        </w:rPr>
        <w:t xml:space="preserve"> for a range of DSW-related supports and is based on a set of assumptions aligned with minimum wage and employment conditions under the </w:t>
      </w:r>
      <w:r w:rsidRPr="008D1918" w:rsidR="004718FF">
        <w:rPr>
          <w:i/>
          <w:iCs/>
          <w:lang w:val="en-AU"/>
        </w:rPr>
        <w:t>Social, Community, Home Care and Disability Services Industry Award 2010</w:t>
      </w:r>
      <w:r w:rsidRPr="008D1918" w:rsidR="004718FF">
        <w:rPr>
          <w:lang w:val="en-AU"/>
        </w:rPr>
        <w:t xml:space="preserve"> (</w:t>
      </w:r>
      <w:r w:rsidRPr="008D1918">
        <w:rPr>
          <w:lang w:val="en-AU"/>
        </w:rPr>
        <w:t>SCHADS Award</w:t>
      </w:r>
      <w:r w:rsidRPr="008D1918" w:rsidR="004718FF">
        <w:rPr>
          <w:lang w:val="en-AU"/>
        </w:rPr>
        <w:t>)</w:t>
      </w:r>
      <w:r w:rsidRPr="008D1918">
        <w:rPr>
          <w:lang w:val="en-AU"/>
        </w:rPr>
        <w:t xml:space="preserve">. </w:t>
      </w:r>
    </w:p>
    <w:p w:rsidRPr="008D1918" w:rsidR="00A97A75" w:rsidRDefault="00A97A75" w14:paraId="40AE0350" w14:textId="4977F11A">
      <w:pPr>
        <w:rPr>
          <w:lang w:val="en-AU"/>
        </w:rPr>
      </w:pPr>
      <w:r w:rsidRPr="008D1918">
        <w:rPr>
          <w:lang w:val="en-AU"/>
        </w:rPr>
        <w:t xml:space="preserve">Following refinements in 2022, the DSW Cost Model groups provider expenses into </w:t>
      </w:r>
      <w:r w:rsidRPr="008D1918" w:rsidR="00224971">
        <w:rPr>
          <w:lang w:val="en-AU"/>
        </w:rPr>
        <w:t xml:space="preserve">3 </w:t>
      </w:r>
      <w:r w:rsidRPr="008D1918">
        <w:rPr>
          <w:lang w:val="en-AU"/>
        </w:rPr>
        <w:t xml:space="preserve">broad categories: </w:t>
      </w:r>
    </w:p>
    <w:p w:rsidRPr="008D1918" w:rsidR="00A97A75" w:rsidP="009F6459" w:rsidRDefault="00A97A75" w14:paraId="6EC1DC24" w14:textId="7D7906B2">
      <w:pPr>
        <w:pStyle w:val="paragraph"/>
        <w:numPr>
          <w:ilvl w:val="0"/>
          <w:numId w:val="7"/>
        </w:numPr>
        <w:spacing w:before="0" w:beforeAutospacing="0" w:after="200" w:afterAutospacing="0" w:line="288" w:lineRule="auto"/>
        <w:ind w:left="714" w:hanging="357"/>
        <w:contextualSpacing/>
        <w:textAlignment w:val="baseline"/>
        <w:rPr>
          <w:rFonts w:ascii="Arial" w:hAnsi="Arial" w:cs="Arial"/>
          <w:color w:val="000000"/>
        </w:rPr>
      </w:pPr>
      <w:r w:rsidRPr="008D1918">
        <w:rPr>
          <w:rFonts w:ascii="Arial" w:hAnsi="Arial" w:cs="Arial"/>
          <w:b/>
          <w:bCs/>
          <w:color w:val="000000"/>
        </w:rPr>
        <w:t xml:space="preserve">Direct worker employment costs, </w:t>
      </w:r>
      <w:r w:rsidRPr="008D1918">
        <w:rPr>
          <w:rFonts w:ascii="Arial" w:hAnsi="Arial" w:cs="Arial"/>
          <w:color w:val="000000"/>
        </w:rPr>
        <w:t>including wages (based on SCHADS Award levels 2.3</w:t>
      </w:r>
      <w:r w:rsidRPr="008D1918" w:rsidR="0067122D">
        <w:rPr>
          <w:rFonts w:ascii="Arial" w:hAnsi="Arial" w:cs="Arial"/>
          <w:color w:val="000000"/>
        </w:rPr>
        <w:t>–</w:t>
      </w:r>
      <w:r w:rsidRPr="008D1918">
        <w:rPr>
          <w:rFonts w:ascii="Arial" w:hAnsi="Arial" w:cs="Arial"/>
          <w:color w:val="000000"/>
        </w:rPr>
        <w:t xml:space="preserve">4.4), superannuation (12% from 1 July 2025), leave entitlements and allowances. </w:t>
      </w:r>
    </w:p>
    <w:p w:rsidRPr="008D1918" w:rsidR="00A97A75" w:rsidP="009F6459" w:rsidRDefault="00A97A75" w14:paraId="1E27473E" w14:textId="6DC14A0F">
      <w:pPr>
        <w:pStyle w:val="paragraph"/>
        <w:numPr>
          <w:ilvl w:val="0"/>
          <w:numId w:val="7"/>
        </w:numPr>
        <w:spacing w:before="0" w:beforeAutospacing="0" w:after="200" w:afterAutospacing="0" w:line="288" w:lineRule="auto"/>
        <w:ind w:left="714" w:hanging="357"/>
        <w:contextualSpacing/>
        <w:textAlignment w:val="baseline"/>
        <w:rPr>
          <w:rFonts w:ascii="Arial" w:hAnsi="Arial" w:cs="Arial"/>
          <w:color w:val="000000"/>
        </w:rPr>
      </w:pPr>
      <w:r w:rsidRPr="008D1918">
        <w:rPr>
          <w:rFonts w:ascii="Arial" w:hAnsi="Arial" w:cs="Arial"/>
          <w:b/>
          <w:bCs/>
          <w:color w:val="000000"/>
        </w:rPr>
        <w:t xml:space="preserve">Operational overheads, </w:t>
      </w:r>
      <w:r w:rsidRPr="008D1918">
        <w:rPr>
          <w:rFonts w:ascii="Arial" w:hAnsi="Arial" w:cs="Arial"/>
          <w:color w:val="000000"/>
        </w:rPr>
        <w:t>covering supervision, rostering, training and quality assurance, including assumptions around utilisation rates and workforce mix</w:t>
      </w:r>
      <w:r w:rsidRPr="008D1918" w:rsidR="00224971">
        <w:rPr>
          <w:rFonts w:ascii="Arial" w:hAnsi="Arial" w:cs="Arial"/>
          <w:color w:val="000000"/>
        </w:rPr>
        <w:t>.</w:t>
      </w:r>
    </w:p>
    <w:p w:rsidRPr="008D1918" w:rsidR="00A97A75" w:rsidP="009F6459" w:rsidRDefault="00A97A75" w14:paraId="63E4DA3B" w14:textId="6E50EF81">
      <w:pPr>
        <w:pStyle w:val="paragraph"/>
        <w:numPr>
          <w:ilvl w:val="0"/>
          <w:numId w:val="7"/>
        </w:numPr>
        <w:spacing w:before="0" w:beforeAutospacing="0" w:after="200" w:afterAutospacing="0" w:line="288" w:lineRule="auto"/>
        <w:ind w:left="714" w:hanging="357"/>
        <w:contextualSpacing/>
        <w:textAlignment w:val="baseline"/>
        <w:rPr>
          <w:rFonts w:ascii="Arial" w:hAnsi="Arial" w:cs="Arial"/>
          <w:color w:val="000000"/>
        </w:rPr>
      </w:pPr>
      <w:r w:rsidRPr="008D1918">
        <w:rPr>
          <w:rFonts w:ascii="Arial" w:hAnsi="Arial" w:cs="Arial"/>
          <w:b/>
          <w:bCs/>
          <w:color w:val="000000"/>
        </w:rPr>
        <w:t xml:space="preserve">Corporate overheads, </w:t>
      </w:r>
      <w:r w:rsidRPr="008D1918">
        <w:rPr>
          <w:rFonts w:ascii="Arial" w:hAnsi="Arial" w:cs="Arial"/>
          <w:color w:val="000000"/>
        </w:rPr>
        <w:t xml:space="preserve">such as accounting, </w:t>
      </w:r>
      <w:r w:rsidRPr="008D1918" w:rsidR="00117E82">
        <w:rPr>
          <w:rFonts w:ascii="Arial" w:hAnsi="Arial" w:cs="Arial"/>
          <w:color w:val="000000"/>
        </w:rPr>
        <w:t>h</w:t>
      </w:r>
      <w:r w:rsidRPr="008D1918">
        <w:rPr>
          <w:rFonts w:ascii="Arial" w:hAnsi="Arial" w:cs="Arial"/>
          <w:color w:val="000000"/>
        </w:rPr>
        <w:t xml:space="preserve">uman </w:t>
      </w:r>
      <w:r w:rsidRPr="008D1918" w:rsidR="00117E82">
        <w:rPr>
          <w:rFonts w:ascii="Arial" w:hAnsi="Arial" w:cs="Arial"/>
          <w:color w:val="000000"/>
        </w:rPr>
        <w:t>r</w:t>
      </w:r>
      <w:r w:rsidRPr="008D1918">
        <w:rPr>
          <w:rFonts w:ascii="Arial" w:hAnsi="Arial" w:cs="Arial"/>
          <w:color w:val="000000"/>
        </w:rPr>
        <w:t xml:space="preserve">esources, </w:t>
      </w:r>
      <w:r w:rsidRPr="008D1918" w:rsidR="00117E82">
        <w:rPr>
          <w:rFonts w:ascii="Arial" w:hAnsi="Arial" w:cs="Arial"/>
          <w:color w:val="000000"/>
        </w:rPr>
        <w:t>i</w:t>
      </w:r>
      <w:r w:rsidRPr="008D1918">
        <w:rPr>
          <w:rFonts w:ascii="Arial" w:hAnsi="Arial" w:cs="Arial"/>
          <w:color w:val="000000"/>
        </w:rPr>
        <w:t xml:space="preserve">nformation </w:t>
      </w:r>
      <w:r w:rsidRPr="008D1918" w:rsidR="00117E82">
        <w:rPr>
          <w:rFonts w:ascii="Arial" w:hAnsi="Arial" w:cs="Arial"/>
          <w:color w:val="000000"/>
        </w:rPr>
        <w:t>t</w:t>
      </w:r>
      <w:r w:rsidRPr="008D1918">
        <w:rPr>
          <w:rFonts w:ascii="Arial" w:hAnsi="Arial" w:cs="Arial"/>
          <w:color w:val="000000"/>
        </w:rPr>
        <w:t xml:space="preserve">echnology and other business functions. </w:t>
      </w:r>
    </w:p>
    <w:p w:rsidRPr="008D1918" w:rsidR="00A97A75" w:rsidRDefault="00A97A75" w14:paraId="5D94F8ED" w14:textId="330E62AC">
      <w:pPr>
        <w:rPr>
          <w:lang w:val="en-AU"/>
        </w:rPr>
      </w:pPr>
      <w:r w:rsidRPr="008D1918">
        <w:rPr>
          <w:lang w:val="en-AU"/>
        </w:rPr>
        <w:t>A margin is also applied to reflect working capital needs. All elements are calculated as a percentage of direct costs, using a multiplicative model structure.</w:t>
      </w:r>
    </w:p>
    <w:p w:rsidRPr="008D1918" w:rsidR="00A97A75" w:rsidRDefault="00A97A75" w14:paraId="371E80BA" w14:textId="6610C52B">
      <w:pPr>
        <w:rPr>
          <w:lang w:val="en-AU"/>
        </w:rPr>
      </w:pPr>
      <w:r w:rsidRPr="008D1918">
        <w:rPr>
          <w:lang w:val="en-AU"/>
        </w:rPr>
        <w:t>While the NDIA acknowledges some providers use Enterprise Bargaining Agreements (</w:t>
      </w:r>
      <w:r w:rsidRPr="008D1918" w:rsidR="00BA096D">
        <w:rPr>
          <w:lang w:val="en-AU"/>
        </w:rPr>
        <w:t xml:space="preserve">EBAs) </w:t>
      </w:r>
      <w:r w:rsidRPr="008D1918">
        <w:rPr>
          <w:lang w:val="en-AU"/>
        </w:rPr>
        <w:t>or classify workers differently under the SCHADS Award (</w:t>
      </w:r>
      <w:r w:rsidRPr="008D1918" w:rsidR="00217FEB">
        <w:rPr>
          <w:lang w:val="en-AU"/>
        </w:rPr>
        <w:t>for example</w:t>
      </w:r>
      <w:r w:rsidRPr="008D1918">
        <w:rPr>
          <w:lang w:val="en-AU"/>
        </w:rPr>
        <w:t xml:space="preserve">, Home Care </w:t>
      </w:r>
      <w:r w:rsidRPr="008D1918" w:rsidR="003B59AF">
        <w:rPr>
          <w:lang w:val="en-AU"/>
        </w:rPr>
        <w:t xml:space="preserve">versus </w:t>
      </w:r>
      <w:r w:rsidRPr="008D1918">
        <w:rPr>
          <w:lang w:val="en-AU"/>
        </w:rPr>
        <w:t>Social and Community Services streams), the DSW Cost Model benchmarks are based on Award minimums and remain the most appropriate foundation for setting national price</w:t>
      </w:r>
      <w:r w:rsidRPr="008D1918" w:rsidR="00C675FD">
        <w:rPr>
          <w:lang w:val="en-AU"/>
        </w:rPr>
        <w:t>s</w:t>
      </w:r>
      <w:r w:rsidRPr="008D1918">
        <w:rPr>
          <w:lang w:val="en-AU"/>
        </w:rPr>
        <w:t xml:space="preserve">. </w:t>
      </w:r>
    </w:p>
    <w:p w:rsidRPr="008D1918" w:rsidR="00A97A75" w:rsidRDefault="00A97A75" w14:paraId="4F7CE691" w14:textId="77777777">
      <w:pPr>
        <w:rPr>
          <w:lang w:val="en-AU"/>
        </w:rPr>
      </w:pPr>
      <w:r w:rsidRPr="008D1918">
        <w:rPr>
          <w:lang w:val="en-AU"/>
        </w:rPr>
        <w:t xml:space="preserve">The DSW Cost Model does not function in isolation. It is applied alongside consideration of market conditions, industrial relations changes, regulatory requirements, and workforce dynamics when determining final price settings for DSW-related supports. </w:t>
      </w:r>
    </w:p>
    <w:p w:rsidRPr="008D1918" w:rsidR="00CD0C02" w:rsidRDefault="00CD0C02" w14:paraId="211D219C" w14:textId="01E5CD91">
      <w:pPr>
        <w:rPr>
          <w:lang w:val="en-AU"/>
        </w:rPr>
      </w:pPr>
      <w:r w:rsidRPr="008D1918">
        <w:rPr>
          <w:lang w:val="en-AU"/>
        </w:rPr>
        <w:t xml:space="preserve">This chapter serves </w:t>
      </w:r>
      <w:r w:rsidRPr="008D1918" w:rsidR="007C2139">
        <w:rPr>
          <w:lang w:val="en-AU"/>
        </w:rPr>
        <w:t xml:space="preserve">2 </w:t>
      </w:r>
      <w:r w:rsidRPr="008D1918">
        <w:rPr>
          <w:lang w:val="en-AU"/>
        </w:rPr>
        <w:t>related but distinc</w:t>
      </w:r>
      <w:r w:rsidRPr="008D1918" w:rsidR="007C2139">
        <w:rPr>
          <w:lang w:val="en-AU"/>
        </w:rPr>
        <w:t>t</w:t>
      </w:r>
      <w:r w:rsidRPr="008D1918">
        <w:rPr>
          <w:lang w:val="en-AU"/>
        </w:rPr>
        <w:t xml:space="preserve"> purposes with the </w:t>
      </w:r>
      <w:r w:rsidR="00A46CC3">
        <w:rPr>
          <w:lang w:val="en-AU"/>
        </w:rPr>
        <w:t>APR for 2026-27</w:t>
      </w:r>
      <w:r w:rsidR="00C96ECF">
        <w:rPr>
          <w:lang w:val="en-AU"/>
        </w:rPr>
        <w:t xml:space="preserve"> prices</w:t>
      </w:r>
      <w:r w:rsidRPr="008D1918">
        <w:rPr>
          <w:lang w:val="en-AU"/>
        </w:rPr>
        <w:t>. First, i</w:t>
      </w:r>
      <w:r w:rsidRPr="008D1918" w:rsidR="00652488">
        <w:rPr>
          <w:lang w:val="en-AU"/>
        </w:rPr>
        <w:t>t</w:t>
      </w:r>
      <w:r w:rsidRPr="008D1918">
        <w:rPr>
          <w:lang w:val="en-AU"/>
        </w:rPr>
        <w:t xml:space="preserve"> assesses whether the </w:t>
      </w:r>
      <w:r w:rsidRPr="008D1918" w:rsidR="008C4BCC">
        <w:rPr>
          <w:lang w:val="en-AU"/>
        </w:rPr>
        <w:t>current approach</w:t>
      </w:r>
      <w:r w:rsidRPr="008D1918">
        <w:rPr>
          <w:lang w:val="en-AU"/>
        </w:rPr>
        <w:t xml:space="preserve"> </w:t>
      </w:r>
      <w:r w:rsidRPr="008D1918" w:rsidR="003522D0">
        <w:rPr>
          <w:lang w:val="en-AU"/>
        </w:rPr>
        <w:t xml:space="preserve">to developing guidance on pricing </w:t>
      </w:r>
      <w:r w:rsidRPr="008D1918">
        <w:rPr>
          <w:lang w:val="en-AU"/>
        </w:rPr>
        <w:t>remains sufficient to support annual maintenance of DSW-related price</w:t>
      </w:r>
      <w:r w:rsidRPr="008D1918" w:rsidR="003522D0">
        <w:rPr>
          <w:lang w:val="en-AU"/>
        </w:rPr>
        <w:t>s</w:t>
      </w:r>
      <w:r w:rsidRPr="008D1918">
        <w:rPr>
          <w:lang w:val="en-AU"/>
        </w:rPr>
        <w:t xml:space="preserve"> through the established SCHADS</w:t>
      </w:r>
      <w:r w:rsidRPr="008D1918" w:rsidR="003C448C">
        <w:rPr>
          <w:lang w:val="en-AU"/>
        </w:rPr>
        <w:t xml:space="preserve"> Award</w:t>
      </w:r>
      <w:r w:rsidRPr="008D1918">
        <w:rPr>
          <w:lang w:val="en-AU"/>
        </w:rPr>
        <w:t xml:space="preserve">-linked indexation approach. Second, it examines emerging market signals </w:t>
      </w:r>
      <w:r w:rsidRPr="008D1918" w:rsidR="00716E6F">
        <w:rPr>
          <w:lang w:val="en-AU"/>
        </w:rPr>
        <w:t xml:space="preserve">to see whether they </w:t>
      </w:r>
      <w:r w:rsidRPr="008D1918">
        <w:rPr>
          <w:lang w:val="en-AU"/>
        </w:rPr>
        <w:t xml:space="preserve">indicate that broader assumptions </w:t>
      </w:r>
      <w:r w:rsidRPr="008D1918" w:rsidR="004D6A1B">
        <w:rPr>
          <w:lang w:val="en-AU"/>
        </w:rPr>
        <w:t>underpinning the DSW Cost Model no longer reflect contemporary delivery conditions.</w:t>
      </w:r>
    </w:p>
    <w:p w:rsidRPr="008D1918" w:rsidR="004D6A1B" w:rsidRDefault="003522D0" w14:paraId="3BA73ECE" w14:textId="4C4A3DBE">
      <w:pPr>
        <w:rPr>
          <w:lang w:val="en-AU"/>
        </w:rPr>
      </w:pPr>
      <w:r w:rsidRPr="008D1918">
        <w:rPr>
          <w:lang w:val="en-AU"/>
        </w:rPr>
        <w:t>This chapter</w:t>
      </w:r>
      <w:r w:rsidRPr="008D1918" w:rsidR="00D62638">
        <w:rPr>
          <w:lang w:val="en-AU"/>
        </w:rPr>
        <w:t xml:space="preserve"> informs the near-term pricing </w:t>
      </w:r>
      <w:r w:rsidRPr="008D1918">
        <w:rPr>
          <w:lang w:val="en-AU"/>
        </w:rPr>
        <w:t>recommendations i</w:t>
      </w:r>
      <w:r w:rsidRPr="008D1918" w:rsidR="003347FD">
        <w:rPr>
          <w:lang w:val="en-AU"/>
        </w:rPr>
        <w:t>n this APR</w:t>
      </w:r>
      <w:r w:rsidRPr="008D1918" w:rsidR="00D62638">
        <w:rPr>
          <w:lang w:val="en-AU"/>
        </w:rPr>
        <w:t>, while also identifying the structural questions to be tested through the scheduled DSW Cost Model Review in 2026</w:t>
      </w:r>
      <w:r w:rsidRPr="008D1918" w:rsidR="00D35969">
        <w:rPr>
          <w:lang w:val="en-AU"/>
        </w:rPr>
        <w:t>–</w:t>
      </w:r>
      <w:r w:rsidRPr="008D1918" w:rsidR="00D62638">
        <w:rPr>
          <w:lang w:val="en-AU"/>
        </w:rPr>
        <w:t>27</w:t>
      </w:r>
      <w:r w:rsidRPr="008D1918" w:rsidR="00153B5E">
        <w:rPr>
          <w:lang w:val="en-AU"/>
        </w:rPr>
        <w:t xml:space="preserve">. This includes </w:t>
      </w:r>
      <w:r w:rsidRPr="008D1918" w:rsidR="00D62638">
        <w:rPr>
          <w:lang w:val="en-AU"/>
        </w:rPr>
        <w:t xml:space="preserve">whether a common pricing framework continues to operate appropriately across increasingly different provider models and support types. </w:t>
      </w:r>
    </w:p>
    <w:p w:rsidRPr="008D1918" w:rsidR="00A97A75" w:rsidRDefault="00A97A75" w14:paraId="05A6267D" w14:textId="2A3B75C6">
      <w:pPr>
        <w:rPr>
          <w:lang w:val="en-AU"/>
        </w:rPr>
      </w:pPr>
      <w:r w:rsidRPr="008D1918">
        <w:rPr>
          <w:lang w:val="en-AU"/>
        </w:rPr>
        <w:t xml:space="preserve">More detailed costs and model assumptions are available in Appendix A and on </w:t>
      </w:r>
      <w:hyperlink w:history="1" w:anchor="disability-support-worker-cost-model" r:id="rId20">
        <w:r w:rsidRPr="008D1918" w:rsidR="00876FAB">
          <w:rPr>
            <w:rStyle w:val="Hyperlink"/>
            <w:lang w:val="en-AU"/>
          </w:rPr>
          <w:t>https://www.ndis.gov.au/providers/pricing-arrangements#disability-support-worker-cost-model</w:t>
        </w:r>
      </w:hyperlink>
      <w:r w:rsidRPr="008D1918" w:rsidR="00784684">
        <w:rPr>
          <w:lang w:val="en-AU"/>
        </w:rPr>
        <w:t>.</w:t>
      </w:r>
      <w:r w:rsidRPr="008D1918" w:rsidR="00C53D33">
        <w:rPr>
          <w:lang w:val="en-AU"/>
        </w:rPr>
        <w:t xml:space="preserve"> </w:t>
      </w:r>
    </w:p>
    <w:p w:rsidRPr="008D1918" w:rsidR="00A97A75" w:rsidP="00A97A75" w:rsidRDefault="00A97A75" w14:paraId="521F4CC5" w14:textId="05664C6E">
      <w:pPr>
        <w:pStyle w:val="Heading31"/>
        <w:ind w:left="1077" w:hanging="720"/>
      </w:pPr>
      <w:bookmarkStart w:name="_Toc223539655" w:id="622"/>
      <w:bookmarkStart w:name="_Toc223539872" w:id="623"/>
      <w:bookmarkStart w:name="_Toc223540340" w:id="624"/>
      <w:bookmarkStart w:name="_Toc223540556" w:id="625"/>
      <w:bookmarkStart w:name="_Toc223542092" w:id="626"/>
      <w:bookmarkStart w:name="_Toc223604277" w:id="627"/>
      <w:bookmarkStart w:name="_Toc223604488" w:id="628"/>
      <w:bookmarkStart w:name="_Toc227337075" w:id="629"/>
      <w:r w:rsidRPr="008D1918">
        <w:t xml:space="preserve">Supported Independent Living </w:t>
      </w:r>
      <w:bookmarkEnd w:id="622"/>
      <w:bookmarkEnd w:id="623"/>
      <w:bookmarkEnd w:id="624"/>
      <w:bookmarkEnd w:id="625"/>
      <w:bookmarkEnd w:id="626"/>
      <w:bookmarkEnd w:id="627"/>
      <w:bookmarkEnd w:id="628"/>
      <w:r w:rsidRPr="008D1918" w:rsidR="00C21A8C">
        <w:t>p</w:t>
      </w:r>
      <w:r w:rsidRPr="008D1918">
        <w:t>ilot</w:t>
      </w:r>
      <w:bookmarkEnd w:id="629"/>
    </w:p>
    <w:p w:rsidRPr="008D1918" w:rsidR="00A97A75" w:rsidRDefault="00D40541" w14:paraId="0EFBA2EE" w14:textId="7AD5A522">
      <w:pPr>
        <w:rPr>
          <w:lang w:val="en-AU"/>
        </w:rPr>
      </w:pPr>
      <w:bookmarkStart w:name="_Toc194053821" w:id="630"/>
      <w:bookmarkStart w:name="_Toc196754626" w:id="631"/>
      <w:bookmarkStart w:name="_Toc196758228" w:id="632"/>
      <w:bookmarkStart w:name="_Toc197344304" w:id="633"/>
      <w:bookmarkStart w:name="_Toc200271596" w:id="634"/>
      <w:bookmarkEnd w:id="630"/>
      <w:r w:rsidRPr="008D1918">
        <w:rPr>
          <w:lang w:val="en-AU"/>
        </w:rPr>
        <w:t xml:space="preserve">The SIL </w:t>
      </w:r>
      <w:r w:rsidRPr="008D1918" w:rsidR="00E2183D">
        <w:rPr>
          <w:lang w:val="en-AU"/>
        </w:rPr>
        <w:t>p</w:t>
      </w:r>
      <w:r w:rsidRPr="008D1918">
        <w:rPr>
          <w:lang w:val="en-AU"/>
        </w:rPr>
        <w:t xml:space="preserve">ilot </w:t>
      </w:r>
      <w:r w:rsidRPr="008D1918" w:rsidR="006370B6">
        <w:rPr>
          <w:lang w:val="en-AU"/>
        </w:rPr>
        <w:t xml:space="preserve">started </w:t>
      </w:r>
      <w:r w:rsidRPr="008D1918">
        <w:rPr>
          <w:lang w:val="en-AU"/>
        </w:rPr>
        <w:t xml:space="preserve">in </w:t>
      </w:r>
      <w:r w:rsidRPr="008D1918" w:rsidR="00115402">
        <w:rPr>
          <w:lang w:val="en-AU"/>
        </w:rPr>
        <w:t xml:space="preserve">August </w:t>
      </w:r>
      <w:r w:rsidRPr="008D1918">
        <w:rPr>
          <w:lang w:val="en-AU"/>
        </w:rPr>
        <w:t xml:space="preserve">2025 as part of the NDIA’s Quality Supports Program. It is the first </w:t>
      </w:r>
      <w:r w:rsidRPr="008D1918" w:rsidR="003D670F">
        <w:rPr>
          <w:lang w:val="en-AU"/>
        </w:rPr>
        <w:t>time the</w:t>
      </w:r>
      <w:r w:rsidRPr="008D1918">
        <w:rPr>
          <w:lang w:val="en-AU"/>
        </w:rPr>
        <w:t xml:space="preserve"> NDIA has collected financial and operational data this specific to SIL. Forty-four registered SIL providers across Australia are participating </w:t>
      </w:r>
      <w:r w:rsidRPr="008D1918" w:rsidR="00CB00A2">
        <w:rPr>
          <w:lang w:val="en-AU"/>
        </w:rPr>
        <w:t xml:space="preserve">in the </w:t>
      </w:r>
      <w:r w:rsidRPr="008D1918">
        <w:rPr>
          <w:lang w:val="en-AU"/>
        </w:rPr>
        <w:t>12</w:t>
      </w:r>
      <w:r w:rsidRPr="008D1918" w:rsidR="00997F4F">
        <w:rPr>
          <w:lang w:val="en-AU"/>
        </w:rPr>
        <w:t>-</w:t>
      </w:r>
      <w:r w:rsidRPr="008D1918">
        <w:rPr>
          <w:lang w:val="en-AU"/>
        </w:rPr>
        <w:t>month</w:t>
      </w:r>
      <w:r w:rsidRPr="008D1918" w:rsidR="00CB00A2">
        <w:rPr>
          <w:lang w:val="en-AU"/>
        </w:rPr>
        <w:t xml:space="preserve"> pilot</w:t>
      </w:r>
      <w:r w:rsidRPr="008D1918">
        <w:rPr>
          <w:lang w:val="en-AU"/>
        </w:rPr>
        <w:t>, providing detailed information</w:t>
      </w:r>
      <w:r w:rsidRPr="008D1918" w:rsidR="00CB00A2">
        <w:rPr>
          <w:lang w:val="en-AU"/>
        </w:rPr>
        <w:t>, insights and data</w:t>
      </w:r>
      <w:r w:rsidRPr="008D1918">
        <w:rPr>
          <w:lang w:val="en-AU"/>
        </w:rPr>
        <w:t xml:space="preserve"> on service </w:t>
      </w:r>
      <w:r w:rsidRPr="008D1918" w:rsidR="004866F9">
        <w:rPr>
          <w:lang w:val="en-AU"/>
        </w:rPr>
        <w:t>models</w:t>
      </w:r>
      <w:r w:rsidRPr="008D1918">
        <w:rPr>
          <w:lang w:val="en-AU"/>
        </w:rPr>
        <w:t>, cost structure</w:t>
      </w:r>
      <w:r w:rsidRPr="008D1918" w:rsidR="006F3079">
        <w:rPr>
          <w:lang w:val="en-AU"/>
        </w:rPr>
        <w:t>s</w:t>
      </w:r>
      <w:r w:rsidRPr="008D1918">
        <w:rPr>
          <w:lang w:val="en-AU"/>
        </w:rPr>
        <w:t xml:space="preserve"> and operating practices. </w:t>
      </w:r>
    </w:p>
    <w:p w:rsidRPr="008D1918" w:rsidR="00D40541" w:rsidRDefault="00D40541" w14:paraId="75440C6A" w14:textId="680AFBF3">
      <w:pPr>
        <w:rPr>
          <w:lang w:val="en-AU"/>
        </w:rPr>
      </w:pPr>
      <w:r w:rsidRPr="008D1918">
        <w:rPr>
          <w:lang w:val="en-AU"/>
        </w:rPr>
        <w:t xml:space="preserve">Participating providers are playing a key role in </w:t>
      </w:r>
      <w:r w:rsidRPr="008D1918" w:rsidR="00A02AEF">
        <w:rPr>
          <w:lang w:val="en-AU"/>
        </w:rPr>
        <w:t xml:space="preserve">working collaboratively with </w:t>
      </w:r>
      <w:r w:rsidRPr="008D1918">
        <w:rPr>
          <w:lang w:val="en-AU"/>
        </w:rPr>
        <w:t xml:space="preserve">the NDIA </w:t>
      </w:r>
      <w:r w:rsidRPr="008D1918" w:rsidR="00A02AEF">
        <w:rPr>
          <w:lang w:val="en-AU"/>
        </w:rPr>
        <w:t>to</w:t>
      </w:r>
      <w:r w:rsidRPr="008D1918">
        <w:rPr>
          <w:lang w:val="en-AU"/>
        </w:rPr>
        <w:t xml:space="preserve"> </w:t>
      </w:r>
      <w:r w:rsidRPr="008D1918" w:rsidR="00D83B01">
        <w:rPr>
          <w:lang w:val="en-AU"/>
        </w:rPr>
        <w:t xml:space="preserve">understand the features of quality SIL provision, including staffing models, governance arrangements and the operational requirements associated with supporting participants with high and complex needs. </w:t>
      </w:r>
    </w:p>
    <w:p w:rsidRPr="008D1918" w:rsidR="00D83B01" w:rsidRDefault="002207D7" w14:paraId="5CE39EEF" w14:textId="6EFCC0C9">
      <w:pPr>
        <w:rPr>
          <w:lang w:val="en-AU"/>
        </w:rPr>
      </w:pPr>
      <w:r w:rsidRPr="008D1918">
        <w:rPr>
          <w:lang w:val="en-AU"/>
        </w:rPr>
        <w:t>Findings from the pilot</w:t>
      </w:r>
      <w:r w:rsidRPr="008D1918" w:rsidR="00D83B01">
        <w:rPr>
          <w:lang w:val="en-AU"/>
        </w:rPr>
        <w:t xml:space="preserve"> will inform future market stewardship and pricing </w:t>
      </w:r>
      <w:r w:rsidRPr="008D1918" w:rsidR="00840C2D">
        <w:rPr>
          <w:lang w:val="en-AU"/>
        </w:rPr>
        <w:t>advice</w:t>
      </w:r>
      <w:r w:rsidRPr="008D1918" w:rsidR="00D83B01">
        <w:rPr>
          <w:lang w:val="en-AU"/>
        </w:rPr>
        <w:t xml:space="preserve"> for SIL, including the scope of the DSW Cost Model Review scheduled for 2026</w:t>
      </w:r>
      <w:r w:rsidRPr="008D1918" w:rsidR="00516BC1">
        <w:rPr>
          <w:lang w:val="en-AU"/>
        </w:rPr>
        <w:t>–</w:t>
      </w:r>
      <w:r w:rsidRPr="008D1918" w:rsidR="00D83B01">
        <w:rPr>
          <w:lang w:val="en-AU"/>
        </w:rPr>
        <w:t xml:space="preserve">27. </w:t>
      </w:r>
      <w:r w:rsidRPr="008D1918" w:rsidR="00C0423D">
        <w:rPr>
          <w:lang w:val="en-AU"/>
        </w:rPr>
        <w:t>P</w:t>
      </w:r>
      <w:r w:rsidRPr="008D1918" w:rsidR="00954305">
        <w:rPr>
          <w:lang w:val="en-AU"/>
        </w:rPr>
        <w:t xml:space="preserve">ilot </w:t>
      </w:r>
      <w:r w:rsidRPr="008D1918" w:rsidR="008C7E9B">
        <w:rPr>
          <w:lang w:val="en-AU"/>
        </w:rPr>
        <w:t>learnings</w:t>
      </w:r>
      <w:r w:rsidRPr="008D1918" w:rsidR="00D83B01">
        <w:rPr>
          <w:lang w:val="en-AU"/>
        </w:rPr>
        <w:t xml:space="preserve"> will help the NDIA assess whether the current </w:t>
      </w:r>
      <w:r w:rsidRPr="008D1918" w:rsidR="003522D0">
        <w:rPr>
          <w:lang w:val="en-AU"/>
        </w:rPr>
        <w:t>approach to developing price guidance</w:t>
      </w:r>
      <w:r w:rsidRPr="008D1918" w:rsidR="00D83B01">
        <w:rPr>
          <w:lang w:val="en-AU"/>
        </w:rPr>
        <w:t xml:space="preserve"> appropriately reflects the distinctive cost and delivery features of SIL. </w:t>
      </w:r>
    </w:p>
    <w:p w:rsidRPr="008D1918" w:rsidR="00A97A75" w:rsidP="00A97A75" w:rsidRDefault="00750442" w14:paraId="05768B2A" w14:textId="6D95B73C">
      <w:pPr>
        <w:pStyle w:val="Heading31"/>
        <w:ind w:left="1077" w:hanging="720"/>
      </w:pPr>
      <w:bookmarkStart w:name="_Toc223539657" w:id="635"/>
      <w:bookmarkStart w:name="_Toc223539874" w:id="636"/>
      <w:bookmarkStart w:name="_Toc223540342" w:id="637"/>
      <w:bookmarkStart w:name="_Toc223540558" w:id="638"/>
      <w:bookmarkStart w:name="_Toc223542094" w:id="639"/>
      <w:bookmarkStart w:name="_Toc223604280" w:id="640"/>
      <w:bookmarkStart w:name="_Toc223604491" w:id="641"/>
      <w:bookmarkStart w:name="_Toc227337076" w:id="642"/>
      <w:r w:rsidRPr="008D1918">
        <w:t>Scheme</w:t>
      </w:r>
      <w:r w:rsidRPr="008D1918" w:rsidR="006A349B">
        <w:t xml:space="preserve"> s</w:t>
      </w:r>
      <w:r w:rsidRPr="008D1918" w:rsidR="00A97A75">
        <w:t>tatistics</w:t>
      </w:r>
      <w:bookmarkEnd w:id="631"/>
      <w:bookmarkEnd w:id="632"/>
      <w:bookmarkEnd w:id="633"/>
      <w:bookmarkEnd w:id="634"/>
      <w:bookmarkEnd w:id="635"/>
      <w:bookmarkEnd w:id="636"/>
      <w:bookmarkEnd w:id="637"/>
      <w:bookmarkEnd w:id="638"/>
      <w:bookmarkEnd w:id="639"/>
      <w:bookmarkEnd w:id="640"/>
      <w:bookmarkEnd w:id="641"/>
      <w:bookmarkEnd w:id="642"/>
    </w:p>
    <w:p w:rsidRPr="008D1918" w:rsidR="00A97A75" w:rsidP="00041468" w:rsidRDefault="00A97A75" w14:paraId="6B07A06B" w14:textId="0A243DA5">
      <w:pPr>
        <w:pStyle w:val="StyleStyle112pt"/>
      </w:pPr>
      <w:bookmarkStart w:name="_Toc227318709" w:id="643"/>
      <w:bookmarkStart w:name="_Toc227337077" w:id="644"/>
      <w:bookmarkStart w:name="_Toc223428401" w:id="645"/>
      <w:bookmarkStart w:name="_Toc223445860" w:id="646"/>
      <w:bookmarkStart w:name="_Toc223539659" w:id="647"/>
      <w:bookmarkStart w:name="_Toc223539876" w:id="648"/>
      <w:bookmarkStart w:name="_Toc223540344" w:id="649"/>
      <w:bookmarkStart w:name="_Toc223540560" w:id="650"/>
      <w:bookmarkStart w:name="_Toc223542096" w:id="651"/>
      <w:bookmarkStart w:name="_Toc223604282" w:id="652"/>
      <w:bookmarkStart w:name="_Toc223604493" w:id="653"/>
      <w:bookmarkStart w:name="_Toc223604704" w:id="654"/>
      <w:bookmarkStart w:name="_Toc223618575" w:id="655"/>
      <w:bookmarkStart w:name="_Toc223702812" w:id="656"/>
      <w:r w:rsidRPr="008D1918">
        <w:t>DSW market</w:t>
      </w:r>
      <w:bookmarkEnd w:id="643"/>
      <w:bookmarkEnd w:id="644"/>
      <w:r w:rsidRPr="008D1918">
        <w:t xml:space="preserve"> </w:t>
      </w:r>
      <w:bookmarkEnd w:id="645"/>
      <w:bookmarkEnd w:id="646"/>
      <w:bookmarkEnd w:id="647"/>
      <w:bookmarkEnd w:id="648"/>
      <w:bookmarkEnd w:id="649"/>
      <w:bookmarkEnd w:id="650"/>
      <w:bookmarkEnd w:id="651"/>
      <w:bookmarkEnd w:id="652"/>
      <w:bookmarkEnd w:id="653"/>
      <w:bookmarkEnd w:id="654"/>
      <w:bookmarkEnd w:id="655"/>
      <w:bookmarkEnd w:id="656"/>
    </w:p>
    <w:p w:rsidRPr="008D1918" w:rsidR="00A97A75" w:rsidRDefault="00A97A75" w14:paraId="1EA2184B" w14:textId="6583018F">
      <w:pPr>
        <w:rPr>
          <w:lang w:val="en-AU"/>
        </w:rPr>
      </w:pPr>
      <w:r w:rsidRPr="008D1918">
        <w:rPr>
          <w:lang w:val="en-AU"/>
        </w:rPr>
        <w:t xml:space="preserve">In the </w:t>
      </w:r>
      <w:r w:rsidRPr="008D1918" w:rsidR="00516BC1">
        <w:rPr>
          <w:lang w:val="en-AU"/>
        </w:rPr>
        <w:t>6</w:t>
      </w:r>
      <w:r w:rsidRPr="008D1918">
        <w:rPr>
          <w:lang w:val="en-AU"/>
        </w:rPr>
        <w:t xml:space="preserve"> months to December 2025 </w:t>
      </w:r>
      <w:r w:rsidRPr="008D1918" w:rsidR="00F83B88">
        <w:rPr>
          <w:lang w:val="en-AU"/>
        </w:rPr>
        <w:t xml:space="preserve">more than </w:t>
      </w:r>
      <w:r w:rsidRPr="008D1918">
        <w:rPr>
          <w:lang w:val="en-AU"/>
        </w:rPr>
        <w:t>325,000 NDIS participants claimed at least one DSW-related support</w:t>
      </w:r>
      <w:r w:rsidR="005A1F45">
        <w:rPr>
          <w:lang w:val="en-AU"/>
        </w:rPr>
        <w:t>. This is a</w:t>
      </w:r>
      <w:r w:rsidRPr="008D1918">
        <w:rPr>
          <w:lang w:val="en-AU"/>
        </w:rPr>
        <w:t xml:space="preserve"> 7.6% increase from the previous period. The number of providers rose by 5.8% to 144,754 over the same period (</w:t>
      </w:r>
      <w:r w:rsidRPr="008D1918" w:rsidR="005361E4">
        <w:rPr>
          <w:lang w:val="en-AU"/>
        </w:rPr>
        <w:fldChar w:fldCharType="begin"/>
      </w:r>
      <w:r w:rsidRPr="008D1918" w:rsidR="005361E4">
        <w:rPr>
          <w:lang w:val="en-AU"/>
        </w:rPr>
        <w:instrText xml:space="preserve"> REF _Ref227131447 \h </w:instrText>
      </w:r>
      <w:r w:rsidR="008D1918">
        <w:rPr>
          <w:lang w:val="en-AU"/>
        </w:rPr>
        <w:instrText xml:space="preserve"> \* MERGEFORMAT </w:instrText>
      </w:r>
      <w:r w:rsidRPr="008D1918" w:rsidR="005361E4">
        <w:rPr>
          <w:lang w:val="en-AU"/>
        </w:rPr>
      </w:r>
      <w:r w:rsidRPr="008D1918" w:rsidR="005361E4">
        <w:rPr>
          <w:lang w:val="en-AU"/>
        </w:rPr>
        <w:fldChar w:fldCharType="separate"/>
      </w:r>
      <w:r w:rsidRPr="008D1918" w:rsidR="008F56A2">
        <w:t xml:space="preserve">Table </w:t>
      </w:r>
      <w:r w:rsidR="008F56A2">
        <w:rPr>
          <w:noProof/>
        </w:rPr>
        <w:t>2</w:t>
      </w:r>
      <w:r w:rsidRPr="008D1918" w:rsidR="005361E4">
        <w:rPr>
          <w:lang w:val="en-AU"/>
        </w:rPr>
        <w:fldChar w:fldCharType="end"/>
      </w:r>
      <w:r w:rsidRPr="008D1918" w:rsidR="00057695">
        <w:rPr>
          <w:lang w:val="en-AU"/>
        </w:rPr>
        <w:t>)</w:t>
      </w:r>
      <w:r w:rsidRPr="008D1918">
        <w:rPr>
          <w:lang w:val="en-AU"/>
        </w:rPr>
        <w:t xml:space="preserve">. The longer-term growth trend in both participant and provider numbers from January 2023 to December 2025 is illustrated in </w:t>
      </w:r>
      <w:r w:rsidRPr="008D1918" w:rsidR="006315B6">
        <w:rPr>
          <w:lang w:val="en-AU"/>
        </w:rPr>
        <w:fldChar w:fldCharType="begin"/>
      </w:r>
      <w:r w:rsidRPr="008D1918" w:rsidR="006315B6">
        <w:rPr>
          <w:lang w:val="en-AU"/>
        </w:rPr>
        <w:instrText xml:space="preserve"> REF _Ref223623818 \h </w:instrText>
      </w:r>
      <w:r w:rsidRPr="008D1918" w:rsidR="00762DF8">
        <w:rPr>
          <w:lang w:val="en-AU"/>
        </w:rPr>
        <w:instrText xml:space="preserve"> \* MERGEFORMAT </w:instrText>
      </w:r>
      <w:r w:rsidRPr="008D1918" w:rsidR="006315B6">
        <w:rPr>
          <w:lang w:val="en-AU"/>
        </w:rPr>
      </w:r>
      <w:r w:rsidRPr="008D1918" w:rsidR="006315B6">
        <w:rPr>
          <w:lang w:val="en-AU"/>
        </w:rPr>
        <w:fldChar w:fldCharType="separate"/>
      </w:r>
      <w:r w:rsidRPr="008F56A2" w:rsidR="008F56A2">
        <w:rPr>
          <w:lang w:val="en-AU"/>
        </w:rPr>
        <w:t>Figure</w:t>
      </w:r>
      <w:r w:rsidRPr="008D1918" w:rsidR="008F56A2">
        <w:t xml:space="preserve"> </w:t>
      </w:r>
      <w:r w:rsidR="008F56A2">
        <w:rPr>
          <w:noProof/>
        </w:rPr>
        <w:t>4</w:t>
      </w:r>
      <w:r w:rsidRPr="008D1918" w:rsidR="006315B6">
        <w:rPr>
          <w:lang w:val="en-AU"/>
        </w:rPr>
        <w:fldChar w:fldCharType="end"/>
      </w:r>
      <w:r w:rsidRPr="008D1918">
        <w:rPr>
          <w:lang w:val="en-AU"/>
        </w:rPr>
        <w:t>.</w:t>
      </w:r>
    </w:p>
    <w:p w:rsidRPr="008D1918" w:rsidR="00A97A75" w:rsidRDefault="00A97A75" w14:paraId="4B8AAC9E" w14:textId="41FBEF12">
      <w:pPr>
        <w:rPr>
          <w:lang w:val="en-AU"/>
        </w:rPr>
      </w:pPr>
      <w:r w:rsidRPr="008D1918">
        <w:rPr>
          <w:lang w:val="en-AU"/>
        </w:rPr>
        <w:t xml:space="preserve">A key trend in the </w:t>
      </w:r>
      <w:r w:rsidRPr="008D1918" w:rsidR="004F02E2">
        <w:rPr>
          <w:lang w:val="en-AU"/>
        </w:rPr>
        <w:t xml:space="preserve">6 </w:t>
      </w:r>
      <w:r w:rsidRPr="008D1918">
        <w:rPr>
          <w:lang w:val="en-AU"/>
        </w:rPr>
        <w:t xml:space="preserve">months to December 2025 is the divergence between provider growth and average claim value between the </w:t>
      </w:r>
      <w:r w:rsidRPr="008D1918" w:rsidR="004F02E2">
        <w:rPr>
          <w:lang w:val="en-AU"/>
        </w:rPr>
        <w:t xml:space="preserve">2 </w:t>
      </w:r>
      <w:r w:rsidRPr="008D1918">
        <w:rPr>
          <w:lang w:val="en-AU"/>
        </w:rPr>
        <w:t xml:space="preserve">sectors. The number of active registered providers grew by 20.3% compared to the </w:t>
      </w:r>
      <w:r w:rsidRPr="008D1918" w:rsidR="004F02E2">
        <w:rPr>
          <w:lang w:val="en-AU"/>
        </w:rPr>
        <w:t xml:space="preserve">6 </w:t>
      </w:r>
      <w:r w:rsidRPr="008D1918">
        <w:rPr>
          <w:lang w:val="en-AU"/>
        </w:rPr>
        <w:t xml:space="preserve">months to December 2024. </w:t>
      </w:r>
      <w:r w:rsidRPr="008D1918" w:rsidR="00CE75C0">
        <w:rPr>
          <w:lang w:val="en-AU"/>
        </w:rPr>
        <w:t>D</w:t>
      </w:r>
      <w:r w:rsidRPr="008D1918">
        <w:rPr>
          <w:lang w:val="en-AU"/>
        </w:rPr>
        <w:t>espite a 14.6% rise in total payments to this group, the average claim per active registered provider declined by 4.7% to $977,900 (</w:t>
      </w:r>
      <w:r w:rsidRPr="008D1918" w:rsidR="003001C5">
        <w:rPr>
          <w:lang w:val="en-AU"/>
        </w:rPr>
        <w:fldChar w:fldCharType="begin"/>
      </w:r>
      <w:r w:rsidRPr="008D1918" w:rsidR="003001C5">
        <w:rPr>
          <w:lang w:val="en-AU"/>
        </w:rPr>
        <w:instrText xml:space="preserve"> REF _Ref223685591 \h </w:instrText>
      </w:r>
      <w:r w:rsidRPr="008D1918" w:rsidR="00762DF8">
        <w:rPr>
          <w:lang w:val="en-AU"/>
        </w:rPr>
        <w:instrText xml:space="preserve"> \* MERGEFORMAT </w:instrText>
      </w:r>
      <w:r w:rsidRPr="008D1918" w:rsidR="003001C5">
        <w:rPr>
          <w:lang w:val="en-AU"/>
        </w:rPr>
      </w:r>
      <w:r w:rsidRPr="008D1918" w:rsidR="003001C5">
        <w:rPr>
          <w:lang w:val="en-AU"/>
        </w:rPr>
        <w:fldChar w:fldCharType="separate"/>
      </w:r>
      <w:r w:rsidRPr="008F56A2" w:rsidR="008F56A2">
        <w:rPr>
          <w:lang w:val="en-AU"/>
        </w:rPr>
        <w:t>Table</w:t>
      </w:r>
      <w:r w:rsidRPr="008D1918" w:rsidR="008F56A2">
        <w:t xml:space="preserve"> </w:t>
      </w:r>
      <w:r w:rsidR="008F56A2">
        <w:rPr>
          <w:noProof/>
        </w:rPr>
        <w:t>3</w:t>
      </w:r>
      <w:r w:rsidRPr="008D1918" w:rsidR="003001C5">
        <w:rPr>
          <w:lang w:val="en-AU"/>
        </w:rPr>
        <w:fldChar w:fldCharType="end"/>
      </w:r>
      <w:r w:rsidRPr="008D1918">
        <w:rPr>
          <w:lang w:val="en-AU"/>
        </w:rPr>
        <w:t xml:space="preserve">). This decline suggests registered providers </w:t>
      </w:r>
      <w:r w:rsidRPr="008D1918" w:rsidR="008B4E1D">
        <w:rPr>
          <w:lang w:val="en-AU"/>
        </w:rPr>
        <w:t>are</w:t>
      </w:r>
      <w:r w:rsidRPr="008D1918" w:rsidR="009B0C73">
        <w:rPr>
          <w:lang w:val="en-AU"/>
        </w:rPr>
        <w:t>, on average,</w:t>
      </w:r>
      <w:r w:rsidRPr="008D1918" w:rsidR="008B4E1D">
        <w:rPr>
          <w:lang w:val="en-AU"/>
        </w:rPr>
        <w:t xml:space="preserve"> </w:t>
      </w:r>
      <w:r w:rsidRPr="008D1918">
        <w:rPr>
          <w:lang w:val="en-AU"/>
        </w:rPr>
        <w:t>operating at a smaller scale compared to a year ago.</w:t>
      </w:r>
    </w:p>
    <w:p w:rsidRPr="008D1918" w:rsidR="00A97A75" w:rsidRDefault="000634C5" w14:paraId="220D0C28" w14:textId="55A630DB">
      <w:pPr>
        <w:rPr>
          <w:lang w:val="en-AU"/>
        </w:rPr>
      </w:pPr>
      <w:r w:rsidRPr="008D1918">
        <w:rPr>
          <w:lang w:val="en-AU"/>
        </w:rPr>
        <w:t>T</w:t>
      </w:r>
      <w:r w:rsidRPr="008D1918" w:rsidR="00A97A75">
        <w:rPr>
          <w:lang w:val="en-AU"/>
        </w:rPr>
        <w:t xml:space="preserve">he unregistered market shows different dynamics. The number of active unregistered providers increased </w:t>
      </w:r>
      <w:r w:rsidRPr="008D1918" w:rsidR="009B0C73">
        <w:rPr>
          <w:lang w:val="en-AU"/>
        </w:rPr>
        <w:t xml:space="preserve">by a </w:t>
      </w:r>
      <w:r w:rsidRPr="008D1918" w:rsidR="00A97A75">
        <w:rPr>
          <w:lang w:val="en-AU"/>
        </w:rPr>
        <w:t>modest</w:t>
      </w:r>
      <w:r w:rsidRPr="008D1918" w:rsidR="007B1700">
        <w:rPr>
          <w:lang w:val="en-AU"/>
        </w:rPr>
        <w:t xml:space="preserve"> </w:t>
      </w:r>
      <w:r w:rsidRPr="008D1918" w:rsidR="00A97A75">
        <w:rPr>
          <w:lang w:val="en-AU"/>
        </w:rPr>
        <w:t xml:space="preserve">4.8%, while the number of participants </w:t>
      </w:r>
      <w:r w:rsidRPr="008D1918" w:rsidR="007B1700">
        <w:rPr>
          <w:lang w:val="en-AU"/>
        </w:rPr>
        <w:t xml:space="preserve">using unregistered providers </w:t>
      </w:r>
      <w:r w:rsidRPr="008D1918" w:rsidR="00A97A75">
        <w:rPr>
          <w:lang w:val="en-AU"/>
        </w:rPr>
        <w:t>grew by 6.6%.</w:t>
      </w:r>
      <w:r w:rsidRPr="008D1918" w:rsidR="00422527">
        <w:rPr>
          <w:lang w:val="en-AU"/>
        </w:rPr>
        <w:t xml:space="preserve"> T</w:t>
      </w:r>
      <w:r w:rsidRPr="008D1918" w:rsidR="00A97A75">
        <w:rPr>
          <w:lang w:val="en-AU"/>
        </w:rPr>
        <w:t>otal payments to unregistered providers rose by 12.1% to $4.7 billion (</w:t>
      </w:r>
      <w:r w:rsidRPr="008D1918" w:rsidR="003001C5">
        <w:rPr>
          <w:lang w:val="en-AU"/>
        </w:rPr>
        <w:fldChar w:fldCharType="begin"/>
      </w:r>
      <w:r w:rsidRPr="008D1918" w:rsidR="003001C5">
        <w:rPr>
          <w:lang w:val="en-AU"/>
        </w:rPr>
        <w:instrText xml:space="preserve"> REF _Ref223685611 \h </w:instrText>
      </w:r>
      <w:r w:rsidRPr="008D1918" w:rsidR="00762DF8">
        <w:rPr>
          <w:lang w:val="en-AU"/>
        </w:rPr>
        <w:instrText xml:space="preserve"> \* MERGEFORMAT </w:instrText>
      </w:r>
      <w:r w:rsidRPr="008D1918" w:rsidR="003001C5">
        <w:rPr>
          <w:lang w:val="en-AU"/>
        </w:rPr>
      </w:r>
      <w:r w:rsidRPr="008D1918" w:rsidR="003001C5">
        <w:rPr>
          <w:lang w:val="en-AU"/>
        </w:rPr>
        <w:fldChar w:fldCharType="separate"/>
      </w:r>
      <w:r w:rsidRPr="008F56A2" w:rsidR="008F56A2">
        <w:rPr>
          <w:lang w:val="en-AU"/>
        </w:rPr>
        <w:t>Table</w:t>
      </w:r>
      <w:r w:rsidRPr="008D1918" w:rsidR="008F56A2">
        <w:t xml:space="preserve"> </w:t>
      </w:r>
      <w:r w:rsidR="008F56A2">
        <w:rPr>
          <w:noProof/>
        </w:rPr>
        <w:t>4</w:t>
      </w:r>
      <w:r w:rsidRPr="008D1918" w:rsidR="003001C5">
        <w:rPr>
          <w:lang w:val="en-AU"/>
        </w:rPr>
        <w:fldChar w:fldCharType="end"/>
      </w:r>
      <w:r w:rsidRPr="008D1918" w:rsidR="00A97A75">
        <w:rPr>
          <w:lang w:val="en-AU"/>
        </w:rPr>
        <w:t xml:space="preserve">). Unlike the registered </w:t>
      </w:r>
      <w:r w:rsidRPr="008D1918" w:rsidR="000571DB">
        <w:rPr>
          <w:lang w:val="en-AU"/>
        </w:rPr>
        <w:t xml:space="preserve">provider </w:t>
      </w:r>
      <w:r w:rsidRPr="008D1918" w:rsidR="00A97A75">
        <w:rPr>
          <w:lang w:val="en-AU"/>
        </w:rPr>
        <w:t>sector, the average claim per unregistered provider increased by 6.9% to $35,500.</w:t>
      </w:r>
    </w:p>
    <w:p w:rsidRPr="008D1918" w:rsidR="00A97A75" w:rsidP="00B26FE8" w:rsidRDefault="00B26FE8" w14:paraId="0BAE59C3" w14:textId="4A1850C4">
      <w:pPr>
        <w:pStyle w:val="Caption"/>
        <w:rPr>
          <w:rFonts w:eastAsia="DengXian" w:cs="Cordia New"/>
          <w:i w:val="0"/>
          <w:color w:val="6B2876" w:themeColor="accent5"/>
        </w:rPr>
      </w:pPr>
      <w:bookmarkStart w:name="_Ref227131447" w:id="657"/>
      <w:r w:rsidRPr="008D1918">
        <w:t xml:space="preserve">Table </w:t>
      </w:r>
      <w:r>
        <w:fldChar w:fldCharType="begin"/>
      </w:r>
      <w:r>
        <w:instrText>SEQ Table \* ARABIC</w:instrText>
      </w:r>
      <w:r>
        <w:fldChar w:fldCharType="separate"/>
      </w:r>
      <w:r w:rsidR="008F56A2">
        <w:rPr>
          <w:noProof/>
        </w:rPr>
        <w:t>2</w:t>
      </w:r>
      <w:r>
        <w:fldChar w:fldCharType="end"/>
      </w:r>
      <w:bookmarkEnd w:id="657"/>
      <w:r w:rsidRPr="008D1918" w:rsidR="00A97A75">
        <w:rPr>
          <w:rFonts w:eastAsia="DengXian" w:cs="Cordia New"/>
          <w:color w:val="6B2876" w:themeColor="accent5"/>
        </w:rPr>
        <w:t xml:space="preserve">: DSW-related supports </w:t>
      </w:r>
      <w:r w:rsidRPr="008D1918" w:rsidR="00750442">
        <w:rPr>
          <w:rFonts w:eastAsia="DengXian" w:cs="Cordia New"/>
          <w:color w:val="6B2876" w:themeColor="accent5"/>
        </w:rPr>
        <w:t>Scheme</w:t>
      </w:r>
      <w:r w:rsidRPr="008D1918" w:rsidR="006A349B">
        <w:rPr>
          <w:rFonts w:eastAsia="DengXian" w:cs="Cordia New"/>
          <w:color w:val="6B2876" w:themeColor="accent5"/>
        </w:rPr>
        <w:t xml:space="preserve"> </w:t>
      </w:r>
      <w:r w:rsidRPr="008D1918" w:rsidR="00A97A75">
        <w:rPr>
          <w:rFonts w:eastAsia="DengXian" w:cs="Cordia New"/>
          <w:color w:val="6B2876" w:themeColor="accent5"/>
        </w:rPr>
        <w:t>statistics – all providers</w:t>
      </w:r>
      <w:r w:rsidRPr="008D1918" w:rsidR="000721DC">
        <w:rPr>
          <w:rFonts w:eastAsia="DengXian" w:cs="Cordia New"/>
          <w:color w:val="6B2876" w:themeColor="accent5"/>
        </w:rPr>
        <w:t>,</w:t>
      </w:r>
      <w:r w:rsidRPr="008D1918" w:rsidR="003A6E63">
        <w:rPr>
          <w:rFonts w:eastAsia="DengXian" w:cs="Cordia New"/>
          <w:color w:val="6B2876" w:themeColor="accent5"/>
        </w:rPr>
        <w:t xml:space="preserve"> July 2024 to December 2025</w:t>
      </w:r>
    </w:p>
    <w:tbl>
      <w:tblPr>
        <w:tblStyle w:val="GridTable4-Accent121"/>
        <w:tblW w:w="0" w:type="auto"/>
        <w:tblInd w:w="5" w:type="dxa"/>
        <w:tblLook w:val="04A0" w:firstRow="1" w:lastRow="0" w:firstColumn="1" w:lastColumn="0" w:noHBand="0" w:noVBand="1"/>
      </w:tblPr>
      <w:tblGrid>
        <w:gridCol w:w="3737"/>
        <w:gridCol w:w="1914"/>
        <w:gridCol w:w="1914"/>
        <w:gridCol w:w="1446"/>
      </w:tblGrid>
      <w:tr w:rsidRPr="008D1918" w:rsidR="00A238C6" w:rsidTr="0030446C" w14:paraId="70CD8621" w14:textId="77777777">
        <w:trPr>
          <w:cnfStyle w:val="100000000000" w:firstRow="1" w:lastRow="0" w:firstColumn="0" w:lastColumn="0" w:oddVBand="0" w:evenVBand="0" w:oddHBand="0" w:evenHBand="0" w:firstRowFirstColumn="0" w:firstRowLastColumn="0" w:lastRowFirstColumn="0" w:lastRowLastColumn="0"/>
          <w:trHeight w:val="645"/>
          <w:tblHeader/>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9C76DC" w:rsidRDefault="00A97A75" w14:paraId="3AB63BEC" w14:textId="77777777">
            <w:pPr>
              <w:spacing w:before="60" w:after="60"/>
              <w:rPr>
                <w:rFonts w:cs="Arial"/>
                <w:b w:val="0"/>
                <w:sz w:val="20"/>
                <w:szCs w:val="20"/>
                <w:lang w:val="en-AU" w:eastAsia="en-AU"/>
              </w:rPr>
            </w:pPr>
            <w:r w:rsidRPr="008D1918">
              <w:rPr>
                <w:rFonts w:cs="Arial"/>
                <w:color w:val="F9F9F9" w:themeColor="background1"/>
                <w:sz w:val="20"/>
                <w:szCs w:val="20"/>
                <w:lang w:val="en-AU" w:eastAsia="en-AU"/>
              </w:rPr>
              <w:t>Statistics</w:t>
            </w:r>
          </w:p>
        </w:tc>
        <w:tc>
          <w:tcPr>
            <w:tcW w:w="2041" w:type="dxa"/>
            <w:vAlign w:val="center"/>
            <w:hideMark/>
          </w:tcPr>
          <w:p w:rsidRPr="008D1918" w:rsidR="00A97A75" w:rsidP="009C76DC" w:rsidRDefault="00A97A75" w14:paraId="7C259B68"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July – December 2024</w:t>
            </w:r>
          </w:p>
        </w:tc>
        <w:tc>
          <w:tcPr>
            <w:tcW w:w="2041" w:type="dxa"/>
            <w:vAlign w:val="center"/>
            <w:hideMark/>
          </w:tcPr>
          <w:p w:rsidRPr="008D1918" w:rsidR="00A97A75" w:rsidP="009C76DC" w:rsidRDefault="00A97A75" w14:paraId="49C7DA58"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July – December 2025</w:t>
            </w:r>
          </w:p>
        </w:tc>
        <w:tc>
          <w:tcPr>
            <w:tcW w:w="1474" w:type="dxa"/>
            <w:vAlign w:val="center"/>
            <w:hideMark/>
          </w:tcPr>
          <w:p w:rsidRPr="008D1918" w:rsidR="00A97A75" w:rsidP="009C76DC" w:rsidRDefault="00A97A75" w14:paraId="13103BA9" w14:textId="0B8EE96C">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 xml:space="preserve">Percentage </w:t>
            </w:r>
            <w:r w:rsidRPr="008D1918" w:rsidR="009C76DC">
              <w:rPr>
                <w:rFonts w:cs="Arial"/>
                <w:color w:val="F9F9F9" w:themeColor="background1"/>
                <w:sz w:val="20"/>
                <w:szCs w:val="20"/>
                <w:lang w:val="en-AU" w:eastAsia="en-AU"/>
              </w:rPr>
              <w:t>c</w:t>
            </w:r>
            <w:r w:rsidRPr="008D1918">
              <w:rPr>
                <w:rFonts w:cs="Arial"/>
                <w:color w:val="F9F9F9" w:themeColor="background1"/>
                <w:sz w:val="20"/>
                <w:szCs w:val="20"/>
                <w:lang w:val="en-AU" w:eastAsia="en-AU"/>
              </w:rPr>
              <w:t>hange</w:t>
            </w:r>
          </w:p>
        </w:tc>
      </w:tr>
      <w:tr w:rsidRPr="008D1918" w:rsidR="00A238C6" w:rsidTr="0030446C" w14:paraId="4CAEDF6E"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165490" w:rsidRDefault="00A97A75" w14:paraId="179F819F" w14:textId="77777777">
            <w:pPr>
              <w:spacing w:before="60" w:after="60"/>
              <w:rPr>
                <w:rFonts w:cs="Arial"/>
                <w:sz w:val="20"/>
                <w:szCs w:val="20"/>
                <w:lang w:val="en-AU" w:eastAsia="en-AU"/>
              </w:rPr>
            </w:pPr>
            <w:r w:rsidRPr="008D1918">
              <w:rPr>
                <w:rFonts w:cs="Arial"/>
                <w:sz w:val="20"/>
                <w:szCs w:val="20"/>
                <w:lang w:val="en-AU" w:eastAsia="en-AU"/>
              </w:rPr>
              <w:t>Number of NDIS participants</w:t>
            </w:r>
          </w:p>
        </w:tc>
        <w:tc>
          <w:tcPr>
            <w:tcW w:w="2041" w:type="dxa"/>
            <w:vAlign w:val="center"/>
            <w:hideMark/>
          </w:tcPr>
          <w:p w:rsidRPr="008D1918" w:rsidR="00A97A75" w:rsidP="00163C3A" w:rsidRDefault="00A97A75" w14:paraId="5D3C7E50"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trike/>
                <w:sz w:val="20"/>
                <w:szCs w:val="20"/>
                <w:lang w:val="en-AU" w:eastAsia="en-AU"/>
              </w:rPr>
            </w:pPr>
            <w:r w:rsidRPr="008D1918">
              <w:rPr>
                <w:rFonts w:cs="Arial"/>
                <w:sz w:val="20"/>
                <w:szCs w:val="20"/>
                <w:lang w:val="en-AU"/>
              </w:rPr>
              <w:t>301,964</w:t>
            </w:r>
          </w:p>
        </w:tc>
        <w:tc>
          <w:tcPr>
            <w:tcW w:w="2041" w:type="dxa"/>
            <w:vAlign w:val="center"/>
            <w:hideMark/>
          </w:tcPr>
          <w:p w:rsidRPr="008D1918" w:rsidR="00A97A75" w:rsidP="00163C3A" w:rsidRDefault="00A97A75" w14:paraId="74C69CD3"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trike/>
                <w:sz w:val="20"/>
                <w:szCs w:val="20"/>
                <w:lang w:val="en-AU" w:eastAsia="en-AU"/>
              </w:rPr>
            </w:pPr>
            <w:r w:rsidRPr="008D1918">
              <w:rPr>
                <w:rFonts w:cs="Arial"/>
                <w:sz w:val="20"/>
                <w:szCs w:val="20"/>
                <w:lang w:val="en-AU"/>
              </w:rPr>
              <w:t>325,011</w:t>
            </w:r>
          </w:p>
        </w:tc>
        <w:tc>
          <w:tcPr>
            <w:tcW w:w="1474" w:type="dxa"/>
            <w:vAlign w:val="center"/>
            <w:hideMark/>
          </w:tcPr>
          <w:p w:rsidRPr="008D1918" w:rsidR="00A97A75" w:rsidP="00163C3A" w:rsidRDefault="00A97A75" w14:paraId="027B3BB9"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trike/>
                <w:sz w:val="20"/>
                <w:szCs w:val="20"/>
                <w:lang w:val="en-AU" w:eastAsia="en-AU"/>
              </w:rPr>
            </w:pPr>
            <w:r w:rsidRPr="008D1918">
              <w:rPr>
                <w:rFonts w:cs="Arial"/>
                <w:sz w:val="20"/>
                <w:szCs w:val="20"/>
                <w:lang w:val="en-AU"/>
              </w:rPr>
              <w:t>+7.6%</w:t>
            </w:r>
          </w:p>
        </w:tc>
      </w:tr>
      <w:tr w:rsidRPr="008D1918" w:rsidR="00236CDB" w:rsidTr="0030446C" w14:paraId="7990CD3D" w14:textId="77777777">
        <w:trPr>
          <w:trHeight w:val="315"/>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165490" w:rsidRDefault="00A97A75" w14:paraId="6BBE53C8" w14:textId="77777777">
            <w:pPr>
              <w:spacing w:before="60" w:after="60"/>
              <w:rPr>
                <w:rFonts w:cs="Arial"/>
                <w:color w:val="000000"/>
                <w:sz w:val="20"/>
                <w:szCs w:val="20"/>
                <w:lang w:val="en-AU" w:eastAsia="en-AU"/>
              </w:rPr>
            </w:pPr>
            <w:r w:rsidRPr="008D1918">
              <w:rPr>
                <w:rFonts w:cs="Arial"/>
                <w:color w:val="000000" w:themeColor="accent6"/>
                <w:sz w:val="20"/>
                <w:szCs w:val="20"/>
                <w:lang w:val="en-AU" w:eastAsia="en-AU"/>
              </w:rPr>
              <w:t>Number of active providers</w:t>
            </w:r>
          </w:p>
        </w:tc>
        <w:tc>
          <w:tcPr>
            <w:tcW w:w="2041" w:type="dxa"/>
            <w:vAlign w:val="center"/>
            <w:hideMark/>
          </w:tcPr>
          <w:p w:rsidRPr="008D1918" w:rsidR="00A97A75" w:rsidP="00163C3A" w:rsidRDefault="00A97A75" w14:paraId="7FA101CF" w14:textId="77777777">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strike/>
                <w:color w:val="000000"/>
                <w:sz w:val="20"/>
                <w:szCs w:val="20"/>
                <w:lang w:val="en-AU" w:eastAsia="en-AU"/>
              </w:rPr>
            </w:pPr>
            <w:r w:rsidRPr="008D1918">
              <w:rPr>
                <w:rFonts w:cs="Arial"/>
                <w:color w:val="000000" w:themeColor="accent6"/>
                <w:sz w:val="20"/>
                <w:szCs w:val="20"/>
                <w:lang w:val="en-AU"/>
              </w:rPr>
              <w:t>136,859</w:t>
            </w:r>
          </w:p>
        </w:tc>
        <w:tc>
          <w:tcPr>
            <w:tcW w:w="2041" w:type="dxa"/>
            <w:vAlign w:val="center"/>
            <w:hideMark/>
          </w:tcPr>
          <w:p w:rsidRPr="008D1918" w:rsidR="00A97A75" w:rsidP="00163C3A" w:rsidRDefault="00A97A75" w14:paraId="5ECF609A" w14:textId="77777777">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strike/>
                <w:color w:val="000000"/>
                <w:sz w:val="20"/>
                <w:szCs w:val="20"/>
                <w:lang w:val="en-AU" w:eastAsia="en-AU"/>
              </w:rPr>
            </w:pPr>
            <w:r w:rsidRPr="008D1918">
              <w:rPr>
                <w:rFonts w:cs="Arial"/>
                <w:color w:val="000000" w:themeColor="accent6"/>
                <w:sz w:val="20"/>
                <w:szCs w:val="20"/>
                <w:lang w:val="en-AU"/>
              </w:rPr>
              <w:t>144,754</w:t>
            </w:r>
          </w:p>
        </w:tc>
        <w:tc>
          <w:tcPr>
            <w:tcW w:w="1474" w:type="dxa"/>
            <w:vAlign w:val="center"/>
            <w:hideMark/>
          </w:tcPr>
          <w:p w:rsidRPr="008D1918" w:rsidR="00A97A75" w:rsidP="00163C3A" w:rsidRDefault="00A97A75" w14:paraId="54B9DE45" w14:textId="77777777">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strike/>
                <w:color w:val="000000"/>
                <w:sz w:val="20"/>
                <w:szCs w:val="20"/>
                <w:lang w:val="en-AU" w:eastAsia="en-AU"/>
              </w:rPr>
            </w:pPr>
            <w:r w:rsidRPr="008D1918">
              <w:rPr>
                <w:rFonts w:cs="Arial"/>
                <w:color w:val="000000" w:themeColor="accent6"/>
                <w:sz w:val="20"/>
                <w:szCs w:val="20"/>
                <w:lang w:val="en-AU"/>
              </w:rPr>
              <w:t>+5.8%</w:t>
            </w:r>
          </w:p>
        </w:tc>
      </w:tr>
      <w:tr w:rsidRPr="008D1918" w:rsidR="00A238C6" w:rsidTr="0030446C" w14:paraId="47B9E30F"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165490" w:rsidRDefault="00A97A75" w14:paraId="431E84A3" w14:textId="77777777">
            <w:pPr>
              <w:spacing w:before="60" w:after="60"/>
              <w:rPr>
                <w:rFonts w:cs="Arial"/>
                <w:sz w:val="20"/>
                <w:szCs w:val="20"/>
                <w:lang w:val="en-AU" w:eastAsia="en-AU"/>
              </w:rPr>
            </w:pPr>
            <w:r w:rsidRPr="008D1918">
              <w:rPr>
                <w:rFonts w:cs="Arial"/>
                <w:sz w:val="20"/>
                <w:szCs w:val="20"/>
                <w:lang w:val="en-AU" w:eastAsia="en-AU"/>
              </w:rPr>
              <w:t>Total amount claimed by active providers of DSW-related supports</w:t>
            </w:r>
          </w:p>
        </w:tc>
        <w:tc>
          <w:tcPr>
            <w:tcW w:w="2041" w:type="dxa"/>
            <w:vAlign w:val="center"/>
            <w:hideMark/>
          </w:tcPr>
          <w:p w:rsidRPr="008D1918" w:rsidR="00A97A75" w:rsidP="00163C3A" w:rsidRDefault="00A97A75" w14:paraId="04D33537"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trike/>
                <w:sz w:val="20"/>
                <w:szCs w:val="20"/>
                <w:lang w:val="en-AU" w:eastAsia="en-AU"/>
              </w:rPr>
            </w:pPr>
            <w:r w:rsidRPr="008D1918">
              <w:rPr>
                <w:rFonts w:cs="Arial"/>
                <w:sz w:val="20"/>
                <w:szCs w:val="20"/>
                <w:lang w:val="en-AU"/>
              </w:rPr>
              <w:t>$15.0 billion</w:t>
            </w:r>
          </w:p>
        </w:tc>
        <w:tc>
          <w:tcPr>
            <w:tcW w:w="2041" w:type="dxa"/>
            <w:vAlign w:val="center"/>
            <w:hideMark/>
          </w:tcPr>
          <w:p w:rsidRPr="008D1918" w:rsidR="00A97A75" w:rsidP="00163C3A" w:rsidRDefault="00A97A75" w14:paraId="35AD23D9"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trike/>
                <w:sz w:val="20"/>
                <w:szCs w:val="20"/>
                <w:lang w:val="en-AU" w:eastAsia="en-AU"/>
              </w:rPr>
            </w:pPr>
            <w:r w:rsidRPr="008D1918">
              <w:rPr>
                <w:rFonts w:cs="Arial"/>
                <w:sz w:val="20"/>
                <w:szCs w:val="20"/>
                <w:lang w:val="en-AU"/>
              </w:rPr>
              <w:t>$17.1 billion</w:t>
            </w:r>
          </w:p>
        </w:tc>
        <w:tc>
          <w:tcPr>
            <w:tcW w:w="1474" w:type="dxa"/>
            <w:vAlign w:val="center"/>
            <w:hideMark/>
          </w:tcPr>
          <w:p w:rsidRPr="008D1918" w:rsidR="00A97A75" w:rsidP="00163C3A" w:rsidRDefault="00A97A75" w14:paraId="4E44FD65"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trike/>
                <w:sz w:val="20"/>
                <w:szCs w:val="20"/>
                <w:lang w:val="en-AU" w:eastAsia="en-AU"/>
              </w:rPr>
            </w:pPr>
            <w:r w:rsidRPr="008D1918">
              <w:rPr>
                <w:rFonts w:cs="Arial"/>
                <w:sz w:val="20"/>
                <w:szCs w:val="20"/>
                <w:lang w:val="en-AU"/>
              </w:rPr>
              <w:t>+13.9%</w:t>
            </w:r>
          </w:p>
        </w:tc>
      </w:tr>
      <w:tr w:rsidRPr="008D1918" w:rsidR="00236CDB" w:rsidTr="0030446C" w14:paraId="7E46B3FF" w14:textId="77777777">
        <w:trPr>
          <w:trHeight w:val="624"/>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165490" w:rsidRDefault="00A97A75" w14:paraId="41488859" w14:textId="77777777">
            <w:pPr>
              <w:spacing w:before="60" w:after="60"/>
              <w:rPr>
                <w:rFonts w:cs="Arial"/>
                <w:color w:val="000000"/>
                <w:sz w:val="20"/>
                <w:szCs w:val="20"/>
                <w:lang w:val="en-AU" w:eastAsia="en-AU"/>
              </w:rPr>
            </w:pPr>
            <w:r w:rsidRPr="008D1918">
              <w:rPr>
                <w:rFonts w:cs="Arial"/>
                <w:color w:val="000000" w:themeColor="accent6"/>
                <w:sz w:val="20"/>
                <w:szCs w:val="20"/>
                <w:lang w:val="en-AU" w:eastAsia="en-AU"/>
              </w:rPr>
              <w:t>Average amount claimed by all active providers of DSW-related supports</w:t>
            </w:r>
          </w:p>
        </w:tc>
        <w:tc>
          <w:tcPr>
            <w:tcW w:w="2041" w:type="dxa"/>
            <w:vAlign w:val="center"/>
            <w:hideMark/>
          </w:tcPr>
          <w:p w:rsidRPr="008D1918" w:rsidR="00A97A75" w:rsidP="00163C3A" w:rsidRDefault="00A97A75" w14:paraId="16A38644" w14:textId="77777777">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strike/>
                <w:color w:val="000000"/>
                <w:sz w:val="20"/>
                <w:szCs w:val="20"/>
                <w:lang w:val="en-AU" w:eastAsia="en-AU"/>
              </w:rPr>
            </w:pPr>
            <w:r w:rsidRPr="008D1918">
              <w:rPr>
                <w:rFonts w:cs="Arial"/>
                <w:color w:val="000000" w:themeColor="accent6"/>
                <w:sz w:val="20"/>
                <w:szCs w:val="20"/>
                <w:lang w:val="en-AU"/>
              </w:rPr>
              <w:t>$109,400</w:t>
            </w:r>
          </w:p>
        </w:tc>
        <w:tc>
          <w:tcPr>
            <w:tcW w:w="2041" w:type="dxa"/>
            <w:vAlign w:val="center"/>
            <w:hideMark/>
          </w:tcPr>
          <w:p w:rsidRPr="008D1918" w:rsidR="00A97A75" w:rsidP="00163C3A" w:rsidRDefault="00A97A75" w14:paraId="1A62A091" w14:textId="77777777">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strike/>
                <w:color w:val="000000"/>
                <w:sz w:val="20"/>
                <w:szCs w:val="20"/>
                <w:lang w:val="en-AU" w:eastAsia="en-AU"/>
              </w:rPr>
            </w:pPr>
            <w:r w:rsidRPr="008D1918">
              <w:rPr>
                <w:rFonts w:cs="Arial"/>
                <w:color w:val="000000" w:themeColor="accent6"/>
                <w:sz w:val="20"/>
                <w:szCs w:val="20"/>
                <w:lang w:val="en-AU"/>
              </w:rPr>
              <w:t>$117,800</w:t>
            </w:r>
          </w:p>
        </w:tc>
        <w:tc>
          <w:tcPr>
            <w:tcW w:w="1474" w:type="dxa"/>
            <w:vAlign w:val="center"/>
            <w:hideMark/>
          </w:tcPr>
          <w:p w:rsidRPr="008D1918" w:rsidR="00A97A75" w:rsidP="00163C3A" w:rsidRDefault="00A97A75" w14:paraId="54B6A78D" w14:textId="77777777">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strike/>
                <w:color w:val="000000"/>
                <w:sz w:val="20"/>
                <w:szCs w:val="20"/>
                <w:lang w:val="en-AU" w:eastAsia="en-AU"/>
              </w:rPr>
            </w:pPr>
            <w:r w:rsidRPr="008D1918">
              <w:rPr>
                <w:rFonts w:cs="Arial"/>
                <w:color w:val="000000" w:themeColor="accent6"/>
                <w:sz w:val="20"/>
                <w:szCs w:val="20"/>
                <w:lang w:val="en-AU"/>
              </w:rPr>
              <w:t>+7.7%</w:t>
            </w:r>
          </w:p>
        </w:tc>
      </w:tr>
    </w:tbl>
    <w:p w:rsidRPr="008D1918" w:rsidR="00A97A75" w:rsidP="003001C5" w:rsidRDefault="003001C5" w14:paraId="79742D6D" w14:textId="714C3753">
      <w:pPr>
        <w:pStyle w:val="Caption"/>
        <w:rPr>
          <w:rFonts w:eastAsia="DengXian" w:cs="Cordia New"/>
          <w:i w:val="0"/>
          <w:iCs w:val="0"/>
          <w:color w:val="6B2876" w:themeColor="accent5"/>
        </w:rPr>
      </w:pPr>
      <w:bookmarkStart w:name="_Ref223685591" w:id="658"/>
      <w:r w:rsidRPr="008D1918">
        <w:t xml:space="preserve">Table </w:t>
      </w:r>
      <w:r>
        <w:fldChar w:fldCharType="begin"/>
      </w:r>
      <w:r>
        <w:instrText>SEQ Table \* ARABIC</w:instrText>
      </w:r>
      <w:r>
        <w:fldChar w:fldCharType="separate"/>
      </w:r>
      <w:r w:rsidR="008F56A2">
        <w:rPr>
          <w:noProof/>
        </w:rPr>
        <w:t>3</w:t>
      </w:r>
      <w:r>
        <w:fldChar w:fldCharType="end"/>
      </w:r>
      <w:bookmarkEnd w:id="658"/>
      <w:r w:rsidRPr="008D1918" w:rsidR="00A97A75">
        <w:t xml:space="preserve">: DSW-related supports </w:t>
      </w:r>
      <w:r w:rsidRPr="008D1918" w:rsidR="000721DC">
        <w:t>S</w:t>
      </w:r>
      <w:r w:rsidRPr="008D1918" w:rsidR="00A97A75">
        <w:t>cheme statistics – registered providers</w:t>
      </w:r>
      <w:r w:rsidRPr="008D1918" w:rsidR="000721DC">
        <w:t>,</w:t>
      </w:r>
      <w:r w:rsidRPr="008D1918" w:rsidR="00F8373C">
        <w:rPr>
          <w:rFonts w:eastAsia="DengXian" w:cs="Cordia New"/>
          <w:color w:val="6B2876" w:themeColor="accent5"/>
        </w:rPr>
        <w:t xml:space="preserve"> July 2024 to December 2025</w:t>
      </w:r>
    </w:p>
    <w:tbl>
      <w:tblPr>
        <w:tblStyle w:val="GridTable4-Accent121"/>
        <w:tblW w:w="0" w:type="auto"/>
        <w:tblInd w:w="5" w:type="dxa"/>
        <w:tblLook w:val="04A0" w:firstRow="1" w:lastRow="0" w:firstColumn="1" w:lastColumn="0" w:noHBand="0" w:noVBand="1"/>
      </w:tblPr>
      <w:tblGrid>
        <w:gridCol w:w="3746"/>
        <w:gridCol w:w="1910"/>
        <w:gridCol w:w="1910"/>
        <w:gridCol w:w="1445"/>
      </w:tblGrid>
      <w:tr w:rsidRPr="008D1918" w:rsidR="00A238C6" w:rsidTr="0030446C" w14:paraId="4C9C96A1" w14:textId="77777777">
        <w:trPr>
          <w:cnfStyle w:val="100000000000" w:firstRow="1" w:lastRow="0" w:firstColumn="0" w:lastColumn="0" w:oddVBand="0" w:evenVBand="0" w:oddHBand="0" w:evenHBand="0" w:firstRowFirstColumn="0" w:firstRowLastColumn="0" w:lastRowFirstColumn="0" w:lastRowLastColumn="0"/>
          <w:trHeight w:val="645"/>
          <w:tblHeader/>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1D163B" w:rsidRDefault="00A97A75" w14:paraId="78FFAF19" w14:textId="77777777">
            <w:pPr>
              <w:keepNext/>
              <w:spacing w:before="60" w:after="60"/>
              <w:rPr>
                <w:rFonts w:cs="Arial"/>
                <w:b w:val="0"/>
                <w:sz w:val="20"/>
                <w:szCs w:val="20"/>
                <w:lang w:val="en-AU" w:eastAsia="en-AU"/>
              </w:rPr>
            </w:pPr>
            <w:r w:rsidRPr="008D1918">
              <w:rPr>
                <w:rFonts w:cs="Arial"/>
                <w:color w:val="F9F9F9" w:themeColor="background1"/>
                <w:sz w:val="20"/>
                <w:szCs w:val="20"/>
                <w:lang w:val="en-AU" w:eastAsia="en-AU"/>
              </w:rPr>
              <w:t>Statistics</w:t>
            </w:r>
          </w:p>
        </w:tc>
        <w:tc>
          <w:tcPr>
            <w:tcW w:w="2041" w:type="dxa"/>
            <w:vAlign w:val="center"/>
            <w:hideMark/>
          </w:tcPr>
          <w:p w:rsidRPr="008D1918" w:rsidR="00A97A75" w:rsidP="001D163B" w:rsidRDefault="00A97A75" w14:paraId="03ED3FB5"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July – December 2024</w:t>
            </w:r>
          </w:p>
        </w:tc>
        <w:tc>
          <w:tcPr>
            <w:tcW w:w="2041" w:type="dxa"/>
            <w:vAlign w:val="center"/>
            <w:hideMark/>
          </w:tcPr>
          <w:p w:rsidRPr="008D1918" w:rsidR="00A97A75" w:rsidP="001D163B" w:rsidRDefault="00A97A75" w14:paraId="3FB1AC57"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July – December 2025</w:t>
            </w:r>
          </w:p>
        </w:tc>
        <w:tc>
          <w:tcPr>
            <w:tcW w:w="1472" w:type="dxa"/>
            <w:vAlign w:val="center"/>
            <w:hideMark/>
          </w:tcPr>
          <w:p w:rsidRPr="008D1918" w:rsidR="00A97A75" w:rsidP="001D163B" w:rsidRDefault="00A97A75" w14:paraId="1E2D582E" w14:textId="286999F1">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 xml:space="preserve">Percentage </w:t>
            </w:r>
            <w:r w:rsidRPr="008D1918" w:rsidR="009C76DC">
              <w:rPr>
                <w:rFonts w:cs="Arial"/>
                <w:color w:val="F9F9F9" w:themeColor="background1"/>
                <w:sz w:val="20"/>
                <w:szCs w:val="20"/>
                <w:lang w:val="en-AU" w:eastAsia="en-AU"/>
              </w:rPr>
              <w:t>c</w:t>
            </w:r>
            <w:r w:rsidRPr="008D1918">
              <w:rPr>
                <w:rFonts w:cs="Arial"/>
                <w:color w:val="F9F9F9" w:themeColor="background1"/>
                <w:sz w:val="20"/>
                <w:szCs w:val="20"/>
                <w:lang w:val="en-AU" w:eastAsia="en-AU"/>
              </w:rPr>
              <w:t>hange</w:t>
            </w:r>
          </w:p>
        </w:tc>
      </w:tr>
      <w:tr w:rsidRPr="008D1918" w:rsidR="00A238C6" w:rsidTr="0030446C" w14:paraId="472B2B65"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1D163B" w:rsidRDefault="00A97A75" w14:paraId="2E4B87FD" w14:textId="77777777">
            <w:pPr>
              <w:keepNext/>
              <w:spacing w:before="60" w:after="60"/>
              <w:rPr>
                <w:rFonts w:cs="Arial"/>
                <w:sz w:val="20"/>
                <w:szCs w:val="20"/>
                <w:lang w:val="en-AU" w:eastAsia="en-AU"/>
              </w:rPr>
            </w:pPr>
            <w:r w:rsidRPr="008D1918">
              <w:rPr>
                <w:rFonts w:cs="Arial"/>
                <w:sz w:val="20"/>
                <w:szCs w:val="20"/>
                <w:lang w:val="en-AU" w:eastAsia="en-AU"/>
              </w:rPr>
              <w:t>Number of NDIS participants</w:t>
            </w:r>
          </w:p>
        </w:tc>
        <w:tc>
          <w:tcPr>
            <w:tcW w:w="2041" w:type="dxa"/>
            <w:vAlign w:val="center"/>
            <w:hideMark/>
          </w:tcPr>
          <w:p w:rsidRPr="008D1918" w:rsidR="00A97A75" w:rsidP="001D163B" w:rsidRDefault="00A97A75" w14:paraId="22ACC529" w14:textId="77777777">
            <w:pPr>
              <w:keepNext/>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202,684</w:t>
            </w:r>
          </w:p>
        </w:tc>
        <w:tc>
          <w:tcPr>
            <w:tcW w:w="2041" w:type="dxa"/>
            <w:vAlign w:val="center"/>
            <w:hideMark/>
          </w:tcPr>
          <w:p w:rsidRPr="008D1918" w:rsidR="00A97A75" w:rsidP="001D163B" w:rsidRDefault="00A97A75" w14:paraId="59147DF9" w14:textId="77777777">
            <w:pPr>
              <w:keepNext/>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219,612</w:t>
            </w:r>
          </w:p>
        </w:tc>
        <w:tc>
          <w:tcPr>
            <w:tcW w:w="1472" w:type="dxa"/>
            <w:vAlign w:val="center"/>
            <w:hideMark/>
          </w:tcPr>
          <w:p w:rsidRPr="008D1918" w:rsidR="00A97A75" w:rsidP="001D163B" w:rsidRDefault="00A97A75" w14:paraId="0231AF9F" w14:textId="77777777">
            <w:pPr>
              <w:keepNext/>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+8.4%</w:t>
            </w:r>
          </w:p>
        </w:tc>
      </w:tr>
      <w:tr w:rsidRPr="008D1918" w:rsidR="00236CDB" w:rsidTr="0030446C" w14:paraId="71FC134C" w14:textId="77777777">
        <w:trPr>
          <w:trHeight w:val="315"/>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1D163B" w:rsidRDefault="00A97A75" w14:paraId="5E2CAA38" w14:textId="77777777">
            <w:pPr>
              <w:keepNext/>
              <w:spacing w:before="60" w:after="60"/>
              <w:rPr>
                <w:rFonts w:cs="Arial"/>
                <w:color w:val="000000"/>
                <w:sz w:val="20"/>
                <w:szCs w:val="20"/>
                <w:lang w:val="en-AU" w:eastAsia="en-AU"/>
              </w:rPr>
            </w:pPr>
            <w:r w:rsidRPr="008D1918">
              <w:rPr>
                <w:rFonts w:cs="Arial"/>
                <w:color w:val="000000" w:themeColor="accent6"/>
                <w:sz w:val="20"/>
                <w:szCs w:val="20"/>
                <w:lang w:val="en-AU" w:eastAsia="en-AU"/>
              </w:rPr>
              <w:t>Number of active providers</w:t>
            </w:r>
          </w:p>
        </w:tc>
        <w:tc>
          <w:tcPr>
            <w:tcW w:w="2041" w:type="dxa"/>
            <w:vAlign w:val="center"/>
            <w:hideMark/>
          </w:tcPr>
          <w:p w:rsidRPr="008D1918" w:rsidR="00A97A75" w:rsidP="001D163B" w:rsidRDefault="00A97A75" w14:paraId="728AFFBB" w14:textId="77777777">
            <w:pPr>
              <w:keepNext/>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10,439</w:t>
            </w:r>
          </w:p>
        </w:tc>
        <w:tc>
          <w:tcPr>
            <w:tcW w:w="2041" w:type="dxa"/>
            <w:vAlign w:val="center"/>
            <w:hideMark/>
          </w:tcPr>
          <w:p w:rsidRPr="008D1918" w:rsidR="00A97A75" w:rsidP="001D163B" w:rsidRDefault="00A97A75" w14:paraId="59819D85" w14:textId="77777777">
            <w:pPr>
              <w:keepNext/>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12,555</w:t>
            </w:r>
          </w:p>
        </w:tc>
        <w:tc>
          <w:tcPr>
            <w:tcW w:w="1472" w:type="dxa"/>
            <w:vAlign w:val="center"/>
            <w:hideMark/>
          </w:tcPr>
          <w:p w:rsidRPr="008D1918" w:rsidR="00A97A75" w:rsidP="001D163B" w:rsidRDefault="00A97A75" w14:paraId="5C84E96E" w14:textId="77777777">
            <w:pPr>
              <w:keepNext/>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+20.3%</w:t>
            </w:r>
          </w:p>
        </w:tc>
      </w:tr>
      <w:tr w:rsidRPr="008D1918" w:rsidR="00A238C6" w:rsidTr="0030446C" w14:paraId="6059E14A"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165490" w:rsidRDefault="00A97A75" w14:paraId="6E7D51DA" w14:textId="77777777">
            <w:pPr>
              <w:spacing w:before="60" w:after="60"/>
              <w:rPr>
                <w:rFonts w:cs="Arial"/>
                <w:sz w:val="20"/>
                <w:szCs w:val="20"/>
                <w:lang w:val="en-AU" w:eastAsia="en-AU"/>
              </w:rPr>
            </w:pPr>
            <w:r w:rsidRPr="008D1918">
              <w:rPr>
                <w:rFonts w:cs="Arial"/>
                <w:sz w:val="20"/>
                <w:szCs w:val="20"/>
                <w:lang w:val="en-AU" w:eastAsia="en-AU"/>
              </w:rPr>
              <w:t>Total amount claimed by active providers of DSW-related supports</w:t>
            </w:r>
          </w:p>
        </w:tc>
        <w:tc>
          <w:tcPr>
            <w:tcW w:w="2041" w:type="dxa"/>
            <w:vAlign w:val="center"/>
            <w:hideMark/>
          </w:tcPr>
          <w:p w:rsidRPr="008D1918" w:rsidR="00A97A75" w:rsidP="00163C3A" w:rsidRDefault="00A97A75" w14:paraId="58BA1327"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$10.7 billion</w:t>
            </w:r>
          </w:p>
        </w:tc>
        <w:tc>
          <w:tcPr>
            <w:tcW w:w="2041" w:type="dxa"/>
            <w:vAlign w:val="center"/>
            <w:hideMark/>
          </w:tcPr>
          <w:p w:rsidRPr="008D1918" w:rsidR="00A97A75" w:rsidP="00163C3A" w:rsidRDefault="00A97A75" w14:paraId="757D9BDA"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$12.3 billion</w:t>
            </w:r>
          </w:p>
        </w:tc>
        <w:tc>
          <w:tcPr>
            <w:tcW w:w="1472" w:type="dxa"/>
            <w:vAlign w:val="center"/>
            <w:hideMark/>
          </w:tcPr>
          <w:p w:rsidRPr="008D1918" w:rsidR="00A97A75" w:rsidP="00163C3A" w:rsidRDefault="00A97A75" w14:paraId="6ED0EE7B"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+14.6%</w:t>
            </w:r>
          </w:p>
        </w:tc>
      </w:tr>
      <w:tr w:rsidRPr="008D1918" w:rsidR="00236CDB" w:rsidTr="0030446C" w14:paraId="19F6AECD" w14:textId="77777777">
        <w:trPr>
          <w:trHeight w:val="624"/>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165490" w:rsidRDefault="00A97A75" w14:paraId="7324B06B" w14:textId="77777777">
            <w:pPr>
              <w:spacing w:before="60" w:after="60"/>
              <w:rPr>
                <w:rFonts w:cs="Arial"/>
                <w:color w:val="000000"/>
                <w:sz w:val="20"/>
                <w:szCs w:val="20"/>
                <w:lang w:val="en-AU" w:eastAsia="en-AU"/>
              </w:rPr>
            </w:pPr>
            <w:r w:rsidRPr="008D1918">
              <w:rPr>
                <w:rFonts w:cs="Arial"/>
                <w:color w:val="000000" w:themeColor="accent6"/>
                <w:sz w:val="20"/>
                <w:szCs w:val="20"/>
                <w:lang w:val="en-AU" w:eastAsia="en-AU"/>
              </w:rPr>
              <w:t>Average amount claimed by all active providers of DSW-related supports</w:t>
            </w:r>
          </w:p>
        </w:tc>
        <w:tc>
          <w:tcPr>
            <w:tcW w:w="2041" w:type="dxa"/>
            <w:vAlign w:val="center"/>
            <w:hideMark/>
          </w:tcPr>
          <w:p w:rsidRPr="008D1918" w:rsidR="00A97A75" w:rsidP="00163C3A" w:rsidRDefault="00A97A75" w14:paraId="6190DF39" w14:textId="6C3A8657">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$1.0</w:t>
            </w:r>
            <w:r w:rsidRPr="008D1918" w:rsidR="005C1BAC">
              <w:rPr>
                <w:rFonts w:cs="Arial"/>
                <w:color w:val="000000" w:themeColor="accent6"/>
                <w:sz w:val="20"/>
                <w:szCs w:val="20"/>
                <w:lang w:val="en-AU" w:eastAsia="en-AU"/>
              </w:rPr>
              <w:t>3</w:t>
            </w:r>
            <w:r w:rsidRPr="008D1918">
              <w:rPr>
                <w:rFonts w:cs="Arial"/>
                <w:color w:val="000000" w:themeColor="accent6"/>
                <w:sz w:val="20"/>
                <w:szCs w:val="20"/>
                <w:lang w:val="en-AU" w:eastAsia="en-AU"/>
              </w:rPr>
              <w:t xml:space="preserve"> million</w:t>
            </w:r>
          </w:p>
        </w:tc>
        <w:tc>
          <w:tcPr>
            <w:tcW w:w="2041" w:type="dxa"/>
            <w:vAlign w:val="center"/>
            <w:hideMark/>
          </w:tcPr>
          <w:p w:rsidRPr="008D1918" w:rsidR="00A97A75" w:rsidP="00163C3A" w:rsidRDefault="00A97A75" w14:paraId="0DD06C58" w14:textId="1C40B723">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$0.9</w:t>
            </w:r>
            <w:r w:rsidRPr="008D1918" w:rsidR="00774373">
              <w:rPr>
                <w:rFonts w:cs="Arial"/>
                <w:color w:val="000000" w:themeColor="accent6"/>
                <w:sz w:val="20"/>
                <w:szCs w:val="20"/>
                <w:lang w:val="en-AU" w:eastAsia="en-AU"/>
              </w:rPr>
              <w:t>8</w:t>
            </w:r>
            <w:r w:rsidRPr="008D1918">
              <w:rPr>
                <w:rFonts w:cs="Arial"/>
                <w:color w:val="000000" w:themeColor="accent6"/>
                <w:sz w:val="20"/>
                <w:szCs w:val="20"/>
                <w:lang w:val="en-AU" w:eastAsia="en-AU"/>
              </w:rPr>
              <w:t xml:space="preserve"> million</w:t>
            </w:r>
          </w:p>
        </w:tc>
        <w:tc>
          <w:tcPr>
            <w:tcW w:w="1472" w:type="dxa"/>
            <w:vAlign w:val="center"/>
            <w:hideMark/>
          </w:tcPr>
          <w:p w:rsidRPr="008D1918" w:rsidR="00A97A75" w:rsidP="00163C3A" w:rsidRDefault="00A97A75" w14:paraId="0FD92F42" w14:textId="77777777">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-4.7%</w:t>
            </w:r>
          </w:p>
        </w:tc>
      </w:tr>
    </w:tbl>
    <w:p w:rsidRPr="008D1918" w:rsidR="00A97A75" w:rsidP="003001C5" w:rsidRDefault="003001C5" w14:paraId="279CAE50" w14:textId="6BD09B09">
      <w:pPr>
        <w:pStyle w:val="Caption"/>
        <w:rPr>
          <w:rFonts w:eastAsia="DengXian" w:cs="Cordia New"/>
          <w:color w:val="6B2876" w:themeColor="accent5"/>
        </w:rPr>
      </w:pPr>
      <w:bookmarkStart w:name="_Ref223685611" w:id="659"/>
      <w:r w:rsidRPr="008D1918">
        <w:t xml:space="preserve">Table </w:t>
      </w:r>
      <w:r>
        <w:fldChar w:fldCharType="begin"/>
      </w:r>
      <w:r>
        <w:instrText>SEQ Table \* ARABIC</w:instrText>
      </w:r>
      <w:r>
        <w:fldChar w:fldCharType="separate"/>
      </w:r>
      <w:r w:rsidR="008F56A2">
        <w:rPr>
          <w:noProof/>
        </w:rPr>
        <w:t>4</w:t>
      </w:r>
      <w:r>
        <w:fldChar w:fldCharType="end"/>
      </w:r>
      <w:bookmarkEnd w:id="659"/>
      <w:r w:rsidRPr="008D1918" w:rsidR="00A97A75">
        <w:t xml:space="preserve">: DSW-related supports </w:t>
      </w:r>
      <w:r w:rsidRPr="008D1918" w:rsidR="000721DC">
        <w:t>S</w:t>
      </w:r>
      <w:r w:rsidRPr="008D1918" w:rsidR="00A97A75">
        <w:t>cheme statistics – unregistered providers</w:t>
      </w:r>
      <w:r w:rsidRPr="008D1918" w:rsidR="000721DC">
        <w:t>,</w:t>
      </w:r>
      <w:r w:rsidRPr="008D1918" w:rsidR="00F8373C">
        <w:rPr>
          <w:rFonts w:eastAsia="DengXian" w:cs="Cordia New"/>
          <w:color w:val="6B2876" w:themeColor="accent5"/>
        </w:rPr>
        <w:t xml:space="preserve"> July 2024 to December 2025</w:t>
      </w:r>
    </w:p>
    <w:tbl>
      <w:tblPr>
        <w:tblStyle w:val="GridTable4-Accent121"/>
        <w:tblW w:w="9015" w:type="dxa"/>
        <w:tblInd w:w="5" w:type="dxa"/>
        <w:tblLook w:val="04A0" w:firstRow="1" w:lastRow="0" w:firstColumn="1" w:lastColumn="0" w:noHBand="0" w:noVBand="1"/>
      </w:tblPr>
      <w:tblGrid>
        <w:gridCol w:w="3746"/>
        <w:gridCol w:w="1911"/>
        <w:gridCol w:w="1911"/>
        <w:gridCol w:w="1447"/>
      </w:tblGrid>
      <w:tr w:rsidRPr="008D1918" w:rsidR="00A238C6" w:rsidTr="0030446C" w14:paraId="005F7689" w14:textId="77777777">
        <w:trPr>
          <w:cnfStyle w:val="100000000000" w:firstRow="1" w:lastRow="0" w:firstColumn="0" w:lastColumn="0" w:oddVBand="0" w:evenVBand="0" w:oddHBand="0" w:evenHBand="0" w:firstRowFirstColumn="0" w:firstRowLastColumn="0" w:lastRowFirstColumn="0" w:lastRowLastColumn="0"/>
          <w:trHeight w:val="645"/>
          <w:tblHeader/>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9C76DC" w:rsidRDefault="00A97A75" w14:paraId="40D8039C" w14:textId="77777777">
            <w:pPr>
              <w:spacing w:before="60" w:after="60"/>
              <w:rPr>
                <w:rFonts w:cs="Arial"/>
                <w:b w:val="0"/>
                <w:sz w:val="20"/>
                <w:szCs w:val="20"/>
                <w:lang w:val="en-AU" w:eastAsia="en-AU"/>
              </w:rPr>
            </w:pPr>
            <w:r w:rsidRPr="008D1918">
              <w:rPr>
                <w:rFonts w:cs="Arial"/>
                <w:color w:val="F9F9F9" w:themeColor="background1"/>
                <w:sz w:val="20"/>
                <w:szCs w:val="20"/>
                <w:lang w:val="en-AU" w:eastAsia="en-AU"/>
              </w:rPr>
              <w:t>Statistics</w:t>
            </w:r>
          </w:p>
        </w:tc>
        <w:tc>
          <w:tcPr>
            <w:tcW w:w="2041" w:type="dxa"/>
            <w:vAlign w:val="center"/>
            <w:hideMark/>
          </w:tcPr>
          <w:p w:rsidRPr="008D1918" w:rsidR="00A97A75" w:rsidP="009C76DC" w:rsidRDefault="00A97A75" w14:paraId="3A0F5BA0"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July – December 2024</w:t>
            </w:r>
          </w:p>
        </w:tc>
        <w:tc>
          <w:tcPr>
            <w:tcW w:w="2041" w:type="dxa"/>
            <w:vAlign w:val="center"/>
            <w:hideMark/>
          </w:tcPr>
          <w:p w:rsidRPr="008D1918" w:rsidR="00A97A75" w:rsidP="009C76DC" w:rsidRDefault="00A97A75" w14:paraId="7A3AEECD"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July – December 2025</w:t>
            </w:r>
          </w:p>
        </w:tc>
        <w:tc>
          <w:tcPr>
            <w:tcW w:w="1474" w:type="dxa"/>
            <w:vAlign w:val="center"/>
            <w:hideMark/>
          </w:tcPr>
          <w:p w:rsidRPr="008D1918" w:rsidR="00A97A75" w:rsidP="009C76DC" w:rsidRDefault="00A97A75" w14:paraId="41E81AF8" w14:textId="39C07F15">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 xml:space="preserve">Percentage </w:t>
            </w:r>
            <w:r w:rsidRPr="008D1918" w:rsidR="009C76DC">
              <w:rPr>
                <w:rFonts w:cs="Arial"/>
                <w:color w:val="F9F9F9" w:themeColor="background1"/>
                <w:sz w:val="20"/>
                <w:szCs w:val="20"/>
                <w:lang w:val="en-AU" w:eastAsia="en-AU"/>
              </w:rPr>
              <w:t>c</w:t>
            </w:r>
            <w:r w:rsidRPr="008D1918">
              <w:rPr>
                <w:rFonts w:cs="Arial"/>
                <w:color w:val="F9F9F9" w:themeColor="background1"/>
                <w:sz w:val="20"/>
                <w:szCs w:val="20"/>
                <w:lang w:val="en-AU" w:eastAsia="en-AU"/>
              </w:rPr>
              <w:t>hange</w:t>
            </w:r>
          </w:p>
        </w:tc>
      </w:tr>
      <w:tr w:rsidRPr="008D1918" w:rsidR="00A238C6" w:rsidTr="0030446C" w14:paraId="1FCB299A"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165490" w:rsidRDefault="00A97A75" w14:paraId="69532276" w14:textId="77777777">
            <w:pPr>
              <w:spacing w:before="60" w:after="60"/>
              <w:rPr>
                <w:rFonts w:cs="Arial"/>
                <w:sz w:val="20"/>
                <w:szCs w:val="20"/>
                <w:lang w:val="en-AU" w:eastAsia="en-AU"/>
              </w:rPr>
            </w:pPr>
            <w:r w:rsidRPr="008D1918">
              <w:rPr>
                <w:rFonts w:cs="Arial"/>
                <w:sz w:val="20"/>
                <w:szCs w:val="20"/>
                <w:lang w:val="en-AU" w:eastAsia="en-AU"/>
              </w:rPr>
              <w:t>Number of NDIS participants</w:t>
            </w:r>
          </w:p>
        </w:tc>
        <w:tc>
          <w:tcPr>
            <w:tcW w:w="2041" w:type="dxa"/>
            <w:vAlign w:val="center"/>
            <w:hideMark/>
          </w:tcPr>
          <w:p w:rsidRPr="008D1918" w:rsidR="00A97A75" w:rsidP="00163C3A" w:rsidRDefault="00A97A75" w14:paraId="355DE7A7"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179,165</w:t>
            </w:r>
          </w:p>
        </w:tc>
        <w:tc>
          <w:tcPr>
            <w:tcW w:w="2041" w:type="dxa"/>
            <w:vAlign w:val="center"/>
            <w:hideMark/>
          </w:tcPr>
          <w:p w:rsidRPr="008D1918" w:rsidR="00A97A75" w:rsidP="00163C3A" w:rsidRDefault="00A97A75" w14:paraId="6E8CD146"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190,984</w:t>
            </w:r>
          </w:p>
        </w:tc>
        <w:tc>
          <w:tcPr>
            <w:tcW w:w="1474" w:type="dxa"/>
            <w:vAlign w:val="center"/>
            <w:hideMark/>
          </w:tcPr>
          <w:p w:rsidRPr="008D1918" w:rsidR="00A97A75" w:rsidP="00163C3A" w:rsidRDefault="00A97A75" w14:paraId="2B4561F1"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+6.6%</w:t>
            </w:r>
          </w:p>
        </w:tc>
      </w:tr>
      <w:tr w:rsidRPr="008D1918" w:rsidR="00236CDB" w:rsidTr="0030446C" w14:paraId="4D67430E" w14:textId="77777777">
        <w:trPr>
          <w:trHeight w:val="315"/>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165490" w:rsidRDefault="00A97A75" w14:paraId="5007C49F" w14:textId="77777777">
            <w:pPr>
              <w:spacing w:before="60" w:after="60"/>
              <w:rPr>
                <w:rFonts w:cs="Arial"/>
                <w:color w:val="000000"/>
                <w:sz w:val="20"/>
                <w:szCs w:val="20"/>
                <w:lang w:val="en-AU" w:eastAsia="en-AU"/>
              </w:rPr>
            </w:pPr>
            <w:r w:rsidRPr="008D1918">
              <w:rPr>
                <w:rFonts w:cs="Arial"/>
                <w:color w:val="000000" w:themeColor="accent6"/>
                <w:sz w:val="20"/>
                <w:szCs w:val="20"/>
                <w:lang w:val="en-AU" w:eastAsia="en-AU"/>
              </w:rPr>
              <w:t>Number of active providers</w:t>
            </w:r>
          </w:p>
        </w:tc>
        <w:tc>
          <w:tcPr>
            <w:tcW w:w="2041" w:type="dxa"/>
            <w:vAlign w:val="center"/>
            <w:hideMark/>
          </w:tcPr>
          <w:p w:rsidRPr="008D1918" w:rsidR="00A97A75" w:rsidP="00163C3A" w:rsidRDefault="00A97A75" w14:paraId="550EF322" w14:textId="77777777">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127,217</w:t>
            </w:r>
          </w:p>
        </w:tc>
        <w:tc>
          <w:tcPr>
            <w:tcW w:w="2041" w:type="dxa"/>
            <w:vAlign w:val="center"/>
            <w:hideMark/>
          </w:tcPr>
          <w:p w:rsidRPr="008D1918" w:rsidR="00A97A75" w:rsidP="00163C3A" w:rsidRDefault="00A97A75" w14:paraId="3992445B" w14:textId="77777777">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133,348</w:t>
            </w:r>
          </w:p>
        </w:tc>
        <w:tc>
          <w:tcPr>
            <w:tcW w:w="1474" w:type="dxa"/>
            <w:vAlign w:val="center"/>
            <w:hideMark/>
          </w:tcPr>
          <w:p w:rsidRPr="008D1918" w:rsidR="00A97A75" w:rsidP="00163C3A" w:rsidRDefault="00A97A75" w14:paraId="3B552B34" w14:textId="77777777">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+4.8%</w:t>
            </w:r>
          </w:p>
        </w:tc>
      </w:tr>
      <w:tr w:rsidRPr="008D1918" w:rsidR="00A238C6" w:rsidTr="0030446C" w14:paraId="5434A31E"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165490" w:rsidRDefault="00A97A75" w14:paraId="0D844FC6" w14:textId="77777777">
            <w:pPr>
              <w:spacing w:before="60" w:after="60"/>
              <w:rPr>
                <w:rFonts w:cs="Arial"/>
                <w:sz w:val="20"/>
                <w:szCs w:val="20"/>
                <w:lang w:val="en-AU" w:eastAsia="en-AU"/>
              </w:rPr>
            </w:pPr>
            <w:r w:rsidRPr="008D1918">
              <w:rPr>
                <w:rFonts w:cs="Arial"/>
                <w:sz w:val="20"/>
                <w:szCs w:val="20"/>
                <w:lang w:val="en-AU" w:eastAsia="en-AU"/>
              </w:rPr>
              <w:t>Total amount claimed by active providers of DSW-related supports</w:t>
            </w:r>
          </w:p>
        </w:tc>
        <w:tc>
          <w:tcPr>
            <w:tcW w:w="2041" w:type="dxa"/>
            <w:vAlign w:val="center"/>
            <w:hideMark/>
          </w:tcPr>
          <w:p w:rsidRPr="008D1918" w:rsidR="00A97A75" w:rsidP="00163C3A" w:rsidRDefault="00A97A75" w14:paraId="27F510AF"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$4.2 billion</w:t>
            </w:r>
          </w:p>
        </w:tc>
        <w:tc>
          <w:tcPr>
            <w:tcW w:w="2041" w:type="dxa"/>
            <w:vAlign w:val="center"/>
            <w:hideMark/>
          </w:tcPr>
          <w:p w:rsidRPr="008D1918" w:rsidR="00A97A75" w:rsidP="00163C3A" w:rsidRDefault="00A97A75" w14:paraId="7F8DD46D"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$4.7 billion</w:t>
            </w:r>
          </w:p>
        </w:tc>
        <w:tc>
          <w:tcPr>
            <w:tcW w:w="1474" w:type="dxa"/>
            <w:vAlign w:val="center"/>
            <w:hideMark/>
          </w:tcPr>
          <w:p w:rsidRPr="008D1918" w:rsidR="00A97A75" w:rsidP="00163C3A" w:rsidRDefault="00A97A75" w14:paraId="7F1B450B" w14:textId="77777777">
            <w:pPr>
              <w:spacing w:before="60" w:after="60"/>
              <w:ind w:right="16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+12.1%</w:t>
            </w:r>
          </w:p>
        </w:tc>
      </w:tr>
      <w:tr w:rsidRPr="008D1918" w:rsidR="00236CDB" w:rsidTr="0030446C" w14:paraId="3F6247F6" w14:textId="77777777">
        <w:trPr>
          <w:trHeight w:val="624"/>
        </w:trPr>
        <w:tc>
          <w:tcPr>
            <w:cnfStyle w:val="001000000000" w:firstRow="0" w:lastRow="0" w:firstColumn="1" w:lastColumn="0" w:oddVBand="0" w:evenVBand="0" w:oddHBand="0" w:evenHBand="0" w:firstRowFirstColumn="0" w:firstRowLastColumn="0" w:lastRowFirstColumn="0" w:lastRowLastColumn="0"/>
            <w:tcW w:w="4196" w:type="dxa"/>
            <w:vAlign w:val="center"/>
            <w:hideMark/>
          </w:tcPr>
          <w:p w:rsidRPr="008D1918" w:rsidR="00A97A75" w:rsidP="00165490" w:rsidRDefault="00A97A75" w14:paraId="026293F0" w14:textId="77777777">
            <w:pPr>
              <w:spacing w:before="60" w:after="60"/>
              <w:rPr>
                <w:rFonts w:cs="Arial"/>
                <w:color w:val="000000"/>
                <w:sz w:val="20"/>
                <w:szCs w:val="20"/>
                <w:lang w:val="en-AU" w:eastAsia="en-AU"/>
              </w:rPr>
            </w:pPr>
            <w:r w:rsidRPr="008D1918">
              <w:rPr>
                <w:rFonts w:cs="Arial"/>
                <w:color w:val="000000" w:themeColor="accent6"/>
                <w:sz w:val="20"/>
                <w:szCs w:val="20"/>
                <w:lang w:val="en-AU" w:eastAsia="en-AU"/>
              </w:rPr>
              <w:t>Average amount claimed by all active providers of DSW-related supports</w:t>
            </w:r>
          </w:p>
        </w:tc>
        <w:tc>
          <w:tcPr>
            <w:tcW w:w="2041" w:type="dxa"/>
            <w:vAlign w:val="center"/>
            <w:hideMark/>
          </w:tcPr>
          <w:p w:rsidRPr="008D1918" w:rsidR="00A97A75" w:rsidP="00163C3A" w:rsidRDefault="00A97A75" w14:paraId="1AD21018" w14:textId="77777777">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$33,200</w:t>
            </w:r>
          </w:p>
        </w:tc>
        <w:tc>
          <w:tcPr>
            <w:tcW w:w="2041" w:type="dxa"/>
            <w:vAlign w:val="center"/>
            <w:hideMark/>
          </w:tcPr>
          <w:p w:rsidRPr="008D1918" w:rsidR="00A97A75" w:rsidP="00163C3A" w:rsidRDefault="00A97A75" w14:paraId="07C01B27" w14:textId="77777777">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$35,500</w:t>
            </w:r>
          </w:p>
        </w:tc>
        <w:tc>
          <w:tcPr>
            <w:tcW w:w="1474" w:type="dxa"/>
            <w:vAlign w:val="center"/>
            <w:hideMark/>
          </w:tcPr>
          <w:p w:rsidRPr="008D1918" w:rsidR="00A97A75" w:rsidP="00163C3A" w:rsidRDefault="00A97A75" w14:paraId="6FDE54A6" w14:textId="77777777">
            <w:pPr>
              <w:spacing w:before="60" w:after="60"/>
              <w:ind w:right="16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+6.9%</w:t>
            </w:r>
          </w:p>
        </w:tc>
      </w:tr>
    </w:tbl>
    <w:p w:rsidRPr="008D1918" w:rsidR="00A97A75" w:rsidRDefault="00A97A75" w14:paraId="386F7252"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A97A75" w:rsidP="002204D3" w:rsidRDefault="00A97A75" w14:paraId="26819858" w14:textId="77777777">
      <w:pPr>
        <w:spacing w:before="60" w:after="60" w:line="240" w:lineRule="atLeast"/>
        <w:rPr>
          <w:rFonts w:eastAsia="DengXian" w:cs="Calibri"/>
          <w:sz w:val="20"/>
          <w:szCs w:val="18"/>
          <w:lang w:val="en-AU"/>
        </w:rPr>
      </w:pPr>
      <w:r w:rsidRPr="008D1918">
        <w:rPr>
          <w:rFonts w:eastAsia="DengXian" w:cs="Calibri"/>
          <w:sz w:val="20"/>
          <w:szCs w:val="18"/>
          <w:lang w:val="en-AU"/>
        </w:rPr>
        <w:t>Average revenue is rounded up to the nearest hundred.</w:t>
      </w:r>
    </w:p>
    <w:p w:rsidRPr="008D1918" w:rsidR="00A97A75" w:rsidP="002204D3" w:rsidRDefault="00A97A75" w14:paraId="2090C3A7" w14:textId="65858CBF">
      <w:pPr>
        <w:spacing w:before="120" w:after="360" w:line="240" w:lineRule="atLeast"/>
        <w:rPr>
          <w:rFonts w:cs="Arial"/>
          <w:sz w:val="20"/>
          <w:szCs w:val="20"/>
          <w:lang w:val="en-AU" w:eastAsia="en-AU"/>
        </w:rPr>
      </w:pPr>
      <w:r w:rsidRPr="008D1918">
        <w:rPr>
          <w:rFonts w:cs="Arial"/>
          <w:sz w:val="20"/>
          <w:szCs w:val="20"/>
          <w:lang w:val="en-AU" w:eastAsia="en-AU"/>
        </w:rPr>
        <w:t xml:space="preserve">Note: The totals for registered and unregistered DSW-related providers may not match the overall active provider count due to </w:t>
      </w:r>
      <w:r w:rsidRPr="008D1918" w:rsidR="005246C2">
        <w:rPr>
          <w:rFonts w:cs="Arial"/>
          <w:sz w:val="20"/>
          <w:szCs w:val="20"/>
          <w:lang w:val="en-AU" w:eastAsia="en-AU"/>
        </w:rPr>
        <w:t xml:space="preserve">2 </w:t>
      </w:r>
      <w:r w:rsidRPr="008D1918">
        <w:rPr>
          <w:rFonts w:cs="Arial"/>
          <w:sz w:val="20"/>
          <w:szCs w:val="20"/>
          <w:lang w:val="en-AU" w:eastAsia="en-AU"/>
        </w:rPr>
        <w:t>factors: 1) Some providers offer both registered and unregistered supports within the same period, 2) A small fraction of providers with unspecified registration status are included in the total count but not detailed in the table.</w:t>
      </w:r>
    </w:p>
    <w:p w:rsidRPr="008D1918" w:rsidR="00A97A75" w:rsidRDefault="006315B6" w14:paraId="6CAE94BD" w14:textId="08365EB8">
      <w:pPr>
        <w:rPr>
          <w:lang w:val="en-AU"/>
        </w:rPr>
      </w:pPr>
      <w:r w:rsidRPr="008D1918">
        <w:rPr>
          <w:lang w:val="en-AU"/>
        </w:rPr>
        <w:fldChar w:fldCharType="begin"/>
      </w:r>
      <w:r w:rsidRPr="008D1918">
        <w:rPr>
          <w:lang w:val="en-AU"/>
        </w:rPr>
        <w:instrText xml:space="preserve"> REF _Ref223623818 \h </w:instrText>
      </w:r>
      <w:r w:rsidRPr="008D1918" w:rsidR="00762DF8">
        <w:rPr>
          <w:lang w:val="en-AU"/>
        </w:rPr>
        <w:instrText xml:space="preserve"> \* MERGEFORMAT </w:instrText>
      </w:r>
      <w:r w:rsidRPr="008D1918">
        <w:rPr>
          <w:lang w:val="en-AU"/>
        </w:rPr>
      </w:r>
      <w:r w:rsidRPr="008D1918">
        <w:rPr>
          <w:lang w:val="en-AU"/>
        </w:rPr>
        <w:fldChar w:fldCharType="separate"/>
      </w:r>
      <w:r w:rsidRPr="008F56A2" w:rsidR="008F56A2">
        <w:rPr>
          <w:lang w:val="en-AU"/>
        </w:rPr>
        <w:t>Figure</w:t>
      </w:r>
      <w:r w:rsidRPr="008D1918" w:rsidR="008F56A2">
        <w:t xml:space="preserve"> </w:t>
      </w:r>
      <w:r w:rsidR="008F56A2">
        <w:rPr>
          <w:noProof/>
        </w:rPr>
        <w:t>4</w:t>
      </w:r>
      <w:r w:rsidRPr="008D1918">
        <w:rPr>
          <w:lang w:val="en-AU"/>
        </w:rPr>
        <w:fldChar w:fldCharType="end"/>
      </w:r>
      <w:r w:rsidRPr="008D1918" w:rsidR="00A97A75">
        <w:rPr>
          <w:lang w:val="en-AU"/>
        </w:rPr>
        <w:t xml:space="preserve"> illustrates the long-term growth in DSW-related supports from the </w:t>
      </w:r>
      <w:r w:rsidR="006D1527">
        <w:rPr>
          <w:lang w:val="en-AU"/>
        </w:rPr>
        <w:br/>
      </w:r>
      <w:r w:rsidRPr="008D1918" w:rsidR="0032338F">
        <w:rPr>
          <w:lang w:val="en-AU"/>
        </w:rPr>
        <w:t xml:space="preserve">6 </w:t>
      </w:r>
      <w:r w:rsidRPr="008D1918" w:rsidR="00A97A75">
        <w:rPr>
          <w:lang w:val="en-AU"/>
        </w:rPr>
        <w:t xml:space="preserve">months to June 2023 to the </w:t>
      </w:r>
      <w:r w:rsidRPr="008D1918" w:rsidR="0032338F">
        <w:rPr>
          <w:lang w:val="en-AU"/>
        </w:rPr>
        <w:t xml:space="preserve">6 </w:t>
      </w:r>
      <w:r w:rsidRPr="008D1918" w:rsidR="00A97A75">
        <w:rPr>
          <w:lang w:val="en-AU"/>
        </w:rPr>
        <w:t>months to December 2025. While total expenditure on DSW-related supports has remained stable as a proportion of total scheme expenditure, the absolute cost has grown by 4</w:t>
      </w:r>
      <w:r w:rsidRPr="008D1918" w:rsidR="003C732D">
        <w:rPr>
          <w:lang w:val="en-AU"/>
        </w:rPr>
        <w:t>4</w:t>
      </w:r>
      <w:r w:rsidRPr="008D1918" w:rsidR="00A97A75">
        <w:rPr>
          <w:lang w:val="en-AU"/>
        </w:rPr>
        <w:t xml:space="preserve">% to $17.1 billion in the </w:t>
      </w:r>
      <w:r w:rsidRPr="008D1918" w:rsidR="0032338F">
        <w:rPr>
          <w:lang w:val="en-AU"/>
        </w:rPr>
        <w:t xml:space="preserve">6 </w:t>
      </w:r>
      <w:r w:rsidRPr="008D1918" w:rsidR="00A97A75">
        <w:rPr>
          <w:lang w:val="en-AU"/>
        </w:rPr>
        <w:t>months to December 2025.</w:t>
      </w:r>
    </w:p>
    <w:p w:rsidRPr="008D1918" w:rsidR="00A97A75" w:rsidP="006315B6" w:rsidRDefault="00A97A75" w14:paraId="008D03E9" w14:textId="5AEBFC57">
      <w:pPr>
        <w:pStyle w:val="Caption"/>
        <w:rPr>
          <w:rFonts w:eastAsia="DengXian" w:cs="Cordia New"/>
          <w:i w:val="0"/>
          <w:color w:val="6B2876"/>
        </w:rPr>
      </w:pPr>
      <w:bookmarkStart w:name="_Ref223623818" w:id="660"/>
      <w:r w:rsidRPr="008D1918">
        <w:t xml:space="preserve">Figure </w:t>
      </w:r>
      <w:r>
        <w:fldChar w:fldCharType="begin"/>
      </w:r>
      <w:r>
        <w:instrText>SEQ Figure \* ARABIC</w:instrText>
      </w:r>
      <w:r>
        <w:fldChar w:fldCharType="separate"/>
      </w:r>
      <w:r w:rsidR="008F56A2">
        <w:rPr>
          <w:noProof/>
        </w:rPr>
        <w:t>4</w:t>
      </w:r>
      <w:r>
        <w:fldChar w:fldCharType="end"/>
      </w:r>
      <w:bookmarkEnd w:id="660"/>
      <w:r w:rsidRPr="008D1918">
        <w:rPr>
          <w:rFonts w:eastAsia="DengXian" w:cs="Cordia New"/>
          <w:color w:val="6B2876" w:themeColor="accent5"/>
        </w:rPr>
        <w:t>: NDIS expenditure on DSW-related supports relative to total NDIS expenditure</w:t>
      </w:r>
      <w:r w:rsidRPr="008D1918" w:rsidR="000721DC">
        <w:rPr>
          <w:rFonts w:eastAsia="DengXian" w:cs="Cordia New"/>
          <w:color w:val="6B2876" w:themeColor="accent5"/>
        </w:rPr>
        <w:t>, January 2023 to December 2025</w:t>
      </w:r>
    </w:p>
    <w:p w:rsidRPr="008D1918" w:rsidR="00A97A75" w:rsidRDefault="0000292B" w14:paraId="3CDBAED4" w14:textId="43F19F7A">
      <w:pPr>
        <w:spacing w:line="276" w:lineRule="auto"/>
        <w:rPr>
          <w:rFonts w:cs="Calibri"/>
          <w:lang w:val="en-AU" w:eastAsia="en-AU"/>
        </w:rPr>
      </w:pPr>
      <w:r w:rsidRPr="008D1918">
        <w:rPr>
          <w:rFonts w:cs="Calibri"/>
          <w:noProof/>
          <w:lang w:val="en-AU" w:eastAsia="en-AU"/>
        </w:rPr>
        <w:drawing>
          <wp:inline distT="0" distB="0" distL="0" distR="0" wp14:anchorId="426CE33F" wp14:editId="501B8BA3">
            <wp:extent cx="5896800" cy="3128400"/>
            <wp:effectExtent l="0" t="0" r="8890" b="0"/>
            <wp:docPr id="776667466" name="Picture 9" descr="Figure 4: NDIS expenditure on DSW-related supports since January 2023 relative to total NDIS expenditure.&#10;This graph shows that spend on DSW supports has increased from $11.8b to $17.1b over the period, however this has remained stable in terms of percentage of scheme expenditure from 65% to 66% over the same period. 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67466" name="Picture 9" descr="Figure 4: NDIS expenditure on DSW-related supports since January 2023 relative to total NDIS expenditure.&#10;This graph shows that spend on DSW supports has increased from $11.8b to $17.1b over the period, however this has remained stable in terms of percentage of scheme expenditure from 65% to 66% over the same period. Source: NDIS internal administrative dat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96800" cy="3128400"/>
                    </a:xfrm>
                    <a:prstGeom prst="rect">
                      <a:avLst/>
                    </a:prstGeom>
                    <a:noFill/>
                  </pic:spPr>
                </pic:pic>
              </a:graphicData>
            </a:graphic>
          </wp:inline>
        </w:drawing>
      </w:r>
    </w:p>
    <w:p w:rsidRPr="008D1918" w:rsidR="00A97A75" w:rsidP="00041468" w:rsidRDefault="00A97A75" w14:paraId="55327863" w14:textId="77777777">
      <w:pPr>
        <w:pStyle w:val="StyleStyle112pt"/>
      </w:pPr>
      <w:bookmarkStart w:name="_Toc223428402" w:id="661"/>
      <w:bookmarkStart w:name="_Toc223445861" w:id="662"/>
      <w:bookmarkStart w:name="_Toc223539660" w:id="663"/>
      <w:bookmarkStart w:name="_Toc223539877" w:id="664"/>
      <w:bookmarkStart w:name="_Toc223540345" w:id="665"/>
      <w:bookmarkStart w:name="_Toc223540561" w:id="666"/>
      <w:bookmarkStart w:name="_Toc223542097" w:id="667"/>
      <w:bookmarkStart w:name="_Toc223604283" w:id="668"/>
      <w:bookmarkStart w:name="_Toc223604494" w:id="669"/>
      <w:bookmarkStart w:name="_Toc223604705" w:id="670"/>
      <w:bookmarkStart w:name="_Toc223618576" w:id="671"/>
      <w:bookmarkStart w:name="_Toc223702813" w:id="672"/>
      <w:bookmarkStart w:name="_Toc227318710" w:id="673"/>
      <w:bookmarkStart w:name="_Toc227337078" w:id="674"/>
      <w:bookmarkStart w:name="_Toc164424392" w:id="675"/>
      <w:bookmarkStart w:name="_Toc164970245" w:id="676"/>
      <w:bookmarkStart w:name="_Toc200103486" w:id="677"/>
      <w:bookmarkStart w:name="_Toc200271599" w:id="678"/>
      <w:r w:rsidRPr="008D1918">
        <w:t>Supported Independent Living market</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rsidRPr="008D1918" w:rsidR="00C66F44" w:rsidRDefault="005246C2" w14:paraId="4F41CC25" w14:textId="2AAD3D8A">
      <w:pPr>
        <w:rPr>
          <w:lang w:val="en-AU"/>
        </w:rPr>
      </w:pPr>
      <w:r w:rsidRPr="008D1918">
        <w:rPr>
          <w:lang w:val="en-AU"/>
        </w:rPr>
        <w:t>SIL</w:t>
      </w:r>
      <w:r w:rsidRPr="008D1918" w:rsidR="0059765E">
        <w:rPr>
          <w:lang w:val="en-AU"/>
        </w:rPr>
        <w:t xml:space="preserve"> is the largest support category within the NDIS by expenditure. In the </w:t>
      </w:r>
      <w:r w:rsidR="009449C0">
        <w:rPr>
          <w:lang w:val="en-AU"/>
        </w:rPr>
        <w:br/>
      </w:r>
      <w:r w:rsidRPr="008D1918">
        <w:rPr>
          <w:lang w:val="en-AU"/>
        </w:rPr>
        <w:t>6</w:t>
      </w:r>
      <w:r w:rsidRPr="008D1918" w:rsidR="0059765E">
        <w:rPr>
          <w:lang w:val="en-AU"/>
        </w:rPr>
        <w:t xml:space="preserve"> months to December 2025 SIL supports accounted for $5.8 billion in total payments across approximately 39,400 participants and 8,500 active providers. </w:t>
      </w:r>
    </w:p>
    <w:p w:rsidRPr="008D1918" w:rsidR="00A97A75" w:rsidRDefault="00F22AEB" w14:paraId="0C414449" w14:textId="78123E8B">
      <w:pPr>
        <w:rPr>
          <w:lang w:val="en-AU"/>
        </w:rPr>
      </w:pPr>
      <w:r w:rsidRPr="008D1918">
        <w:rPr>
          <w:lang w:val="en-AU"/>
        </w:rPr>
        <w:t>SIL</w:t>
      </w:r>
      <w:r w:rsidRPr="008D1918" w:rsidR="00DF67F2">
        <w:rPr>
          <w:lang w:val="en-AU"/>
        </w:rPr>
        <w:t xml:space="preserve"> is structurally </w:t>
      </w:r>
      <w:r w:rsidRPr="008D1918" w:rsidR="008903F4">
        <w:rPr>
          <w:lang w:val="en-AU"/>
        </w:rPr>
        <w:t>distinct from other</w:t>
      </w:r>
      <w:r w:rsidRPr="008D1918" w:rsidR="00480B0F">
        <w:rPr>
          <w:lang w:val="en-AU"/>
        </w:rPr>
        <w:t xml:space="preserve"> DSW-related supports. </w:t>
      </w:r>
      <w:r w:rsidRPr="008D1918" w:rsidR="00270EA8">
        <w:rPr>
          <w:lang w:val="en-AU"/>
        </w:rPr>
        <w:t xml:space="preserve">Registered providers account for </w:t>
      </w:r>
      <w:r w:rsidRPr="008D1918" w:rsidR="00A97A75">
        <w:rPr>
          <w:lang w:val="en-AU"/>
        </w:rPr>
        <w:t>47</w:t>
      </w:r>
      <w:r w:rsidRPr="008D1918" w:rsidR="00E11923">
        <w:rPr>
          <w:lang w:val="en-AU"/>
        </w:rPr>
        <w:t>%</w:t>
      </w:r>
      <w:r w:rsidRPr="008D1918" w:rsidR="00A97A75">
        <w:rPr>
          <w:lang w:val="en-AU"/>
        </w:rPr>
        <w:t xml:space="preserve"> of providers but 96</w:t>
      </w:r>
      <w:r w:rsidRPr="008D1918" w:rsidR="00E11923">
        <w:rPr>
          <w:lang w:val="en-AU"/>
        </w:rPr>
        <w:t>%</w:t>
      </w:r>
      <w:r w:rsidRPr="008D1918" w:rsidR="00A97A75">
        <w:rPr>
          <w:lang w:val="en-AU"/>
        </w:rPr>
        <w:t xml:space="preserve"> of SIL payments ($5.6 billion), reflecting their role in delivering high-volume, high-cost </w:t>
      </w:r>
      <w:r w:rsidRPr="008D1918" w:rsidR="005A16FB">
        <w:rPr>
          <w:lang w:val="en-AU"/>
        </w:rPr>
        <w:t>shared living</w:t>
      </w:r>
      <w:r w:rsidRPr="008D1918" w:rsidR="00A97A75">
        <w:rPr>
          <w:lang w:val="en-AU"/>
        </w:rPr>
        <w:t xml:space="preserve"> supports. Unregistered providers account for 53</w:t>
      </w:r>
      <w:r w:rsidRPr="008D1918" w:rsidR="00924CBF">
        <w:rPr>
          <w:lang w:val="en-AU"/>
        </w:rPr>
        <w:t>%</w:t>
      </w:r>
      <w:r w:rsidRPr="008D1918" w:rsidR="00A97A75">
        <w:rPr>
          <w:lang w:val="en-AU"/>
        </w:rPr>
        <w:t xml:space="preserve"> of providers but only 4</w:t>
      </w:r>
      <w:r w:rsidRPr="008D1918" w:rsidR="00924CBF">
        <w:rPr>
          <w:lang w:val="en-AU"/>
        </w:rPr>
        <w:t>%</w:t>
      </w:r>
      <w:r w:rsidRPr="008D1918" w:rsidR="00A97A75">
        <w:rPr>
          <w:lang w:val="en-AU"/>
        </w:rPr>
        <w:t xml:space="preserve"> of payments ($258</w:t>
      </w:r>
      <w:r w:rsidRPr="008D1918" w:rsidR="00650DD2">
        <w:rPr>
          <w:lang w:val="en-AU"/>
        </w:rPr>
        <w:t> </w:t>
      </w:r>
      <w:r w:rsidRPr="008D1918" w:rsidR="00A97A75">
        <w:rPr>
          <w:lang w:val="en-AU"/>
        </w:rPr>
        <w:t xml:space="preserve">million) and typically support small numbers of participants. Among registered SIL providers, companies </w:t>
      </w:r>
      <w:r w:rsidRPr="008D1918" w:rsidR="00865BB0">
        <w:rPr>
          <w:lang w:val="en-AU"/>
        </w:rPr>
        <w:t xml:space="preserve">make up </w:t>
      </w:r>
      <w:r w:rsidRPr="008D1918" w:rsidR="00A97A75">
        <w:rPr>
          <w:lang w:val="en-AU"/>
        </w:rPr>
        <w:t>89%</w:t>
      </w:r>
      <w:r w:rsidRPr="008D1918" w:rsidR="00865BB0">
        <w:rPr>
          <w:lang w:val="en-AU"/>
        </w:rPr>
        <w:t xml:space="preserve"> of the market</w:t>
      </w:r>
      <w:r w:rsidRPr="008D1918" w:rsidR="00A97A75">
        <w:rPr>
          <w:lang w:val="en-AU"/>
        </w:rPr>
        <w:t>, with sole traders accounting for 3</w:t>
      </w:r>
      <w:r w:rsidRPr="008D1918" w:rsidR="00610F27">
        <w:rPr>
          <w:lang w:val="en-AU"/>
        </w:rPr>
        <w:t>%</w:t>
      </w:r>
      <w:r w:rsidRPr="008D1918" w:rsidR="00A97A75">
        <w:rPr>
          <w:lang w:val="en-AU"/>
        </w:rPr>
        <w:t xml:space="preserve">. Among unregistered SIL providers </w:t>
      </w:r>
      <w:r w:rsidRPr="008D1918" w:rsidR="00CC67EF">
        <w:rPr>
          <w:lang w:val="en-AU"/>
        </w:rPr>
        <w:t>this</w:t>
      </w:r>
      <w:r w:rsidRPr="008D1918" w:rsidR="00A97A75">
        <w:rPr>
          <w:lang w:val="en-AU"/>
        </w:rPr>
        <w:t xml:space="preserve"> is inverted: sole traders represent 70</w:t>
      </w:r>
      <w:r w:rsidRPr="008D1918" w:rsidR="000D68CF">
        <w:rPr>
          <w:lang w:val="en-AU"/>
        </w:rPr>
        <w:t>%</w:t>
      </w:r>
      <w:r w:rsidRPr="008D1918" w:rsidR="00A97A75">
        <w:rPr>
          <w:lang w:val="en-AU"/>
        </w:rPr>
        <w:t xml:space="preserve"> </w:t>
      </w:r>
      <w:r w:rsidRPr="008D1918" w:rsidR="00865BB0">
        <w:rPr>
          <w:lang w:val="en-AU"/>
        </w:rPr>
        <w:t xml:space="preserve">of the market </w:t>
      </w:r>
      <w:r w:rsidRPr="008D1918" w:rsidR="00A97A75">
        <w:rPr>
          <w:lang w:val="en-AU"/>
        </w:rPr>
        <w:t>and companies 25</w:t>
      </w:r>
      <w:r w:rsidRPr="008D1918" w:rsidR="000D68CF">
        <w:rPr>
          <w:lang w:val="en-AU"/>
        </w:rPr>
        <w:t>%</w:t>
      </w:r>
      <w:r w:rsidRPr="008D1918" w:rsidR="00A97A75">
        <w:rPr>
          <w:lang w:val="en-AU"/>
        </w:rPr>
        <w:t xml:space="preserve">. </w:t>
      </w:r>
      <w:r w:rsidRPr="008D1918" w:rsidR="005310DF">
        <w:rPr>
          <w:lang w:val="en-AU"/>
        </w:rPr>
        <w:t xml:space="preserve">While </w:t>
      </w:r>
      <w:r w:rsidRPr="008D1918" w:rsidR="00DA65AE">
        <w:rPr>
          <w:lang w:val="en-AU"/>
        </w:rPr>
        <w:t xml:space="preserve">there are some larger providers in the market, it is characterised by </w:t>
      </w:r>
      <w:r w:rsidRPr="008D1918" w:rsidR="003E41F2">
        <w:rPr>
          <w:lang w:val="en-AU"/>
        </w:rPr>
        <w:t>a large number of</w:t>
      </w:r>
      <w:r w:rsidRPr="008D1918" w:rsidR="00DA65AE">
        <w:rPr>
          <w:lang w:val="en-AU"/>
        </w:rPr>
        <w:t xml:space="preserve"> </w:t>
      </w:r>
      <w:r w:rsidRPr="008D1918" w:rsidR="00BB1C4F">
        <w:rPr>
          <w:lang w:val="en-AU"/>
        </w:rPr>
        <w:t xml:space="preserve">small to </w:t>
      </w:r>
      <w:r w:rsidRPr="008D1918" w:rsidR="00DA65AE">
        <w:rPr>
          <w:lang w:val="en-AU"/>
        </w:rPr>
        <w:t>medium</w:t>
      </w:r>
      <w:r w:rsidRPr="008D1918" w:rsidR="005D2993">
        <w:rPr>
          <w:lang w:val="en-AU"/>
        </w:rPr>
        <w:t>-</w:t>
      </w:r>
      <w:r w:rsidRPr="008D1918" w:rsidR="00BB1C4F">
        <w:rPr>
          <w:lang w:val="en-AU"/>
        </w:rPr>
        <w:t>sized</w:t>
      </w:r>
      <w:r w:rsidRPr="008D1918" w:rsidR="00DA65AE">
        <w:rPr>
          <w:lang w:val="en-AU"/>
        </w:rPr>
        <w:t xml:space="preserve"> providers. The top </w:t>
      </w:r>
      <w:r w:rsidR="009449C0">
        <w:rPr>
          <w:lang w:val="en-AU"/>
        </w:rPr>
        <w:br/>
      </w:r>
      <w:r w:rsidRPr="008D1918" w:rsidR="00592AB8">
        <w:rPr>
          <w:lang w:val="en-AU"/>
        </w:rPr>
        <w:t>3</w:t>
      </w:r>
      <w:r w:rsidRPr="008D1918" w:rsidR="00A5644C">
        <w:rPr>
          <w:lang w:val="en-AU"/>
        </w:rPr>
        <w:t xml:space="preserve"> providers represent just over </w:t>
      </w:r>
      <w:r w:rsidRPr="008D1918" w:rsidR="00592AB8">
        <w:rPr>
          <w:lang w:val="en-AU"/>
        </w:rPr>
        <w:t>10%</w:t>
      </w:r>
      <w:r w:rsidRPr="008D1918" w:rsidR="00A5644C">
        <w:rPr>
          <w:lang w:val="en-AU"/>
        </w:rPr>
        <w:t xml:space="preserve"> of the market</w:t>
      </w:r>
      <w:r w:rsidRPr="008D1918" w:rsidR="000F2783">
        <w:rPr>
          <w:lang w:val="en-AU"/>
        </w:rPr>
        <w:t xml:space="preserve"> in terms of the number of participants</w:t>
      </w:r>
      <w:r w:rsidRPr="008D1918" w:rsidR="00C076FF">
        <w:rPr>
          <w:lang w:val="en-AU"/>
        </w:rPr>
        <w:t xml:space="preserve"> </w:t>
      </w:r>
      <w:r w:rsidRPr="008D1918" w:rsidR="00A97A75">
        <w:rPr>
          <w:lang w:val="en-AU"/>
        </w:rPr>
        <w:t>(</w:t>
      </w:r>
      <w:r w:rsidRPr="008D1918" w:rsidR="006315B6">
        <w:rPr>
          <w:lang w:val="en-AU"/>
        </w:rPr>
        <w:fldChar w:fldCharType="begin"/>
      </w:r>
      <w:r w:rsidRPr="008D1918" w:rsidR="006315B6">
        <w:rPr>
          <w:lang w:val="en-AU"/>
        </w:rPr>
        <w:instrText xml:space="preserve"> REF _Ref223623886 \h </w:instrText>
      </w:r>
      <w:r w:rsidRPr="008D1918" w:rsidR="00762DF8">
        <w:rPr>
          <w:lang w:val="en-AU"/>
        </w:rPr>
        <w:instrText xml:space="preserve"> \* MERGEFORMAT </w:instrText>
      </w:r>
      <w:r w:rsidRPr="008D1918" w:rsidR="006315B6">
        <w:rPr>
          <w:lang w:val="en-AU"/>
        </w:rPr>
      </w:r>
      <w:r w:rsidRPr="008D1918" w:rsidR="006315B6">
        <w:rPr>
          <w:lang w:val="en-AU"/>
        </w:rPr>
        <w:fldChar w:fldCharType="separate"/>
      </w:r>
      <w:r w:rsidRPr="008F56A2" w:rsidR="008F56A2">
        <w:rPr>
          <w:lang w:val="en-AU"/>
        </w:rPr>
        <w:t>Figure</w:t>
      </w:r>
      <w:r w:rsidRPr="008D1918" w:rsidR="008F56A2">
        <w:t xml:space="preserve"> </w:t>
      </w:r>
      <w:r w:rsidR="008F56A2">
        <w:rPr>
          <w:noProof/>
        </w:rPr>
        <w:t>5</w:t>
      </w:r>
      <w:r w:rsidRPr="008D1918" w:rsidR="006315B6">
        <w:rPr>
          <w:lang w:val="en-AU"/>
        </w:rPr>
        <w:fldChar w:fldCharType="end"/>
      </w:r>
      <w:r w:rsidRPr="008D1918" w:rsidR="00A97A75">
        <w:rPr>
          <w:lang w:val="en-AU"/>
        </w:rPr>
        <w:t>).</w:t>
      </w:r>
    </w:p>
    <w:p w:rsidRPr="008D1918" w:rsidR="00A60EBF" w:rsidP="006315B6" w:rsidRDefault="00A60EBF" w14:paraId="00BA3D8F" w14:textId="404A772F">
      <w:pPr>
        <w:pStyle w:val="Caption"/>
        <w:rPr>
          <w:rFonts w:eastAsia="DengXian" w:cs="Cordia New"/>
          <w:i w:val="0"/>
          <w:color w:val="6B2876"/>
        </w:rPr>
      </w:pPr>
      <w:bookmarkStart w:name="_Ref223623886" w:id="679"/>
      <w:r w:rsidRPr="008D1918">
        <w:t xml:space="preserve">Figure </w:t>
      </w:r>
      <w:r>
        <w:fldChar w:fldCharType="begin"/>
      </w:r>
      <w:r>
        <w:instrText>SEQ Figure \* ARABIC</w:instrText>
      </w:r>
      <w:r>
        <w:fldChar w:fldCharType="separate"/>
      </w:r>
      <w:r w:rsidR="008F56A2">
        <w:rPr>
          <w:noProof/>
        </w:rPr>
        <w:t>5</w:t>
      </w:r>
      <w:r>
        <w:fldChar w:fldCharType="end"/>
      </w:r>
      <w:bookmarkEnd w:id="679"/>
      <w:r w:rsidRPr="008D1918">
        <w:rPr>
          <w:rFonts w:eastAsia="DengXian" w:cs="Cordia New"/>
          <w:color w:val="6B2876" w:themeColor="accent5"/>
        </w:rPr>
        <w:t>: Top 10 registered providers by participant</w:t>
      </w:r>
      <w:r w:rsidRPr="008D1918" w:rsidR="00172718">
        <w:rPr>
          <w:rFonts w:eastAsia="DengXian" w:cs="Cordia New"/>
          <w:color w:val="6B2876" w:themeColor="accent5"/>
        </w:rPr>
        <w:t>, July to December 2025</w:t>
      </w:r>
    </w:p>
    <w:p w:rsidRPr="008D1918" w:rsidR="003E0909" w:rsidRDefault="003E0909" w14:paraId="3F87081A" w14:textId="43C8105E">
      <w:pPr>
        <w:rPr>
          <w:lang w:val="en-AU"/>
        </w:rPr>
      </w:pPr>
      <w:r w:rsidRPr="008D1918">
        <w:rPr>
          <w:noProof/>
          <w:lang w:val="en-AU"/>
        </w:rPr>
        <w:drawing>
          <wp:inline distT="0" distB="0" distL="0" distR="0" wp14:anchorId="66BEC7E1" wp14:editId="47A9DD43">
            <wp:extent cx="5670000" cy="3283200"/>
            <wp:effectExtent l="0" t="0" r="6985" b="0"/>
            <wp:docPr id="2097014902" name="Picture 13" descr="Figure 5: A bar graph showing the top 10 registered providers by participant from July to December 2025.&#10;1. Scope Pty Ltd: 1,228&#10;2. Aruma Services Ltd: 1,147&#10;3. Life Without Barriers: 928&#10;4. Karingal St Laurence Limited: 553&#10;5. Endeavour Foundation Limited: 483&#10;6. The Northcott Society: 406&#10;7. Department of Human Services: 391&#10;8. Cerebral Palsy Alliance: 387&#10;9. Dept of Families, Seniors, Disability Services and Child Safety: 360&#10;10: Minda Incorporated: 335&#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14902" name="Picture 13" descr="Figure 5: A bar graph showing the top 10 registered providers by participant from July to December 2025.&#10;1. Scope Pty Ltd: 1,228&#10;2. Aruma Services Ltd: 1,147&#10;3. Life Without Barriers: 928&#10;4. Karingal St Laurence Limited: 553&#10;5. Endeavour Foundation Limited: 483&#10;6. The Northcott Society: 406&#10;7. Department of Human Services: 391&#10;8. Cerebral Palsy Alliance: 387&#10;9. Dept of Families, Seniors, Disability Services and Child Safety: 360&#10;10: Minda Incorporated: 335&#10;Source: NDIS internal administrative dat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0000" cy="3283200"/>
                    </a:xfrm>
                    <a:prstGeom prst="rect">
                      <a:avLst/>
                    </a:prstGeom>
                    <a:noFill/>
                  </pic:spPr>
                </pic:pic>
              </a:graphicData>
            </a:graphic>
          </wp:inline>
        </w:drawing>
      </w:r>
    </w:p>
    <w:p w:rsidRPr="008D1918" w:rsidR="00D0340A" w:rsidP="00D0340A" w:rsidRDefault="00D0340A" w14:paraId="4261FC55" w14:textId="338C58C7">
      <w:pPr>
        <w:spacing w:before="120" w:after="360" w:line="240" w:lineRule="atLeast"/>
        <w:rPr>
          <w:rFonts w:cs="Calibri"/>
          <w:b/>
          <w:sz w:val="20"/>
          <w:szCs w:val="18"/>
          <w:lang w:val="en-AU" w:eastAsia="en-AU"/>
        </w:rPr>
      </w:pPr>
      <w:r w:rsidRPr="008D1918">
        <w:rPr>
          <w:rFonts w:cs="Calibri"/>
          <w:b/>
          <w:sz w:val="20"/>
          <w:szCs w:val="18"/>
          <w:lang w:val="en-AU" w:eastAsia="en-AU"/>
        </w:rPr>
        <w:t>Source</w:t>
      </w:r>
      <w:r w:rsidRPr="008D1918" w:rsidR="000F70FE">
        <w:rPr>
          <w:rFonts w:cs="Calibri"/>
          <w:b/>
          <w:sz w:val="20"/>
          <w:szCs w:val="18"/>
          <w:lang w:val="en-AU" w:eastAsia="en-AU"/>
        </w:rPr>
        <w:t>: NDIS internal administrative data</w:t>
      </w:r>
    </w:p>
    <w:p w:rsidRPr="008D1918" w:rsidR="000F5290" w:rsidRDefault="00447F07" w14:paraId="75FF19D3" w14:textId="6D92BE53">
      <w:pPr>
        <w:rPr>
          <w:lang w:val="en-AU"/>
        </w:rPr>
      </w:pPr>
      <w:r w:rsidRPr="008D1918">
        <w:rPr>
          <w:lang w:val="en-AU"/>
        </w:rPr>
        <w:t>The</w:t>
      </w:r>
      <w:r w:rsidRPr="008D1918" w:rsidR="00627D27">
        <w:rPr>
          <w:lang w:val="en-AU"/>
        </w:rPr>
        <w:t xml:space="preserve"> structural features of </w:t>
      </w:r>
      <w:r w:rsidRPr="008D1918" w:rsidR="00C953AD">
        <w:rPr>
          <w:lang w:val="en-AU"/>
        </w:rPr>
        <w:t>SIL</w:t>
      </w:r>
      <w:r w:rsidRPr="008D1918" w:rsidR="00627D27">
        <w:rPr>
          <w:lang w:val="en-AU"/>
        </w:rPr>
        <w:t xml:space="preserve"> have direct implication</w:t>
      </w:r>
      <w:r w:rsidRPr="008D1918" w:rsidR="00C126CB">
        <w:rPr>
          <w:lang w:val="en-AU"/>
        </w:rPr>
        <w:t>s</w:t>
      </w:r>
      <w:r w:rsidRPr="008D1918" w:rsidR="00627D27">
        <w:rPr>
          <w:lang w:val="en-AU"/>
        </w:rPr>
        <w:t xml:space="preserve"> for pricing. SIL s</w:t>
      </w:r>
      <w:r w:rsidRPr="008D1918" w:rsidR="00A97A75">
        <w:rPr>
          <w:lang w:val="en-AU"/>
        </w:rPr>
        <w:t>upports are delivered continuously, often 24 hours a day, in shared living arrangements where rostering, staffing ratios and vacancy management create</w:t>
      </w:r>
      <w:r w:rsidRPr="008D1918" w:rsidR="00D339C6">
        <w:rPr>
          <w:lang w:val="en-AU"/>
        </w:rPr>
        <w:t>s</w:t>
      </w:r>
      <w:r w:rsidRPr="008D1918" w:rsidR="00A97A75">
        <w:rPr>
          <w:lang w:val="en-AU"/>
        </w:rPr>
        <w:t xml:space="preserve"> cost management challenges that differ materially from episodic or session-based DSW supports. </w:t>
      </w:r>
      <w:r w:rsidRPr="008D1918" w:rsidR="000F5290">
        <w:rPr>
          <w:lang w:val="en-AU"/>
        </w:rPr>
        <w:t xml:space="preserve">Participants also have </w:t>
      </w:r>
      <w:r w:rsidRPr="008D1918" w:rsidR="00474224">
        <w:rPr>
          <w:lang w:val="en-AU"/>
        </w:rPr>
        <w:t xml:space="preserve">limited practical ability to switch providers without changing residence. These features distinguish SIL from the broader DSW market and support the need for specific attention to SIL cost structures through the DSW Cost Model </w:t>
      </w:r>
      <w:r w:rsidRPr="008D1918" w:rsidR="000316AA">
        <w:rPr>
          <w:lang w:val="en-AU"/>
        </w:rPr>
        <w:t>R</w:t>
      </w:r>
      <w:r w:rsidRPr="008D1918" w:rsidR="00474224">
        <w:rPr>
          <w:lang w:val="en-AU"/>
        </w:rPr>
        <w:t xml:space="preserve">eview. </w:t>
      </w:r>
    </w:p>
    <w:p w:rsidRPr="008D1918" w:rsidR="000A241F" w:rsidP="0B50E515" w:rsidRDefault="00903721" w14:paraId="4A85D17D" w14:textId="476B0B36">
      <w:pPr>
        <w:rPr>
          <w:lang w:val="en-AU"/>
        </w:rPr>
      </w:pPr>
      <w:r w:rsidRPr="008D1918">
        <w:rPr>
          <w:lang w:val="en-AU"/>
        </w:rPr>
        <w:fldChar w:fldCharType="begin"/>
      </w:r>
      <w:r w:rsidRPr="008D1918">
        <w:rPr>
          <w:lang w:val="en-AU"/>
        </w:rPr>
        <w:instrText xml:space="preserve"> REF _Ref227131448 \h </w:instrText>
      </w:r>
      <w:r w:rsidR="008D1918">
        <w:rPr>
          <w:lang w:val="en-AU"/>
        </w:rPr>
        <w:instrText xml:space="preserve"> \* MERGEFORMAT </w:instrText>
      </w:r>
      <w:r w:rsidRPr="008D1918">
        <w:rPr>
          <w:lang w:val="en-AU"/>
        </w:rPr>
      </w:r>
      <w:r w:rsidRPr="008D1918">
        <w:rPr>
          <w:lang w:val="en-AU"/>
        </w:rPr>
        <w:fldChar w:fldCharType="separate"/>
      </w:r>
      <w:r w:rsidRPr="008D1918" w:rsidR="008F56A2">
        <w:t xml:space="preserve">Table </w:t>
      </w:r>
      <w:r w:rsidR="008F56A2">
        <w:rPr>
          <w:noProof/>
        </w:rPr>
        <w:t>5</w:t>
      </w:r>
      <w:r w:rsidRPr="008D1918">
        <w:rPr>
          <w:lang w:val="en-AU"/>
        </w:rPr>
        <w:fldChar w:fldCharType="end"/>
      </w:r>
      <w:r w:rsidRPr="008D1918" w:rsidR="5A0CEE06">
        <w:rPr>
          <w:lang w:val="en-AU"/>
        </w:rPr>
        <w:t xml:space="preserve"> </w:t>
      </w:r>
      <w:r w:rsidRPr="008D1918" w:rsidR="00474224">
        <w:rPr>
          <w:lang w:val="en-AU"/>
        </w:rPr>
        <w:t xml:space="preserve">shows </w:t>
      </w:r>
      <w:r w:rsidRPr="008D1918" w:rsidR="00B97D9A">
        <w:rPr>
          <w:lang w:val="en-AU"/>
        </w:rPr>
        <w:t>participant numbers</w:t>
      </w:r>
      <w:r w:rsidRPr="008D1918" w:rsidR="0014664E">
        <w:rPr>
          <w:lang w:val="en-AU"/>
        </w:rPr>
        <w:t xml:space="preserve"> for</w:t>
      </w:r>
      <w:r w:rsidRPr="008D1918" w:rsidR="00AB0099">
        <w:rPr>
          <w:lang w:val="en-AU"/>
        </w:rPr>
        <w:t xml:space="preserve"> </w:t>
      </w:r>
      <w:r w:rsidRPr="008D1918" w:rsidR="5A0CEE06">
        <w:rPr>
          <w:lang w:val="en-AU"/>
        </w:rPr>
        <w:t xml:space="preserve">SIL‑related </w:t>
      </w:r>
      <w:r w:rsidRPr="008D1918" w:rsidR="00AB0099">
        <w:rPr>
          <w:lang w:val="en-AU"/>
        </w:rPr>
        <w:t>supports delivered</w:t>
      </w:r>
      <w:r w:rsidRPr="008D1918" w:rsidR="00474224">
        <w:rPr>
          <w:lang w:val="en-AU"/>
        </w:rPr>
        <w:t xml:space="preserve"> b</w:t>
      </w:r>
      <w:r w:rsidRPr="008D1918" w:rsidR="5A0CEE06">
        <w:rPr>
          <w:lang w:val="en-AU"/>
        </w:rPr>
        <w:t xml:space="preserve">etween July </w:t>
      </w:r>
      <w:r w:rsidRPr="008D1918" w:rsidR="0008677D">
        <w:rPr>
          <w:lang w:val="en-AU"/>
        </w:rPr>
        <w:t xml:space="preserve">2024 </w:t>
      </w:r>
      <w:r w:rsidRPr="008D1918" w:rsidR="5A0CEE06">
        <w:rPr>
          <w:lang w:val="en-AU"/>
        </w:rPr>
        <w:t>and December 2025</w:t>
      </w:r>
      <w:r w:rsidRPr="008D1918" w:rsidR="00E728D1">
        <w:rPr>
          <w:lang w:val="en-AU"/>
        </w:rPr>
        <w:t xml:space="preserve"> increased by 4.5</w:t>
      </w:r>
      <w:r w:rsidRPr="008D1918" w:rsidR="00FB4D2E">
        <w:rPr>
          <w:lang w:val="en-AU"/>
        </w:rPr>
        <w:t>%</w:t>
      </w:r>
      <w:r w:rsidRPr="008D1918" w:rsidR="00E728D1">
        <w:rPr>
          <w:lang w:val="en-AU"/>
        </w:rPr>
        <w:t xml:space="preserve"> </w:t>
      </w:r>
      <w:r w:rsidRPr="008D1918" w:rsidR="00654A6D">
        <w:rPr>
          <w:lang w:val="en-AU"/>
        </w:rPr>
        <w:t>while</w:t>
      </w:r>
      <w:r w:rsidRPr="008D1918" w:rsidR="00E728D1">
        <w:rPr>
          <w:lang w:val="en-AU"/>
        </w:rPr>
        <w:t xml:space="preserve"> provider numbers </w:t>
      </w:r>
      <w:r w:rsidRPr="008D1918" w:rsidR="008B4163">
        <w:rPr>
          <w:lang w:val="en-AU"/>
        </w:rPr>
        <w:t>rose by 20.7</w:t>
      </w:r>
      <w:r w:rsidRPr="008D1918" w:rsidR="004B35E2">
        <w:rPr>
          <w:lang w:val="en-AU"/>
        </w:rPr>
        <w:t>%</w:t>
      </w:r>
      <w:r w:rsidRPr="008D1918" w:rsidR="00654A6D">
        <w:rPr>
          <w:lang w:val="en-AU"/>
        </w:rPr>
        <w:t>. T</w:t>
      </w:r>
      <w:r w:rsidRPr="008D1918" w:rsidR="008B4163">
        <w:rPr>
          <w:lang w:val="en-AU"/>
        </w:rPr>
        <w:t>otal payments</w:t>
      </w:r>
      <w:r w:rsidRPr="008D1918" w:rsidR="00654A6D">
        <w:rPr>
          <w:lang w:val="en-AU"/>
        </w:rPr>
        <w:t xml:space="preserve"> to registered SIL providers rose</w:t>
      </w:r>
      <w:r w:rsidRPr="008D1918" w:rsidR="008B4163">
        <w:rPr>
          <w:lang w:val="en-AU"/>
        </w:rPr>
        <w:t xml:space="preserve"> by 10.4%, </w:t>
      </w:r>
      <w:r w:rsidRPr="008D1918" w:rsidR="000A241F">
        <w:rPr>
          <w:lang w:val="en-AU"/>
        </w:rPr>
        <w:t xml:space="preserve">but </w:t>
      </w:r>
      <w:r w:rsidRPr="008D1918" w:rsidR="008B4163">
        <w:rPr>
          <w:lang w:val="en-AU"/>
        </w:rPr>
        <w:t>average claims per provider declin</w:t>
      </w:r>
      <w:r w:rsidRPr="008D1918" w:rsidR="000A241F">
        <w:rPr>
          <w:lang w:val="en-AU"/>
        </w:rPr>
        <w:t>ed</w:t>
      </w:r>
      <w:r w:rsidRPr="008D1918" w:rsidR="008B4163">
        <w:rPr>
          <w:lang w:val="en-AU"/>
        </w:rPr>
        <w:t xml:space="preserve"> from $1.55</w:t>
      </w:r>
      <w:r w:rsidRPr="008D1918" w:rsidR="00AC4B1C">
        <w:rPr>
          <w:lang w:val="en-AU"/>
        </w:rPr>
        <w:t xml:space="preserve"> </w:t>
      </w:r>
      <w:r w:rsidRPr="008D1918" w:rsidR="008B4163">
        <w:rPr>
          <w:lang w:val="en-AU"/>
        </w:rPr>
        <w:t>m</w:t>
      </w:r>
      <w:r w:rsidRPr="008D1918" w:rsidR="00AC4B1C">
        <w:rPr>
          <w:lang w:val="en-AU"/>
        </w:rPr>
        <w:t>illion</w:t>
      </w:r>
      <w:r w:rsidRPr="008D1918" w:rsidR="008B4163">
        <w:rPr>
          <w:lang w:val="en-AU"/>
        </w:rPr>
        <w:t xml:space="preserve"> to $1.42</w:t>
      </w:r>
      <w:r w:rsidRPr="008D1918" w:rsidR="00AC4B1C">
        <w:rPr>
          <w:lang w:val="en-AU"/>
        </w:rPr>
        <w:t xml:space="preserve"> </w:t>
      </w:r>
      <w:r w:rsidRPr="008D1918" w:rsidR="008B4163">
        <w:rPr>
          <w:lang w:val="en-AU"/>
        </w:rPr>
        <w:t>m</w:t>
      </w:r>
      <w:r w:rsidRPr="008D1918" w:rsidR="00AC4B1C">
        <w:rPr>
          <w:lang w:val="en-AU"/>
        </w:rPr>
        <w:t>illion</w:t>
      </w:r>
      <w:r w:rsidRPr="008D1918" w:rsidR="00BC5935">
        <w:rPr>
          <w:lang w:val="en-AU"/>
        </w:rPr>
        <w:t xml:space="preserve">. </w:t>
      </w:r>
    </w:p>
    <w:p w:rsidRPr="008D1918" w:rsidR="2B91376D" w:rsidP="0B50E515" w:rsidRDefault="00903721" w14:paraId="0ECD1D8E" w14:textId="3E72E88E">
      <w:pPr>
        <w:rPr>
          <w:lang w:val="en-AU"/>
        </w:rPr>
      </w:pPr>
      <w:r w:rsidRPr="008D1918">
        <w:rPr>
          <w:lang w:val="en-AU"/>
        </w:rPr>
        <w:fldChar w:fldCharType="begin"/>
      </w:r>
      <w:r w:rsidRPr="008D1918">
        <w:rPr>
          <w:lang w:val="en-AU"/>
        </w:rPr>
        <w:instrText xml:space="preserve"> REF _Ref227131449 \h </w:instrText>
      </w:r>
      <w:r w:rsidR="008D1918">
        <w:rPr>
          <w:lang w:val="en-AU"/>
        </w:rPr>
        <w:instrText xml:space="preserve"> \* MERGEFORMAT </w:instrText>
      </w:r>
      <w:r w:rsidRPr="008D1918">
        <w:rPr>
          <w:lang w:val="en-AU"/>
        </w:rPr>
      </w:r>
      <w:r w:rsidRPr="008D1918">
        <w:rPr>
          <w:lang w:val="en-AU"/>
        </w:rPr>
        <w:fldChar w:fldCharType="separate"/>
      </w:r>
      <w:r w:rsidRPr="008D1918" w:rsidR="008F56A2">
        <w:t xml:space="preserve">Table </w:t>
      </w:r>
      <w:r w:rsidR="008F56A2">
        <w:rPr>
          <w:noProof/>
        </w:rPr>
        <w:t>6</w:t>
      </w:r>
      <w:r w:rsidRPr="008D1918">
        <w:rPr>
          <w:lang w:val="en-AU"/>
        </w:rPr>
        <w:fldChar w:fldCharType="end"/>
      </w:r>
      <w:r w:rsidRPr="008D1918" w:rsidR="00BC5935">
        <w:rPr>
          <w:lang w:val="en-AU"/>
        </w:rPr>
        <w:t xml:space="preserve"> shows unregistered SIL providers </w:t>
      </w:r>
      <w:r w:rsidRPr="008D1918" w:rsidR="008E7017">
        <w:rPr>
          <w:lang w:val="en-AU"/>
        </w:rPr>
        <w:t xml:space="preserve">operate at </w:t>
      </w:r>
      <w:r w:rsidRPr="008D1918" w:rsidR="00F174B5">
        <w:rPr>
          <w:lang w:val="en-AU"/>
        </w:rPr>
        <w:t>smaller scale</w:t>
      </w:r>
      <w:r w:rsidRPr="008D1918" w:rsidR="00AD2892">
        <w:rPr>
          <w:lang w:val="en-AU"/>
        </w:rPr>
        <w:t xml:space="preserve">. </w:t>
      </w:r>
      <w:r w:rsidRPr="008D1918" w:rsidR="00220CCA">
        <w:rPr>
          <w:lang w:val="en-AU"/>
        </w:rPr>
        <w:t>W</w:t>
      </w:r>
      <w:r w:rsidRPr="008D1918" w:rsidR="00DE3BAF">
        <w:rPr>
          <w:lang w:val="en-AU"/>
        </w:rPr>
        <w:t>hile p</w:t>
      </w:r>
      <w:r w:rsidRPr="008D1918" w:rsidR="00F174B5">
        <w:rPr>
          <w:lang w:val="en-AU"/>
        </w:rPr>
        <w:t>articipant numbers declined</w:t>
      </w:r>
      <w:r w:rsidRPr="008D1918" w:rsidR="00C90C15">
        <w:rPr>
          <w:lang w:val="en-AU"/>
        </w:rPr>
        <w:t xml:space="preserve"> by 12.4</w:t>
      </w:r>
      <w:r w:rsidRPr="008D1918" w:rsidR="005853B7">
        <w:rPr>
          <w:lang w:val="en-AU"/>
        </w:rPr>
        <w:t>%</w:t>
      </w:r>
      <w:r w:rsidRPr="008D1918" w:rsidR="00220CCA">
        <w:rPr>
          <w:lang w:val="en-AU"/>
        </w:rPr>
        <w:t xml:space="preserve"> </w:t>
      </w:r>
      <w:r w:rsidRPr="008D1918" w:rsidR="00907ACF">
        <w:rPr>
          <w:lang w:val="en-AU"/>
        </w:rPr>
        <w:t>between July 2024 and December 2025</w:t>
      </w:r>
      <w:r w:rsidRPr="008D1918" w:rsidR="00C90C15">
        <w:rPr>
          <w:lang w:val="en-AU"/>
        </w:rPr>
        <w:t xml:space="preserve">, provider numbers </w:t>
      </w:r>
      <w:r w:rsidRPr="008D1918" w:rsidR="00DE3BAF">
        <w:rPr>
          <w:lang w:val="en-AU"/>
        </w:rPr>
        <w:t>remained</w:t>
      </w:r>
      <w:r w:rsidRPr="008D1918" w:rsidR="00C90C15">
        <w:rPr>
          <w:lang w:val="en-AU"/>
        </w:rPr>
        <w:t xml:space="preserve"> </w:t>
      </w:r>
      <w:r w:rsidRPr="008D1918" w:rsidR="0021206F">
        <w:rPr>
          <w:lang w:val="en-AU"/>
        </w:rPr>
        <w:t>relatively</w:t>
      </w:r>
      <w:r w:rsidRPr="008D1918" w:rsidR="00C90C15">
        <w:rPr>
          <w:lang w:val="en-AU"/>
        </w:rPr>
        <w:t xml:space="preserve"> stable</w:t>
      </w:r>
      <w:r w:rsidRPr="008D1918" w:rsidR="00907ACF">
        <w:rPr>
          <w:lang w:val="en-AU"/>
        </w:rPr>
        <w:t>, declining by 0.6</w:t>
      </w:r>
      <w:r w:rsidRPr="008D1918" w:rsidR="005853B7">
        <w:rPr>
          <w:lang w:val="en-AU"/>
        </w:rPr>
        <w:t>%</w:t>
      </w:r>
      <w:r w:rsidRPr="008D1918" w:rsidR="00DE3BAF">
        <w:rPr>
          <w:lang w:val="en-AU"/>
        </w:rPr>
        <w:t xml:space="preserve">. </w:t>
      </w:r>
      <w:r w:rsidRPr="008D1918" w:rsidR="005839FF">
        <w:rPr>
          <w:lang w:val="en-AU"/>
        </w:rPr>
        <w:t>Despite</w:t>
      </w:r>
      <w:r w:rsidRPr="008D1918" w:rsidR="00907ACF">
        <w:rPr>
          <w:lang w:val="en-AU"/>
        </w:rPr>
        <w:t xml:space="preserve"> declining participant numbers, </w:t>
      </w:r>
      <w:r w:rsidRPr="008D1918" w:rsidR="00FD0AAF">
        <w:rPr>
          <w:lang w:val="en-AU"/>
        </w:rPr>
        <w:t xml:space="preserve">total </w:t>
      </w:r>
      <w:r w:rsidRPr="008D1918" w:rsidR="00C90C15">
        <w:rPr>
          <w:lang w:val="en-AU"/>
        </w:rPr>
        <w:t xml:space="preserve">payments rose </w:t>
      </w:r>
      <w:r w:rsidRPr="008D1918" w:rsidR="00907ACF">
        <w:rPr>
          <w:lang w:val="en-AU"/>
        </w:rPr>
        <w:t>by nearly 9</w:t>
      </w:r>
      <w:r w:rsidRPr="008D1918" w:rsidR="00C36F1C">
        <w:rPr>
          <w:lang w:val="en-AU"/>
        </w:rPr>
        <w:t>%</w:t>
      </w:r>
      <w:r w:rsidRPr="008D1918" w:rsidR="00907ACF">
        <w:rPr>
          <w:lang w:val="en-AU"/>
        </w:rPr>
        <w:t xml:space="preserve"> </w:t>
      </w:r>
      <w:r w:rsidRPr="008D1918" w:rsidR="00C90C15">
        <w:rPr>
          <w:lang w:val="en-AU"/>
        </w:rPr>
        <w:t>to $257.9</w:t>
      </w:r>
      <w:r w:rsidRPr="008D1918" w:rsidR="00AC4B1C">
        <w:rPr>
          <w:lang w:val="en-AU"/>
        </w:rPr>
        <w:t xml:space="preserve"> </w:t>
      </w:r>
      <w:r w:rsidRPr="008D1918" w:rsidR="00C90C15">
        <w:rPr>
          <w:lang w:val="en-AU"/>
        </w:rPr>
        <w:t>m</w:t>
      </w:r>
      <w:r w:rsidRPr="008D1918" w:rsidR="00AC4B1C">
        <w:rPr>
          <w:lang w:val="en-AU"/>
        </w:rPr>
        <w:t>illion</w:t>
      </w:r>
      <w:r w:rsidRPr="008D1918" w:rsidR="00C90C15">
        <w:rPr>
          <w:lang w:val="en-AU"/>
        </w:rPr>
        <w:t xml:space="preserve">, and average claims per provider increased from $51,900 to $56,800. </w:t>
      </w:r>
    </w:p>
    <w:p w:rsidRPr="008D1918" w:rsidR="00A97A75" w:rsidP="00435B51" w:rsidRDefault="00435B51" w14:paraId="08E0C79E" w14:textId="53712088">
      <w:pPr>
        <w:pStyle w:val="Caption"/>
        <w:rPr>
          <w:rFonts w:eastAsia="DengXian" w:cs="Cordia New"/>
          <w:i w:val="0"/>
          <w:iCs w:val="0"/>
          <w:color w:val="6B2876" w:themeColor="accent5"/>
        </w:rPr>
      </w:pPr>
      <w:bookmarkStart w:name="_Ref227131448" w:id="680"/>
      <w:r w:rsidRPr="008D1918">
        <w:t xml:space="preserve">Table </w:t>
      </w:r>
      <w:r>
        <w:fldChar w:fldCharType="begin"/>
      </w:r>
      <w:r>
        <w:instrText>SEQ Table \* ARABIC</w:instrText>
      </w:r>
      <w:r>
        <w:fldChar w:fldCharType="separate"/>
      </w:r>
      <w:r w:rsidR="008F56A2">
        <w:rPr>
          <w:noProof/>
        </w:rPr>
        <w:t>5</w:t>
      </w:r>
      <w:r>
        <w:fldChar w:fldCharType="end"/>
      </w:r>
      <w:bookmarkEnd w:id="680"/>
      <w:r w:rsidRPr="008D1918" w:rsidR="00A97A75">
        <w:t xml:space="preserve">: SIL-related supports </w:t>
      </w:r>
      <w:r w:rsidRPr="008D1918" w:rsidR="00725AC0">
        <w:t xml:space="preserve">Scheme </w:t>
      </w:r>
      <w:r w:rsidRPr="008D1918" w:rsidR="00A97A75">
        <w:t>statistics – registered providers</w:t>
      </w:r>
      <w:r w:rsidRPr="008D1918" w:rsidR="000721DC">
        <w:t>,</w:t>
      </w:r>
      <w:r w:rsidRPr="008D1918" w:rsidR="00BB0890">
        <w:t xml:space="preserve"> Ju</w:t>
      </w:r>
      <w:r w:rsidRPr="008D1918" w:rsidR="00D43CF9">
        <w:t>l</w:t>
      </w:r>
      <w:r w:rsidRPr="008D1918" w:rsidR="00BB0890">
        <w:t>y 2024 to December 2025</w:t>
      </w:r>
    </w:p>
    <w:tbl>
      <w:tblPr>
        <w:tblStyle w:val="GridTable4-Accent121"/>
        <w:tblW w:w="9017" w:type="dxa"/>
        <w:tblInd w:w="5" w:type="dxa"/>
        <w:tblLayout w:type="fixed"/>
        <w:tblLook w:val="04A0" w:firstRow="1" w:lastRow="0" w:firstColumn="1" w:lastColumn="0" w:noHBand="0" w:noVBand="1"/>
      </w:tblPr>
      <w:tblGrid>
        <w:gridCol w:w="3629"/>
        <w:gridCol w:w="1985"/>
        <w:gridCol w:w="1985"/>
        <w:gridCol w:w="1418"/>
      </w:tblGrid>
      <w:tr w:rsidRPr="008D1918" w:rsidR="00A238C6" w:rsidTr="0085232A" w14:paraId="55D7DD10" w14:textId="77777777">
        <w:trPr>
          <w:cnfStyle w:val="100000000000" w:firstRow="1" w:lastRow="0" w:firstColumn="0" w:lastColumn="0" w:oddVBand="0" w:evenVBand="0" w:oddHBand="0" w:evenHBand="0" w:firstRowFirstColumn="0" w:firstRowLastColumn="0" w:lastRowFirstColumn="0" w:lastRowLastColumn="0"/>
          <w:trHeight w:val="645"/>
          <w:tblHeader/>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A97A75" w:rsidP="00DC3C46" w:rsidRDefault="00A97A75" w14:paraId="3256AB5A" w14:textId="77777777">
            <w:pPr>
              <w:keepNext/>
              <w:spacing w:before="60" w:after="60"/>
              <w:rPr>
                <w:rFonts w:cs="Arial"/>
                <w:b w:val="0"/>
                <w:sz w:val="20"/>
                <w:szCs w:val="20"/>
                <w:lang w:val="en-AU" w:eastAsia="en-AU"/>
              </w:rPr>
            </w:pPr>
            <w:r w:rsidRPr="008D1918">
              <w:rPr>
                <w:rFonts w:cs="Arial"/>
                <w:color w:val="F9F9F9" w:themeColor="background1"/>
                <w:sz w:val="20"/>
                <w:szCs w:val="20"/>
                <w:lang w:val="en-AU" w:eastAsia="en-AU"/>
              </w:rPr>
              <w:t>Statistics</w:t>
            </w:r>
          </w:p>
        </w:tc>
        <w:tc>
          <w:tcPr>
            <w:tcW w:w="1985" w:type="dxa"/>
            <w:hideMark/>
          </w:tcPr>
          <w:p w:rsidRPr="008D1918" w:rsidR="00A97A75" w:rsidP="00877F87" w:rsidRDefault="00A97A75" w14:paraId="41F862F4"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July – December 2024</w:t>
            </w:r>
          </w:p>
        </w:tc>
        <w:tc>
          <w:tcPr>
            <w:tcW w:w="1985" w:type="dxa"/>
            <w:hideMark/>
          </w:tcPr>
          <w:p w:rsidRPr="008D1918" w:rsidR="00A97A75" w:rsidP="00877F87" w:rsidRDefault="00A97A75" w14:paraId="70F8FA83"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July – December 2025</w:t>
            </w:r>
          </w:p>
        </w:tc>
        <w:tc>
          <w:tcPr>
            <w:tcW w:w="1418" w:type="dxa"/>
            <w:hideMark/>
          </w:tcPr>
          <w:p w:rsidRPr="008D1918" w:rsidR="00A97A75" w:rsidP="00877F87" w:rsidRDefault="00A97A75" w14:paraId="1AAF658F" w14:textId="73F8C19D">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 xml:space="preserve">Percentage </w:t>
            </w:r>
            <w:r w:rsidRPr="008D1918" w:rsidR="005F7545">
              <w:rPr>
                <w:rFonts w:cs="Arial"/>
                <w:color w:val="F9F9F9" w:themeColor="background1"/>
                <w:sz w:val="20"/>
                <w:szCs w:val="20"/>
                <w:lang w:val="en-AU" w:eastAsia="en-AU"/>
              </w:rPr>
              <w:t>c</w:t>
            </w:r>
            <w:r w:rsidRPr="008D1918">
              <w:rPr>
                <w:rFonts w:cs="Arial"/>
                <w:color w:val="F9F9F9" w:themeColor="background1"/>
                <w:sz w:val="20"/>
                <w:szCs w:val="20"/>
                <w:lang w:val="en-AU" w:eastAsia="en-AU"/>
              </w:rPr>
              <w:t>hange</w:t>
            </w:r>
          </w:p>
        </w:tc>
      </w:tr>
      <w:tr w:rsidRPr="008D1918" w:rsidR="00A238C6" w:rsidTr="0085232A" w14:paraId="3080ECB5"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A97A75" w:rsidP="00877F87" w:rsidRDefault="00A97A75" w14:paraId="55489EE7" w14:textId="77777777">
            <w:pPr>
              <w:keepNext/>
              <w:spacing w:before="60" w:after="60"/>
              <w:rPr>
                <w:rFonts w:cs="Arial"/>
                <w:sz w:val="20"/>
                <w:szCs w:val="20"/>
                <w:lang w:val="en-AU" w:eastAsia="en-AU"/>
              </w:rPr>
            </w:pPr>
            <w:r w:rsidRPr="008D1918">
              <w:rPr>
                <w:rFonts w:cs="Arial"/>
                <w:sz w:val="20"/>
                <w:szCs w:val="20"/>
                <w:lang w:val="en-AU" w:eastAsia="en-AU"/>
              </w:rPr>
              <w:t>Number of NDIS participants</w:t>
            </w:r>
          </w:p>
        </w:tc>
        <w:tc>
          <w:tcPr>
            <w:tcW w:w="1985" w:type="dxa"/>
            <w:vAlign w:val="center"/>
            <w:hideMark/>
          </w:tcPr>
          <w:p w:rsidRPr="008D1918" w:rsidR="00A97A75" w:rsidP="00DC3C46" w:rsidRDefault="00A97A75" w14:paraId="5E04F9EE" w14:textId="77777777">
            <w:pPr>
              <w:keepNext/>
              <w:spacing w:before="60" w:after="60"/>
              <w:ind w:right="12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34,831</w:t>
            </w:r>
          </w:p>
        </w:tc>
        <w:tc>
          <w:tcPr>
            <w:tcW w:w="1985" w:type="dxa"/>
            <w:vAlign w:val="center"/>
            <w:hideMark/>
          </w:tcPr>
          <w:p w:rsidRPr="008D1918" w:rsidR="00A97A75" w:rsidP="00DC3C46" w:rsidRDefault="00A97A75" w14:paraId="7FF4FC85" w14:textId="77777777">
            <w:pPr>
              <w:keepNext/>
              <w:spacing w:before="60" w:after="60"/>
              <w:ind w:right="12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36,410</w:t>
            </w:r>
          </w:p>
        </w:tc>
        <w:tc>
          <w:tcPr>
            <w:tcW w:w="1418" w:type="dxa"/>
            <w:vAlign w:val="center"/>
            <w:hideMark/>
          </w:tcPr>
          <w:p w:rsidRPr="008D1918" w:rsidR="00A97A75" w:rsidP="00DC3C46" w:rsidRDefault="00A97A75" w14:paraId="74886B15" w14:textId="77777777">
            <w:pPr>
              <w:keepNext/>
              <w:spacing w:before="60" w:after="60"/>
              <w:ind w:right="12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+4.5%</w:t>
            </w:r>
          </w:p>
        </w:tc>
      </w:tr>
      <w:tr w:rsidRPr="008D1918" w:rsidR="00A97A75" w:rsidTr="0085232A" w14:paraId="582089B1" w14:textId="77777777">
        <w:trPr>
          <w:trHeight w:val="315"/>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A97A75" w:rsidP="00877F87" w:rsidRDefault="00A97A75" w14:paraId="5D059AC4" w14:textId="77777777">
            <w:pPr>
              <w:keepNext/>
              <w:spacing w:before="60" w:after="60"/>
              <w:rPr>
                <w:rFonts w:cs="Arial"/>
                <w:color w:val="000000"/>
                <w:sz w:val="20"/>
                <w:szCs w:val="20"/>
                <w:lang w:val="en-AU" w:eastAsia="en-AU"/>
              </w:rPr>
            </w:pPr>
            <w:r w:rsidRPr="008D1918">
              <w:rPr>
                <w:rFonts w:cs="Arial"/>
                <w:color w:val="000000" w:themeColor="accent6"/>
                <w:sz w:val="20"/>
                <w:szCs w:val="20"/>
                <w:lang w:val="en-AU" w:eastAsia="en-AU"/>
              </w:rPr>
              <w:t>Number of active providers</w:t>
            </w:r>
          </w:p>
        </w:tc>
        <w:tc>
          <w:tcPr>
            <w:tcW w:w="1985" w:type="dxa"/>
            <w:vAlign w:val="center"/>
            <w:hideMark/>
          </w:tcPr>
          <w:p w:rsidRPr="008D1918" w:rsidR="00A97A75" w:rsidP="00DC3C46" w:rsidRDefault="00A97A75" w14:paraId="3B0F4831" w14:textId="77777777">
            <w:pPr>
              <w:keepNext/>
              <w:spacing w:before="60" w:after="60"/>
              <w:ind w:right="12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3,276</w:t>
            </w:r>
          </w:p>
        </w:tc>
        <w:tc>
          <w:tcPr>
            <w:tcW w:w="1985" w:type="dxa"/>
            <w:vAlign w:val="center"/>
            <w:hideMark/>
          </w:tcPr>
          <w:p w:rsidRPr="008D1918" w:rsidR="00A97A75" w:rsidP="00DC3C46" w:rsidRDefault="00A97A75" w14:paraId="5451445C" w14:textId="77777777">
            <w:pPr>
              <w:keepNext/>
              <w:spacing w:before="60" w:after="60"/>
              <w:ind w:right="12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3,953</w:t>
            </w:r>
          </w:p>
        </w:tc>
        <w:tc>
          <w:tcPr>
            <w:tcW w:w="1418" w:type="dxa"/>
            <w:vAlign w:val="center"/>
            <w:hideMark/>
          </w:tcPr>
          <w:p w:rsidRPr="008D1918" w:rsidR="00A97A75" w:rsidP="00DC3C46" w:rsidRDefault="00A97A75" w14:paraId="4CB85EFA" w14:textId="77777777">
            <w:pPr>
              <w:keepNext/>
              <w:spacing w:before="60" w:after="60"/>
              <w:ind w:right="12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+20.7%</w:t>
            </w:r>
          </w:p>
        </w:tc>
      </w:tr>
      <w:tr w:rsidRPr="008D1918" w:rsidR="00A238C6" w:rsidTr="0085232A" w14:paraId="1E28B797"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A97A75" w:rsidP="00877F87" w:rsidRDefault="00A97A75" w14:paraId="734F2237" w14:textId="77777777">
            <w:pPr>
              <w:keepNext/>
              <w:spacing w:before="60" w:after="60"/>
              <w:rPr>
                <w:rFonts w:cs="Arial"/>
                <w:sz w:val="20"/>
                <w:szCs w:val="20"/>
                <w:lang w:val="en-AU" w:eastAsia="en-AU"/>
              </w:rPr>
            </w:pPr>
            <w:r w:rsidRPr="008D1918">
              <w:rPr>
                <w:rFonts w:cs="Arial"/>
                <w:sz w:val="20"/>
                <w:szCs w:val="20"/>
                <w:lang w:val="en-AU" w:eastAsia="en-AU"/>
              </w:rPr>
              <w:t>Total amount claimed by active providers of SIL-related supports</w:t>
            </w:r>
          </w:p>
        </w:tc>
        <w:tc>
          <w:tcPr>
            <w:tcW w:w="1985" w:type="dxa"/>
            <w:vAlign w:val="center"/>
            <w:hideMark/>
          </w:tcPr>
          <w:p w:rsidRPr="008D1918" w:rsidR="00A97A75" w:rsidP="00DC3C46" w:rsidRDefault="00A97A75" w14:paraId="3DE08CCB" w14:textId="77777777">
            <w:pPr>
              <w:keepNext/>
              <w:spacing w:before="60" w:after="60"/>
              <w:ind w:right="12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$5.1 billion</w:t>
            </w:r>
          </w:p>
        </w:tc>
        <w:tc>
          <w:tcPr>
            <w:tcW w:w="1985" w:type="dxa"/>
            <w:vAlign w:val="center"/>
            <w:hideMark/>
          </w:tcPr>
          <w:p w:rsidRPr="008D1918" w:rsidR="00A97A75" w:rsidP="00DC3C46" w:rsidRDefault="00A97A75" w14:paraId="6A86287A" w14:textId="77777777">
            <w:pPr>
              <w:keepNext/>
              <w:spacing w:before="60" w:after="60"/>
              <w:ind w:right="12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$5.6 billion</w:t>
            </w:r>
          </w:p>
        </w:tc>
        <w:tc>
          <w:tcPr>
            <w:tcW w:w="1418" w:type="dxa"/>
            <w:vAlign w:val="center"/>
            <w:hideMark/>
          </w:tcPr>
          <w:p w:rsidRPr="008D1918" w:rsidR="00A97A75" w:rsidP="00DC3C46" w:rsidRDefault="00A97A75" w14:paraId="37CBBD44" w14:textId="77777777">
            <w:pPr>
              <w:keepNext/>
              <w:spacing w:before="60" w:after="60"/>
              <w:ind w:right="12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+10.4%</w:t>
            </w:r>
          </w:p>
        </w:tc>
      </w:tr>
      <w:tr w:rsidRPr="008D1918" w:rsidR="00A97A75" w:rsidTr="0085232A" w14:paraId="45F61D74" w14:textId="77777777">
        <w:trPr>
          <w:trHeight w:val="624"/>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A97A75" w:rsidP="00877F87" w:rsidRDefault="00A97A75" w14:paraId="1B17E630" w14:textId="77777777">
            <w:pPr>
              <w:keepNext/>
              <w:spacing w:before="60" w:after="60"/>
              <w:rPr>
                <w:rFonts w:cs="Arial"/>
                <w:color w:val="000000"/>
                <w:sz w:val="20"/>
                <w:szCs w:val="20"/>
                <w:lang w:val="en-AU" w:eastAsia="en-AU"/>
              </w:rPr>
            </w:pPr>
            <w:r w:rsidRPr="008D1918">
              <w:rPr>
                <w:rFonts w:cs="Arial"/>
                <w:color w:val="000000" w:themeColor="accent6"/>
                <w:sz w:val="20"/>
                <w:szCs w:val="20"/>
                <w:lang w:val="en-AU" w:eastAsia="en-AU"/>
              </w:rPr>
              <w:t>Average amount claimed by all active providers of SIL-related supports</w:t>
            </w:r>
          </w:p>
        </w:tc>
        <w:tc>
          <w:tcPr>
            <w:tcW w:w="1985" w:type="dxa"/>
            <w:vAlign w:val="center"/>
            <w:hideMark/>
          </w:tcPr>
          <w:p w:rsidRPr="008D1918" w:rsidR="00A97A75" w:rsidP="00DC3C46" w:rsidRDefault="00A97A75" w14:paraId="7EE67A1A" w14:textId="13EF499A">
            <w:pPr>
              <w:keepNext/>
              <w:spacing w:before="60" w:after="60"/>
              <w:ind w:right="12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$1</w:t>
            </w:r>
            <w:r w:rsidRPr="008D1918" w:rsidR="003477A1">
              <w:rPr>
                <w:rFonts w:cs="Arial"/>
                <w:color w:val="000000"/>
                <w:sz w:val="20"/>
                <w:szCs w:val="20"/>
                <w:lang w:val="en-AU"/>
              </w:rPr>
              <w:t>.55 million</w:t>
            </w:r>
          </w:p>
        </w:tc>
        <w:tc>
          <w:tcPr>
            <w:tcW w:w="1985" w:type="dxa"/>
            <w:vAlign w:val="center"/>
            <w:hideMark/>
          </w:tcPr>
          <w:p w:rsidRPr="008D1918" w:rsidR="00A97A75" w:rsidP="00DC3C46" w:rsidRDefault="00A97A75" w14:paraId="6AE74043" w14:textId="1156C782">
            <w:pPr>
              <w:keepNext/>
              <w:spacing w:before="60" w:after="60"/>
              <w:ind w:right="12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$1</w:t>
            </w:r>
            <w:r w:rsidRPr="008D1918" w:rsidR="003477A1">
              <w:rPr>
                <w:rFonts w:cs="Arial"/>
                <w:color w:val="000000"/>
                <w:sz w:val="20"/>
                <w:szCs w:val="20"/>
                <w:lang w:val="en-AU"/>
              </w:rPr>
              <w:t>.</w:t>
            </w:r>
            <w:r w:rsidRPr="008D1918">
              <w:rPr>
                <w:rFonts w:cs="Arial"/>
                <w:color w:val="000000"/>
                <w:sz w:val="20"/>
                <w:szCs w:val="20"/>
                <w:lang w:val="en-AU"/>
              </w:rPr>
              <w:t>42</w:t>
            </w:r>
            <w:r w:rsidRPr="008D1918" w:rsidR="003477A1">
              <w:rPr>
                <w:rFonts w:cs="Arial"/>
                <w:color w:val="000000"/>
                <w:sz w:val="20"/>
                <w:szCs w:val="20"/>
                <w:lang w:val="en-AU"/>
              </w:rPr>
              <w:t xml:space="preserve"> million</w:t>
            </w:r>
          </w:p>
        </w:tc>
        <w:tc>
          <w:tcPr>
            <w:tcW w:w="1418" w:type="dxa"/>
            <w:vAlign w:val="center"/>
            <w:hideMark/>
          </w:tcPr>
          <w:p w:rsidRPr="008D1918" w:rsidR="00A97A75" w:rsidP="00DC3C46" w:rsidRDefault="00A97A75" w14:paraId="44993E41" w14:textId="3718F6FD">
            <w:pPr>
              <w:keepNext/>
              <w:spacing w:before="60" w:after="60"/>
              <w:ind w:right="12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-8.5%</w:t>
            </w:r>
          </w:p>
        </w:tc>
      </w:tr>
    </w:tbl>
    <w:p w:rsidRPr="008D1918" w:rsidR="0085232A" w:rsidP="0085232A" w:rsidRDefault="0085232A" w14:paraId="1860D7DD" w14:textId="65986A7E">
      <w:pPr>
        <w:spacing w:before="120" w:after="3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A97A75" w:rsidP="00435B51" w:rsidRDefault="00435B51" w14:paraId="0DD4BCD1" w14:textId="0D0A9C43">
      <w:pPr>
        <w:pStyle w:val="Caption"/>
        <w:rPr>
          <w:rFonts w:eastAsia="DengXian" w:cs="Cordia New"/>
          <w:color w:val="6B2876" w:themeColor="accent5"/>
        </w:rPr>
      </w:pPr>
      <w:bookmarkStart w:name="_Ref227131449" w:id="681"/>
      <w:r w:rsidRPr="008D1918">
        <w:t xml:space="preserve">Table </w:t>
      </w:r>
      <w:r>
        <w:fldChar w:fldCharType="begin"/>
      </w:r>
      <w:r>
        <w:instrText>SEQ Table \* ARABIC</w:instrText>
      </w:r>
      <w:r>
        <w:fldChar w:fldCharType="separate"/>
      </w:r>
      <w:r w:rsidR="008F56A2">
        <w:rPr>
          <w:noProof/>
        </w:rPr>
        <w:t>6</w:t>
      </w:r>
      <w:r>
        <w:fldChar w:fldCharType="end"/>
      </w:r>
      <w:bookmarkEnd w:id="681"/>
      <w:r w:rsidRPr="008D1918" w:rsidR="00A97A75">
        <w:t xml:space="preserve">: SIL-related supports </w:t>
      </w:r>
      <w:r w:rsidRPr="008D1918" w:rsidR="00725AC0">
        <w:t>Scheme</w:t>
      </w:r>
      <w:r w:rsidRPr="008D1918" w:rsidR="00A97A75">
        <w:t xml:space="preserve"> statistics – unregistered providers</w:t>
      </w:r>
      <w:r w:rsidRPr="008D1918" w:rsidR="000721DC">
        <w:t>,</w:t>
      </w:r>
      <w:r w:rsidRPr="008D1918" w:rsidR="00D43CF9">
        <w:t xml:space="preserve"> July 2024 to December 2025</w:t>
      </w:r>
    </w:p>
    <w:tbl>
      <w:tblPr>
        <w:tblStyle w:val="GridTable4-Accent121"/>
        <w:tblW w:w="0" w:type="auto"/>
        <w:tblInd w:w="5" w:type="dxa"/>
        <w:tblLayout w:type="fixed"/>
        <w:tblLook w:val="04A0" w:firstRow="1" w:lastRow="0" w:firstColumn="1" w:lastColumn="0" w:noHBand="0" w:noVBand="1"/>
      </w:tblPr>
      <w:tblGrid>
        <w:gridCol w:w="3629"/>
        <w:gridCol w:w="1985"/>
        <w:gridCol w:w="1985"/>
        <w:gridCol w:w="1418"/>
      </w:tblGrid>
      <w:tr w:rsidRPr="008D1918" w:rsidR="00A238C6" w:rsidTr="00DC3C46" w14:paraId="360E2893" w14:textId="77777777">
        <w:trPr>
          <w:cnfStyle w:val="100000000000" w:firstRow="1" w:lastRow="0" w:firstColumn="0" w:lastColumn="0" w:oddVBand="0" w:evenVBand="0" w:oddHBand="0" w:evenHBand="0" w:firstRowFirstColumn="0" w:firstRowLastColumn="0" w:lastRowFirstColumn="0" w:lastRowLastColumn="0"/>
          <w:trHeight w:val="645"/>
          <w:tblHeader/>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A97A75" w:rsidP="00DC3C46" w:rsidRDefault="00A97A75" w14:paraId="355C50F4" w14:textId="77777777">
            <w:pPr>
              <w:keepNext/>
              <w:spacing w:before="60" w:after="60"/>
              <w:rPr>
                <w:rFonts w:cs="Arial"/>
                <w:b w:val="0"/>
                <w:sz w:val="20"/>
                <w:szCs w:val="20"/>
                <w:lang w:val="en-AU" w:eastAsia="en-AU"/>
              </w:rPr>
            </w:pPr>
            <w:r w:rsidRPr="008D1918">
              <w:rPr>
                <w:rFonts w:cs="Arial"/>
                <w:color w:val="F9F9F9" w:themeColor="background1"/>
                <w:sz w:val="20"/>
                <w:szCs w:val="20"/>
                <w:lang w:val="en-AU" w:eastAsia="en-AU"/>
              </w:rPr>
              <w:t>Statistics</w:t>
            </w:r>
          </w:p>
        </w:tc>
        <w:tc>
          <w:tcPr>
            <w:tcW w:w="1985" w:type="dxa"/>
            <w:hideMark/>
          </w:tcPr>
          <w:p w:rsidRPr="008D1918" w:rsidR="00A97A75" w:rsidP="00877F87" w:rsidRDefault="00A97A75" w14:paraId="319A6EDE"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July – December 2024</w:t>
            </w:r>
          </w:p>
        </w:tc>
        <w:tc>
          <w:tcPr>
            <w:tcW w:w="1985" w:type="dxa"/>
            <w:hideMark/>
          </w:tcPr>
          <w:p w:rsidRPr="008D1918" w:rsidR="00A97A75" w:rsidP="00877F87" w:rsidRDefault="00A97A75" w14:paraId="0C9C0668"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July – December 2025</w:t>
            </w:r>
          </w:p>
        </w:tc>
        <w:tc>
          <w:tcPr>
            <w:tcW w:w="1418" w:type="dxa"/>
            <w:hideMark/>
          </w:tcPr>
          <w:p w:rsidRPr="008D1918" w:rsidR="00A97A75" w:rsidP="00877F87" w:rsidRDefault="00A97A75" w14:paraId="58AE6965" w14:textId="717BD7B9">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 xml:space="preserve">Percentage </w:t>
            </w:r>
            <w:r w:rsidRPr="008D1918" w:rsidR="005F7545">
              <w:rPr>
                <w:rFonts w:cs="Arial"/>
                <w:color w:val="F9F9F9" w:themeColor="background1"/>
                <w:sz w:val="20"/>
                <w:szCs w:val="20"/>
                <w:lang w:val="en-AU" w:eastAsia="en-AU"/>
              </w:rPr>
              <w:t>c</w:t>
            </w:r>
            <w:r w:rsidRPr="008D1918">
              <w:rPr>
                <w:rFonts w:cs="Arial"/>
                <w:color w:val="F9F9F9" w:themeColor="background1"/>
                <w:sz w:val="20"/>
                <w:szCs w:val="20"/>
                <w:lang w:val="en-AU" w:eastAsia="en-AU"/>
              </w:rPr>
              <w:t>hange</w:t>
            </w:r>
          </w:p>
        </w:tc>
      </w:tr>
      <w:tr w:rsidRPr="008D1918" w:rsidR="00A238C6" w:rsidTr="00CE77BA" w14:paraId="310D711E"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A97A75" w:rsidP="00877F87" w:rsidRDefault="00A97A75" w14:paraId="583763EC" w14:textId="77777777">
            <w:pPr>
              <w:keepNext/>
              <w:spacing w:before="60" w:after="60"/>
              <w:rPr>
                <w:rFonts w:cs="Arial"/>
                <w:sz w:val="20"/>
                <w:szCs w:val="20"/>
                <w:lang w:val="en-AU" w:eastAsia="en-AU"/>
              </w:rPr>
            </w:pPr>
            <w:r w:rsidRPr="008D1918">
              <w:rPr>
                <w:rFonts w:cs="Arial"/>
                <w:sz w:val="20"/>
                <w:szCs w:val="20"/>
                <w:lang w:val="en-AU" w:eastAsia="en-AU"/>
              </w:rPr>
              <w:t>Number of NDIS participants</w:t>
            </w:r>
          </w:p>
        </w:tc>
        <w:tc>
          <w:tcPr>
            <w:tcW w:w="1985" w:type="dxa"/>
            <w:vAlign w:val="center"/>
            <w:hideMark/>
          </w:tcPr>
          <w:p w:rsidRPr="008D1918" w:rsidR="00A97A75" w:rsidP="00DC3C46" w:rsidRDefault="00A97A75" w14:paraId="60012A60" w14:textId="77777777">
            <w:pPr>
              <w:keepNext/>
              <w:spacing w:before="60" w:after="60"/>
              <w:ind w:right="12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3,440</w:t>
            </w:r>
          </w:p>
        </w:tc>
        <w:tc>
          <w:tcPr>
            <w:tcW w:w="1985" w:type="dxa"/>
            <w:vAlign w:val="center"/>
            <w:hideMark/>
          </w:tcPr>
          <w:p w:rsidRPr="008D1918" w:rsidR="00A97A75" w:rsidP="00DC3C46" w:rsidRDefault="00A97A75" w14:paraId="27C39651" w14:textId="77777777">
            <w:pPr>
              <w:keepNext/>
              <w:spacing w:before="60" w:after="60"/>
              <w:ind w:right="12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3,014</w:t>
            </w:r>
          </w:p>
        </w:tc>
        <w:tc>
          <w:tcPr>
            <w:tcW w:w="1418" w:type="dxa"/>
            <w:vAlign w:val="center"/>
            <w:hideMark/>
          </w:tcPr>
          <w:p w:rsidRPr="008D1918" w:rsidR="00A97A75" w:rsidP="00DC3C46" w:rsidRDefault="00A97A75" w14:paraId="156A7B6B" w14:textId="77777777">
            <w:pPr>
              <w:keepNext/>
              <w:spacing w:before="60" w:after="60"/>
              <w:ind w:right="12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-12.4%</w:t>
            </w:r>
          </w:p>
        </w:tc>
      </w:tr>
      <w:tr w:rsidRPr="008D1918" w:rsidR="00A97A75" w:rsidTr="00CE77BA" w14:paraId="546AA620" w14:textId="77777777">
        <w:trPr>
          <w:trHeight w:val="315"/>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A97A75" w:rsidP="00877F87" w:rsidRDefault="00A97A75" w14:paraId="6BB95D0B" w14:textId="77777777">
            <w:pPr>
              <w:keepNext/>
              <w:spacing w:before="60" w:after="60"/>
              <w:rPr>
                <w:rFonts w:cs="Arial"/>
                <w:color w:val="000000"/>
                <w:sz w:val="20"/>
                <w:szCs w:val="20"/>
                <w:lang w:val="en-AU" w:eastAsia="en-AU"/>
              </w:rPr>
            </w:pPr>
            <w:r w:rsidRPr="008D1918">
              <w:rPr>
                <w:rFonts w:cs="Arial"/>
                <w:color w:val="000000" w:themeColor="accent6"/>
                <w:sz w:val="20"/>
                <w:szCs w:val="20"/>
                <w:lang w:val="en-AU" w:eastAsia="en-AU"/>
              </w:rPr>
              <w:t>Number of active providers</w:t>
            </w:r>
          </w:p>
        </w:tc>
        <w:tc>
          <w:tcPr>
            <w:tcW w:w="1985" w:type="dxa"/>
            <w:vAlign w:val="center"/>
            <w:hideMark/>
          </w:tcPr>
          <w:p w:rsidRPr="008D1918" w:rsidR="00A97A75" w:rsidP="00DC3C46" w:rsidRDefault="00A97A75" w14:paraId="41336456" w14:textId="77777777">
            <w:pPr>
              <w:keepNext/>
              <w:spacing w:before="60" w:after="60"/>
              <w:ind w:right="12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4,569</w:t>
            </w:r>
          </w:p>
        </w:tc>
        <w:tc>
          <w:tcPr>
            <w:tcW w:w="1985" w:type="dxa"/>
            <w:vAlign w:val="center"/>
            <w:hideMark/>
          </w:tcPr>
          <w:p w:rsidRPr="008D1918" w:rsidR="00A97A75" w:rsidP="00DC3C46" w:rsidRDefault="00A97A75" w14:paraId="6B9CFC19" w14:textId="77777777">
            <w:pPr>
              <w:keepNext/>
              <w:spacing w:before="60" w:after="60"/>
              <w:ind w:right="12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4,541</w:t>
            </w:r>
          </w:p>
        </w:tc>
        <w:tc>
          <w:tcPr>
            <w:tcW w:w="1418" w:type="dxa"/>
            <w:vAlign w:val="center"/>
            <w:hideMark/>
          </w:tcPr>
          <w:p w:rsidRPr="008D1918" w:rsidR="00A97A75" w:rsidP="00DC3C46" w:rsidRDefault="00A97A75" w14:paraId="00804884" w14:textId="77777777">
            <w:pPr>
              <w:keepNext/>
              <w:spacing w:before="60" w:after="60"/>
              <w:ind w:right="12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-0.6%</w:t>
            </w:r>
          </w:p>
        </w:tc>
      </w:tr>
      <w:tr w:rsidRPr="008D1918" w:rsidR="00A238C6" w:rsidTr="00CE77BA" w14:paraId="7DDE415D"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A97A75" w:rsidP="00877F87" w:rsidRDefault="00A97A75" w14:paraId="1A73FFFB" w14:textId="77777777">
            <w:pPr>
              <w:keepNext/>
              <w:spacing w:before="60" w:after="60"/>
              <w:rPr>
                <w:rFonts w:cs="Arial"/>
                <w:sz w:val="20"/>
                <w:szCs w:val="20"/>
                <w:lang w:val="en-AU" w:eastAsia="en-AU"/>
              </w:rPr>
            </w:pPr>
            <w:r w:rsidRPr="008D1918">
              <w:rPr>
                <w:rFonts w:cs="Arial"/>
                <w:sz w:val="20"/>
                <w:szCs w:val="20"/>
                <w:lang w:val="en-AU" w:eastAsia="en-AU"/>
              </w:rPr>
              <w:t>Total amount claimed by active providers of SIL-related supports</w:t>
            </w:r>
          </w:p>
        </w:tc>
        <w:tc>
          <w:tcPr>
            <w:tcW w:w="1985" w:type="dxa"/>
            <w:vAlign w:val="center"/>
            <w:hideMark/>
          </w:tcPr>
          <w:p w:rsidRPr="008D1918" w:rsidR="00A97A75" w:rsidP="00DC3C46" w:rsidRDefault="00A97A75" w14:paraId="6F3003C4" w14:textId="77777777">
            <w:pPr>
              <w:keepNext/>
              <w:spacing w:before="60" w:after="60"/>
              <w:ind w:right="12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$237.1 million</w:t>
            </w:r>
          </w:p>
        </w:tc>
        <w:tc>
          <w:tcPr>
            <w:tcW w:w="1985" w:type="dxa"/>
            <w:vAlign w:val="center"/>
            <w:hideMark/>
          </w:tcPr>
          <w:p w:rsidRPr="008D1918" w:rsidR="00A97A75" w:rsidP="00DC3C46" w:rsidRDefault="00A97A75" w14:paraId="200D7043" w14:textId="77777777">
            <w:pPr>
              <w:keepNext/>
              <w:spacing w:before="60" w:after="60"/>
              <w:ind w:right="12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$257.9 million</w:t>
            </w:r>
          </w:p>
        </w:tc>
        <w:tc>
          <w:tcPr>
            <w:tcW w:w="1418" w:type="dxa"/>
            <w:vAlign w:val="center"/>
            <w:hideMark/>
          </w:tcPr>
          <w:p w:rsidRPr="008D1918" w:rsidR="00A97A75" w:rsidP="00DC3C46" w:rsidRDefault="00A97A75" w14:paraId="3E989022" w14:textId="77777777">
            <w:pPr>
              <w:keepNext/>
              <w:spacing w:before="60" w:after="60"/>
              <w:ind w:right="129"/>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+8.8%</w:t>
            </w:r>
          </w:p>
        </w:tc>
      </w:tr>
      <w:tr w:rsidRPr="008D1918" w:rsidR="00A97A75" w:rsidTr="00CE77BA" w14:paraId="71F0A899" w14:textId="77777777">
        <w:trPr>
          <w:trHeight w:val="624"/>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A97A75" w:rsidP="00877F87" w:rsidRDefault="00A97A75" w14:paraId="527E84E5" w14:textId="77777777">
            <w:pPr>
              <w:keepNext/>
              <w:spacing w:before="60" w:after="60"/>
              <w:rPr>
                <w:rFonts w:cs="Arial"/>
                <w:color w:val="000000"/>
                <w:sz w:val="20"/>
                <w:szCs w:val="20"/>
                <w:lang w:val="en-AU" w:eastAsia="en-AU"/>
              </w:rPr>
            </w:pPr>
            <w:r w:rsidRPr="008D1918">
              <w:rPr>
                <w:rFonts w:cs="Arial"/>
                <w:color w:val="000000" w:themeColor="accent6"/>
                <w:sz w:val="20"/>
                <w:szCs w:val="20"/>
                <w:lang w:val="en-AU" w:eastAsia="en-AU"/>
              </w:rPr>
              <w:t>Average amount claimed by all active providers of SIL-related supports</w:t>
            </w:r>
          </w:p>
        </w:tc>
        <w:tc>
          <w:tcPr>
            <w:tcW w:w="1985" w:type="dxa"/>
            <w:vAlign w:val="center"/>
            <w:hideMark/>
          </w:tcPr>
          <w:p w:rsidRPr="008D1918" w:rsidR="00A97A75" w:rsidP="00DC3C46" w:rsidRDefault="00A97A75" w14:paraId="5ABD259F" w14:textId="77777777">
            <w:pPr>
              <w:keepNext/>
              <w:spacing w:before="60" w:after="60"/>
              <w:ind w:right="12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$51,900</w:t>
            </w:r>
          </w:p>
        </w:tc>
        <w:tc>
          <w:tcPr>
            <w:tcW w:w="1985" w:type="dxa"/>
            <w:vAlign w:val="center"/>
            <w:hideMark/>
          </w:tcPr>
          <w:p w:rsidRPr="008D1918" w:rsidR="00A97A75" w:rsidP="00DC3C46" w:rsidRDefault="00A97A75" w14:paraId="25593C33" w14:textId="77777777">
            <w:pPr>
              <w:keepNext/>
              <w:spacing w:before="60" w:after="60"/>
              <w:ind w:right="12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$56,800</w:t>
            </w:r>
          </w:p>
        </w:tc>
        <w:tc>
          <w:tcPr>
            <w:tcW w:w="1418" w:type="dxa"/>
            <w:vAlign w:val="center"/>
            <w:hideMark/>
          </w:tcPr>
          <w:p w:rsidRPr="008D1918" w:rsidR="00A97A75" w:rsidP="00DC3C46" w:rsidRDefault="00A97A75" w14:paraId="6B673888" w14:textId="77777777">
            <w:pPr>
              <w:keepNext/>
              <w:spacing w:before="60" w:after="60"/>
              <w:ind w:right="129"/>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+9.4%</w:t>
            </w:r>
          </w:p>
        </w:tc>
      </w:tr>
    </w:tbl>
    <w:p w:rsidRPr="008D1918" w:rsidR="002204D3" w:rsidP="002204D3" w:rsidRDefault="002204D3" w14:paraId="08D8C3EA" w14:textId="1F281D3C">
      <w:pPr>
        <w:spacing w:before="120" w:after="360" w:line="240" w:lineRule="atLeast"/>
        <w:rPr>
          <w:rFonts w:cs="Calibri"/>
          <w:b/>
          <w:sz w:val="20"/>
          <w:szCs w:val="18"/>
          <w:lang w:val="en-AU" w:eastAsia="en-AU"/>
        </w:rPr>
      </w:pPr>
      <w:r w:rsidRPr="008D1918">
        <w:rPr>
          <w:rFonts w:cs="Calibri"/>
          <w:b/>
          <w:sz w:val="20"/>
          <w:szCs w:val="18"/>
          <w:lang w:val="en-AU" w:eastAsia="en-AU"/>
        </w:rPr>
        <w:t xml:space="preserve">Source: </w:t>
      </w:r>
      <w:r w:rsidRPr="008D1918" w:rsidR="0085232A">
        <w:rPr>
          <w:rFonts w:cs="Calibri"/>
          <w:b/>
          <w:sz w:val="20"/>
          <w:szCs w:val="18"/>
          <w:lang w:val="en-AU" w:eastAsia="en-AU"/>
        </w:rPr>
        <w:t>NDIS internal administrative data</w:t>
      </w:r>
    </w:p>
    <w:p w:rsidRPr="008D1918" w:rsidR="00D727FD" w:rsidP="00245B10" w:rsidRDefault="00D727FD" w14:paraId="454AEC07" w14:textId="58878E44">
      <w:pPr>
        <w:pStyle w:val="H5"/>
      </w:pPr>
      <w:r w:rsidRPr="008D1918">
        <w:t>Mandatory registration for SIL providers</w:t>
      </w:r>
    </w:p>
    <w:p w:rsidRPr="008D1918" w:rsidR="009E63BC" w:rsidP="009E63BC" w:rsidRDefault="00592C42" w14:paraId="5B0D0C06" w14:textId="59505E2F">
      <w:pPr>
        <w:rPr>
          <w:lang w:val="en-AU" w:eastAsia="en-AU"/>
        </w:rPr>
      </w:pPr>
      <w:r w:rsidRPr="008D1918">
        <w:rPr>
          <w:lang w:val="en-AU" w:eastAsia="en-AU"/>
        </w:rPr>
        <w:t xml:space="preserve">From 1 July 2026 the </w:t>
      </w:r>
      <w:r w:rsidRPr="008D1918" w:rsidR="0080289F">
        <w:rPr>
          <w:lang w:val="en-AU" w:eastAsia="en-AU"/>
        </w:rPr>
        <w:t xml:space="preserve">NDIS </w:t>
      </w:r>
      <w:r w:rsidRPr="008D1918">
        <w:rPr>
          <w:lang w:val="en-AU" w:eastAsia="en-AU"/>
        </w:rPr>
        <w:t xml:space="preserve">Commission </w:t>
      </w:r>
      <w:r w:rsidRPr="008D1918" w:rsidR="0080289F">
        <w:rPr>
          <w:lang w:val="en-AU" w:eastAsia="en-AU"/>
        </w:rPr>
        <w:t xml:space="preserve">will implement mandatory registration for all SIL providers. This regulatory shift </w:t>
      </w:r>
      <w:r w:rsidRPr="008D1918" w:rsidR="00CD5FBE">
        <w:rPr>
          <w:lang w:val="en-AU" w:eastAsia="en-AU"/>
        </w:rPr>
        <w:t>signifies that SIL, previously accessible through a mix of registered and unregistered entities, will be reclassifie</w:t>
      </w:r>
      <w:r w:rsidRPr="008D1918" w:rsidR="002431BB">
        <w:rPr>
          <w:lang w:val="en-AU" w:eastAsia="en-AU"/>
        </w:rPr>
        <w:t>d</w:t>
      </w:r>
      <w:r w:rsidRPr="008D1918" w:rsidR="00CD5FBE">
        <w:rPr>
          <w:lang w:val="en-AU" w:eastAsia="en-AU"/>
        </w:rPr>
        <w:t xml:space="preserve"> as a high-risk support. For providers, this means continuing to deliver SIL services after the deadline will be strictly contingent upon achieving formal registration. </w:t>
      </w:r>
      <w:r w:rsidRPr="008D1918" w:rsidR="001C1D90">
        <w:rPr>
          <w:lang w:val="en-AU" w:eastAsia="en-AU"/>
        </w:rPr>
        <w:t xml:space="preserve">This represents a fundamental shift from elective compliance to a fixed, non-negotiable operational cost, placing pressure on administrative overheads and service delivery models. </w:t>
      </w:r>
    </w:p>
    <w:p w:rsidRPr="008D1918" w:rsidR="00CE34E8" w:rsidP="001D163B" w:rsidRDefault="003522D0" w14:paraId="550AFFE4" w14:textId="2695B57F">
      <w:pPr>
        <w:rPr>
          <w:lang w:val="en-AU" w:eastAsia="en-AU"/>
        </w:rPr>
      </w:pPr>
      <w:r w:rsidRPr="008D1918">
        <w:rPr>
          <w:lang w:val="en-AU" w:eastAsia="en-AU"/>
        </w:rPr>
        <w:t>The analysis applied to recommended pricing for</w:t>
      </w:r>
      <w:r w:rsidRPr="008D1918" w:rsidR="00DC1C59">
        <w:rPr>
          <w:lang w:val="en-AU" w:eastAsia="en-AU"/>
        </w:rPr>
        <w:t xml:space="preserve"> SIL supports in this chapter reflects the current market distribution between registered and unregistered SIL providers; however, it is important to note this profile will shift significantly in future reviews as the sector transitions toward a fully registered environment from July 2026. </w:t>
      </w:r>
    </w:p>
    <w:p w:rsidRPr="008D1918" w:rsidR="00A97A75" w:rsidP="00041468" w:rsidRDefault="00A97A75" w14:paraId="43D28F41" w14:textId="77777777">
      <w:pPr>
        <w:pStyle w:val="StyleStyle112pt"/>
      </w:pPr>
      <w:bookmarkStart w:name="_Toc223428403" w:id="682"/>
      <w:bookmarkStart w:name="_Toc223445862" w:id="683"/>
      <w:bookmarkStart w:name="_Toc223539661" w:id="684"/>
      <w:bookmarkStart w:name="_Toc223539878" w:id="685"/>
      <w:bookmarkStart w:name="_Toc223540346" w:id="686"/>
      <w:bookmarkStart w:name="_Toc223540562" w:id="687"/>
      <w:bookmarkStart w:name="_Toc223542098" w:id="688"/>
      <w:bookmarkStart w:name="_Toc223604284" w:id="689"/>
      <w:bookmarkStart w:name="_Toc223604495" w:id="690"/>
      <w:bookmarkStart w:name="_Toc223604706" w:id="691"/>
      <w:bookmarkStart w:name="_Toc223618577" w:id="692"/>
      <w:bookmarkStart w:name="_Toc223702814" w:id="693"/>
      <w:bookmarkStart w:name="_Toc227318711" w:id="694"/>
      <w:bookmarkStart w:name="_Toc227337079" w:id="695"/>
      <w:r w:rsidRPr="008D1918">
        <w:t>Participants</w:t>
      </w:r>
      <w:bookmarkEnd w:id="675"/>
      <w:bookmarkEnd w:id="676"/>
      <w:bookmarkEnd w:id="677"/>
      <w:bookmarkEnd w:id="678"/>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rsidRPr="008D1918" w:rsidR="00A97A75" w:rsidRDefault="00A97A75" w14:paraId="7FCE7D7C" w14:textId="67157541">
      <w:pPr>
        <w:rPr>
          <w:lang w:val="en-AU"/>
        </w:rPr>
      </w:pPr>
      <w:r w:rsidRPr="008D1918">
        <w:rPr>
          <w:lang w:val="en-AU"/>
        </w:rPr>
        <w:t xml:space="preserve">The top </w:t>
      </w:r>
      <w:r w:rsidRPr="008D1918" w:rsidR="009A61E0">
        <w:rPr>
          <w:lang w:val="en-AU"/>
        </w:rPr>
        <w:t xml:space="preserve">10 </w:t>
      </w:r>
      <w:r w:rsidRPr="008D1918">
        <w:rPr>
          <w:lang w:val="en-AU"/>
        </w:rPr>
        <w:t xml:space="preserve">DSW-related support items with the highest total payments in the </w:t>
      </w:r>
      <w:r w:rsidR="0034702B">
        <w:rPr>
          <w:lang w:val="en-AU"/>
        </w:rPr>
        <w:br/>
      </w:r>
      <w:r w:rsidRPr="008D1918" w:rsidR="000636AA">
        <w:rPr>
          <w:lang w:val="en-AU"/>
        </w:rPr>
        <w:t xml:space="preserve">6 </w:t>
      </w:r>
      <w:r w:rsidRPr="008D1918">
        <w:rPr>
          <w:lang w:val="en-AU"/>
        </w:rPr>
        <w:t xml:space="preserve">months to December 2025 are shown in </w:t>
      </w:r>
      <w:r w:rsidRPr="008D1918" w:rsidR="00DD632A">
        <w:rPr>
          <w:lang w:val="en-AU"/>
        </w:rPr>
        <w:fldChar w:fldCharType="begin"/>
      </w:r>
      <w:r w:rsidRPr="008D1918" w:rsidR="00DD632A">
        <w:rPr>
          <w:lang w:val="en-AU"/>
        </w:rPr>
        <w:instrText xml:space="preserve"> REF _Ref223685821 \h </w:instrText>
      </w:r>
      <w:r w:rsidRPr="008D1918" w:rsidR="00762DF8">
        <w:rPr>
          <w:lang w:val="en-AU"/>
        </w:rPr>
        <w:instrText xml:space="preserve"> \* MERGEFORMAT </w:instrText>
      </w:r>
      <w:r w:rsidRPr="008D1918" w:rsidR="00DD632A">
        <w:rPr>
          <w:lang w:val="en-AU"/>
        </w:rPr>
      </w:r>
      <w:r w:rsidRPr="008D1918" w:rsidR="00DD632A">
        <w:rPr>
          <w:lang w:val="en-AU"/>
        </w:rPr>
        <w:fldChar w:fldCharType="separate"/>
      </w:r>
      <w:r w:rsidRPr="008F56A2" w:rsidR="008F56A2">
        <w:rPr>
          <w:lang w:val="en-AU"/>
        </w:rPr>
        <w:t>Table</w:t>
      </w:r>
      <w:r w:rsidRPr="008D1918" w:rsidR="008F56A2">
        <w:t xml:space="preserve"> </w:t>
      </w:r>
      <w:r w:rsidR="008F56A2">
        <w:rPr>
          <w:noProof/>
        </w:rPr>
        <w:t>7</w:t>
      </w:r>
      <w:r w:rsidRPr="008D1918" w:rsidR="00DD632A">
        <w:rPr>
          <w:lang w:val="en-AU"/>
        </w:rPr>
        <w:fldChar w:fldCharType="end"/>
      </w:r>
      <w:r w:rsidRPr="008D1918">
        <w:rPr>
          <w:lang w:val="en-AU"/>
        </w:rPr>
        <w:t xml:space="preserve">. Assistance in Supported Independent Living </w:t>
      </w:r>
      <w:r w:rsidRPr="008D1918" w:rsidR="000636AA">
        <w:rPr>
          <w:lang w:val="en-AU"/>
        </w:rPr>
        <w:t>–</w:t>
      </w:r>
      <w:r w:rsidRPr="008D1918">
        <w:rPr>
          <w:lang w:val="en-AU"/>
        </w:rPr>
        <w:t xml:space="preserve"> Standard is the largest support category based on total payments, accounting for $5.4 billion. While this support has the highest expenditure, other standard supports continue to increase </w:t>
      </w:r>
      <w:r w:rsidRPr="008D1918" w:rsidR="00DE3BAF">
        <w:rPr>
          <w:lang w:val="en-AU"/>
        </w:rPr>
        <w:t>in</w:t>
      </w:r>
      <w:r w:rsidRPr="008D1918">
        <w:rPr>
          <w:lang w:val="en-AU"/>
        </w:rPr>
        <w:t xml:space="preserve"> volume. The Assistance with Self-Care Activities </w:t>
      </w:r>
      <w:r w:rsidRPr="008D1918" w:rsidR="0093384A">
        <w:rPr>
          <w:lang w:val="en-AU"/>
        </w:rPr>
        <w:t>–</w:t>
      </w:r>
      <w:r w:rsidRPr="008D1918">
        <w:rPr>
          <w:lang w:val="en-AU"/>
        </w:rPr>
        <w:t xml:space="preserve"> Standard ($4.4 billion) and Community, Social and Recreational Activities </w:t>
      </w:r>
      <w:r w:rsidRPr="008D1918" w:rsidR="0093384A">
        <w:rPr>
          <w:lang w:val="en-AU"/>
        </w:rPr>
        <w:t>–</w:t>
      </w:r>
      <w:r w:rsidRPr="008D1918">
        <w:rPr>
          <w:lang w:val="en-AU"/>
        </w:rPr>
        <w:t xml:space="preserve"> Standard ($4.2 billion) support categories had the highest participant volumes and were delivered by 93,467 and 96,593 providers respectively.</w:t>
      </w:r>
    </w:p>
    <w:p w:rsidRPr="008D1918" w:rsidR="00A97A75" w:rsidRDefault="00A97A75" w14:paraId="2FB10C30" w14:textId="5BFA55EC">
      <w:pPr>
        <w:rPr>
          <w:lang w:val="en-AU"/>
        </w:rPr>
      </w:pPr>
      <w:r w:rsidRPr="008D1918">
        <w:rPr>
          <w:lang w:val="en-AU"/>
        </w:rPr>
        <w:t xml:space="preserve">By contrast, high-intensity supports such as </w:t>
      </w:r>
      <w:r w:rsidRPr="008D1918" w:rsidR="00473295">
        <w:rPr>
          <w:lang w:val="en-AU"/>
        </w:rPr>
        <w:t>Supported Independent Living –</w:t>
      </w:r>
      <w:r w:rsidRPr="008D1918">
        <w:rPr>
          <w:lang w:val="en-AU"/>
        </w:rPr>
        <w:t xml:space="preserve"> High Intensity ($404 million) and Assistance with Self-Care Activities </w:t>
      </w:r>
      <w:r w:rsidRPr="008D1918" w:rsidR="0093384A">
        <w:rPr>
          <w:lang w:val="en-AU"/>
        </w:rPr>
        <w:t>–</w:t>
      </w:r>
      <w:r w:rsidRPr="008D1918">
        <w:rPr>
          <w:lang w:val="en-AU"/>
        </w:rPr>
        <w:t xml:space="preserve"> High Intensity ($477 million) were accessed by fewer participants and delivered by a small cohort of </w:t>
      </w:r>
      <w:r w:rsidRPr="008D1918" w:rsidR="00B85560">
        <w:rPr>
          <w:lang w:val="en-AU"/>
        </w:rPr>
        <w:t xml:space="preserve">providers, </w:t>
      </w:r>
      <w:r w:rsidRPr="008D1918">
        <w:rPr>
          <w:lang w:val="en-AU"/>
        </w:rPr>
        <w:t>1,435 and 5,640 respectively (</w:t>
      </w:r>
      <w:r w:rsidRPr="008D1918" w:rsidR="00DD632A">
        <w:rPr>
          <w:lang w:val="en-AU"/>
        </w:rPr>
        <w:fldChar w:fldCharType="begin"/>
      </w:r>
      <w:r w:rsidRPr="008D1918" w:rsidR="00DD632A">
        <w:rPr>
          <w:lang w:val="en-AU"/>
        </w:rPr>
        <w:instrText xml:space="preserve"> REF _Ref223685821 \h </w:instrText>
      </w:r>
      <w:r w:rsidRPr="008D1918" w:rsidR="00762DF8">
        <w:rPr>
          <w:lang w:val="en-AU"/>
        </w:rPr>
        <w:instrText xml:space="preserve"> \* MERGEFORMAT </w:instrText>
      </w:r>
      <w:r w:rsidRPr="008D1918" w:rsidR="00DD632A">
        <w:rPr>
          <w:lang w:val="en-AU"/>
        </w:rPr>
      </w:r>
      <w:r w:rsidRPr="008D1918" w:rsidR="00DD632A">
        <w:rPr>
          <w:lang w:val="en-AU"/>
        </w:rPr>
        <w:fldChar w:fldCharType="separate"/>
      </w:r>
      <w:r w:rsidRPr="008F56A2" w:rsidR="008F56A2">
        <w:rPr>
          <w:lang w:val="en-AU"/>
        </w:rPr>
        <w:t>Table</w:t>
      </w:r>
      <w:r w:rsidRPr="008D1918" w:rsidR="008F56A2">
        <w:t xml:space="preserve"> </w:t>
      </w:r>
      <w:r w:rsidR="008F56A2">
        <w:rPr>
          <w:noProof/>
        </w:rPr>
        <w:t>7</w:t>
      </w:r>
      <w:r w:rsidRPr="008D1918" w:rsidR="00DD632A">
        <w:rPr>
          <w:lang w:val="en-AU"/>
        </w:rPr>
        <w:fldChar w:fldCharType="end"/>
      </w:r>
      <w:r w:rsidRPr="008D1918">
        <w:rPr>
          <w:lang w:val="en-AU"/>
        </w:rPr>
        <w:t>).</w:t>
      </w:r>
    </w:p>
    <w:p w:rsidRPr="008D1918" w:rsidR="00BF40F4" w:rsidRDefault="00A97A75" w14:paraId="362D56F1" w14:textId="39EF9839">
      <w:pPr>
        <w:rPr>
          <w:lang w:val="en-AU"/>
        </w:rPr>
      </w:pPr>
      <w:r w:rsidRPr="008D1918">
        <w:rPr>
          <w:lang w:val="en-AU"/>
        </w:rPr>
        <w:t xml:space="preserve">The distribution of support types across provider categories reflects the structural features of the market. Higher intensity supports, which carry greater regulatory, workforce and governance requirements, are predominantly delivered by registered organisations. Standard supports are more </w:t>
      </w:r>
      <w:r w:rsidRPr="008D1918" w:rsidR="002B02B0">
        <w:rPr>
          <w:lang w:val="en-AU"/>
        </w:rPr>
        <w:t xml:space="preserve">consistently delivered </w:t>
      </w:r>
      <w:r w:rsidRPr="008D1918">
        <w:rPr>
          <w:lang w:val="en-AU"/>
        </w:rPr>
        <w:t>across registered and unregistered providers, including through sole traders and small-scale delivery models.</w:t>
      </w:r>
    </w:p>
    <w:p w:rsidRPr="008D1918" w:rsidR="00BF40F4" w:rsidRDefault="00BF40F4" w14:paraId="37AF8ACA" w14:textId="77777777">
      <w:pPr>
        <w:spacing w:after="0" w:line="240" w:lineRule="auto"/>
        <w:rPr>
          <w:lang w:val="en-AU"/>
        </w:rPr>
      </w:pPr>
      <w:r w:rsidRPr="008D1918">
        <w:rPr>
          <w:lang w:val="en-AU"/>
        </w:rPr>
        <w:br w:type="page"/>
      </w:r>
    </w:p>
    <w:p w:rsidRPr="008D1918" w:rsidR="00A97A75" w:rsidP="00DD632A" w:rsidRDefault="00DD632A" w14:paraId="046D3CA9" w14:textId="37F5974C">
      <w:pPr>
        <w:pStyle w:val="Caption"/>
        <w:rPr>
          <w:rFonts w:eastAsia="DengXian" w:cs="Cordia New"/>
          <w:i w:val="0"/>
          <w:iCs w:val="0"/>
          <w:color w:val="6B2876"/>
        </w:rPr>
      </w:pPr>
      <w:bookmarkStart w:name="_Ref223685821" w:id="696"/>
      <w:bookmarkStart w:name="_Ref195556238" w:id="697"/>
      <w:r w:rsidRPr="008D1918">
        <w:t xml:space="preserve">Table </w:t>
      </w:r>
      <w:r>
        <w:fldChar w:fldCharType="begin"/>
      </w:r>
      <w:r>
        <w:instrText>SEQ Table \* ARABIC</w:instrText>
      </w:r>
      <w:r>
        <w:fldChar w:fldCharType="separate"/>
      </w:r>
      <w:r w:rsidR="008F56A2">
        <w:rPr>
          <w:noProof/>
        </w:rPr>
        <w:t>7</w:t>
      </w:r>
      <w:r>
        <w:fldChar w:fldCharType="end"/>
      </w:r>
      <w:bookmarkEnd w:id="696"/>
      <w:r w:rsidRPr="008D1918" w:rsidR="00A97A75">
        <w:t>: Top 10 largest DSW-related supports (based on payments), July to December 2025</w:t>
      </w:r>
    </w:p>
    <w:tbl>
      <w:tblPr>
        <w:tblStyle w:val="GridTable4-Accent121"/>
        <w:tblW w:w="0" w:type="auto"/>
        <w:tblInd w:w="3" w:type="dxa"/>
        <w:tblLayout w:type="fixed"/>
        <w:tblLook w:val="04A0" w:firstRow="1" w:lastRow="0" w:firstColumn="1" w:lastColumn="0" w:noHBand="0" w:noVBand="1"/>
        <w:tblCaption w:val="TABLE 3: NUMBER OF ACTIVE REGISTERED PROVIDERS BY CATEGORY FROM WHICH THEY PURCHASED DSW SUPPORTS, 31 DECEMBER 2022"/>
        <w:tblDescription w:val="Between July to December 2021 and July to December 2022, all categories increased except one. The categories that experienced the largest supply growth were High Intensity Daily Personal Activities (21%), Assistance with Daily Life Tasks in a Group or Shared Living Arrangement (21%) and Participation in Community, Social and Civic Activities (17%). This demonstrates strong growth in most of the relevant registration groups with DSW-related supports.   "/>
      </w:tblPr>
      <w:tblGrid>
        <w:gridCol w:w="3969"/>
        <w:gridCol w:w="1701"/>
        <w:gridCol w:w="1531"/>
        <w:gridCol w:w="1531"/>
      </w:tblGrid>
      <w:tr w:rsidRPr="008D1918" w:rsidR="00A238C6" w:rsidTr="00902305" w14:paraId="22F0174B" w14:textId="77777777">
        <w:trPr>
          <w:cnfStyle w:val="100000000000" w:firstRow="1" w:lastRow="0" w:firstColumn="0" w:lastColumn="0" w:oddVBand="0" w:evenVBand="0" w:oddHBand="0" w:evenHBand="0" w:firstRowFirstColumn="0" w:firstRowLastColumn="0" w:lastRowFirstColumn="0" w:lastRowLastColumn="0"/>
          <w:trHeight w:val="627"/>
          <w:tblHead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A97A75" w:rsidP="00902305" w:rsidRDefault="00A97A75" w14:paraId="6DBCE274" w14:textId="0412825F">
            <w:pPr>
              <w:spacing w:before="60" w:after="60"/>
              <w:rPr>
                <w:rFonts w:cs="Arial"/>
                <w:sz w:val="20"/>
                <w:szCs w:val="20"/>
                <w:lang w:val="en-AU"/>
              </w:rPr>
            </w:pPr>
            <w:r w:rsidRPr="008D1918">
              <w:rPr>
                <w:rFonts w:cs="Arial"/>
                <w:sz w:val="20"/>
                <w:szCs w:val="20"/>
                <w:lang w:val="en-AU"/>
              </w:rPr>
              <w:t xml:space="preserve">Support </w:t>
            </w:r>
            <w:r w:rsidRPr="008D1918" w:rsidR="00DB6DAB">
              <w:rPr>
                <w:rFonts w:cs="Arial"/>
                <w:sz w:val="20"/>
                <w:szCs w:val="20"/>
                <w:lang w:val="en-AU"/>
              </w:rPr>
              <w:t>d</w:t>
            </w:r>
            <w:r w:rsidRPr="008D1918">
              <w:rPr>
                <w:rFonts w:cs="Arial"/>
                <w:sz w:val="20"/>
                <w:szCs w:val="20"/>
                <w:lang w:val="en-AU"/>
              </w:rPr>
              <w:t>elivered</w:t>
            </w:r>
          </w:p>
        </w:tc>
        <w:tc>
          <w:tcPr>
            <w:tcW w:w="1701" w:type="dxa"/>
            <w:vAlign w:val="center"/>
            <w:hideMark/>
          </w:tcPr>
          <w:p w:rsidRPr="008D1918" w:rsidR="00A97A75" w:rsidP="00902305" w:rsidRDefault="00A97A75" w14:paraId="02486BCA" w14:textId="639CE886">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 xml:space="preserve">Total </w:t>
            </w:r>
            <w:r w:rsidRPr="008D1918" w:rsidR="00DB6DAB">
              <w:rPr>
                <w:rFonts w:cs="Arial"/>
                <w:sz w:val="20"/>
                <w:szCs w:val="20"/>
                <w:lang w:val="en-AU"/>
              </w:rPr>
              <w:t>p</w:t>
            </w:r>
            <w:r w:rsidRPr="008D1918">
              <w:rPr>
                <w:rFonts w:cs="Arial"/>
                <w:sz w:val="20"/>
                <w:szCs w:val="20"/>
                <w:lang w:val="en-AU"/>
              </w:rPr>
              <w:t>ayments (million)</w:t>
            </w:r>
          </w:p>
        </w:tc>
        <w:tc>
          <w:tcPr>
            <w:tcW w:w="1531" w:type="dxa"/>
            <w:vAlign w:val="center"/>
          </w:tcPr>
          <w:p w:rsidRPr="008D1918" w:rsidR="00A97A75" w:rsidP="00902305" w:rsidRDefault="00A97A75" w14:paraId="2F5BCA5F" w14:textId="4098BDF7">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 xml:space="preserve">Number of </w:t>
            </w:r>
            <w:r w:rsidRPr="008D1918" w:rsidR="00DB6DAB">
              <w:rPr>
                <w:rFonts w:cs="Arial"/>
                <w:sz w:val="20"/>
                <w:szCs w:val="20"/>
                <w:lang w:val="en-AU"/>
              </w:rPr>
              <w:t>p</w:t>
            </w:r>
            <w:r w:rsidRPr="008D1918">
              <w:rPr>
                <w:rFonts w:cs="Arial"/>
                <w:sz w:val="20"/>
                <w:szCs w:val="20"/>
                <w:lang w:val="en-AU"/>
              </w:rPr>
              <w:t>articipants</w:t>
            </w:r>
          </w:p>
        </w:tc>
        <w:tc>
          <w:tcPr>
            <w:tcW w:w="1531" w:type="dxa"/>
            <w:vAlign w:val="center"/>
            <w:hideMark/>
          </w:tcPr>
          <w:p w:rsidRPr="008D1918" w:rsidR="00A97A75" w:rsidP="00902305" w:rsidRDefault="00A97A75" w14:paraId="6F6F7BDF" w14:textId="465163D4">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 xml:space="preserve">Number of </w:t>
            </w:r>
            <w:r w:rsidRPr="008D1918" w:rsidR="00DB6DAB">
              <w:rPr>
                <w:rFonts w:cs="Arial"/>
                <w:sz w:val="20"/>
                <w:szCs w:val="20"/>
                <w:lang w:val="en-AU"/>
              </w:rPr>
              <w:t>p</w:t>
            </w:r>
            <w:r w:rsidRPr="008D1918">
              <w:rPr>
                <w:rFonts w:cs="Arial"/>
                <w:sz w:val="20"/>
                <w:szCs w:val="20"/>
                <w:lang w:val="en-AU"/>
              </w:rPr>
              <w:t>roviders</w:t>
            </w:r>
          </w:p>
        </w:tc>
      </w:tr>
      <w:tr w:rsidRPr="008D1918" w:rsidR="00A238C6" w14:paraId="263F405B" w14:textId="77777777">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A97A75" w:rsidRDefault="00A97A75" w14:paraId="6FBA66B2" w14:textId="742C8158">
            <w:pPr>
              <w:spacing w:before="60" w:after="60"/>
              <w:rPr>
                <w:rFonts w:cs="Arial"/>
                <w:sz w:val="20"/>
                <w:szCs w:val="20"/>
                <w:lang w:val="en-AU"/>
              </w:rPr>
            </w:pPr>
            <w:r w:rsidRPr="008D1918">
              <w:rPr>
                <w:rFonts w:cs="Arial"/>
                <w:sz w:val="20"/>
                <w:szCs w:val="20"/>
                <w:lang w:val="en-AU"/>
              </w:rPr>
              <w:t xml:space="preserve">Assistance in Supported Independent Living </w:t>
            </w:r>
            <w:r w:rsidRPr="008D1918" w:rsidR="001A366A">
              <w:rPr>
                <w:rFonts w:cs="Arial"/>
                <w:sz w:val="20"/>
                <w:szCs w:val="20"/>
                <w:lang w:val="en-AU"/>
              </w:rPr>
              <w:t xml:space="preserve">- </w:t>
            </w:r>
            <w:r w:rsidRPr="008D1918">
              <w:rPr>
                <w:rFonts w:cs="Arial"/>
                <w:sz w:val="20"/>
                <w:szCs w:val="20"/>
                <w:lang w:val="en-AU"/>
              </w:rPr>
              <w:t>Standard</w:t>
            </w:r>
          </w:p>
        </w:tc>
        <w:tc>
          <w:tcPr>
            <w:tcW w:w="1701" w:type="dxa"/>
            <w:vAlign w:val="center"/>
            <w:hideMark/>
          </w:tcPr>
          <w:p w:rsidRPr="008D1918" w:rsidR="00A97A75" w:rsidP="007A2F5E" w:rsidRDefault="00A97A75" w14:paraId="5D029B52"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$5,432</w:t>
            </w:r>
          </w:p>
        </w:tc>
        <w:tc>
          <w:tcPr>
            <w:tcW w:w="1531" w:type="dxa"/>
            <w:vAlign w:val="center"/>
          </w:tcPr>
          <w:p w:rsidRPr="008D1918" w:rsidR="00A97A75" w:rsidP="007A2F5E" w:rsidRDefault="00A97A75" w14:paraId="480D7EEB"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37,096</w:t>
            </w:r>
          </w:p>
        </w:tc>
        <w:tc>
          <w:tcPr>
            <w:tcW w:w="1531" w:type="dxa"/>
            <w:vAlign w:val="center"/>
            <w:hideMark/>
          </w:tcPr>
          <w:p w:rsidRPr="008D1918" w:rsidR="00A97A75" w:rsidP="007A2F5E" w:rsidRDefault="00A97A75" w14:paraId="48CAC6F3"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8,052</w:t>
            </w:r>
          </w:p>
        </w:tc>
      </w:tr>
      <w:tr w:rsidRPr="008D1918" w:rsidR="00A97A75" w14:paraId="18F50B01" w14:textId="77777777">
        <w:trPr>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A97A75" w:rsidRDefault="00A97A75" w14:paraId="6394A1FF" w14:textId="2A5BD60B">
            <w:pPr>
              <w:spacing w:before="60" w:after="60"/>
              <w:rPr>
                <w:rFonts w:cs="Arial"/>
                <w:sz w:val="20"/>
                <w:szCs w:val="20"/>
                <w:lang w:val="en-AU"/>
              </w:rPr>
            </w:pPr>
            <w:r w:rsidRPr="008D1918">
              <w:rPr>
                <w:rFonts w:cs="Arial"/>
                <w:sz w:val="20"/>
                <w:szCs w:val="20"/>
                <w:lang w:val="en-AU"/>
              </w:rPr>
              <w:t xml:space="preserve">Assistance With Self-Care Activities </w:t>
            </w:r>
            <w:r w:rsidRPr="008D1918" w:rsidR="001A366A">
              <w:rPr>
                <w:rFonts w:cs="Arial"/>
                <w:sz w:val="20"/>
                <w:szCs w:val="20"/>
                <w:lang w:val="en-AU"/>
              </w:rPr>
              <w:t>-</w:t>
            </w:r>
            <w:r w:rsidRPr="008D1918">
              <w:rPr>
                <w:rFonts w:cs="Arial"/>
                <w:sz w:val="20"/>
                <w:szCs w:val="20"/>
                <w:lang w:val="en-AU"/>
              </w:rPr>
              <w:t>Standard</w:t>
            </w:r>
          </w:p>
        </w:tc>
        <w:tc>
          <w:tcPr>
            <w:tcW w:w="1701" w:type="dxa"/>
            <w:vAlign w:val="center"/>
            <w:hideMark/>
          </w:tcPr>
          <w:p w:rsidRPr="008D1918" w:rsidR="00A97A75" w:rsidP="007A2F5E" w:rsidRDefault="00A97A75" w14:paraId="5817A3A7"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$4,442</w:t>
            </w:r>
          </w:p>
        </w:tc>
        <w:tc>
          <w:tcPr>
            <w:tcW w:w="1531" w:type="dxa"/>
            <w:vAlign w:val="center"/>
          </w:tcPr>
          <w:p w:rsidRPr="008D1918" w:rsidR="00A97A75" w:rsidP="007A2F5E" w:rsidRDefault="00A97A75" w14:paraId="1DEE2CB7"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169,590</w:t>
            </w:r>
          </w:p>
        </w:tc>
        <w:tc>
          <w:tcPr>
            <w:tcW w:w="1531" w:type="dxa"/>
            <w:vAlign w:val="center"/>
            <w:hideMark/>
          </w:tcPr>
          <w:p w:rsidRPr="008D1918" w:rsidR="00A97A75" w:rsidP="007A2F5E" w:rsidRDefault="00A97A75" w14:paraId="5536234C"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93,467</w:t>
            </w:r>
          </w:p>
        </w:tc>
      </w:tr>
      <w:tr w:rsidRPr="008D1918" w:rsidR="00A238C6" w14:paraId="550D624F" w14:textId="77777777">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A97A75" w:rsidRDefault="00A97A75" w14:paraId="0BB3EA87" w14:textId="23DDD172">
            <w:pPr>
              <w:spacing w:before="60" w:after="60"/>
              <w:rPr>
                <w:rFonts w:cs="Arial"/>
                <w:sz w:val="20"/>
                <w:szCs w:val="20"/>
                <w:lang w:val="en-AU"/>
              </w:rPr>
            </w:pPr>
            <w:r w:rsidRPr="008D1918">
              <w:rPr>
                <w:rFonts w:cs="Arial"/>
                <w:sz w:val="20"/>
                <w:szCs w:val="20"/>
                <w:lang w:val="en-AU"/>
              </w:rPr>
              <w:t xml:space="preserve">Access Community Social and Recreational Activities </w:t>
            </w:r>
            <w:r w:rsidRPr="008D1918" w:rsidR="001A366A">
              <w:rPr>
                <w:rFonts w:cs="Arial"/>
                <w:sz w:val="20"/>
                <w:szCs w:val="20"/>
                <w:lang w:val="en-AU"/>
              </w:rPr>
              <w:t xml:space="preserve">- </w:t>
            </w:r>
            <w:r w:rsidRPr="008D1918">
              <w:rPr>
                <w:rFonts w:cs="Arial"/>
                <w:sz w:val="20"/>
                <w:szCs w:val="20"/>
                <w:lang w:val="en-AU"/>
              </w:rPr>
              <w:t>Standard</w:t>
            </w:r>
          </w:p>
        </w:tc>
        <w:tc>
          <w:tcPr>
            <w:tcW w:w="1701" w:type="dxa"/>
            <w:vAlign w:val="center"/>
            <w:hideMark/>
          </w:tcPr>
          <w:p w:rsidRPr="008D1918" w:rsidR="00A97A75" w:rsidP="007A2F5E" w:rsidRDefault="00A97A75" w14:paraId="1038E342"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$4,241</w:t>
            </w:r>
          </w:p>
        </w:tc>
        <w:tc>
          <w:tcPr>
            <w:tcW w:w="1531" w:type="dxa"/>
            <w:vAlign w:val="center"/>
          </w:tcPr>
          <w:p w:rsidRPr="008D1918" w:rsidR="00A97A75" w:rsidP="007A2F5E" w:rsidRDefault="00A97A75" w14:paraId="717326E0"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257,528</w:t>
            </w:r>
          </w:p>
        </w:tc>
        <w:tc>
          <w:tcPr>
            <w:tcW w:w="1531" w:type="dxa"/>
            <w:vAlign w:val="center"/>
            <w:hideMark/>
          </w:tcPr>
          <w:p w:rsidRPr="008D1918" w:rsidR="00A97A75" w:rsidP="007A2F5E" w:rsidRDefault="00A97A75" w14:paraId="69A75FA6"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96,593</w:t>
            </w:r>
          </w:p>
        </w:tc>
      </w:tr>
      <w:tr w:rsidRPr="008D1918" w:rsidR="00A97A75" w14:paraId="7C12C7BE" w14:textId="77777777">
        <w:trPr>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A97A75" w:rsidRDefault="00A97A75" w14:paraId="7D8145F7" w14:textId="1955B92B">
            <w:pPr>
              <w:spacing w:before="60" w:after="60"/>
              <w:rPr>
                <w:rFonts w:cs="Arial"/>
                <w:sz w:val="20"/>
                <w:szCs w:val="20"/>
                <w:lang w:val="en-AU"/>
              </w:rPr>
            </w:pPr>
            <w:r w:rsidRPr="008D1918">
              <w:rPr>
                <w:rFonts w:cs="Arial"/>
                <w:sz w:val="20"/>
                <w:szCs w:val="20"/>
                <w:lang w:val="en-AU"/>
              </w:rPr>
              <w:t xml:space="preserve">Group Activities </w:t>
            </w:r>
            <w:r w:rsidRPr="008D1918" w:rsidR="00E40656">
              <w:rPr>
                <w:rFonts w:cs="Arial"/>
                <w:sz w:val="20"/>
                <w:szCs w:val="20"/>
                <w:lang w:val="en-AU"/>
              </w:rPr>
              <w:t xml:space="preserve">- </w:t>
            </w:r>
            <w:r w:rsidRPr="008D1918">
              <w:rPr>
                <w:rFonts w:cs="Arial"/>
                <w:sz w:val="20"/>
                <w:szCs w:val="20"/>
                <w:lang w:val="en-AU"/>
              </w:rPr>
              <w:t>Standard</w:t>
            </w:r>
          </w:p>
        </w:tc>
        <w:tc>
          <w:tcPr>
            <w:tcW w:w="1701" w:type="dxa"/>
            <w:vAlign w:val="center"/>
            <w:hideMark/>
          </w:tcPr>
          <w:p w:rsidRPr="008D1918" w:rsidR="00A97A75" w:rsidP="007A2F5E" w:rsidRDefault="00A97A75" w14:paraId="636609B1"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$658</w:t>
            </w:r>
          </w:p>
        </w:tc>
        <w:tc>
          <w:tcPr>
            <w:tcW w:w="1531" w:type="dxa"/>
            <w:vAlign w:val="center"/>
          </w:tcPr>
          <w:p w:rsidRPr="008D1918" w:rsidR="00A97A75" w:rsidP="007A2F5E" w:rsidRDefault="00A97A75" w14:paraId="5C8EB9F8"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63,422</w:t>
            </w:r>
          </w:p>
        </w:tc>
        <w:tc>
          <w:tcPr>
            <w:tcW w:w="1531" w:type="dxa"/>
            <w:vAlign w:val="center"/>
            <w:hideMark/>
          </w:tcPr>
          <w:p w:rsidRPr="008D1918" w:rsidR="00A97A75" w:rsidP="007A2F5E" w:rsidRDefault="00A97A75" w14:paraId="6A8143CC"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7,682</w:t>
            </w:r>
          </w:p>
        </w:tc>
      </w:tr>
      <w:tr w:rsidRPr="008D1918" w:rsidR="00A238C6" w14:paraId="447EA847" w14:textId="77777777">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A97A75" w:rsidRDefault="00A97A75" w14:paraId="7785ADAB" w14:textId="2408E9DF">
            <w:pPr>
              <w:spacing w:before="60" w:after="60"/>
              <w:rPr>
                <w:rFonts w:cs="Arial"/>
                <w:sz w:val="20"/>
                <w:szCs w:val="20"/>
                <w:lang w:val="en-AU"/>
              </w:rPr>
            </w:pPr>
            <w:r w:rsidRPr="008D1918">
              <w:rPr>
                <w:rFonts w:cs="Arial"/>
                <w:sz w:val="20"/>
                <w:szCs w:val="20"/>
                <w:lang w:val="en-AU"/>
              </w:rPr>
              <w:t xml:space="preserve">Assistance With Self-Care Activities </w:t>
            </w:r>
            <w:r w:rsidRPr="008D1918" w:rsidR="00E40656">
              <w:rPr>
                <w:rFonts w:cs="Arial"/>
                <w:sz w:val="20"/>
                <w:szCs w:val="20"/>
                <w:lang w:val="en-AU"/>
              </w:rPr>
              <w:t xml:space="preserve">- </w:t>
            </w:r>
            <w:r w:rsidRPr="008D1918">
              <w:rPr>
                <w:rFonts w:cs="Arial"/>
                <w:sz w:val="20"/>
                <w:szCs w:val="20"/>
                <w:lang w:val="en-AU"/>
              </w:rPr>
              <w:t>High Intensity</w:t>
            </w:r>
          </w:p>
        </w:tc>
        <w:tc>
          <w:tcPr>
            <w:tcW w:w="1701" w:type="dxa"/>
            <w:vAlign w:val="center"/>
            <w:hideMark/>
          </w:tcPr>
          <w:p w:rsidRPr="008D1918" w:rsidR="00A97A75" w:rsidP="007A2F5E" w:rsidRDefault="00A97A75" w14:paraId="5E647DD1"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$477</w:t>
            </w:r>
          </w:p>
        </w:tc>
        <w:tc>
          <w:tcPr>
            <w:tcW w:w="1531" w:type="dxa"/>
            <w:vAlign w:val="center"/>
          </w:tcPr>
          <w:p w:rsidRPr="008D1918" w:rsidR="00A97A75" w:rsidP="007A2F5E" w:rsidRDefault="00A97A75" w14:paraId="503BAF24"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6,323</w:t>
            </w:r>
          </w:p>
        </w:tc>
        <w:tc>
          <w:tcPr>
            <w:tcW w:w="1531" w:type="dxa"/>
            <w:vAlign w:val="center"/>
            <w:hideMark/>
          </w:tcPr>
          <w:p w:rsidRPr="008D1918" w:rsidR="00A97A75" w:rsidP="007A2F5E" w:rsidRDefault="00A97A75" w14:paraId="1CBAC75B"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5,640</w:t>
            </w:r>
          </w:p>
        </w:tc>
      </w:tr>
      <w:tr w:rsidRPr="008D1918" w:rsidR="00A97A75" w14:paraId="4D49A26A" w14:textId="77777777">
        <w:trPr>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A97A75" w:rsidRDefault="00A97A75" w14:paraId="4A0A8ACD" w14:textId="6C76AF5E">
            <w:pPr>
              <w:spacing w:before="60" w:after="60"/>
              <w:rPr>
                <w:rFonts w:cs="Arial"/>
                <w:sz w:val="20"/>
                <w:szCs w:val="20"/>
                <w:lang w:val="en-AU"/>
              </w:rPr>
            </w:pPr>
            <w:r w:rsidRPr="008D1918">
              <w:rPr>
                <w:rFonts w:cs="Arial"/>
                <w:sz w:val="20"/>
                <w:szCs w:val="20"/>
                <w:lang w:val="en-AU"/>
              </w:rPr>
              <w:t xml:space="preserve">Assistance in Supported Independent Living (SIL) </w:t>
            </w:r>
            <w:r w:rsidRPr="008D1918" w:rsidR="00E40656">
              <w:rPr>
                <w:rFonts w:cs="Arial"/>
                <w:sz w:val="20"/>
                <w:szCs w:val="20"/>
                <w:lang w:val="en-AU"/>
              </w:rPr>
              <w:t xml:space="preserve">- </w:t>
            </w:r>
            <w:r w:rsidRPr="008D1918">
              <w:rPr>
                <w:rFonts w:cs="Arial"/>
                <w:sz w:val="20"/>
                <w:szCs w:val="20"/>
                <w:lang w:val="en-AU"/>
              </w:rPr>
              <w:t>High Intensity</w:t>
            </w:r>
          </w:p>
        </w:tc>
        <w:tc>
          <w:tcPr>
            <w:tcW w:w="1701" w:type="dxa"/>
            <w:vAlign w:val="center"/>
            <w:hideMark/>
          </w:tcPr>
          <w:p w:rsidRPr="008D1918" w:rsidR="00A97A75" w:rsidP="007A2F5E" w:rsidRDefault="00A97A75" w14:paraId="117BC09A"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$404</w:t>
            </w:r>
          </w:p>
        </w:tc>
        <w:tc>
          <w:tcPr>
            <w:tcW w:w="1531" w:type="dxa"/>
            <w:vAlign w:val="center"/>
          </w:tcPr>
          <w:p w:rsidRPr="008D1918" w:rsidR="00A97A75" w:rsidP="007A2F5E" w:rsidRDefault="00A97A75" w14:paraId="53989D86"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3,310</w:t>
            </w:r>
          </w:p>
        </w:tc>
        <w:tc>
          <w:tcPr>
            <w:tcW w:w="1531" w:type="dxa"/>
            <w:vAlign w:val="center"/>
            <w:hideMark/>
          </w:tcPr>
          <w:p w:rsidRPr="008D1918" w:rsidR="00A97A75" w:rsidP="007A2F5E" w:rsidRDefault="00A97A75" w14:paraId="20E005C2"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1,435</w:t>
            </w:r>
          </w:p>
        </w:tc>
      </w:tr>
      <w:tr w:rsidRPr="008D1918" w:rsidR="00A238C6" w14:paraId="484DE195" w14:textId="77777777">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A97A75" w:rsidRDefault="00A97A75" w14:paraId="1CE8AC87" w14:textId="77777777">
            <w:pPr>
              <w:spacing w:before="60" w:after="60"/>
              <w:rPr>
                <w:rFonts w:cs="Arial"/>
                <w:sz w:val="20"/>
                <w:szCs w:val="20"/>
                <w:lang w:val="en-AU"/>
              </w:rPr>
            </w:pPr>
            <w:r w:rsidRPr="008D1918">
              <w:rPr>
                <w:rFonts w:cs="Arial"/>
                <w:sz w:val="20"/>
                <w:szCs w:val="20"/>
                <w:lang w:val="en-AU"/>
              </w:rPr>
              <w:t>Short Term Accommodation (STA) and Assistance</w:t>
            </w:r>
          </w:p>
        </w:tc>
        <w:tc>
          <w:tcPr>
            <w:tcW w:w="1701" w:type="dxa"/>
            <w:vAlign w:val="center"/>
            <w:hideMark/>
          </w:tcPr>
          <w:p w:rsidRPr="008D1918" w:rsidR="00A97A75" w:rsidP="007A2F5E" w:rsidRDefault="00A97A75" w14:paraId="252F7FBA"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$271</w:t>
            </w:r>
          </w:p>
        </w:tc>
        <w:tc>
          <w:tcPr>
            <w:tcW w:w="1531" w:type="dxa"/>
            <w:vAlign w:val="center"/>
          </w:tcPr>
          <w:p w:rsidRPr="008D1918" w:rsidR="00A97A75" w:rsidP="007A2F5E" w:rsidRDefault="00A97A75" w14:paraId="2A43BD64"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19,333</w:t>
            </w:r>
          </w:p>
        </w:tc>
        <w:tc>
          <w:tcPr>
            <w:tcW w:w="1531" w:type="dxa"/>
            <w:vAlign w:val="center"/>
            <w:hideMark/>
          </w:tcPr>
          <w:p w:rsidRPr="008D1918" w:rsidR="00A97A75" w:rsidP="007A2F5E" w:rsidRDefault="00A97A75" w14:paraId="03C56F5C"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8,601</w:t>
            </w:r>
          </w:p>
        </w:tc>
      </w:tr>
      <w:tr w:rsidRPr="008D1918" w:rsidR="00A97A75" w14:paraId="52F26CBF" w14:textId="77777777">
        <w:trPr>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A97A75" w:rsidRDefault="00A97A75" w14:paraId="6ED3DDB4" w14:textId="77777777">
            <w:pPr>
              <w:spacing w:before="60" w:after="60"/>
              <w:rPr>
                <w:rFonts w:cs="Arial"/>
                <w:sz w:val="20"/>
                <w:szCs w:val="20"/>
                <w:lang w:val="en-AU"/>
              </w:rPr>
            </w:pPr>
            <w:r w:rsidRPr="008D1918">
              <w:rPr>
                <w:rFonts w:cs="Arial"/>
                <w:sz w:val="20"/>
                <w:szCs w:val="20"/>
                <w:lang w:val="en-AU"/>
              </w:rPr>
              <w:t>Activity Based Transport</w:t>
            </w:r>
          </w:p>
        </w:tc>
        <w:tc>
          <w:tcPr>
            <w:tcW w:w="1701" w:type="dxa"/>
            <w:vAlign w:val="center"/>
            <w:hideMark/>
          </w:tcPr>
          <w:p w:rsidRPr="008D1918" w:rsidR="00A97A75" w:rsidP="007A2F5E" w:rsidRDefault="00A97A75" w14:paraId="50ED34A8"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$257</w:t>
            </w:r>
          </w:p>
        </w:tc>
        <w:tc>
          <w:tcPr>
            <w:tcW w:w="1531" w:type="dxa"/>
            <w:vAlign w:val="center"/>
          </w:tcPr>
          <w:p w:rsidRPr="008D1918" w:rsidR="00A97A75" w:rsidP="007A2F5E" w:rsidRDefault="00A97A75" w14:paraId="3709EB05"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177,480</w:t>
            </w:r>
          </w:p>
        </w:tc>
        <w:tc>
          <w:tcPr>
            <w:tcW w:w="1531" w:type="dxa"/>
            <w:vAlign w:val="center"/>
            <w:hideMark/>
          </w:tcPr>
          <w:p w:rsidRPr="008D1918" w:rsidR="00A97A75" w:rsidP="007A2F5E" w:rsidRDefault="00A97A75" w14:paraId="1289FE6E"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42,546</w:t>
            </w:r>
          </w:p>
        </w:tc>
      </w:tr>
      <w:tr w:rsidRPr="008D1918" w:rsidR="00A238C6" w14:paraId="29DA9C9F" w14:textId="77777777">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A97A75" w:rsidRDefault="00A97A75" w14:paraId="3942AA5D" w14:textId="77777777">
            <w:pPr>
              <w:spacing w:before="60" w:after="60"/>
              <w:rPr>
                <w:rFonts w:cs="Arial"/>
                <w:sz w:val="20"/>
                <w:szCs w:val="20"/>
                <w:lang w:val="en-AU"/>
              </w:rPr>
            </w:pPr>
            <w:r w:rsidRPr="008D1918">
              <w:rPr>
                <w:rFonts w:cs="Arial"/>
                <w:sz w:val="20"/>
                <w:szCs w:val="20"/>
                <w:lang w:val="en-AU"/>
              </w:rPr>
              <w:t>Capacity Building and Training</w:t>
            </w:r>
          </w:p>
        </w:tc>
        <w:tc>
          <w:tcPr>
            <w:tcW w:w="1701" w:type="dxa"/>
            <w:vAlign w:val="center"/>
            <w:hideMark/>
          </w:tcPr>
          <w:p w:rsidRPr="008D1918" w:rsidR="00A97A75" w:rsidP="007A2F5E" w:rsidRDefault="00A97A75" w14:paraId="4D8E767E"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$206</w:t>
            </w:r>
          </w:p>
        </w:tc>
        <w:tc>
          <w:tcPr>
            <w:tcW w:w="1531" w:type="dxa"/>
            <w:vAlign w:val="center"/>
          </w:tcPr>
          <w:p w:rsidRPr="008D1918" w:rsidR="00A97A75" w:rsidP="007A2F5E" w:rsidRDefault="00A97A75" w14:paraId="6D64AF44"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57,068</w:t>
            </w:r>
          </w:p>
        </w:tc>
        <w:tc>
          <w:tcPr>
            <w:tcW w:w="1531" w:type="dxa"/>
            <w:vAlign w:val="center"/>
            <w:hideMark/>
          </w:tcPr>
          <w:p w:rsidRPr="008D1918" w:rsidR="00A97A75" w:rsidP="007A2F5E" w:rsidRDefault="00A97A75" w14:paraId="4AA4A855"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25,716</w:t>
            </w:r>
          </w:p>
        </w:tc>
      </w:tr>
      <w:tr w:rsidRPr="008D1918" w:rsidR="00A97A75" w14:paraId="5730B3F8" w14:textId="77777777">
        <w:trPr>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tcPr>
          <w:p w:rsidRPr="008D1918" w:rsidR="00A97A75" w:rsidRDefault="00A97A75" w14:paraId="42B74E23" w14:textId="77777777">
            <w:pPr>
              <w:spacing w:before="60" w:after="60"/>
              <w:rPr>
                <w:rFonts w:cs="Arial"/>
                <w:sz w:val="20"/>
                <w:szCs w:val="20"/>
                <w:lang w:val="en-AU"/>
              </w:rPr>
            </w:pPr>
            <w:r w:rsidRPr="008D1918">
              <w:rPr>
                <w:rFonts w:cs="Arial"/>
                <w:sz w:val="20"/>
                <w:szCs w:val="20"/>
                <w:lang w:val="en-AU"/>
              </w:rPr>
              <w:t>Supports in Employment</w:t>
            </w:r>
          </w:p>
        </w:tc>
        <w:tc>
          <w:tcPr>
            <w:tcW w:w="1701" w:type="dxa"/>
            <w:vAlign w:val="center"/>
          </w:tcPr>
          <w:p w:rsidRPr="008D1918" w:rsidR="00A97A75" w:rsidP="007A2F5E" w:rsidRDefault="00A97A75" w14:paraId="0D3D6E68"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$200</w:t>
            </w:r>
          </w:p>
        </w:tc>
        <w:tc>
          <w:tcPr>
            <w:tcW w:w="1531" w:type="dxa"/>
            <w:vAlign w:val="center"/>
          </w:tcPr>
          <w:p w:rsidRPr="008D1918" w:rsidR="00A97A75" w:rsidP="007A2F5E" w:rsidRDefault="00A97A75" w14:paraId="08C14F85"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22,956</w:t>
            </w:r>
          </w:p>
        </w:tc>
        <w:tc>
          <w:tcPr>
            <w:tcW w:w="1531" w:type="dxa"/>
            <w:vAlign w:val="center"/>
          </w:tcPr>
          <w:p w:rsidRPr="008D1918" w:rsidR="00A97A75" w:rsidP="007A2F5E" w:rsidRDefault="00A97A75" w14:paraId="7B145C95"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3,824</w:t>
            </w:r>
          </w:p>
        </w:tc>
      </w:tr>
    </w:tbl>
    <w:bookmarkEnd w:id="697"/>
    <w:p w:rsidRPr="008D1918" w:rsidR="00A97A75" w:rsidRDefault="00A97A75" w14:paraId="0275040B"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A97A75" w:rsidP="002204D3" w:rsidRDefault="00A97A75" w14:paraId="5E28D064" w14:textId="77777777">
      <w:pPr>
        <w:spacing w:before="120" w:after="360" w:line="240" w:lineRule="atLeast"/>
        <w:rPr>
          <w:rFonts w:cs="Arial" w:eastAsiaTheme="minorEastAsia"/>
          <w:sz w:val="20"/>
          <w:szCs w:val="20"/>
          <w:lang w:val="en-AU"/>
        </w:rPr>
      </w:pPr>
      <w:r w:rsidRPr="008D1918">
        <w:rPr>
          <w:rFonts w:cs="Arial" w:eastAsiaTheme="minorEastAsia"/>
          <w:sz w:val="20"/>
          <w:szCs w:val="20"/>
          <w:lang w:val="en-AU"/>
        </w:rPr>
        <w:t>Note: Payment is on a cash basis.</w:t>
      </w:r>
    </w:p>
    <w:p w:rsidRPr="008D1918" w:rsidR="00A97A75" w:rsidP="00041468" w:rsidRDefault="00A97A75" w14:paraId="5ECF8796" w14:textId="77777777">
      <w:pPr>
        <w:pStyle w:val="StyleStyle112pt"/>
      </w:pPr>
      <w:bookmarkStart w:name="_Toc200103487" w:id="698"/>
      <w:bookmarkStart w:name="_Toc200271600" w:id="699"/>
      <w:bookmarkStart w:name="_Toc223428404" w:id="700"/>
      <w:bookmarkStart w:name="_Toc223445863" w:id="701"/>
      <w:bookmarkStart w:name="_Toc223539662" w:id="702"/>
      <w:bookmarkStart w:name="_Toc223539879" w:id="703"/>
      <w:bookmarkStart w:name="_Toc223540347" w:id="704"/>
      <w:bookmarkStart w:name="_Toc223540563" w:id="705"/>
      <w:bookmarkStart w:name="_Toc223542099" w:id="706"/>
      <w:bookmarkStart w:name="_Toc223604285" w:id="707"/>
      <w:bookmarkStart w:name="_Toc223604496" w:id="708"/>
      <w:bookmarkStart w:name="_Toc223604707" w:id="709"/>
      <w:bookmarkStart w:name="_Toc223618578" w:id="710"/>
      <w:bookmarkStart w:name="_Toc223702815" w:id="711"/>
      <w:bookmarkStart w:name="_Toc227318712" w:id="712"/>
      <w:bookmarkStart w:name="_Toc227337080" w:id="713"/>
      <w:r w:rsidRPr="008D1918">
        <w:t>Providers</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r w:rsidRPr="008D1918">
        <w:t xml:space="preserve"> </w:t>
      </w:r>
    </w:p>
    <w:p w:rsidRPr="008D1918" w:rsidR="00A97A75" w:rsidP="00A36676" w:rsidRDefault="00A97A75" w14:paraId="184D772C" w14:textId="40EB5BE1">
      <w:pPr>
        <w:rPr>
          <w:lang w:val="en-AU"/>
        </w:rPr>
      </w:pPr>
      <w:r w:rsidRPr="008D1918">
        <w:rPr>
          <w:lang w:val="en-AU"/>
        </w:rPr>
        <w:t xml:space="preserve">The share of total DSW-related payments received by the top 10 providers fell from 8.9% in the </w:t>
      </w:r>
      <w:r w:rsidRPr="008D1918" w:rsidR="009B383C">
        <w:rPr>
          <w:lang w:val="en-AU"/>
        </w:rPr>
        <w:t xml:space="preserve">6 </w:t>
      </w:r>
      <w:r w:rsidRPr="008D1918">
        <w:rPr>
          <w:lang w:val="en-AU"/>
        </w:rPr>
        <w:t xml:space="preserve">months from January to June 2023 to 6.9% in the </w:t>
      </w:r>
      <w:r w:rsidRPr="008D1918" w:rsidR="00406300">
        <w:rPr>
          <w:lang w:val="en-AU"/>
        </w:rPr>
        <w:t xml:space="preserve">6 </w:t>
      </w:r>
      <w:r w:rsidRPr="008D1918">
        <w:rPr>
          <w:lang w:val="en-AU"/>
        </w:rPr>
        <w:t>months from July to December 2025 (</w:t>
      </w:r>
      <w:r w:rsidRPr="008D1918" w:rsidR="00704C31">
        <w:rPr>
          <w:lang w:val="en-AU"/>
        </w:rPr>
        <w:fldChar w:fldCharType="begin"/>
      </w:r>
      <w:r w:rsidRPr="008D1918" w:rsidR="00704C31">
        <w:rPr>
          <w:lang w:val="en-AU"/>
        </w:rPr>
        <w:instrText xml:space="preserve"> REF _Ref223623917 \h </w:instrText>
      </w:r>
      <w:r w:rsidRPr="008D1918" w:rsidR="00762DF8">
        <w:rPr>
          <w:lang w:val="en-AU"/>
        </w:rPr>
        <w:instrText xml:space="preserve"> \* MERGEFORMAT </w:instrText>
      </w:r>
      <w:r w:rsidRPr="008D1918" w:rsidR="00704C31">
        <w:rPr>
          <w:lang w:val="en-AU"/>
        </w:rPr>
      </w:r>
      <w:r w:rsidRPr="008D1918" w:rsidR="00704C31">
        <w:rPr>
          <w:lang w:val="en-AU"/>
        </w:rPr>
        <w:fldChar w:fldCharType="separate"/>
      </w:r>
      <w:r w:rsidRPr="008F56A2" w:rsidR="008F56A2">
        <w:rPr>
          <w:lang w:val="en-AU"/>
        </w:rPr>
        <w:t>Figure</w:t>
      </w:r>
      <w:r w:rsidRPr="008D1918" w:rsidR="008F56A2">
        <w:t xml:space="preserve"> </w:t>
      </w:r>
      <w:r w:rsidR="008F56A2">
        <w:rPr>
          <w:noProof/>
        </w:rPr>
        <w:t>6</w:t>
      </w:r>
      <w:r w:rsidRPr="008D1918" w:rsidR="00704C31">
        <w:rPr>
          <w:lang w:val="en-AU"/>
        </w:rPr>
        <w:fldChar w:fldCharType="end"/>
      </w:r>
      <w:r w:rsidRPr="008D1918">
        <w:rPr>
          <w:lang w:val="en-AU"/>
        </w:rPr>
        <w:t xml:space="preserve">). This decline coincides with the broader 6% growth in the active provider pool over the last year, indicating a gradual dilution of market concentration. The market share of the largest 10 providers has been falling continuously since the </w:t>
      </w:r>
      <w:r w:rsidRPr="008D1918" w:rsidR="009B383C">
        <w:rPr>
          <w:lang w:val="en-AU"/>
        </w:rPr>
        <w:t xml:space="preserve">6 </w:t>
      </w:r>
      <w:r w:rsidRPr="008D1918">
        <w:rPr>
          <w:lang w:val="en-AU"/>
        </w:rPr>
        <w:t xml:space="preserve">months to June 2023. </w:t>
      </w:r>
    </w:p>
    <w:p w:rsidRPr="008D1918" w:rsidR="00A97A75" w:rsidRDefault="00A97A75" w14:paraId="6EE1894E" w14:textId="464A83AE">
      <w:pPr>
        <w:rPr>
          <w:lang w:val="en-AU"/>
        </w:rPr>
      </w:pPr>
      <w:r w:rsidRPr="008D1918">
        <w:rPr>
          <w:lang w:val="en-AU"/>
        </w:rPr>
        <w:t xml:space="preserve">This trend is more pronounced in thin markets where new entrants are reshaping market composition. In remote areas the top 10 providers’ market share dropped from 36% in the </w:t>
      </w:r>
      <w:r w:rsidRPr="008D1918" w:rsidR="009B383C">
        <w:rPr>
          <w:lang w:val="en-AU"/>
        </w:rPr>
        <w:t xml:space="preserve">6 </w:t>
      </w:r>
      <w:r w:rsidRPr="008D1918">
        <w:rPr>
          <w:lang w:val="en-AU"/>
        </w:rPr>
        <w:t xml:space="preserve">months to June 2023 to 26% in the </w:t>
      </w:r>
      <w:r w:rsidRPr="008D1918" w:rsidR="009B383C">
        <w:rPr>
          <w:lang w:val="en-AU"/>
        </w:rPr>
        <w:t xml:space="preserve">6 </w:t>
      </w:r>
      <w:r w:rsidRPr="008D1918">
        <w:rPr>
          <w:lang w:val="en-AU"/>
        </w:rPr>
        <w:t>months to December 2025</w:t>
      </w:r>
      <w:r w:rsidRPr="008D1918" w:rsidR="006A7BCA">
        <w:rPr>
          <w:lang w:val="en-AU"/>
        </w:rPr>
        <w:t xml:space="preserve">. In </w:t>
      </w:r>
      <w:r w:rsidRPr="008D1918">
        <w:rPr>
          <w:lang w:val="en-AU"/>
        </w:rPr>
        <w:t xml:space="preserve">very remote areas their share fell from 34% to 29% over the same </w:t>
      </w:r>
      <w:r w:rsidRPr="008D1918" w:rsidR="009B383C">
        <w:rPr>
          <w:lang w:val="en-AU"/>
        </w:rPr>
        <w:t>3</w:t>
      </w:r>
      <w:r w:rsidRPr="008D1918">
        <w:rPr>
          <w:lang w:val="en-AU"/>
        </w:rPr>
        <w:t>-year period (</w:t>
      </w:r>
      <w:r w:rsidRPr="008D1918" w:rsidR="00ED0BD1">
        <w:rPr>
          <w:lang w:val="en-AU"/>
        </w:rPr>
        <w:fldChar w:fldCharType="begin"/>
      </w:r>
      <w:r w:rsidRPr="008D1918" w:rsidR="00ED0BD1">
        <w:rPr>
          <w:lang w:val="en-AU"/>
        </w:rPr>
        <w:instrText xml:space="preserve"> REF _Ref223623943 \h </w:instrText>
      </w:r>
      <w:r w:rsidRPr="008D1918" w:rsidR="00762DF8">
        <w:rPr>
          <w:lang w:val="en-AU"/>
        </w:rPr>
        <w:instrText xml:space="preserve"> \* MERGEFORMAT </w:instrText>
      </w:r>
      <w:r w:rsidRPr="008D1918" w:rsidR="00ED0BD1">
        <w:rPr>
          <w:lang w:val="en-AU"/>
        </w:rPr>
      </w:r>
      <w:r w:rsidRPr="008D1918" w:rsidR="00ED0BD1">
        <w:rPr>
          <w:lang w:val="en-AU"/>
        </w:rPr>
        <w:fldChar w:fldCharType="separate"/>
      </w:r>
      <w:r w:rsidRPr="008F56A2" w:rsidR="008F56A2">
        <w:rPr>
          <w:lang w:val="en-AU"/>
        </w:rPr>
        <w:t>Figure</w:t>
      </w:r>
      <w:r w:rsidRPr="008D1918" w:rsidR="008F56A2">
        <w:t xml:space="preserve"> </w:t>
      </w:r>
      <w:r w:rsidR="008F56A2">
        <w:rPr>
          <w:noProof/>
        </w:rPr>
        <w:t>7</w:t>
      </w:r>
      <w:r w:rsidRPr="008D1918" w:rsidR="00ED0BD1">
        <w:rPr>
          <w:lang w:val="en-AU"/>
        </w:rPr>
        <w:fldChar w:fldCharType="end"/>
      </w:r>
      <w:r w:rsidRPr="008D1918">
        <w:rPr>
          <w:lang w:val="en-AU"/>
        </w:rPr>
        <w:t>).</w:t>
      </w:r>
    </w:p>
    <w:p w:rsidRPr="008D1918" w:rsidR="00A97A75" w:rsidP="00704C31" w:rsidRDefault="00A97A75" w14:paraId="5D5D69A0" w14:textId="12CDA2E6">
      <w:pPr>
        <w:pStyle w:val="Caption"/>
        <w:rPr>
          <w:rFonts w:eastAsia="DengXian" w:cs="Cordia New"/>
          <w:i w:val="0"/>
          <w:color w:val="6B2876" w:themeColor="accent5"/>
        </w:rPr>
      </w:pPr>
      <w:bookmarkStart w:name="_Ref223623917" w:id="714"/>
      <w:r w:rsidRPr="008D1918">
        <w:t xml:space="preserve">Figure </w:t>
      </w:r>
      <w:r>
        <w:fldChar w:fldCharType="begin"/>
      </w:r>
      <w:r>
        <w:instrText>SEQ Figure \* ARABIC</w:instrText>
      </w:r>
      <w:r>
        <w:fldChar w:fldCharType="separate"/>
      </w:r>
      <w:r w:rsidR="008F56A2">
        <w:rPr>
          <w:noProof/>
        </w:rPr>
        <w:t>6</w:t>
      </w:r>
      <w:r>
        <w:fldChar w:fldCharType="end"/>
      </w:r>
      <w:bookmarkEnd w:id="714"/>
      <w:r w:rsidRPr="008D1918">
        <w:rPr>
          <w:rFonts w:eastAsia="DengXian" w:cs="Cordia New"/>
          <w:color w:val="6B2876" w:themeColor="accent5"/>
        </w:rPr>
        <w:t xml:space="preserve">: Top 10 providers’ market share against overall provider growth on </w:t>
      </w:r>
      <w:r w:rsidRPr="008D1918" w:rsidR="008C2E53">
        <w:rPr>
          <w:rFonts w:eastAsia="DengXian" w:cs="Cordia New"/>
          <w:color w:val="6B2876" w:themeColor="accent5"/>
        </w:rPr>
        <w:br/>
      </w:r>
      <w:r w:rsidRPr="008D1918">
        <w:rPr>
          <w:rFonts w:eastAsia="DengXian" w:cs="Cordia New"/>
          <w:color w:val="6B2876" w:themeColor="accent5"/>
        </w:rPr>
        <w:t>DSW-related supports, January 2023 to December 2025</w:t>
      </w:r>
    </w:p>
    <w:p w:rsidRPr="008D1918" w:rsidR="00A97A75" w:rsidP="00A36676" w:rsidRDefault="00A97A75" w14:paraId="63A9F55E" w14:textId="77777777">
      <w:pPr>
        <w:spacing w:after="360"/>
        <w:rPr>
          <w:lang w:val="en-AU"/>
        </w:rPr>
      </w:pPr>
      <w:r w:rsidRPr="008D1918">
        <w:rPr>
          <w:noProof/>
          <w:lang w:val="en-AU"/>
        </w:rPr>
        <w:drawing>
          <wp:inline distT="0" distB="0" distL="0" distR="0" wp14:anchorId="77610DD6" wp14:editId="60CA86A7">
            <wp:extent cx="5680800" cy="3290400"/>
            <wp:effectExtent l="0" t="0" r="0" b="5715"/>
            <wp:docPr id="1802559082" name="Picture 1" descr="Figure 6: A bar and line chat showing the top 10 providers’ market share against overall provider growth on DSW-related supports, from January 2023 to December 2025.&#10;This graph shows that DSW provider count has increased steadily over the period from 112,673 to 144,754. Over the same period the top 10 market share has decreased from 8.9% to 6.9%. 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559082" name="Picture 1" descr="Figure 6: A bar and line chat showing the top 10 providers’ market share against overall provider growth on DSW-related supports, from January 2023 to December 2025.&#10;This graph shows that DSW provider count has increased steadily over the period from 112,673 to 144,754. Over the same period the top 10 market share has decreased from 8.9% to 6.9%. Source: NDIS internal administrative dat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A97A75" w:rsidP="00ED0BD1" w:rsidRDefault="00A97A75" w14:paraId="792C870D" w14:textId="1FBE1C73">
      <w:pPr>
        <w:pStyle w:val="Caption"/>
        <w:rPr>
          <w:rFonts w:eastAsia="DengXian" w:cs="Cordia New"/>
          <w:i w:val="0"/>
          <w:color w:val="6B2876" w:themeColor="accent5"/>
        </w:rPr>
      </w:pPr>
      <w:bookmarkStart w:name="_Ref223623943" w:id="715"/>
      <w:bookmarkStart w:name="_Ref163991043" w:id="716"/>
      <w:r w:rsidRPr="008D1918">
        <w:t xml:space="preserve">Figure </w:t>
      </w:r>
      <w:r>
        <w:fldChar w:fldCharType="begin"/>
      </w:r>
      <w:r>
        <w:instrText>SEQ Figure \* ARABIC</w:instrText>
      </w:r>
      <w:r>
        <w:fldChar w:fldCharType="separate"/>
      </w:r>
      <w:r w:rsidR="008F56A2">
        <w:rPr>
          <w:noProof/>
        </w:rPr>
        <w:t>7</w:t>
      </w:r>
      <w:r>
        <w:fldChar w:fldCharType="end"/>
      </w:r>
      <w:bookmarkEnd w:id="715"/>
      <w:r w:rsidRPr="008D1918">
        <w:rPr>
          <w:rFonts w:eastAsia="DengXian" w:cs="Cordia New"/>
          <w:color w:val="6B2876" w:themeColor="accent5"/>
        </w:rPr>
        <w:t>: Top 10 providers’ market share by remoteness for DSW-related supports, January 2023 to December 2025</w:t>
      </w:r>
    </w:p>
    <w:p w:rsidRPr="008D1918" w:rsidR="00A97A75" w:rsidP="00A36676" w:rsidRDefault="00A97A75" w14:paraId="3C4606B1" w14:textId="77777777">
      <w:pPr>
        <w:spacing w:before="120" w:after="360"/>
        <w:jc w:val="center"/>
        <w:rPr>
          <w:lang w:val="en-AU"/>
        </w:rPr>
      </w:pPr>
      <w:r w:rsidRPr="008D1918">
        <w:rPr>
          <w:noProof/>
          <w:lang w:val="en-AU"/>
        </w:rPr>
        <w:drawing>
          <wp:inline distT="0" distB="0" distL="0" distR="0" wp14:anchorId="3D085883" wp14:editId="6E48F86F">
            <wp:extent cx="5760000" cy="3644929"/>
            <wp:effectExtent l="0" t="0" r="0" b="0"/>
            <wp:docPr id="995239491" name="Picture 5" descr="Figure 7: A line graph showing the top 10 providers’ market share by remoteness for DSW-related supports, from January 2023 to December 2025.&#10;Top 10 market share for providers in remote areas has decreased from 36% to 26% over the period. &#10;Top 10 Market share for providers in very remote areas has decreased from 34% to 29% over the period.&#10;Top 10 market share for providers in non-remote areas has decreased from 9% to 7% over the period.&#10;Source: NDIS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39491" name="Picture 5" descr="Figure 7: A line graph showing the top 10 providers’ market share by remoteness for DSW-related supports, from January 2023 to December 2025.&#10;Top 10 market share for providers in remote areas has decreased from 36% to 26% over the period. &#10;Top 10 Market share for providers in very remote areas has decreased from 34% to 29% over the period.&#10;Top 10 market share for providers in non-remote areas has decreased from 9% to 7% over the period.&#10;Source: NDIS internal data"/>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760000" cy="3644929"/>
                    </a:xfrm>
                    <a:prstGeom prst="rect">
                      <a:avLst/>
                    </a:prstGeom>
                    <a:noFill/>
                  </pic:spPr>
                </pic:pic>
              </a:graphicData>
            </a:graphic>
          </wp:inline>
        </w:drawing>
      </w:r>
    </w:p>
    <w:bookmarkEnd w:id="716"/>
    <w:p w:rsidRPr="008D1918" w:rsidR="001A0FDE" w:rsidRDefault="001A0FDE" w14:paraId="65FA4AF5" w14:textId="77777777">
      <w:pPr>
        <w:spacing w:after="0" w:line="240" w:lineRule="auto"/>
        <w:rPr>
          <w:lang w:val="en-AU"/>
        </w:rPr>
      </w:pPr>
      <w:r w:rsidRPr="008D1918">
        <w:rPr>
          <w:lang w:val="en-AU"/>
        </w:rPr>
        <w:br w:type="page"/>
      </w:r>
    </w:p>
    <w:p w:rsidRPr="008D1918" w:rsidR="00A97A75" w:rsidP="00245B10" w:rsidRDefault="00E61E08" w14:paraId="4C789833" w14:textId="134085D7">
      <w:pPr>
        <w:pStyle w:val="H5"/>
        <w:rPr>
          <w:rFonts w:eastAsia="Arial"/>
        </w:rPr>
      </w:pPr>
      <w:r w:rsidRPr="008D1918">
        <w:fldChar w:fldCharType="begin"/>
      </w:r>
      <w:r w:rsidRPr="008D1918">
        <w:fldChar w:fldCharType="separate"/>
      </w:r>
      <w:r w:rsidRPr="008D1918">
        <w:fldChar w:fldCharType="end"/>
      </w:r>
      <w:r w:rsidRPr="008D1918">
        <w:fldChar w:fldCharType="begin"/>
      </w:r>
      <w:r w:rsidRPr="008D1918">
        <w:fldChar w:fldCharType="separate"/>
      </w:r>
      <w:r w:rsidRPr="008D1918">
        <w:fldChar w:fldCharType="end"/>
      </w:r>
      <w:bookmarkStart w:name="_Toc200103489" w:id="717"/>
      <w:bookmarkStart w:name="_Toc200271602" w:id="718"/>
      <w:bookmarkStart w:name="_Toc223428406" w:id="719"/>
      <w:bookmarkStart w:name="_Toc223445865" w:id="720"/>
      <w:bookmarkStart w:name="_Toc223604709" w:id="721"/>
      <w:r w:rsidRPr="008D1918" w:rsidR="00A97A75">
        <w:rPr>
          <w:rFonts w:eastAsia="Arial"/>
        </w:rPr>
        <w:t>Legal entity</w:t>
      </w:r>
      <w:bookmarkEnd w:id="717"/>
      <w:bookmarkEnd w:id="718"/>
      <w:bookmarkEnd w:id="719"/>
      <w:bookmarkEnd w:id="720"/>
      <w:bookmarkEnd w:id="721"/>
    </w:p>
    <w:p w:rsidRPr="008D1918" w:rsidR="00A97A75" w:rsidRDefault="00A97A75" w14:paraId="4973C4C1" w14:textId="4E9BA83A">
      <w:pPr>
        <w:rPr>
          <w:lang w:val="en-AU"/>
        </w:rPr>
      </w:pPr>
      <w:r w:rsidRPr="008D1918">
        <w:rPr>
          <w:lang w:val="en-AU"/>
        </w:rPr>
        <w:t xml:space="preserve">Companies and sole traders represent opposite ends of the provider spectrum for DSW-related supports. Companies comprise 17% of active providers but deliver the </w:t>
      </w:r>
      <w:r w:rsidRPr="008D1918" w:rsidR="004342ED">
        <w:rPr>
          <w:lang w:val="en-AU"/>
        </w:rPr>
        <w:t>most</w:t>
      </w:r>
      <w:r w:rsidRPr="008D1918">
        <w:rPr>
          <w:lang w:val="en-AU"/>
        </w:rPr>
        <w:t xml:space="preserve"> supports, claiming $13.3 billion (7</w:t>
      </w:r>
      <w:r w:rsidRPr="008D1918" w:rsidR="00EF0929">
        <w:rPr>
          <w:lang w:val="en-AU"/>
        </w:rPr>
        <w:t>8</w:t>
      </w:r>
      <w:r w:rsidRPr="008D1918">
        <w:rPr>
          <w:lang w:val="en-AU"/>
        </w:rPr>
        <w:t>% of total payments) at an average of $525,600 per provider (</w:t>
      </w:r>
      <w:r w:rsidRPr="008D1918" w:rsidR="00C2767D">
        <w:rPr>
          <w:lang w:val="en-AU"/>
        </w:rPr>
        <w:fldChar w:fldCharType="begin"/>
      </w:r>
      <w:r w:rsidRPr="008D1918" w:rsidR="00C2767D">
        <w:rPr>
          <w:lang w:val="en-AU"/>
        </w:rPr>
        <w:instrText xml:space="preserve"> REF _Ref195556328 \h </w:instrText>
      </w:r>
      <w:r w:rsidRPr="008D1918" w:rsidR="00762DF8">
        <w:rPr>
          <w:lang w:val="en-AU"/>
        </w:rPr>
        <w:instrText xml:space="preserve"> \* MERGEFORMAT </w:instrText>
      </w:r>
      <w:r w:rsidRPr="008D1918" w:rsidR="00C2767D">
        <w:rPr>
          <w:lang w:val="en-AU"/>
        </w:rPr>
      </w:r>
      <w:r w:rsidRPr="008D1918" w:rsidR="00C2767D">
        <w:rPr>
          <w:lang w:val="en-AU"/>
        </w:rPr>
        <w:fldChar w:fldCharType="separate"/>
      </w:r>
      <w:r w:rsidRPr="008F56A2" w:rsidR="008F56A2">
        <w:rPr>
          <w:lang w:val="en-AU"/>
        </w:rPr>
        <w:t>Table</w:t>
      </w:r>
      <w:r w:rsidRPr="008D1918" w:rsidR="008F56A2">
        <w:t xml:space="preserve"> </w:t>
      </w:r>
      <w:r w:rsidR="008F56A2">
        <w:rPr>
          <w:noProof/>
        </w:rPr>
        <w:t>8</w:t>
      </w:r>
      <w:r w:rsidRPr="008D1918" w:rsidR="00C2767D">
        <w:rPr>
          <w:lang w:val="en-AU"/>
        </w:rPr>
        <w:fldChar w:fldCharType="end"/>
      </w:r>
      <w:r w:rsidRPr="008D1918">
        <w:rPr>
          <w:lang w:val="en-AU"/>
        </w:rPr>
        <w:t xml:space="preserve">). </w:t>
      </w:r>
      <w:r w:rsidRPr="008D1918" w:rsidR="008A08DE">
        <w:rPr>
          <w:lang w:val="en-AU"/>
        </w:rPr>
        <w:t>S</w:t>
      </w:r>
      <w:r w:rsidRPr="008D1918">
        <w:rPr>
          <w:lang w:val="en-AU"/>
        </w:rPr>
        <w:t xml:space="preserve">ole traders account for 78% of active providers but operate at a much smaller scale, claiming $2.6 billion (15% of total payments) with an average claim of $22,800. </w:t>
      </w:r>
    </w:p>
    <w:p w:rsidRPr="008D1918" w:rsidR="00A97A75" w:rsidP="00C2767D" w:rsidRDefault="00C2767D" w14:paraId="794FECFD" w14:textId="7CB8F2EC">
      <w:pPr>
        <w:pStyle w:val="Caption"/>
        <w:rPr>
          <w:i w:val="0"/>
          <w:iCs w:val="0"/>
        </w:rPr>
      </w:pPr>
      <w:bookmarkStart w:name="_Ref195556328" w:id="722"/>
      <w:r w:rsidRPr="008D1918">
        <w:t xml:space="preserve">Table </w:t>
      </w:r>
      <w:r>
        <w:fldChar w:fldCharType="begin"/>
      </w:r>
      <w:r>
        <w:instrText>SEQ Table \* ARABIC</w:instrText>
      </w:r>
      <w:r>
        <w:fldChar w:fldCharType="separate"/>
      </w:r>
      <w:r w:rsidR="008F56A2">
        <w:rPr>
          <w:noProof/>
        </w:rPr>
        <w:t>8</w:t>
      </w:r>
      <w:r>
        <w:fldChar w:fldCharType="end"/>
      </w:r>
      <w:bookmarkEnd w:id="722"/>
      <w:r w:rsidRPr="008D1918" w:rsidR="00A97A75">
        <w:t xml:space="preserve">: DSW-related supports </w:t>
      </w:r>
      <w:r w:rsidRPr="008D1918" w:rsidR="00023493">
        <w:t>S</w:t>
      </w:r>
      <w:r w:rsidRPr="008D1918" w:rsidR="00A97A75">
        <w:t>cheme statistics by legal entity type, July to December 2025</w:t>
      </w:r>
    </w:p>
    <w:tbl>
      <w:tblPr>
        <w:tblStyle w:val="GridTable4-Accent12"/>
        <w:tblW w:w="0" w:type="auto"/>
        <w:tblInd w:w="0" w:type="dxa"/>
        <w:tblLayout w:type="fixed"/>
        <w:tblLook w:val="04A0" w:firstRow="1" w:lastRow="0" w:firstColumn="1" w:lastColumn="0" w:noHBand="0" w:noVBand="1"/>
        <w:tblCaption w:val="Price limits for Support Coordination Supports"/>
        <w:tblDescription w:val="NDIS pricing details for support coordination supports including the item code, item name, unit of measure, and price limits."/>
      </w:tblPr>
      <w:tblGrid>
        <w:gridCol w:w="2835"/>
        <w:gridCol w:w="1191"/>
        <w:gridCol w:w="1418"/>
        <w:gridCol w:w="1361"/>
        <w:gridCol w:w="1134"/>
        <w:gridCol w:w="1134"/>
      </w:tblGrid>
      <w:tr w:rsidRPr="008D1918" w:rsidR="00A238C6" w:rsidTr="00AC57AE" w14:paraId="187061A2" w14:textId="7777777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2835" w:type="dxa"/>
            <w:vAlign w:val="center"/>
          </w:tcPr>
          <w:p w:rsidRPr="008D1918" w:rsidR="00A97A75" w:rsidP="00AC57AE" w:rsidRDefault="00A97A75" w14:paraId="0A438DB0" w14:textId="77777777">
            <w:pPr>
              <w:spacing w:before="60" w:after="60"/>
              <w:rPr>
                <w:rFonts w:cs="Arial"/>
                <w:sz w:val="20"/>
                <w:szCs w:val="20"/>
                <w:lang w:val="en-AU" w:eastAsia="en-AU"/>
              </w:rPr>
            </w:pPr>
            <w:r w:rsidRPr="008D1918">
              <w:rPr>
                <w:rFonts w:cs="Cordia New"/>
                <w:sz w:val="20"/>
                <w:szCs w:val="20"/>
                <w:lang w:val="en-AU"/>
              </w:rPr>
              <w:t>Statistics</w:t>
            </w:r>
          </w:p>
        </w:tc>
        <w:tc>
          <w:tcPr>
            <w:tcW w:w="1191" w:type="dxa"/>
            <w:vAlign w:val="center"/>
          </w:tcPr>
          <w:p w:rsidRPr="008D1918" w:rsidR="00A97A75" w:rsidP="00AC57AE" w:rsidRDefault="00A97A75" w14:paraId="5C9F6271"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val="en-AU" w:eastAsia="en-AU"/>
              </w:rPr>
            </w:pPr>
            <w:r w:rsidRPr="008D1918">
              <w:rPr>
                <w:rFonts w:cs="Cordia New"/>
                <w:sz w:val="20"/>
                <w:szCs w:val="20"/>
                <w:lang w:val="en-AU"/>
              </w:rPr>
              <w:t>Company</w:t>
            </w:r>
          </w:p>
        </w:tc>
        <w:tc>
          <w:tcPr>
            <w:tcW w:w="1418" w:type="dxa"/>
            <w:vAlign w:val="center"/>
          </w:tcPr>
          <w:p w:rsidRPr="008D1918" w:rsidR="00A97A75" w:rsidP="00AC57AE" w:rsidRDefault="00A97A75" w14:paraId="69906A28" w14:textId="0C00C57A">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val="en-AU" w:eastAsia="en-AU"/>
              </w:rPr>
            </w:pPr>
            <w:r w:rsidRPr="008D1918">
              <w:rPr>
                <w:rFonts w:cs="Cordia New"/>
                <w:sz w:val="20"/>
                <w:szCs w:val="20"/>
                <w:lang w:val="en-AU"/>
              </w:rPr>
              <w:t xml:space="preserve">Government </w:t>
            </w:r>
            <w:r w:rsidRPr="008D1918" w:rsidR="00BA6BC2">
              <w:rPr>
                <w:rFonts w:cs="Cordia New"/>
                <w:sz w:val="20"/>
                <w:szCs w:val="20"/>
                <w:lang w:val="en-AU"/>
              </w:rPr>
              <w:t>e</w:t>
            </w:r>
            <w:r w:rsidRPr="008D1918">
              <w:rPr>
                <w:rFonts w:cs="Cordia New"/>
                <w:sz w:val="20"/>
                <w:szCs w:val="20"/>
                <w:lang w:val="en-AU"/>
              </w:rPr>
              <w:t>ntity</w:t>
            </w:r>
          </w:p>
        </w:tc>
        <w:tc>
          <w:tcPr>
            <w:tcW w:w="1361" w:type="dxa"/>
            <w:vAlign w:val="center"/>
          </w:tcPr>
          <w:p w:rsidRPr="008D1918" w:rsidR="00A97A75" w:rsidP="00AC57AE" w:rsidRDefault="00A97A75" w14:paraId="644569F4" w14:textId="09399A9F">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val="en-AU" w:eastAsia="en-AU"/>
              </w:rPr>
            </w:pPr>
            <w:r w:rsidRPr="008D1918">
              <w:rPr>
                <w:rFonts w:cs="Cordia New"/>
                <w:sz w:val="20"/>
                <w:szCs w:val="20"/>
                <w:lang w:val="en-AU"/>
              </w:rPr>
              <w:t>Partnership (</w:t>
            </w:r>
            <w:r w:rsidRPr="008D1918" w:rsidR="00BA6BC2">
              <w:rPr>
                <w:rFonts w:cs="Cordia New"/>
                <w:sz w:val="20"/>
                <w:szCs w:val="20"/>
                <w:lang w:val="en-AU"/>
              </w:rPr>
              <w:t>o</w:t>
            </w:r>
            <w:r w:rsidRPr="008D1918">
              <w:rPr>
                <w:rFonts w:cs="Cordia New"/>
                <w:sz w:val="20"/>
                <w:szCs w:val="20"/>
                <w:lang w:val="en-AU"/>
              </w:rPr>
              <w:t>ther)</w:t>
            </w:r>
          </w:p>
        </w:tc>
        <w:tc>
          <w:tcPr>
            <w:tcW w:w="1134" w:type="dxa"/>
            <w:vAlign w:val="center"/>
          </w:tcPr>
          <w:p w:rsidRPr="008D1918" w:rsidR="00A97A75" w:rsidP="00AC57AE" w:rsidRDefault="00A97A75" w14:paraId="55FEA548" w14:textId="0866CF05">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val="en-AU" w:eastAsia="en-AU"/>
              </w:rPr>
            </w:pPr>
            <w:r w:rsidRPr="008D1918">
              <w:rPr>
                <w:rFonts w:cs="Cordia New"/>
                <w:sz w:val="20"/>
                <w:szCs w:val="20"/>
                <w:lang w:val="en-AU"/>
              </w:rPr>
              <w:t xml:space="preserve">Trust / </w:t>
            </w:r>
            <w:r w:rsidRPr="008D1918" w:rsidR="00BA6BC2">
              <w:rPr>
                <w:rFonts w:cs="Cordia New"/>
                <w:sz w:val="20"/>
                <w:szCs w:val="20"/>
                <w:lang w:val="en-AU"/>
              </w:rPr>
              <w:t>s</w:t>
            </w:r>
            <w:r w:rsidRPr="008D1918">
              <w:rPr>
                <w:rFonts w:cs="Cordia New"/>
                <w:sz w:val="20"/>
                <w:szCs w:val="20"/>
                <w:lang w:val="en-AU"/>
              </w:rPr>
              <w:t>uper</w:t>
            </w:r>
          </w:p>
        </w:tc>
        <w:tc>
          <w:tcPr>
            <w:tcW w:w="1134" w:type="dxa"/>
            <w:vAlign w:val="center"/>
          </w:tcPr>
          <w:p w:rsidRPr="008D1918" w:rsidR="00A97A75" w:rsidP="00AC57AE" w:rsidRDefault="00A97A75" w14:paraId="2517ADB9" w14:textId="2A30F193">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val="en-AU" w:eastAsia="en-AU"/>
              </w:rPr>
            </w:pPr>
            <w:r w:rsidRPr="008D1918">
              <w:rPr>
                <w:rFonts w:cs="Cordia New"/>
                <w:sz w:val="20"/>
                <w:szCs w:val="20"/>
                <w:lang w:val="en-AU"/>
              </w:rPr>
              <w:t xml:space="preserve">Sole </w:t>
            </w:r>
            <w:r w:rsidRPr="008D1918" w:rsidR="00BA6BC2">
              <w:rPr>
                <w:rFonts w:cs="Cordia New"/>
                <w:sz w:val="20"/>
                <w:szCs w:val="20"/>
                <w:lang w:val="en-AU"/>
              </w:rPr>
              <w:t>t</w:t>
            </w:r>
            <w:r w:rsidRPr="008D1918">
              <w:rPr>
                <w:rFonts w:cs="Cordia New"/>
                <w:sz w:val="20"/>
                <w:szCs w:val="20"/>
                <w:lang w:val="en-AU"/>
              </w:rPr>
              <w:t>rader</w:t>
            </w:r>
          </w:p>
        </w:tc>
      </w:tr>
      <w:tr w:rsidRPr="008D1918" w:rsidR="00A238C6" w:rsidTr="00397AFD" w14:paraId="2E90942C"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vAlign w:val="center"/>
          </w:tcPr>
          <w:p w:rsidRPr="008D1918" w:rsidR="00A97A75" w:rsidRDefault="00A97A75" w14:paraId="2A5E4C02" w14:textId="77777777">
            <w:pPr>
              <w:spacing w:before="60" w:after="60"/>
              <w:rPr>
                <w:rFonts w:cs="Arial"/>
                <w:sz w:val="20"/>
                <w:szCs w:val="20"/>
                <w:lang w:val="en-AU" w:eastAsia="en-AU"/>
              </w:rPr>
            </w:pPr>
            <w:r w:rsidRPr="008D1918">
              <w:rPr>
                <w:rFonts w:cs="Cordia New"/>
                <w:sz w:val="20"/>
                <w:szCs w:val="20"/>
                <w:lang w:val="en-AU"/>
              </w:rPr>
              <w:t>Number of NDIS participants</w:t>
            </w:r>
          </w:p>
        </w:tc>
        <w:tc>
          <w:tcPr>
            <w:tcW w:w="1191" w:type="dxa"/>
            <w:vAlign w:val="center"/>
          </w:tcPr>
          <w:p w:rsidRPr="008D1918" w:rsidR="00A97A75" w:rsidP="001B1345" w:rsidRDefault="00A97A75" w14:paraId="7E96BF7D"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AU" w:eastAsia="en-AU"/>
              </w:rPr>
            </w:pPr>
            <w:r w:rsidRPr="008D1918">
              <w:rPr>
                <w:rFonts w:cs="Cordia New"/>
                <w:sz w:val="20"/>
                <w:szCs w:val="20"/>
                <w:lang w:val="en-AU"/>
              </w:rPr>
              <w:t>262,990</w:t>
            </w:r>
          </w:p>
        </w:tc>
        <w:tc>
          <w:tcPr>
            <w:tcW w:w="1418" w:type="dxa"/>
            <w:vAlign w:val="center"/>
          </w:tcPr>
          <w:p w:rsidRPr="008D1918" w:rsidR="00A97A75" w:rsidP="001B1345" w:rsidRDefault="00A97A75" w14:paraId="783D2BA6"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AU" w:eastAsia="en-AU"/>
              </w:rPr>
            </w:pPr>
            <w:r w:rsidRPr="008D1918">
              <w:rPr>
                <w:rFonts w:cs="Cordia New"/>
                <w:sz w:val="20"/>
                <w:szCs w:val="20"/>
                <w:lang w:val="en-AU"/>
              </w:rPr>
              <w:t>2,306</w:t>
            </w:r>
          </w:p>
        </w:tc>
        <w:tc>
          <w:tcPr>
            <w:tcW w:w="1361" w:type="dxa"/>
            <w:vAlign w:val="center"/>
          </w:tcPr>
          <w:p w:rsidRPr="008D1918" w:rsidR="00A97A75" w:rsidP="001B1345" w:rsidRDefault="00A97A75" w14:paraId="5DC06847"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AU" w:eastAsia="en-AU"/>
              </w:rPr>
            </w:pPr>
            <w:r w:rsidRPr="008D1918">
              <w:rPr>
                <w:rFonts w:cs="Cordia New"/>
                <w:sz w:val="20"/>
                <w:szCs w:val="20"/>
                <w:lang w:val="en-AU"/>
              </w:rPr>
              <w:t>10,140</w:t>
            </w:r>
          </w:p>
        </w:tc>
        <w:tc>
          <w:tcPr>
            <w:tcW w:w="1134" w:type="dxa"/>
            <w:vAlign w:val="center"/>
          </w:tcPr>
          <w:p w:rsidRPr="008D1918" w:rsidR="00A97A75" w:rsidP="001B1345" w:rsidRDefault="00A97A75" w14:paraId="396D5811"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AU" w:eastAsia="en-AU"/>
              </w:rPr>
            </w:pPr>
            <w:r w:rsidRPr="008D1918">
              <w:rPr>
                <w:rFonts w:cs="Cordia New"/>
                <w:sz w:val="20"/>
                <w:szCs w:val="20"/>
                <w:lang w:val="en-AU"/>
              </w:rPr>
              <w:t>31,736</w:t>
            </w:r>
          </w:p>
        </w:tc>
        <w:tc>
          <w:tcPr>
            <w:tcW w:w="1134" w:type="dxa"/>
            <w:vAlign w:val="center"/>
          </w:tcPr>
          <w:p w:rsidRPr="008D1918" w:rsidR="00A97A75" w:rsidP="001B1345" w:rsidRDefault="00A97A75" w14:paraId="32D849B6"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Cordia New"/>
                <w:sz w:val="20"/>
                <w:szCs w:val="20"/>
                <w:lang w:val="en-AU"/>
              </w:rPr>
              <w:t>118,724</w:t>
            </w:r>
          </w:p>
        </w:tc>
      </w:tr>
      <w:tr w:rsidRPr="008D1918" w:rsidR="00A97A75" w:rsidTr="00397AFD" w14:paraId="5F1ED919" w14:textId="77777777">
        <w:trPr>
          <w:trHeight w:val="397"/>
        </w:trPr>
        <w:tc>
          <w:tcPr>
            <w:cnfStyle w:val="001000000000" w:firstRow="0" w:lastRow="0" w:firstColumn="1" w:lastColumn="0" w:oddVBand="0" w:evenVBand="0" w:oddHBand="0" w:evenHBand="0" w:firstRowFirstColumn="0" w:firstRowLastColumn="0" w:lastRowFirstColumn="0" w:lastRowLastColumn="0"/>
            <w:tcW w:w="2835" w:type="dxa"/>
            <w:vAlign w:val="center"/>
          </w:tcPr>
          <w:p w:rsidRPr="008D1918" w:rsidR="00A97A75" w:rsidRDefault="00A97A75" w14:paraId="7B9139A4" w14:textId="77777777">
            <w:pPr>
              <w:spacing w:before="60" w:after="60"/>
              <w:rPr>
                <w:rFonts w:cs="Arial"/>
                <w:sz w:val="20"/>
                <w:szCs w:val="20"/>
                <w:lang w:val="en-AU" w:eastAsia="en-AU"/>
              </w:rPr>
            </w:pPr>
            <w:r w:rsidRPr="008D1918">
              <w:rPr>
                <w:rFonts w:cs="Cordia New"/>
                <w:sz w:val="20"/>
                <w:szCs w:val="20"/>
                <w:lang w:val="en-AU"/>
              </w:rPr>
              <w:t>Number of active providers</w:t>
            </w:r>
          </w:p>
        </w:tc>
        <w:tc>
          <w:tcPr>
            <w:tcW w:w="1191" w:type="dxa"/>
            <w:vAlign w:val="center"/>
          </w:tcPr>
          <w:p w:rsidRPr="008D1918" w:rsidR="00A97A75" w:rsidP="001B1345" w:rsidRDefault="00A97A75" w14:paraId="0D5D4ABB"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Cordia New"/>
                <w:sz w:val="20"/>
                <w:szCs w:val="20"/>
                <w:lang w:val="en-AU"/>
              </w:rPr>
              <w:t>25,238</w:t>
            </w:r>
          </w:p>
        </w:tc>
        <w:tc>
          <w:tcPr>
            <w:tcW w:w="1418" w:type="dxa"/>
            <w:vAlign w:val="center"/>
          </w:tcPr>
          <w:p w:rsidRPr="008D1918" w:rsidR="00A97A75" w:rsidP="001B1345" w:rsidRDefault="00A97A75" w14:paraId="4F08AF0A"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Cordia New"/>
                <w:sz w:val="20"/>
                <w:szCs w:val="20"/>
                <w:lang w:val="en-AU"/>
              </w:rPr>
              <w:t>205</w:t>
            </w:r>
          </w:p>
        </w:tc>
        <w:tc>
          <w:tcPr>
            <w:tcW w:w="1361" w:type="dxa"/>
            <w:vAlign w:val="center"/>
          </w:tcPr>
          <w:p w:rsidRPr="008D1918" w:rsidR="00A97A75" w:rsidP="001B1345" w:rsidRDefault="00A97A75" w14:paraId="1B2FFAF0"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Cordia New"/>
                <w:sz w:val="20"/>
                <w:szCs w:val="20"/>
                <w:lang w:val="en-AU"/>
              </w:rPr>
              <w:t>2,435</w:t>
            </w:r>
          </w:p>
        </w:tc>
        <w:tc>
          <w:tcPr>
            <w:tcW w:w="1134" w:type="dxa"/>
            <w:vAlign w:val="center"/>
          </w:tcPr>
          <w:p w:rsidRPr="008D1918" w:rsidR="00A97A75" w:rsidP="001B1345" w:rsidRDefault="00A97A75" w14:paraId="1ABA76AC"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Cordia New"/>
                <w:sz w:val="20"/>
                <w:szCs w:val="20"/>
                <w:lang w:val="en-AU"/>
              </w:rPr>
              <w:t>4,451</w:t>
            </w:r>
          </w:p>
        </w:tc>
        <w:tc>
          <w:tcPr>
            <w:tcW w:w="1134" w:type="dxa"/>
            <w:vAlign w:val="center"/>
          </w:tcPr>
          <w:p w:rsidRPr="008D1918" w:rsidR="00A97A75" w:rsidP="001B1345" w:rsidRDefault="00A97A75" w14:paraId="7E6761C6"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Cordia New"/>
                <w:sz w:val="20"/>
                <w:szCs w:val="20"/>
                <w:lang w:val="en-AU"/>
              </w:rPr>
              <w:t>112,421</w:t>
            </w:r>
          </w:p>
        </w:tc>
      </w:tr>
      <w:tr w:rsidRPr="008D1918" w:rsidR="00A238C6" w:rsidTr="00397AFD" w14:paraId="7064FDCD"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vAlign w:val="center"/>
          </w:tcPr>
          <w:p w:rsidRPr="008D1918" w:rsidR="00A97A75" w:rsidRDefault="00A97A75" w14:paraId="3D7B6AC6" w14:textId="77777777">
            <w:pPr>
              <w:spacing w:before="60" w:after="60"/>
              <w:rPr>
                <w:rFonts w:cs="Arial"/>
                <w:sz w:val="20"/>
                <w:szCs w:val="20"/>
                <w:lang w:val="en-AU" w:eastAsia="en-AU"/>
              </w:rPr>
            </w:pPr>
            <w:r w:rsidRPr="008D1918">
              <w:rPr>
                <w:rFonts w:cs="Cordia New"/>
                <w:sz w:val="20"/>
                <w:szCs w:val="20"/>
                <w:lang w:val="en-AU"/>
              </w:rPr>
              <w:t xml:space="preserve">Total amount claimed by active providers of DSW-related supports </w:t>
            </w:r>
            <w:r w:rsidRPr="008D1918">
              <w:rPr>
                <w:rFonts w:cs="Cordia New"/>
                <w:b/>
                <w:sz w:val="20"/>
                <w:szCs w:val="20"/>
                <w:lang w:val="en-AU"/>
              </w:rPr>
              <w:t>(billion)</w:t>
            </w:r>
          </w:p>
        </w:tc>
        <w:tc>
          <w:tcPr>
            <w:tcW w:w="1191" w:type="dxa"/>
            <w:vAlign w:val="center"/>
          </w:tcPr>
          <w:p w:rsidRPr="008D1918" w:rsidR="00A97A75" w:rsidP="001B1345" w:rsidRDefault="00A97A75" w14:paraId="42BC0DD7"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Cordia New"/>
                <w:sz w:val="20"/>
                <w:szCs w:val="20"/>
                <w:lang w:val="en-AU"/>
              </w:rPr>
              <w:t>$13.3</w:t>
            </w:r>
          </w:p>
        </w:tc>
        <w:tc>
          <w:tcPr>
            <w:tcW w:w="1418" w:type="dxa"/>
            <w:vAlign w:val="center"/>
          </w:tcPr>
          <w:p w:rsidRPr="008D1918" w:rsidR="00A97A75" w:rsidP="001B1345" w:rsidRDefault="00A97A75" w14:paraId="436BB7C3"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Cordia New"/>
                <w:sz w:val="20"/>
                <w:szCs w:val="20"/>
                <w:lang w:val="en-AU"/>
              </w:rPr>
              <w:t>$0.2</w:t>
            </w:r>
          </w:p>
        </w:tc>
        <w:tc>
          <w:tcPr>
            <w:tcW w:w="1361" w:type="dxa"/>
            <w:vAlign w:val="center"/>
          </w:tcPr>
          <w:p w:rsidRPr="008D1918" w:rsidR="00A97A75" w:rsidP="001B1345" w:rsidRDefault="00A97A75" w14:paraId="167598B2"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Cordia New"/>
                <w:sz w:val="20"/>
                <w:szCs w:val="20"/>
                <w:lang w:val="en-AU"/>
              </w:rPr>
              <w:t>$0.2</w:t>
            </w:r>
          </w:p>
        </w:tc>
        <w:tc>
          <w:tcPr>
            <w:tcW w:w="1134" w:type="dxa"/>
            <w:vAlign w:val="center"/>
          </w:tcPr>
          <w:p w:rsidRPr="008D1918" w:rsidR="00A97A75" w:rsidP="001B1345" w:rsidRDefault="00A97A75" w14:paraId="386FAADF"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Cordia New"/>
                <w:sz w:val="20"/>
                <w:szCs w:val="20"/>
                <w:lang w:val="en-AU"/>
              </w:rPr>
              <w:t>$0.8</w:t>
            </w:r>
          </w:p>
        </w:tc>
        <w:tc>
          <w:tcPr>
            <w:tcW w:w="1134" w:type="dxa"/>
            <w:vAlign w:val="center"/>
          </w:tcPr>
          <w:p w:rsidRPr="008D1918" w:rsidR="00A97A75" w:rsidP="001B1345" w:rsidRDefault="00A97A75" w14:paraId="2EFB0E6B"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Cordia New"/>
                <w:sz w:val="20"/>
                <w:szCs w:val="20"/>
                <w:lang w:val="en-AU"/>
              </w:rPr>
              <w:t>$2.6</w:t>
            </w:r>
          </w:p>
        </w:tc>
      </w:tr>
      <w:tr w:rsidRPr="008D1918" w:rsidR="00A97A75" w:rsidTr="0018177A" w14:paraId="43900A4A" w14:textId="77777777">
        <w:trPr>
          <w:trHeight w:val="397"/>
        </w:trPr>
        <w:tc>
          <w:tcPr>
            <w:cnfStyle w:val="001000000000" w:firstRow="0" w:lastRow="0" w:firstColumn="1" w:lastColumn="0" w:oddVBand="0" w:evenVBand="0" w:oddHBand="0" w:evenHBand="0" w:firstRowFirstColumn="0" w:firstRowLastColumn="0" w:lastRowFirstColumn="0" w:lastRowLastColumn="0"/>
            <w:tcW w:w="2835" w:type="dxa"/>
            <w:vAlign w:val="bottom"/>
          </w:tcPr>
          <w:p w:rsidRPr="008D1918" w:rsidR="00A97A75" w:rsidP="00D53E7C" w:rsidRDefault="00A97A75" w14:paraId="6D69A6FE" w14:textId="07D2C75A">
            <w:pPr>
              <w:spacing w:before="60" w:after="60"/>
              <w:rPr>
                <w:rFonts w:cs="Arial"/>
                <w:b/>
                <w:sz w:val="20"/>
                <w:szCs w:val="20"/>
                <w:lang w:val="en-AU" w:eastAsia="en-AU"/>
              </w:rPr>
            </w:pPr>
            <w:r w:rsidRPr="008D1918">
              <w:rPr>
                <w:rFonts w:cs="Cordia New"/>
                <w:sz w:val="20"/>
                <w:szCs w:val="20"/>
                <w:lang w:val="en-AU"/>
              </w:rPr>
              <w:t xml:space="preserve">Average amount claimed </w:t>
            </w:r>
            <w:r w:rsidR="00BD7CB5">
              <w:rPr>
                <w:rFonts w:cs="Cordia New"/>
                <w:sz w:val="20"/>
                <w:szCs w:val="20"/>
                <w:lang w:val="en-AU"/>
              </w:rPr>
              <w:br/>
            </w:r>
            <w:r w:rsidRPr="008D1918">
              <w:rPr>
                <w:rFonts w:cs="Cordia New"/>
                <w:sz w:val="20"/>
                <w:szCs w:val="20"/>
                <w:lang w:val="en-AU"/>
              </w:rPr>
              <w:t>by all active providers of DSW-related supports</w:t>
            </w:r>
          </w:p>
        </w:tc>
        <w:tc>
          <w:tcPr>
            <w:tcW w:w="1191" w:type="dxa"/>
            <w:vAlign w:val="center"/>
          </w:tcPr>
          <w:p w:rsidRPr="008D1918" w:rsidR="00A97A75" w:rsidP="00D53E7C" w:rsidRDefault="00A97A75" w14:paraId="0938527E" w14:textId="77777777">
            <w:pPr>
              <w:spacing w:before="60" w:after="60"/>
              <w:cnfStyle w:val="000000000000" w:firstRow="0" w:lastRow="0" w:firstColumn="0" w:lastColumn="0" w:oddVBand="0" w:evenVBand="0" w:oddHBand="0" w:evenHBand="0" w:firstRowFirstColumn="0" w:firstRowLastColumn="0" w:lastRowFirstColumn="0" w:lastRowLastColumn="0"/>
              <w:rPr>
                <w:rFonts w:cs="Arial"/>
                <w:b/>
                <w:sz w:val="20"/>
                <w:szCs w:val="20"/>
                <w:lang w:val="en-AU"/>
              </w:rPr>
            </w:pPr>
            <w:r w:rsidRPr="008D1918">
              <w:rPr>
                <w:rFonts w:cs="Cordia New"/>
                <w:sz w:val="20"/>
                <w:szCs w:val="20"/>
                <w:lang w:val="en-AU"/>
              </w:rPr>
              <w:t>$525,600</w:t>
            </w:r>
          </w:p>
        </w:tc>
        <w:tc>
          <w:tcPr>
            <w:tcW w:w="1418" w:type="dxa"/>
            <w:vAlign w:val="center"/>
          </w:tcPr>
          <w:p w:rsidRPr="008D1918" w:rsidR="00A97A75" w:rsidP="001B1345" w:rsidRDefault="00A97A75" w14:paraId="50C154C2"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b/>
                <w:sz w:val="20"/>
                <w:szCs w:val="20"/>
                <w:lang w:val="en-AU"/>
              </w:rPr>
            </w:pPr>
            <w:r w:rsidRPr="008D1918">
              <w:rPr>
                <w:rFonts w:cs="Cordia New"/>
                <w:sz w:val="20"/>
                <w:szCs w:val="20"/>
                <w:lang w:val="en-AU"/>
              </w:rPr>
              <w:t>$761,500</w:t>
            </w:r>
          </w:p>
        </w:tc>
        <w:tc>
          <w:tcPr>
            <w:tcW w:w="1361" w:type="dxa"/>
            <w:vAlign w:val="center"/>
          </w:tcPr>
          <w:p w:rsidRPr="008D1918" w:rsidR="00A97A75" w:rsidP="001B1345" w:rsidRDefault="00A97A75" w14:paraId="23DD7E08"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b/>
                <w:sz w:val="20"/>
                <w:szCs w:val="20"/>
                <w:lang w:val="en-AU"/>
              </w:rPr>
            </w:pPr>
            <w:r w:rsidRPr="008D1918">
              <w:rPr>
                <w:rFonts w:cs="Cordia New"/>
                <w:sz w:val="20"/>
                <w:szCs w:val="20"/>
                <w:lang w:val="en-AU"/>
              </w:rPr>
              <w:t>$77,400</w:t>
            </w:r>
          </w:p>
        </w:tc>
        <w:tc>
          <w:tcPr>
            <w:tcW w:w="1134" w:type="dxa"/>
            <w:vAlign w:val="center"/>
          </w:tcPr>
          <w:p w:rsidRPr="008D1918" w:rsidR="00A97A75" w:rsidP="001B1345" w:rsidRDefault="00A97A75" w14:paraId="0338AD6F"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b/>
                <w:sz w:val="20"/>
                <w:szCs w:val="20"/>
                <w:lang w:val="en-AU"/>
              </w:rPr>
            </w:pPr>
            <w:r w:rsidRPr="008D1918">
              <w:rPr>
                <w:rFonts w:cs="Cordia New"/>
                <w:sz w:val="20"/>
                <w:szCs w:val="20"/>
                <w:lang w:val="en-AU"/>
              </w:rPr>
              <w:t>$187,700</w:t>
            </w:r>
          </w:p>
        </w:tc>
        <w:tc>
          <w:tcPr>
            <w:tcW w:w="1134" w:type="dxa"/>
            <w:vAlign w:val="center"/>
          </w:tcPr>
          <w:p w:rsidRPr="008D1918" w:rsidR="00A97A75" w:rsidP="001B1345" w:rsidRDefault="00A97A75" w14:paraId="30623B77"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b/>
                <w:sz w:val="20"/>
                <w:szCs w:val="20"/>
                <w:lang w:val="en-AU"/>
              </w:rPr>
            </w:pPr>
            <w:r w:rsidRPr="008D1918">
              <w:rPr>
                <w:rFonts w:cs="Cordia New"/>
                <w:sz w:val="20"/>
                <w:szCs w:val="20"/>
                <w:lang w:val="en-AU"/>
              </w:rPr>
              <w:t>$22,800</w:t>
            </w:r>
          </w:p>
        </w:tc>
      </w:tr>
    </w:tbl>
    <w:p w:rsidRPr="008D1918" w:rsidR="00A97A75" w:rsidRDefault="00A97A75" w14:paraId="07E7A35C"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A97A75" w:rsidP="002204D3" w:rsidRDefault="00A97A75" w14:paraId="5C72B82B" w14:textId="6620740D">
      <w:pPr>
        <w:spacing w:before="120" w:after="360" w:line="240" w:lineRule="atLeast"/>
        <w:rPr>
          <w:sz w:val="20"/>
          <w:szCs w:val="20"/>
          <w:lang w:val="en-AU"/>
        </w:rPr>
      </w:pPr>
      <w:r w:rsidRPr="008D1918">
        <w:rPr>
          <w:sz w:val="20"/>
          <w:szCs w:val="20"/>
          <w:lang w:val="en-AU"/>
        </w:rPr>
        <w:t xml:space="preserve">Note: Providers with a missing </w:t>
      </w:r>
      <w:r w:rsidRPr="008D1918" w:rsidR="00AC57AE">
        <w:rPr>
          <w:sz w:val="20"/>
          <w:szCs w:val="20"/>
          <w:lang w:val="en-AU"/>
        </w:rPr>
        <w:t>l</w:t>
      </w:r>
      <w:r w:rsidRPr="008D1918">
        <w:rPr>
          <w:sz w:val="20"/>
          <w:szCs w:val="20"/>
          <w:lang w:val="en-AU"/>
        </w:rPr>
        <w:t xml:space="preserve">egal </w:t>
      </w:r>
      <w:r w:rsidRPr="008D1918" w:rsidR="00AC57AE">
        <w:rPr>
          <w:sz w:val="20"/>
          <w:szCs w:val="20"/>
          <w:lang w:val="en-AU"/>
        </w:rPr>
        <w:t>e</w:t>
      </w:r>
      <w:r w:rsidRPr="008D1918">
        <w:rPr>
          <w:sz w:val="20"/>
          <w:szCs w:val="20"/>
          <w:lang w:val="en-AU"/>
        </w:rPr>
        <w:t xml:space="preserve">ntity </w:t>
      </w:r>
      <w:r w:rsidRPr="008D1918" w:rsidR="00AC57AE">
        <w:rPr>
          <w:sz w:val="20"/>
          <w:szCs w:val="20"/>
          <w:lang w:val="en-AU"/>
        </w:rPr>
        <w:t>t</w:t>
      </w:r>
      <w:r w:rsidRPr="008D1918">
        <w:rPr>
          <w:sz w:val="20"/>
          <w:szCs w:val="20"/>
          <w:lang w:val="en-AU"/>
        </w:rPr>
        <w:t>ype are excluded.</w:t>
      </w:r>
    </w:p>
    <w:p w:rsidRPr="008D1918" w:rsidR="00A97A75" w:rsidP="00245B10" w:rsidRDefault="00A97A75" w14:paraId="381028DB" w14:textId="77777777">
      <w:pPr>
        <w:pStyle w:val="H5"/>
        <w:rPr>
          <w:rFonts w:eastAsia="Arial"/>
        </w:rPr>
      </w:pPr>
      <w:bookmarkStart w:name="_Toc200103490" w:id="723"/>
      <w:bookmarkStart w:name="_Toc200271603" w:id="724"/>
      <w:bookmarkStart w:name="_Toc223428407" w:id="725"/>
      <w:bookmarkStart w:name="_Toc223445866" w:id="726"/>
      <w:bookmarkStart w:name="_Toc223604710" w:id="727"/>
      <w:r w:rsidRPr="008D1918">
        <w:rPr>
          <w:rFonts w:eastAsia="Arial"/>
        </w:rPr>
        <w:t>Claiming patterns</w:t>
      </w:r>
      <w:bookmarkEnd w:id="723"/>
      <w:bookmarkEnd w:id="724"/>
      <w:bookmarkEnd w:id="725"/>
      <w:bookmarkEnd w:id="726"/>
      <w:bookmarkEnd w:id="727"/>
      <w:r w:rsidRPr="008D1918">
        <w:rPr>
          <w:rFonts w:eastAsia="Arial"/>
        </w:rPr>
        <w:t xml:space="preserve"> </w:t>
      </w:r>
    </w:p>
    <w:p w:rsidRPr="008D1918" w:rsidR="00A97A75" w:rsidRDefault="00A97A75" w14:paraId="0B864AA7" w14:textId="4AEF2905">
      <w:pPr>
        <w:rPr>
          <w:lang w:val="en-AU"/>
        </w:rPr>
      </w:pPr>
      <w:r w:rsidRPr="008D1918">
        <w:rPr>
          <w:lang w:val="en-AU"/>
        </w:rPr>
        <w:t xml:space="preserve">Claiming </w:t>
      </w:r>
      <w:r w:rsidRPr="008D1918" w:rsidR="00FC7A7E">
        <w:rPr>
          <w:lang w:val="en-AU"/>
        </w:rPr>
        <w:t xml:space="preserve">patterns </w:t>
      </w:r>
      <w:r w:rsidRPr="008D1918">
        <w:rPr>
          <w:lang w:val="en-AU"/>
        </w:rPr>
        <w:t xml:space="preserve">for DSW-related supports have remained relatively stable over the past </w:t>
      </w:r>
      <w:r w:rsidRPr="008D1918" w:rsidR="004E05AA">
        <w:rPr>
          <w:lang w:val="en-AU"/>
        </w:rPr>
        <w:t xml:space="preserve">3 </w:t>
      </w:r>
      <w:r w:rsidRPr="008D1918">
        <w:rPr>
          <w:lang w:val="en-AU"/>
        </w:rPr>
        <w:t xml:space="preserve">years, with most claims made at or near the maximum price. </w:t>
      </w:r>
      <w:r w:rsidRPr="008D1918" w:rsidR="00C36D50">
        <w:rPr>
          <w:lang w:val="en-AU"/>
        </w:rPr>
        <w:t xml:space="preserve">In the </w:t>
      </w:r>
      <w:r w:rsidRPr="008D1918" w:rsidR="00FC7A7E">
        <w:rPr>
          <w:lang w:val="en-AU"/>
        </w:rPr>
        <w:t xml:space="preserve">6 </w:t>
      </w:r>
      <w:r w:rsidRPr="008D1918" w:rsidR="00D74547">
        <w:rPr>
          <w:lang w:val="en-AU"/>
        </w:rPr>
        <w:t>months to December 2025, 69</w:t>
      </w:r>
      <w:r w:rsidRPr="008D1918" w:rsidR="00906238">
        <w:rPr>
          <w:lang w:val="en-AU"/>
        </w:rPr>
        <w:t xml:space="preserve"> per cent</w:t>
      </w:r>
      <w:r w:rsidRPr="008D1918" w:rsidR="00D74547">
        <w:rPr>
          <w:lang w:val="en-AU"/>
        </w:rPr>
        <w:t xml:space="preserve"> of all claims were made at </w:t>
      </w:r>
      <w:r w:rsidRPr="008D1918" w:rsidR="003522D0">
        <w:rPr>
          <w:lang w:val="en-AU"/>
        </w:rPr>
        <w:t>the maximum price</w:t>
      </w:r>
      <w:r w:rsidRPr="008D1918" w:rsidR="00D74547">
        <w:rPr>
          <w:lang w:val="en-AU"/>
        </w:rPr>
        <w:t xml:space="preserve">. Registered providers </w:t>
      </w:r>
      <w:r w:rsidRPr="008D1918" w:rsidR="00045B31">
        <w:rPr>
          <w:lang w:val="en-AU"/>
        </w:rPr>
        <w:t xml:space="preserve">have claimed </w:t>
      </w:r>
      <w:r w:rsidRPr="008D1918" w:rsidR="00072464">
        <w:rPr>
          <w:lang w:val="en-AU"/>
        </w:rPr>
        <w:t xml:space="preserve">at </w:t>
      </w:r>
      <w:r w:rsidRPr="008D1918" w:rsidR="003522D0">
        <w:rPr>
          <w:lang w:val="en-AU"/>
        </w:rPr>
        <w:t>that price</w:t>
      </w:r>
      <w:r w:rsidRPr="008D1918" w:rsidR="00072464">
        <w:rPr>
          <w:lang w:val="en-AU"/>
        </w:rPr>
        <w:t xml:space="preserve"> more </w:t>
      </w:r>
      <w:r w:rsidRPr="008D1918" w:rsidR="00FB758B">
        <w:rPr>
          <w:lang w:val="en-AU"/>
        </w:rPr>
        <w:t>consistently</w:t>
      </w:r>
      <w:r w:rsidRPr="008D1918" w:rsidR="00072464">
        <w:rPr>
          <w:lang w:val="en-AU"/>
        </w:rPr>
        <w:t xml:space="preserve"> </w:t>
      </w:r>
      <w:r w:rsidRPr="008D1918" w:rsidR="00B57A2E">
        <w:rPr>
          <w:lang w:val="en-AU"/>
        </w:rPr>
        <w:t xml:space="preserve">than unregistered providers, with the gap remaining </w:t>
      </w:r>
      <w:r w:rsidRPr="008D1918" w:rsidR="00FB758B">
        <w:rPr>
          <w:lang w:val="en-AU"/>
        </w:rPr>
        <w:t>relatively stable</w:t>
      </w:r>
      <w:r w:rsidRPr="008D1918" w:rsidR="00B57A2E">
        <w:rPr>
          <w:lang w:val="en-AU"/>
        </w:rPr>
        <w:t xml:space="preserve"> across the </w:t>
      </w:r>
      <w:r w:rsidRPr="008D1918" w:rsidR="00D235CB">
        <w:rPr>
          <w:lang w:val="en-AU"/>
        </w:rPr>
        <w:t>observation</w:t>
      </w:r>
      <w:r w:rsidRPr="008D1918" w:rsidR="00B57A2E">
        <w:rPr>
          <w:lang w:val="en-AU"/>
        </w:rPr>
        <w:t xml:space="preserve"> period</w:t>
      </w:r>
      <w:r w:rsidRPr="008D1918" w:rsidR="00C4712B">
        <w:rPr>
          <w:lang w:val="en-AU"/>
        </w:rPr>
        <w:t xml:space="preserve"> </w:t>
      </w:r>
      <w:r w:rsidRPr="008D1918" w:rsidR="00B57A2E">
        <w:rPr>
          <w:lang w:val="en-AU"/>
        </w:rPr>
        <w:t>(</w:t>
      </w:r>
      <w:r w:rsidRPr="008D1918" w:rsidR="000163B9">
        <w:rPr>
          <w:lang w:val="en-AU"/>
        </w:rPr>
        <w:fldChar w:fldCharType="begin"/>
      </w:r>
      <w:r w:rsidRPr="008D1918" w:rsidR="000163B9">
        <w:rPr>
          <w:lang w:val="en-AU"/>
        </w:rPr>
        <w:instrText xml:space="preserve"> REF _Ref195556357 \h </w:instrText>
      </w:r>
      <w:r w:rsidRPr="008D1918" w:rsidR="00762DF8">
        <w:rPr>
          <w:lang w:val="en-AU"/>
        </w:rPr>
        <w:instrText xml:space="preserve"> \* MERGEFORMAT </w:instrText>
      </w:r>
      <w:r w:rsidRPr="008D1918" w:rsidR="000163B9">
        <w:rPr>
          <w:lang w:val="en-AU"/>
        </w:rPr>
      </w:r>
      <w:r w:rsidRPr="008D1918" w:rsidR="000163B9">
        <w:rPr>
          <w:lang w:val="en-AU"/>
        </w:rPr>
        <w:fldChar w:fldCharType="separate"/>
      </w:r>
      <w:r w:rsidRPr="008F56A2" w:rsidR="008F56A2">
        <w:rPr>
          <w:lang w:val="en-AU"/>
        </w:rPr>
        <w:t>Table</w:t>
      </w:r>
      <w:r w:rsidRPr="008D1918" w:rsidR="008F56A2">
        <w:t xml:space="preserve"> </w:t>
      </w:r>
      <w:r w:rsidR="008F56A2">
        <w:rPr>
          <w:noProof/>
        </w:rPr>
        <w:t>9</w:t>
      </w:r>
      <w:r w:rsidRPr="008D1918" w:rsidR="000163B9">
        <w:rPr>
          <w:lang w:val="en-AU"/>
        </w:rPr>
        <w:fldChar w:fldCharType="end"/>
      </w:r>
      <w:r w:rsidRPr="008D1918" w:rsidR="005F6FE5">
        <w:rPr>
          <w:lang w:val="en-AU"/>
        </w:rPr>
        <w:t>).</w:t>
      </w:r>
      <w:r w:rsidRPr="008D1918">
        <w:rPr>
          <w:lang w:val="en-AU"/>
        </w:rPr>
        <w:t xml:space="preserve"> </w:t>
      </w:r>
    </w:p>
    <w:p w:rsidRPr="008D1918" w:rsidR="00A97A75" w:rsidP="000163B9" w:rsidRDefault="000163B9" w14:paraId="39EAAB81" w14:textId="04B26C08">
      <w:pPr>
        <w:pStyle w:val="Caption"/>
        <w:rPr>
          <w:i w:val="0"/>
          <w:iCs w:val="0"/>
        </w:rPr>
      </w:pPr>
      <w:bookmarkStart w:name="_Ref195556357" w:id="728"/>
      <w:r w:rsidRPr="008D1918">
        <w:t xml:space="preserve">Table </w:t>
      </w:r>
      <w:r>
        <w:fldChar w:fldCharType="begin"/>
      </w:r>
      <w:r>
        <w:instrText>SEQ Table \* ARABIC</w:instrText>
      </w:r>
      <w:r>
        <w:fldChar w:fldCharType="separate"/>
      </w:r>
      <w:r w:rsidR="008F56A2">
        <w:rPr>
          <w:noProof/>
        </w:rPr>
        <w:t>9</w:t>
      </w:r>
      <w:r>
        <w:fldChar w:fldCharType="end"/>
      </w:r>
      <w:bookmarkEnd w:id="728"/>
      <w:r w:rsidRPr="008D1918" w:rsidR="00A97A75">
        <w:t xml:space="preserve">: Claiming patterns at </w:t>
      </w:r>
      <w:r w:rsidRPr="008D1918" w:rsidR="003522D0">
        <w:t>the maximum price</w:t>
      </w:r>
      <w:r w:rsidRPr="008D1918" w:rsidR="00A97A75">
        <w:t xml:space="preserve"> analysis for DSW-related supports, January </w:t>
      </w:r>
      <w:r w:rsidRPr="008D1918" w:rsidR="00A97A75">
        <w:rPr>
          <w:color w:val="6B2876" w:themeColor="accent5"/>
        </w:rPr>
        <w:t>2023 to December 2025</w:t>
      </w:r>
    </w:p>
    <w:tbl>
      <w:tblPr>
        <w:tblStyle w:val="GridTable4-Accent12"/>
        <w:tblW w:w="9161" w:type="dxa"/>
        <w:tblInd w:w="-5" w:type="dxa"/>
        <w:tblLayout w:type="fixed"/>
        <w:tblLook w:val="04A0" w:firstRow="1" w:lastRow="0" w:firstColumn="1" w:lastColumn="0" w:noHBand="0" w:noVBand="1"/>
        <w:tblCaption w:val="Price limits for Support Coordination Supports"/>
        <w:tblDescription w:val="NDIS pricing details for support coordination supports including the item code, item name, unit of measure, and price limits."/>
      </w:tblPr>
      <w:tblGrid>
        <w:gridCol w:w="1985"/>
        <w:gridCol w:w="1196"/>
        <w:gridCol w:w="1196"/>
        <w:gridCol w:w="1196"/>
        <w:gridCol w:w="1196"/>
        <w:gridCol w:w="1196"/>
        <w:gridCol w:w="1196"/>
      </w:tblGrid>
      <w:tr w:rsidRPr="008D1918" w:rsidR="00A41050" w:rsidTr="00591692" w14:paraId="7C18FD55" w14:textId="7777777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1985" w:type="dxa"/>
            <w:vAlign w:val="center"/>
          </w:tcPr>
          <w:p w:rsidRPr="008D1918" w:rsidR="00A97A75" w:rsidP="00591692" w:rsidRDefault="00A97A75" w14:paraId="7AC24E99" w14:textId="4BE71E30">
            <w:pPr>
              <w:keepNext/>
              <w:spacing w:before="60" w:after="60"/>
              <w:rPr>
                <w:rFonts w:cs="Calibri"/>
                <w:sz w:val="20"/>
                <w:szCs w:val="20"/>
                <w:lang w:val="en-AU" w:eastAsia="en-AU"/>
              </w:rPr>
            </w:pPr>
            <w:r w:rsidRPr="008D1918">
              <w:rPr>
                <w:rFonts w:cs="Arial"/>
                <w:sz w:val="20"/>
                <w:szCs w:val="20"/>
                <w:lang w:val="en-AU" w:eastAsia="en-AU"/>
              </w:rPr>
              <w:t xml:space="preserve">Claiming patterns – at </w:t>
            </w:r>
            <w:r w:rsidRPr="008D1918" w:rsidR="00C675FD">
              <w:rPr>
                <w:sz w:val="20"/>
                <w:szCs w:val="20"/>
                <w:lang w:val="en-AU"/>
              </w:rPr>
              <w:t>published price</w:t>
            </w:r>
          </w:p>
        </w:tc>
        <w:tc>
          <w:tcPr>
            <w:tcW w:w="1196" w:type="dxa"/>
          </w:tcPr>
          <w:p w:rsidRPr="008D1918" w:rsidR="00A97A75" w:rsidP="00C85342" w:rsidRDefault="00A97A75" w14:paraId="0B4E4284" w14:textId="77777777">
            <w:pPr>
              <w:keepNext/>
              <w:spacing w:before="60" w:after="0"/>
              <w:jc w:val="center"/>
              <w:cnfStyle w:val="100000000000" w:firstRow="1" w:lastRow="0" w:firstColumn="0" w:lastColumn="0" w:oddVBand="0" w:evenVBand="0" w:oddHBand="0" w:evenHBand="0" w:firstRowFirstColumn="0" w:firstRowLastColumn="0" w:lastRowFirstColumn="0" w:lastRowLastColumn="0"/>
              <w:rPr>
                <w:rFonts w:cs="Cordia New"/>
                <w:sz w:val="20"/>
                <w:szCs w:val="20"/>
                <w:lang w:val="en-AU"/>
              </w:rPr>
            </w:pPr>
            <w:r w:rsidRPr="008D1918">
              <w:rPr>
                <w:rFonts w:cs="Cordia New"/>
                <w:sz w:val="20"/>
                <w:szCs w:val="20"/>
                <w:lang w:val="en-AU"/>
              </w:rPr>
              <w:t>January – June</w:t>
            </w:r>
          </w:p>
          <w:p w:rsidRPr="008D1918" w:rsidR="00A97A75" w:rsidP="00C85342" w:rsidRDefault="00A97A75" w14:paraId="545A6A0A" w14:textId="77777777">
            <w:pPr>
              <w:keepNext/>
              <w:spacing w:before="0" w:after="6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rFonts w:cs="Cordia New"/>
                <w:sz w:val="20"/>
                <w:szCs w:val="20"/>
                <w:lang w:val="en-AU"/>
              </w:rPr>
              <w:t>2023</w:t>
            </w:r>
          </w:p>
        </w:tc>
        <w:tc>
          <w:tcPr>
            <w:tcW w:w="1196" w:type="dxa"/>
          </w:tcPr>
          <w:p w:rsidRPr="008D1918" w:rsidR="00A97A75" w:rsidP="001B1345" w:rsidRDefault="00A97A75" w14:paraId="2BA2E24B" w14:textId="77777777">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rFonts w:cs="Cordia New"/>
                <w:sz w:val="20"/>
                <w:szCs w:val="20"/>
                <w:lang w:val="en-AU"/>
              </w:rPr>
              <w:t>July – December 2023</w:t>
            </w:r>
          </w:p>
        </w:tc>
        <w:tc>
          <w:tcPr>
            <w:tcW w:w="1196" w:type="dxa"/>
          </w:tcPr>
          <w:p w:rsidRPr="008D1918" w:rsidR="00A97A75" w:rsidP="00C85342" w:rsidRDefault="00A97A75" w14:paraId="22D016DD" w14:textId="77777777">
            <w:pPr>
              <w:keepNext/>
              <w:spacing w:before="60" w:after="0"/>
              <w:jc w:val="center"/>
              <w:cnfStyle w:val="100000000000" w:firstRow="1" w:lastRow="0" w:firstColumn="0" w:lastColumn="0" w:oddVBand="0" w:evenVBand="0" w:oddHBand="0" w:evenHBand="0" w:firstRowFirstColumn="0" w:firstRowLastColumn="0" w:lastRowFirstColumn="0" w:lastRowLastColumn="0"/>
              <w:rPr>
                <w:rFonts w:cs="Cordia New"/>
                <w:sz w:val="20"/>
                <w:szCs w:val="20"/>
                <w:lang w:val="en-AU"/>
              </w:rPr>
            </w:pPr>
            <w:r w:rsidRPr="008D1918">
              <w:rPr>
                <w:rFonts w:cs="Cordia New"/>
                <w:sz w:val="20"/>
                <w:szCs w:val="20"/>
                <w:lang w:val="en-AU"/>
              </w:rPr>
              <w:t>January – June</w:t>
            </w:r>
          </w:p>
          <w:p w:rsidRPr="008D1918" w:rsidR="00A97A75" w:rsidP="00C85342" w:rsidRDefault="00A97A75" w14:paraId="2409D7EE" w14:textId="77777777">
            <w:pPr>
              <w:keepNext/>
              <w:spacing w:before="0" w:after="6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rFonts w:cs="Cordia New"/>
                <w:sz w:val="20"/>
                <w:szCs w:val="20"/>
                <w:lang w:val="en-AU"/>
              </w:rPr>
              <w:t>2024</w:t>
            </w:r>
          </w:p>
        </w:tc>
        <w:tc>
          <w:tcPr>
            <w:tcW w:w="1196" w:type="dxa"/>
          </w:tcPr>
          <w:p w:rsidRPr="008D1918" w:rsidR="00A97A75" w:rsidP="001B1345" w:rsidRDefault="00A97A75" w14:paraId="28AD8F6B" w14:textId="77777777">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rFonts w:cs="Cordia New"/>
                <w:sz w:val="20"/>
                <w:szCs w:val="20"/>
                <w:lang w:val="en-AU"/>
              </w:rPr>
              <w:t>July – December 2024</w:t>
            </w:r>
          </w:p>
        </w:tc>
        <w:tc>
          <w:tcPr>
            <w:tcW w:w="1196" w:type="dxa"/>
          </w:tcPr>
          <w:p w:rsidRPr="008D1918" w:rsidR="00A97A75" w:rsidP="00C85342" w:rsidRDefault="00A97A75" w14:paraId="2563BA10" w14:textId="77777777">
            <w:pPr>
              <w:keepNext/>
              <w:spacing w:before="60" w:after="0"/>
              <w:jc w:val="center"/>
              <w:cnfStyle w:val="100000000000" w:firstRow="1" w:lastRow="0" w:firstColumn="0" w:lastColumn="0" w:oddVBand="0" w:evenVBand="0" w:oddHBand="0" w:evenHBand="0" w:firstRowFirstColumn="0" w:firstRowLastColumn="0" w:lastRowFirstColumn="0" w:lastRowLastColumn="0"/>
              <w:rPr>
                <w:rFonts w:cs="Cordia New"/>
                <w:sz w:val="20"/>
                <w:szCs w:val="20"/>
                <w:lang w:val="en-AU"/>
              </w:rPr>
            </w:pPr>
            <w:r w:rsidRPr="008D1918">
              <w:rPr>
                <w:rFonts w:cs="Cordia New"/>
                <w:sz w:val="20"/>
                <w:szCs w:val="20"/>
                <w:lang w:val="en-AU"/>
              </w:rPr>
              <w:t>January – June</w:t>
            </w:r>
          </w:p>
          <w:p w:rsidRPr="008D1918" w:rsidR="00A97A75" w:rsidP="00C85342" w:rsidRDefault="00A97A75" w14:paraId="7DE5C882" w14:textId="77777777">
            <w:pPr>
              <w:keepNext/>
              <w:spacing w:before="0" w:after="6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rFonts w:cs="Cordia New"/>
                <w:sz w:val="20"/>
                <w:szCs w:val="20"/>
                <w:lang w:val="en-AU"/>
              </w:rPr>
              <w:t>2025</w:t>
            </w:r>
          </w:p>
        </w:tc>
        <w:tc>
          <w:tcPr>
            <w:tcW w:w="1196" w:type="dxa"/>
          </w:tcPr>
          <w:p w:rsidRPr="008D1918" w:rsidR="00A97A75" w:rsidP="001B1345" w:rsidRDefault="00A97A75" w14:paraId="734A151D" w14:textId="77777777">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rFonts w:cs="Cordia New"/>
                <w:sz w:val="20"/>
                <w:szCs w:val="20"/>
                <w:lang w:val="en-AU"/>
              </w:rPr>
              <w:t>July – December 2025</w:t>
            </w:r>
          </w:p>
        </w:tc>
      </w:tr>
      <w:tr w:rsidRPr="008D1918" w:rsidR="00A238C6" w14:paraId="19BEAF89"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85" w:type="dxa"/>
          </w:tcPr>
          <w:p w:rsidRPr="008D1918" w:rsidR="00A97A75" w:rsidP="000016F0" w:rsidRDefault="00A97A75" w14:paraId="65BB9333" w14:textId="77777777">
            <w:pPr>
              <w:keepNext/>
              <w:spacing w:before="60" w:after="60"/>
              <w:rPr>
                <w:rFonts w:cs="Calibri"/>
                <w:sz w:val="20"/>
                <w:szCs w:val="20"/>
                <w:lang w:val="en-AU" w:eastAsia="en-AU"/>
              </w:rPr>
            </w:pPr>
            <w:r w:rsidRPr="008D1918">
              <w:rPr>
                <w:rFonts w:cs="Cordia New"/>
                <w:sz w:val="20"/>
                <w:szCs w:val="20"/>
                <w:lang w:val="en-AU"/>
              </w:rPr>
              <w:t>Registered</w:t>
            </w:r>
          </w:p>
        </w:tc>
        <w:tc>
          <w:tcPr>
            <w:tcW w:w="1196" w:type="dxa"/>
          </w:tcPr>
          <w:p w:rsidRPr="008D1918" w:rsidR="00A97A75" w:rsidP="000016F0" w:rsidRDefault="00A97A75" w14:paraId="680AE5F7" w14:textId="77777777">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ordia New"/>
                <w:sz w:val="20"/>
                <w:szCs w:val="20"/>
                <w:lang w:val="en-AU" w:eastAsia="en-AU"/>
              </w:rPr>
            </w:pPr>
            <w:r w:rsidRPr="008D1918">
              <w:rPr>
                <w:rFonts w:cs="Cordia New"/>
                <w:sz w:val="20"/>
                <w:szCs w:val="20"/>
                <w:lang w:val="en-AU"/>
              </w:rPr>
              <w:t>74%</w:t>
            </w:r>
          </w:p>
        </w:tc>
        <w:tc>
          <w:tcPr>
            <w:tcW w:w="1196" w:type="dxa"/>
          </w:tcPr>
          <w:p w:rsidRPr="008D1918" w:rsidR="00A97A75" w:rsidP="000016F0" w:rsidRDefault="00A97A75" w14:paraId="052517CA" w14:textId="77777777">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AU" w:eastAsia="en-AU"/>
              </w:rPr>
            </w:pPr>
            <w:r w:rsidRPr="008D1918">
              <w:rPr>
                <w:rFonts w:cs="Cordia New"/>
                <w:sz w:val="20"/>
                <w:szCs w:val="20"/>
                <w:lang w:val="en-AU"/>
              </w:rPr>
              <w:t>73%</w:t>
            </w:r>
          </w:p>
        </w:tc>
        <w:tc>
          <w:tcPr>
            <w:tcW w:w="1196" w:type="dxa"/>
          </w:tcPr>
          <w:p w:rsidRPr="008D1918" w:rsidR="00A97A75" w:rsidP="000016F0" w:rsidRDefault="00A97A75" w14:paraId="7B0E58CD" w14:textId="77777777">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AU" w:eastAsia="en-AU"/>
              </w:rPr>
            </w:pPr>
            <w:r w:rsidRPr="008D1918">
              <w:rPr>
                <w:rFonts w:cs="Cordia New"/>
                <w:sz w:val="20"/>
                <w:szCs w:val="20"/>
                <w:lang w:val="en-AU"/>
              </w:rPr>
              <w:t>71%</w:t>
            </w:r>
          </w:p>
        </w:tc>
        <w:tc>
          <w:tcPr>
            <w:tcW w:w="1196" w:type="dxa"/>
          </w:tcPr>
          <w:p w:rsidRPr="008D1918" w:rsidR="00A97A75" w:rsidP="000016F0" w:rsidRDefault="00A97A75" w14:paraId="7071A80E" w14:textId="77777777">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AU" w:eastAsia="en-AU"/>
              </w:rPr>
            </w:pPr>
            <w:r w:rsidRPr="008D1918">
              <w:rPr>
                <w:rFonts w:cs="Cordia New"/>
                <w:sz w:val="20"/>
                <w:szCs w:val="20"/>
                <w:lang w:val="en-AU"/>
              </w:rPr>
              <w:t>71%</w:t>
            </w:r>
          </w:p>
        </w:tc>
        <w:tc>
          <w:tcPr>
            <w:tcW w:w="1196" w:type="dxa"/>
          </w:tcPr>
          <w:p w:rsidRPr="008D1918" w:rsidR="00A97A75" w:rsidP="000016F0" w:rsidRDefault="00A97A75" w14:paraId="53491D64" w14:textId="77777777">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AU"/>
              </w:rPr>
            </w:pPr>
            <w:r w:rsidRPr="008D1918">
              <w:rPr>
                <w:rFonts w:cs="Cordia New"/>
                <w:sz w:val="20"/>
                <w:szCs w:val="20"/>
                <w:lang w:val="en-AU"/>
              </w:rPr>
              <w:t>74%</w:t>
            </w:r>
          </w:p>
        </w:tc>
        <w:tc>
          <w:tcPr>
            <w:tcW w:w="1196" w:type="dxa"/>
          </w:tcPr>
          <w:p w:rsidRPr="008D1918" w:rsidR="00A97A75" w:rsidP="000016F0" w:rsidRDefault="00A97A75" w14:paraId="36F96C5B" w14:textId="77777777">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AU"/>
              </w:rPr>
            </w:pPr>
            <w:r w:rsidRPr="008D1918">
              <w:rPr>
                <w:rFonts w:cs="Cordia New"/>
                <w:sz w:val="20"/>
                <w:szCs w:val="20"/>
                <w:lang w:val="en-AU"/>
              </w:rPr>
              <w:t>73%</w:t>
            </w:r>
          </w:p>
        </w:tc>
      </w:tr>
      <w:tr w:rsidRPr="008D1918" w:rsidR="00A97A75" w14:paraId="4E3C9F95" w14:textId="77777777">
        <w:trPr>
          <w:trHeight w:val="397"/>
        </w:trPr>
        <w:tc>
          <w:tcPr>
            <w:cnfStyle w:val="001000000000" w:firstRow="0" w:lastRow="0" w:firstColumn="1" w:lastColumn="0" w:oddVBand="0" w:evenVBand="0" w:oddHBand="0" w:evenHBand="0" w:firstRowFirstColumn="0" w:firstRowLastColumn="0" w:lastRowFirstColumn="0" w:lastRowLastColumn="0"/>
            <w:tcW w:w="1985" w:type="dxa"/>
          </w:tcPr>
          <w:p w:rsidRPr="008D1918" w:rsidR="00A97A75" w:rsidP="000016F0" w:rsidRDefault="00A97A75" w14:paraId="4360D164" w14:textId="77777777">
            <w:pPr>
              <w:keepNext/>
              <w:spacing w:before="60" w:after="60"/>
              <w:rPr>
                <w:rFonts w:cs="Calibri"/>
                <w:sz w:val="20"/>
                <w:szCs w:val="20"/>
                <w:lang w:val="en-AU" w:eastAsia="en-AU"/>
              </w:rPr>
            </w:pPr>
            <w:r w:rsidRPr="008D1918">
              <w:rPr>
                <w:rFonts w:cs="Cordia New"/>
                <w:sz w:val="20"/>
                <w:szCs w:val="20"/>
                <w:lang w:val="en-AU"/>
              </w:rPr>
              <w:t>Unregistered</w:t>
            </w:r>
          </w:p>
        </w:tc>
        <w:tc>
          <w:tcPr>
            <w:tcW w:w="1196" w:type="dxa"/>
          </w:tcPr>
          <w:p w:rsidRPr="008D1918" w:rsidR="00A97A75" w:rsidP="000016F0" w:rsidRDefault="00A97A75" w14:paraId="744DD320" w14:textId="77777777">
            <w:pPr>
              <w:keepNext/>
              <w:spacing w:before="60" w:after="60"/>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AU" w:eastAsia="en-AU"/>
              </w:rPr>
            </w:pPr>
            <w:r w:rsidRPr="008D1918">
              <w:rPr>
                <w:rFonts w:cs="Cordia New"/>
                <w:sz w:val="20"/>
                <w:szCs w:val="20"/>
                <w:lang w:val="en-AU"/>
              </w:rPr>
              <w:t>60%</w:t>
            </w:r>
          </w:p>
        </w:tc>
        <w:tc>
          <w:tcPr>
            <w:tcW w:w="1196" w:type="dxa"/>
          </w:tcPr>
          <w:p w:rsidRPr="008D1918" w:rsidR="00A97A75" w:rsidP="000016F0" w:rsidRDefault="00A97A75" w14:paraId="68A95EBF" w14:textId="77777777">
            <w:pPr>
              <w:keepNext/>
              <w:spacing w:before="60" w:after="60"/>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AU" w:eastAsia="en-AU"/>
              </w:rPr>
            </w:pPr>
            <w:r w:rsidRPr="008D1918">
              <w:rPr>
                <w:rFonts w:cs="Cordia New"/>
                <w:sz w:val="20"/>
                <w:szCs w:val="20"/>
                <w:lang w:val="en-AU"/>
              </w:rPr>
              <w:t>56%</w:t>
            </w:r>
          </w:p>
        </w:tc>
        <w:tc>
          <w:tcPr>
            <w:tcW w:w="1196" w:type="dxa"/>
          </w:tcPr>
          <w:p w:rsidRPr="008D1918" w:rsidR="00A97A75" w:rsidP="000016F0" w:rsidRDefault="00A97A75" w14:paraId="44A4A36C" w14:textId="77777777">
            <w:pPr>
              <w:keepNext/>
              <w:spacing w:before="60" w:after="60"/>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AU" w:eastAsia="en-AU"/>
              </w:rPr>
            </w:pPr>
            <w:r w:rsidRPr="008D1918">
              <w:rPr>
                <w:rFonts w:cs="Cordia New"/>
                <w:sz w:val="20"/>
                <w:szCs w:val="20"/>
                <w:lang w:val="en-AU"/>
              </w:rPr>
              <w:t>61%</w:t>
            </w:r>
          </w:p>
        </w:tc>
        <w:tc>
          <w:tcPr>
            <w:tcW w:w="1196" w:type="dxa"/>
          </w:tcPr>
          <w:p w:rsidRPr="008D1918" w:rsidR="00A97A75" w:rsidP="000016F0" w:rsidRDefault="00A97A75" w14:paraId="7B1E3E7F" w14:textId="77777777">
            <w:pPr>
              <w:keepNext/>
              <w:spacing w:before="60" w:after="60"/>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AU" w:eastAsia="en-AU"/>
              </w:rPr>
            </w:pPr>
            <w:r w:rsidRPr="008D1918">
              <w:rPr>
                <w:rFonts w:cs="Cordia New"/>
                <w:sz w:val="20"/>
                <w:szCs w:val="20"/>
                <w:lang w:val="en-AU"/>
              </w:rPr>
              <w:t>57%</w:t>
            </w:r>
          </w:p>
        </w:tc>
        <w:tc>
          <w:tcPr>
            <w:tcW w:w="1196" w:type="dxa"/>
          </w:tcPr>
          <w:p w:rsidRPr="008D1918" w:rsidR="00A97A75" w:rsidP="000016F0" w:rsidRDefault="00A97A75" w14:paraId="52508D4A" w14:textId="77777777">
            <w:pPr>
              <w:keepNext/>
              <w:spacing w:before="60" w:after="6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en-AU"/>
              </w:rPr>
            </w:pPr>
            <w:r w:rsidRPr="008D1918">
              <w:rPr>
                <w:rFonts w:cs="Cordia New"/>
                <w:sz w:val="20"/>
                <w:szCs w:val="20"/>
                <w:lang w:val="en-AU"/>
              </w:rPr>
              <w:t>64%</w:t>
            </w:r>
          </w:p>
        </w:tc>
        <w:tc>
          <w:tcPr>
            <w:tcW w:w="1196" w:type="dxa"/>
          </w:tcPr>
          <w:p w:rsidRPr="008D1918" w:rsidR="00A97A75" w:rsidP="000016F0" w:rsidRDefault="00A97A75" w14:paraId="77493329" w14:textId="77777777">
            <w:pPr>
              <w:keepNext/>
              <w:spacing w:before="60" w:after="6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en-AU"/>
              </w:rPr>
            </w:pPr>
            <w:r w:rsidRPr="008D1918">
              <w:rPr>
                <w:rFonts w:cs="Cordia New"/>
                <w:sz w:val="20"/>
                <w:szCs w:val="20"/>
                <w:lang w:val="en-AU"/>
              </w:rPr>
              <w:t>61%</w:t>
            </w:r>
          </w:p>
        </w:tc>
      </w:tr>
      <w:tr w:rsidRPr="008D1918" w:rsidR="00A238C6" w14:paraId="1B9311D0"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85" w:type="dxa"/>
          </w:tcPr>
          <w:p w:rsidRPr="008D1918" w:rsidR="00A97A75" w:rsidP="000016F0" w:rsidRDefault="00A97A75" w14:paraId="06C3025B" w14:textId="6D3DBB6A">
            <w:pPr>
              <w:keepNext/>
              <w:spacing w:before="60" w:after="60"/>
              <w:rPr>
                <w:rFonts w:cs="Calibri"/>
                <w:b/>
                <w:sz w:val="20"/>
                <w:szCs w:val="20"/>
                <w:lang w:val="en-AU" w:eastAsia="en-AU"/>
              </w:rPr>
            </w:pPr>
            <w:r w:rsidRPr="008D1918">
              <w:rPr>
                <w:rFonts w:cs="Cordia New"/>
                <w:b/>
                <w:sz w:val="20"/>
                <w:szCs w:val="20"/>
                <w:lang w:val="en-AU"/>
              </w:rPr>
              <w:t xml:space="preserve">All </w:t>
            </w:r>
            <w:r w:rsidRPr="008D1918" w:rsidR="00591692">
              <w:rPr>
                <w:rFonts w:cs="Cordia New"/>
                <w:b/>
                <w:sz w:val="20"/>
                <w:szCs w:val="20"/>
                <w:lang w:val="en-AU"/>
              </w:rPr>
              <w:t>p</w:t>
            </w:r>
            <w:r w:rsidRPr="008D1918">
              <w:rPr>
                <w:rFonts w:cs="Cordia New"/>
                <w:b/>
                <w:sz w:val="20"/>
                <w:szCs w:val="20"/>
                <w:lang w:val="en-AU"/>
              </w:rPr>
              <w:t>roviders</w:t>
            </w:r>
          </w:p>
        </w:tc>
        <w:tc>
          <w:tcPr>
            <w:tcW w:w="1196" w:type="dxa"/>
          </w:tcPr>
          <w:p w:rsidRPr="008D1918" w:rsidR="00A97A75" w:rsidP="000016F0" w:rsidRDefault="00A97A75" w14:paraId="023E0DC4" w14:textId="77777777">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ordia New"/>
                <w:b/>
                <w:sz w:val="20"/>
                <w:szCs w:val="20"/>
                <w:lang w:val="en-AU"/>
              </w:rPr>
            </w:pPr>
            <w:r w:rsidRPr="008D1918">
              <w:rPr>
                <w:rFonts w:cs="Cordia New"/>
                <w:b/>
                <w:sz w:val="20"/>
                <w:szCs w:val="20"/>
                <w:lang w:val="en-AU"/>
              </w:rPr>
              <w:t>70%</w:t>
            </w:r>
          </w:p>
        </w:tc>
        <w:tc>
          <w:tcPr>
            <w:tcW w:w="1196" w:type="dxa"/>
          </w:tcPr>
          <w:p w:rsidRPr="008D1918" w:rsidR="00A97A75" w:rsidP="000016F0" w:rsidRDefault="00A97A75" w14:paraId="21A2CE3B" w14:textId="77777777">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b/>
                <w:sz w:val="20"/>
                <w:szCs w:val="20"/>
                <w:lang w:val="en-AU"/>
              </w:rPr>
            </w:pPr>
            <w:r w:rsidRPr="008D1918">
              <w:rPr>
                <w:rFonts w:cs="Cordia New"/>
                <w:b/>
                <w:sz w:val="20"/>
                <w:szCs w:val="20"/>
                <w:lang w:val="en-AU"/>
              </w:rPr>
              <w:t>67%</w:t>
            </w:r>
          </w:p>
        </w:tc>
        <w:tc>
          <w:tcPr>
            <w:tcW w:w="1196" w:type="dxa"/>
          </w:tcPr>
          <w:p w:rsidRPr="008D1918" w:rsidR="00A97A75" w:rsidP="000016F0" w:rsidRDefault="00A97A75" w14:paraId="7DCE5F7C" w14:textId="77777777">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b/>
                <w:sz w:val="20"/>
                <w:szCs w:val="20"/>
                <w:lang w:val="en-AU"/>
              </w:rPr>
            </w:pPr>
            <w:r w:rsidRPr="008D1918">
              <w:rPr>
                <w:rFonts w:cs="Cordia New"/>
                <w:b/>
                <w:sz w:val="20"/>
                <w:szCs w:val="20"/>
                <w:lang w:val="en-AU"/>
              </w:rPr>
              <w:t>67%</w:t>
            </w:r>
          </w:p>
        </w:tc>
        <w:tc>
          <w:tcPr>
            <w:tcW w:w="1196" w:type="dxa"/>
          </w:tcPr>
          <w:p w:rsidRPr="008D1918" w:rsidR="00A97A75" w:rsidP="000016F0" w:rsidRDefault="00A97A75" w14:paraId="713215C6" w14:textId="77777777">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b/>
                <w:sz w:val="20"/>
                <w:szCs w:val="20"/>
                <w:lang w:val="en-AU"/>
              </w:rPr>
            </w:pPr>
            <w:r w:rsidRPr="008D1918">
              <w:rPr>
                <w:rFonts w:cs="Cordia New"/>
                <w:b/>
                <w:sz w:val="20"/>
                <w:szCs w:val="20"/>
                <w:lang w:val="en-AU"/>
              </w:rPr>
              <w:t>66%</w:t>
            </w:r>
          </w:p>
        </w:tc>
        <w:tc>
          <w:tcPr>
            <w:tcW w:w="1196" w:type="dxa"/>
          </w:tcPr>
          <w:p w:rsidRPr="008D1918" w:rsidR="00A97A75" w:rsidP="000016F0" w:rsidRDefault="00A97A75" w14:paraId="297A4557" w14:textId="77777777">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b/>
                <w:sz w:val="20"/>
                <w:szCs w:val="20"/>
                <w:lang w:val="en-AU"/>
              </w:rPr>
            </w:pPr>
            <w:r w:rsidRPr="008D1918">
              <w:rPr>
                <w:rFonts w:cs="Cordia New"/>
                <w:b/>
                <w:sz w:val="20"/>
                <w:szCs w:val="20"/>
                <w:lang w:val="en-AU"/>
              </w:rPr>
              <w:t>70%</w:t>
            </w:r>
          </w:p>
        </w:tc>
        <w:tc>
          <w:tcPr>
            <w:tcW w:w="1196" w:type="dxa"/>
          </w:tcPr>
          <w:p w:rsidRPr="008D1918" w:rsidR="00A97A75" w:rsidP="000016F0" w:rsidRDefault="00A97A75" w14:paraId="52C2F08C" w14:textId="77777777">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b/>
                <w:sz w:val="20"/>
                <w:szCs w:val="20"/>
                <w:lang w:val="en-AU"/>
              </w:rPr>
            </w:pPr>
            <w:r w:rsidRPr="008D1918">
              <w:rPr>
                <w:rFonts w:cs="Cordia New"/>
                <w:b/>
                <w:sz w:val="20"/>
                <w:szCs w:val="20"/>
                <w:lang w:val="en-AU"/>
              </w:rPr>
              <w:t>69%</w:t>
            </w:r>
          </w:p>
        </w:tc>
      </w:tr>
    </w:tbl>
    <w:p w:rsidRPr="008D1918" w:rsidR="00A97A75" w:rsidP="000016F0" w:rsidRDefault="00A97A75" w14:paraId="741F2210" w14:textId="77777777">
      <w:pPr>
        <w:spacing w:before="120" w:after="3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A97A75" w:rsidP="00245B10" w:rsidRDefault="00A97A75" w14:paraId="696AC748" w14:textId="77777777">
      <w:pPr>
        <w:pStyle w:val="H5"/>
        <w:rPr>
          <w:rFonts w:eastAsia="Arial"/>
        </w:rPr>
      </w:pPr>
      <w:bookmarkStart w:name="_Toc223428408" w:id="729"/>
      <w:bookmarkStart w:name="_Toc223445867" w:id="730"/>
      <w:bookmarkStart w:name="_Toc223604711" w:id="731"/>
      <w:r w:rsidRPr="008D1918">
        <w:rPr>
          <w:rFonts w:eastAsia="Arial"/>
        </w:rPr>
        <w:t>Provider scale and share of payments</w:t>
      </w:r>
      <w:bookmarkEnd w:id="729"/>
      <w:bookmarkEnd w:id="730"/>
      <w:bookmarkEnd w:id="731"/>
    </w:p>
    <w:p w:rsidRPr="008D1918" w:rsidR="00A97A75" w:rsidRDefault="00A97A75" w14:paraId="406BFE95" w14:textId="20124286">
      <w:pPr>
        <w:rPr>
          <w:b/>
          <w:bCs/>
          <w:lang w:val="en-AU"/>
        </w:rPr>
      </w:pPr>
      <w:r w:rsidRPr="008D1918">
        <w:rPr>
          <w:lang w:val="en-AU"/>
        </w:rPr>
        <w:t xml:space="preserve">The market remains highly </w:t>
      </w:r>
      <w:r w:rsidRPr="008D1918" w:rsidR="00071B40">
        <w:rPr>
          <w:lang w:val="en-AU"/>
        </w:rPr>
        <w:t xml:space="preserve">diverse </w:t>
      </w:r>
      <w:r w:rsidRPr="008D1918" w:rsidR="004B608F">
        <w:rPr>
          <w:lang w:val="en-AU"/>
        </w:rPr>
        <w:t>in terms of size of providers</w:t>
      </w:r>
      <w:r w:rsidRPr="008D1918" w:rsidR="00E776B6">
        <w:rPr>
          <w:lang w:val="en-AU"/>
        </w:rPr>
        <w:t>. P</w:t>
      </w:r>
      <w:r w:rsidRPr="008D1918">
        <w:rPr>
          <w:lang w:val="en-AU"/>
        </w:rPr>
        <w:t xml:space="preserve">roviders supporting </w:t>
      </w:r>
      <w:r w:rsidRPr="008D1918" w:rsidR="00FC7A7E">
        <w:rPr>
          <w:lang w:val="en-AU"/>
        </w:rPr>
        <w:t>5</w:t>
      </w:r>
      <w:r w:rsidRPr="008D1918">
        <w:rPr>
          <w:lang w:val="en-AU"/>
        </w:rPr>
        <w:t xml:space="preserve"> or fewer participants account for 89% of all DSW providers but claim only 17% of total payments. </w:t>
      </w:r>
      <w:r w:rsidRPr="008D1918" w:rsidR="00800DD8">
        <w:rPr>
          <w:lang w:val="en-AU"/>
        </w:rPr>
        <w:t xml:space="preserve">More than half of all </w:t>
      </w:r>
      <w:r w:rsidRPr="008D1918" w:rsidR="00814CC6">
        <w:rPr>
          <w:lang w:val="en-AU"/>
        </w:rPr>
        <w:t xml:space="preserve">active providers, 81,819 providers, support a single participant. </w:t>
      </w:r>
      <w:r w:rsidRPr="008D1918" w:rsidR="00164CD7">
        <w:rPr>
          <w:lang w:val="en-AU"/>
        </w:rPr>
        <w:t>At the other end of the distribution, providers supporting more than 100 participants account for less than 0.5% of providers but 34% of total payments</w:t>
      </w:r>
      <w:r w:rsidRPr="008D1918" w:rsidR="00AB005A">
        <w:rPr>
          <w:lang w:val="en-AU"/>
        </w:rPr>
        <w:t xml:space="preserve"> (</w:t>
      </w:r>
      <w:r w:rsidRPr="008D1918" w:rsidR="00AB005A">
        <w:rPr>
          <w:lang w:val="en-AU"/>
        </w:rPr>
        <w:fldChar w:fldCharType="begin"/>
      </w:r>
      <w:r w:rsidRPr="008D1918" w:rsidR="00AB005A">
        <w:rPr>
          <w:lang w:val="en-AU"/>
        </w:rPr>
        <w:instrText xml:space="preserve"> REF _Ref223686308 \h  \* MERGEFORMAT </w:instrText>
      </w:r>
      <w:r w:rsidRPr="008D1918" w:rsidR="00AB005A">
        <w:rPr>
          <w:lang w:val="en-AU"/>
        </w:rPr>
      </w:r>
      <w:r w:rsidRPr="008D1918" w:rsidR="00AB005A">
        <w:rPr>
          <w:lang w:val="en-AU"/>
        </w:rPr>
        <w:fldChar w:fldCharType="separate"/>
      </w:r>
      <w:r w:rsidRPr="008F56A2" w:rsidR="008F56A2">
        <w:rPr>
          <w:lang w:val="en-AU"/>
        </w:rPr>
        <w:t>Table</w:t>
      </w:r>
      <w:r w:rsidRPr="008D1918" w:rsidR="008F56A2">
        <w:t xml:space="preserve"> </w:t>
      </w:r>
      <w:r w:rsidR="008F56A2">
        <w:rPr>
          <w:noProof/>
        </w:rPr>
        <w:t>10</w:t>
      </w:r>
      <w:r w:rsidRPr="008D1918" w:rsidR="00AB005A">
        <w:rPr>
          <w:lang w:val="en-AU"/>
        </w:rPr>
        <w:fldChar w:fldCharType="end"/>
      </w:r>
      <w:r w:rsidRPr="008D1918" w:rsidR="00AB005A">
        <w:rPr>
          <w:lang w:val="en-AU"/>
        </w:rPr>
        <w:t>)</w:t>
      </w:r>
      <w:r w:rsidRPr="008D1918" w:rsidR="00164CD7">
        <w:rPr>
          <w:lang w:val="en-AU"/>
        </w:rPr>
        <w:t xml:space="preserve">. </w:t>
      </w:r>
      <w:r w:rsidRPr="008D1918" w:rsidR="0083729C">
        <w:rPr>
          <w:lang w:val="en-AU"/>
        </w:rPr>
        <w:t>The diversity in the scale of providers</w:t>
      </w:r>
      <w:r w:rsidRPr="008D1918" w:rsidR="00CC3198">
        <w:rPr>
          <w:lang w:val="en-AU"/>
        </w:rPr>
        <w:t xml:space="preserve"> </w:t>
      </w:r>
      <w:r w:rsidR="00D50338">
        <w:rPr>
          <w:lang w:val="en-AU"/>
        </w:rPr>
        <w:t>means care is required</w:t>
      </w:r>
      <w:r w:rsidRPr="008D1918" w:rsidR="00CC3198">
        <w:rPr>
          <w:lang w:val="en-AU"/>
        </w:rPr>
        <w:t xml:space="preserve"> </w:t>
      </w:r>
      <w:r w:rsidR="005D0B56">
        <w:rPr>
          <w:lang w:val="en-AU"/>
        </w:rPr>
        <w:t>when</w:t>
      </w:r>
      <w:r w:rsidRPr="008D1918" w:rsidR="005D0B56">
        <w:rPr>
          <w:lang w:val="en-AU"/>
        </w:rPr>
        <w:t xml:space="preserve"> </w:t>
      </w:r>
      <w:r w:rsidRPr="008D1918" w:rsidR="00CC3198">
        <w:rPr>
          <w:lang w:val="en-AU"/>
        </w:rPr>
        <w:t>analysing the health of the market as growth in the number of</w:t>
      </w:r>
      <w:r w:rsidRPr="008D1918" w:rsidR="00344F02">
        <w:rPr>
          <w:lang w:val="en-AU"/>
        </w:rPr>
        <w:t xml:space="preserve"> provider</w:t>
      </w:r>
      <w:r w:rsidRPr="008D1918" w:rsidR="00CC3198">
        <w:rPr>
          <w:lang w:val="en-AU"/>
        </w:rPr>
        <w:t xml:space="preserve">s cannot be extrapolated </w:t>
      </w:r>
      <w:r w:rsidRPr="008D1918" w:rsidR="00222C2E">
        <w:rPr>
          <w:lang w:val="en-AU"/>
        </w:rPr>
        <w:t>to imply an</w:t>
      </w:r>
      <w:r w:rsidRPr="008D1918" w:rsidR="00CC3198">
        <w:rPr>
          <w:lang w:val="en-AU"/>
        </w:rPr>
        <w:t xml:space="preserve"> </w:t>
      </w:r>
      <w:r w:rsidRPr="008D1918" w:rsidR="00AB005A">
        <w:rPr>
          <w:lang w:val="en-AU"/>
        </w:rPr>
        <w:t xml:space="preserve">expansion of sustained delivery capacity. </w:t>
      </w:r>
    </w:p>
    <w:p w:rsidRPr="008D1918" w:rsidR="00A97A75" w:rsidP="006A1D25" w:rsidRDefault="006A1D25" w14:paraId="7E7C7F58" w14:textId="5FA71D05">
      <w:pPr>
        <w:pStyle w:val="Caption"/>
        <w:rPr>
          <w:rFonts w:eastAsia="DengXian" w:cs="Cordia New"/>
          <w:i w:val="0"/>
          <w:iCs w:val="0"/>
          <w:color w:val="6B2876"/>
        </w:rPr>
      </w:pPr>
      <w:bookmarkStart w:name="_Ref223686308" w:id="732"/>
      <w:r w:rsidRPr="008D1918">
        <w:t xml:space="preserve">Table </w:t>
      </w:r>
      <w:r>
        <w:fldChar w:fldCharType="begin"/>
      </w:r>
      <w:r>
        <w:instrText>SEQ Table \* ARABIC</w:instrText>
      </w:r>
      <w:r>
        <w:fldChar w:fldCharType="separate"/>
      </w:r>
      <w:r w:rsidR="008F56A2">
        <w:rPr>
          <w:noProof/>
        </w:rPr>
        <w:t>10</w:t>
      </w:r>
      <w:r>
        <w:fldChar w:fldCharType="end"/>
      </w:r>
      <w:bookmarkEnd w:id="732"/>
      <w:r w:rsidRPr="008D1918" w:rsidR="00A97A75">
        <w:rPr>
          <w:rFonts w:eastAsia="DengXian" w:cs="Cordia New"/>
          <w:color w:val="6B2876" w:themeColor="accent5"/>
        </w:rPr>
        <w:t>: Statistics on the size of providers for DSW-related supports, July to December 2025</w:t>
      </w:r>
    </w:p>
    <w:tbl>
      <w:tblPr>
        <w:tblStyle w:val="GridTable4-Accent121"/>
        <w:tblW w:w="0" w:type="auto"/>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2041"/>
        <w:gridCol w:w="1531"/>
        <w:gridCol w:w="1871"/>
        <w:gridCol w:w="1644"/>
        <w:gridCol w:w="1701"/>
      </w:tblGrid>
      <w:tr w:rsidRPr="008D1918" w:rsidR="00173A73" w:rsidTr="005A6823" w14:paraId="46B4F0BE"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2041" w:type="dxa"/>
            <w:tcBorders>
              <w:right w:val="single" w:color="501E58" w:sz="6" w:space="0"/>
            </w:tcBorders>
            <w:hideMark/>
          </w:tcPr>
          <w:p w:rsidRPr="008D1918" w:rsidR="00A97A75" w:rsidP="000016F0" w:rsidRDefault="00A97A75" w14:paraId="092E48C2" w14:textId="0444FBC4">
            <w:pPr>
              <w:keepNext/>
              <w:spacing w:before="60" w:after="60"/>
              <w:rPr>
                <w:rFonts w:cs="Arial"/>
                <w:sz w:val="20"/>
                <w:szCs w:val="20"/>
                <w:lang w:val="en-AU" w:eastAsia="en-AU"/>
              </w:rPr>
            </w:pPr>
            <w:r w:rsidRPr="008D1918">
              <w:rPr>
                <w:rFonts w:cs="Arial"/>
                <w:sz w:val="20"/>
                <w:szCs w:val="20"/>
                <w:lang w:val="en-AU"/>
              </w:rPr>
              <w:t xml:space="preserve">Size of </w:t>
            </w:r>
            <w:r w:rsidRPr="008D1918" w:rsidR="008A43FE">
              <w:rPr>
                <w:rFonts w:cs="Arial"/>
                <w:sz w:val="20"/>
                <w:szCs w:val="20"/>
                <w:lang w:val="en-AU"/>
              </w:rPr>
              <w:t>p</w:t>
            </w:r>
            <w:r w:rsidRPr="008D1918">
              <w:rPr>
                <w:rFonts w:cs="Arial"/>
                <w:sz w:val="20"/>
                <w:szCs w:val="20"/>
                <w:lang w:val="en-AU"/>
              </w:rPr>
              <w:t>rovider (number of participants supported)</w:t>
            </w:r>
          </w:p>
        </w:tc>
        <w:tc>
          <w:tcPr>
            <w:tcW w:w="1531" w:type="dxa"/>
            <w:tcBorders>
              <w:left w:val="single" w:color="501E58" w:sz="6" w:space="0"/>
              <w:right w:val="single" w:color="501E58" w:sz="6" w:space="0"/>
            </w:tcBorders>
          </w:tcPr>
          <w:p w:rsidRPr="008D1918" w:rsidR="00A97A75" w:rsidP="005A6823" w:rsidRDefault="00A97A75" w14:paraId="4FAA02A2" w14:textId="275D39DB">
            <w:pPr>
              <w:keepNext/>
              <w:spacing w:before="60" w:after="60"/>
              <w:jc w:val="right"/>
              <w:rPr>
                <w:rFonts w:cs="Arial"/>
                <w:sz w:val="20"/>
                <w:szCs w:val="20"/>
                <w:lang w:val="en-AU" w:eastAsia="en-AU"/>
              </w:rPr>
            </w:pPr>
            <w:r w:rsidRPr="008D1918">
              <w:rPr>
                <w:rFonts w:cs="Cordia New"/>
                <w:sz w:val="20"/>
                <w:szCs w:val="20"/>
                <w:lang w:val="en-AU"/>
              </w:rPr>
              <w:t xml:space="preserve">Number of </w:t>
            </w:r>
            <w:r w:rsidRPr="008D1918" w:rsidR="008A43FE">
              <w:rPr>
                <w:rFonts w:cs="Cordia New"/>
                <w:sz w:val="20"/>
                <w:szCs w:val="20"/>
                <w:lang w:val="en-AU"/>
              </w:rPr>
              <w:t>p</w:t>
            </w:r>
            <w:r w:rsidRPr="008D1918">
              <w:rPr>
                <w:rFonts w:cs="Cordia New"/>
                <w:sz w:val="20"/>
                <w:szCs w:val="20"/>
                <w:lang w:val="en-AU"/>
              </w:rPr>
              <w:t>roviders</w:t>
            </w:r>
          </w:p>
        </w:tc>
        <w:tc>
          <w:tcPr>
            <w:tcW w:w="1871" w:type="dxa"/>
            <w:tcBorders>
              <w:left w:val="single" w:color="501E58" w:sz="6" w:space="0"/>
              <w:right w:val="single" w:color="501E58" w:sz="6" w:space="0"/>
            </w:tcBorders>
          </w:tcPr>
          <w:p w:rsidRPr="008D1918" w:rsidR="00A97A75" w:rsidP="005A6823" w:rsidRDefault="00A97A75" w14:paraId="4833D79E" w14:textId="5736D7F7">
            <w:pPr>
              <w:keepNext/>
              <w:spacing w:before="60" w:after="60"/>
              <w:jc w:val="right"/>
              <w:rPr>
                <w:rFonts w:cs="Arial"/>
                <w:sz w:val="20"/>
                <w:szCs w:val="20"/>
                <w:lang w:val="en-AU" w:eastAsia="en-AU"/>
              </w:rPr>
            </w:pPr>
            <w:r w:rsidRPr="008D1918">
              <w:rPr>
                <w:rFonts w:cs="Cordia New"/>
                <w:sz w:val="20"/>
                <w:szCs w:val="20"/>
                <w:lang w:val="en-AU"/>
              </w:rPr>
              <w:t xml:space="preserve">Total </w:t>
            </w:r>
            <w:r w:rsidRPr="008D1918" w:rsidR="008A43FE">
              <w:rPr>
                <w:rFonts w:cs="Cordia New"/>
                <w:sz w:val="20"/>
                <w:szCs w:val="20"/>
                <w:lang w:val="en-AU"/>
              </w:rPr>
              <w:t>p</w:t>
            </w:r>
            <w:r w:rsidRPr="008D1918">
              <w:rPr>
                <w:rFonts w:cs="Cordia New"/>
                <w:sz w:val="20"/>
                <w:szCs w:val="20"/>
                <w:lang w:val="en-AU"/>
              </w:rPr>
              <w:t xml:space="preserve">ayments to </w:t>
            </w:r>
            <w:r w:rsidRPr="008D1918" w:rsidR="008A43FE">
              <w:rPr>
                <w:rFonts w:cs="Cordia New"/>
                <w:sz w:val="20"/>
                <w:szCs w:val="20"/>
                <w:lang w:val="en-AU"/>
              </w:rPr>
              <w:t>p</w:t>
            </w:r>
            <w:r w:rsidRPr="008D1918">
              <w:rPr>
                <w:rFonts w:cs="Cordia New"/>
                <w:sz w:val="20"/>
                <w:szCs w:val="20"/>
                <w:lang w:val="en-AU"/>
              </w:rPr>
              <w:t>roviders (billion)</w:t>
            </w:r>
          </w:p>
        </w:tc>
        <w:tc>
          <w:tcPr>
            <w:tcW w:w="1644" w:type="dxa"/>
            <w:tcBorders>
              <w:left w:val="single" w:color="501E58" w:sz="6" w:space="0"/>
              <w:right w:val="single" w:color="501E58" w:sz="6" w:space="0"/>
            </w:tcBorders>
          </w:tcPr>
          <w:p w:rsidRPr="008D1918" w:rsidR="00A97A75" w:rsidP="005A6823" w:rsidRDefault="00A97A75" w14:paraId="07E3AF47" w14:textId="6750BCAE">
            <w:pPr>
              <w:keepNext/>
              <w:spacing w:before="60" w:after="60"/>
              <w:jc w:val="right"/>
              <w:rPr>
                <w:rFonts w:cs="Arial"/>
                <w:sz w:val="20"/>
                <w:szCs w:val="20"/>
                <w:lang w:val="en-AU"/>
              </w:rPr>
            </w:pPr>
            <w:r w:rsidRPr="008D1918">
              <w:rPr>
                <w:rFonts w:cs="Cordia New"/>
                <w:sz w:val="20"/>
                <w:szCs w:val="20"/>
                <w:lang w:val="en-AU"/>
              </w:rPr>
              <w:t xml:space="preserve">Average </w:t>
            </w:r>
            <w:r w:rsidRPr="008D1918" w:rsidR="008A43FE">
              <w:rPr>
                <w:rFonts w:cs="Cordia New"/>
                <w:sz w:val="20"/>
                <w:szCs w:val="20"/>
                <w:lang w:val="en-AU"/>
              </w:rPr>
              <w:t>p</w:t>
            </w:r>
            <w:r w:rsidRPr="008D1918">
              <w:rPr>
                <w:rFonts w:cs="Cordia New"/>
                <w:sz w:val="20"/>
                <w:szCs w:val="20"/>
                <w:lang w:val="en-AU"/>
              </w:rPr>
              <w:t xml:space="preserve">ayments to </w:t>
            </w:r>
            <w:r w:rsidRPr="008D1918" w:rsidR="008A43FE">
              <w:rPr>
                <w:rFonts w:cs="Cordia New"/>
                <w:sz w:val="20"/>
                <w:szCs w:val="20"/>
                <w:lang w:val="en-AU"/>
              </w:rPr>
              <w:t>p</w:t>
            </w:r>
            <w:r w:rsidRPr="008D1918">
              <w:rPr>
                <w:rFonts w:cs="Cordia New"/>
                <w:sz w:val="20"/>
                <w:szCs w:val="20"/>
                <w:lang w:val="en-AU"/>
              </w:rPr>
              <w:t>roviders</w:t>
            </w:r>
          </w:p>
        </w:tc>
        <w:tc>
          <w:tcPr>
            <w:tcW w:w="1701" w:type="dxa"/>
            <w:tcBorders>
              <w:left w:val="single" w:color="501E58" w:sz="6" w:space="0"/>
              <w:right w:val="single" w:color="501E58" w:sz="6" w:space="0"/>
            </w:tcBorders>
            <w:hideMark/>
          </w:tcPr>
          <w:p w:rsidRPr="008D1918" w:rsidR="00A97A75" w:rsidP="005A6823" w:rsidRDefault="00A97A75" w14:paraId="44C7F954" w14:textId="07F2469C">
            <w:pPr>
              <w:keepNext/>
              <w:spacing w:before="60" w:after="60"/>
              <w:jc w:val="right"/>
              <w:rPr>
                <w:rFonts w:cs="Arial"/>
                <w:sz w:val="20"/>
                <w:szCs w:val="20"/>
                <w:lang w:val="en-AU" w:eastAsia="en-AU"/>
              </w:rPr>
            </w:pPr>
            <w:r w:rsidRPr="008D1918">
              <w:rPr>
                <w:rFonts w:cs="Cordia New"/>
                <w:sz w:val="20"/>
                <w:szCs w:val="20"/>
                <w:lang w:val="en-AU"/>
              </w:rPr>
              <w:t xml:space="preserve">Share of </w:t>
            </w:r>
            <w:r w:rsidRPr="008D1918" w:rsidR="008A43FE">
              <w:rPr>
                <w:rFonts w:cs="Cordia New"/>
                <w:sz w:val="20"/>
                <w:szCs w:val="20"/>
                <w:lang w:val="en-AU"/>
              </w:rPr>
              <w:t>t</w:t>
            </w:r>
            <w:r w:rsidRPr="008D1918">
              <w:rPr>
                <w:rFonts w:cs="Cordia New"/>
                <w:sz w:val="20"/>
                <w:szCs w:val="20"/>
                <w:lang w:val="en-AU"/>
              </w:rPr>
              <w:t xml:space="preserve">otal </w:t>
            </w:r>
            <w:r w:rsidRPr="008D1918" w:rsidR="008A43FE">
              <w:rPr>
                <w:rFonts w:cs="Cordia New"/>
                <w:sz w:val="20"/>
                <w:szCs w:val="20"/>
                <w:lang w:val="en-AU"/>
              </w:rPr>
              <w:t>p</w:t>
            </w:r>
            <w:r w:rsidRPr="008D1918">
              <w:rPr>
                <w:rFonts w:cs="Cordia New"/>
                <w:sz w:val="20"/>
                <w:szCs w:val="20"/>
                <w:lang w:val="en-AU"/>
              </w:rPr>
              <w:t>ayments</w:t>
            </w:r>
          </w:p>
        </w:tc>
      </w:tr>
      <w:tr w:rsidRPr="008D1918" w:rsidR="00173A73" w:rsidTr="005A6823" w14:paraId="4E7075C2" w14:textId="77777777">
        <w:trPr>
          <w:cnfStyle w:val="000000100000" w:firstRow="0" w:lastRow="0" w:firstColumn="0" w:lastColumn="0" w:oddVBand="0" w:evenVBand="0" w:oddHBand="1" w:evenHBand="0" w:firstRowFirstColumn="0" w:firstRowLastColumn="0" w:lastRowFirstColumn="0" w:lastRowLastColumn="0"/>
          <w:trHeight w:val="397"/>
        </w:trPr>
        <w:tc>
          <w:tcPr>
            <w:tcW w:w="2041" w:type="dxa"/>
            <w:tcBorders>
              <w:top w:val="single" w:color="501E58" w:sz="4" w:space="0"/>
              <w:left w:val="single" w:color="BA61C9" w:sz="4" w:space="0"/>
              <w:bottom w:val="single" w:color="BA61C9" w:sz="4" w:space="0"/>
              <w:right w:val="single" w:color="BA61C9" w:sz="4" w:space="0"/>
            </w:tcBorders>
            <w:vAlign w:val="center"/>
          </w:tcPr>
          <w:p w:rsidRPr="008D1918" w:rsidR="00A97A75" w:rsidP="000016F0" w:rsidRDefault="00A97A75" w14:paraId="26849213" w14:textId="77777777">
            <w:pPr>
              <w:keepNext/>
              <w:spacing w:before="60" w:after="60"/>
              <w:rPr>
                <w:rFonts w:cs="Arial"/>
                <w:sz w:val="20"/>
                <w:szCs w:val="20"/>
                <w:lang w:val="en-AU" w:eastAsia="en-AU"/>
              </w:rPr>
            </w:pPr>
            <w:r w:rsidRPr="008D1918">
              <w:rPr>
                <w:rFonts w:cs="Arial"/>
                <w:sz w:val="20"/>
                <w:szCs w:val="20"/>
                <w:lang w:val="en-AU"/>
              </w:rPr>
              <w:t>1</w:t>
            </w:r>
          </w:p>
        </w:tc>
        <w:tc>
          <w:tcPr>
            <w:tcW w:w="1531" w:type="dxa"/>
            <w:tcBorders>
              <w:top w:val="single" w:color="501E58" w:sz="4" w:space="0"/>
              <w:left w:val="single" w:color="BA61C9" w:sz="4" w:space="0"/>
              <w:bottom w:val="single" w:color="BA61C9" w:sz="4" w:space="0"/>
              <w:right w:val="single" w:color="BA61C9" w:sz="4" w:space="0"/>
            </w:tcBorders>
            <w:vAlign w:val="center"/>
          </w:tcPr>
          <w:p w:rsidRPr="008D1918" w:rsidR="00A97A75" w:rsidP="004A1820" w:rsidRDefault="00A97A75" w14:paraId="46E4AFB4" w14:textId="77777777">
            <w:pPr>
              <w:keepNext/>
              <w:spacing w:before="60" w:after="60"/>
              <w:ind w:right="62"/>
              <w:jc w:val="right"/>
              <w:rPr>
                <w:rFonts w:cs="Arial"/>
                <w:color w:val="000000"/>
                <w:sz w:val="20"/>
                <w:szCs w:val="20"/>
                <w:lang w:val="en-AU" w:eastAsia="en-AU"/>
              </w:rPr>
            </w:pPr>
            <w:r w:rsidRPr="008D1918">
              <w:rPr>
                <w:rFonts w:cs="Arial"/>
                <w:sz w:val="20"/>
                <w:szCs w:val="20"/>
                <w:lang w:val="en-AU"/>
              </w:rPr>
              <w:t>81,819</w:t>
            </w:r>
          </w:p>
        </w:tc>
        <w:tc>
          <w:tcPr>
            <w:tcW w:w="1871" w:type="dxa"/>
            <w:tcBorders>
              <w:top w:val="single" w:color="501E58" w:sz="4" w:space="0"/>
              <w:left w:val="single" w:color="BA61C9" w:sz="4" w:space="0"/>
              <w:bottom w:val="single" w:color="BA61C9" w:sz="4" w:space="0"/>
              <w:right w:val="single" w:color="BA61C9" w:sz="4" w:space="0"/>
            </w:tcBorders>
            <w:vAlign w:val="center"/>
          </w:tcPr>
          <w:p w:rsidRPr="008D1918" w:rsidR="00A97A75" w:rsidP="004A1820" w:rsidRDefault="00A97A75" w14:paraId="4E356D33" w14:textId="77777777">
            <w:pPr>
              <w:keepNext/>
              <w:spacing w:before="60" w:after="60"/>
              <w:ind w:right="62"/>
              <w:jc w:val="right"/>
              <w:rPr>
                <w:rFonts w:cs="Arial"/>
                <w:color w:val="000000"/>
                <w:sz w:val="20"/>
                <w:szCs w:val="20"/>
                <w:lang w:val="en-AU" w:eastAsia="en-AU"/>
              </w:rPr>
            </w:pPr>
            <w:r w:rsidRPr="008D1918">
              <w:rPr>
                <w:rFonts w:cs="Arial"/>
                <w:sz w:val="20"/>
                <w:szCs w:val="20"/>
                <w:lang w:val="en-AU"/>
              </w:rPr>
              <w:t>$1.2</w:t>
            </w:r>
          </w:p>
        </w:tc>
        <w:tc>
          <w:tcPr>
            <w:tcW w:w="1644" w:type="dxa"/>
            <w:tcBorders>
              <w:top w:val="single" w:color="501E58" w:sz="4" w:space="0"/>
              <w:left w:val="single" w:color="BA61C9" w:sz="4" w:space="0"/>
              <w:bottom w:val="single" w:color="BA61C9" w:sz="4" w:space="0"/>
              <w:right w:val="single" w:color="BA61C9" w:sz="4" w:space="0"/>
            </w:tcBorders>
            <w:vAlign w:val="center"/>
          </w:tcPr>
          <w:p w:rsidRPr="008D1918" w:rsidR="00A97A75" w:rsidP="004A1820" w:rsidRDefault="00A97A75" w14:paraId="72AB0B13" w14:textId="77777777">
            <w:pPr>
              <w:keepNext/>
              <w:spacing w:before="60" w:after="60"/>
              <w:ind w:right="62"/>
              <w:jc w:val="right"/>
              <w:rPr>
                <w:rFonts w:cs="Arial"/>
                <w:color w:val="000000"/>
                <w:sz w:val="20"/>
                <w:szCs w:val="20"/>
                <w:lang w:val="en-AU" w:eastAsia="en-AU"/>
              </w:rPr>
            </w:pPr>
            <w:r w:rsidRPr="008D1918">
              <w:rPr>
                <w:rFonts w:cs="Cordia New"/>
                <w:sz w:val="20"/>
                <w:szCs w:val="20"/>
                <w:lang w:val="en-AU"/>
              </w:rPr>
              <w:t>$14,800</w:t>
            </w:r>
          </w:p>
        </w:tc>
        <w:tc>
          <w:tcPr>
            <w:tcW w:w="1701" w:type="dxa"/>
            <w:tcBorders>
              <w:top w:val="single" w:color="501E58" w:sz="4" w:space="0"/>
              <w:left w:val="single" w:color="BA61C9" w:sz="4" w:space="0"/>
              <w:bottom w:val="single" w:color="BA61C9" w:sz="4" w:space="0"/>
              <w:right w:val="single" w:color="BA61C9" w:sz="4" w:space="0"/>
            </w:tcBorders>
            <w:vAlign w:val="center"/>
          </w:tcPr>
          <w:p w:rsidRPr="008D1918" w:rsidR="00A97A75" w:rsidP="004A1820" w:rsidRDefault="00A97A75" w14:paraId="26D4D808" w14:textId="77777777">
            <w:pPr>
              <w:keepNext/>
              <w:spacing w:before="60" w:after="60"/>
              <w:ind w:right="62"/>
              <w:jc w:val="right"/>
              <w:rPr>
                <w:rFonts w:cs="Arial"/>
                <w:color w:val="000000"/>
                <w:sz w:val="20"/>
                <w:szCs w:val="20"/>
                <w:lang w:val="en-AU" w:eastAsia="en-AU"/>
              </w:rPr>
            </w:pPr>
            <w:r w:rsidRPr="008D1918">
              <w:rPr>
                <w:rFonts w:cs="Arial"/>
                <w:sz w:val="20"/>
                <w:szCs w:val="20"/>
                <w:lang w:val="en-AU"/>
              </w:rPr>
              <w:t>7.1%</w:t>
            </w:r>
          </w:p>
        </w:tc>
      </w:tr>
      <w:tr w:rsidRPr="008D1918" w:rsidR="00A97A75" w:rsidTr="005A6823" w14:paraId="43B01002" w14:textId="77777777">
        <w:trPr>
          <w:trHeight w:val="397"/>
        </w:trPr>
        <w:tc>
          <w:tcPr>
            <w:tcW w:w="2041" w:type="dxa"/>
            <w:tcBorders>
              <w:top w:val="single" w:color="BA61C9" w:sz="4" w:space="0"/>
              <w:left w:val="single" w:color="BA61C9" w:sz="4" w:space="0"/>
              <w:bottom w:val="single" w:color="BA61C9" w:sz="4" w:space="0"/>
              <w:right w:val="single" w:color="BA61C9" w:sz="4" w:space="0"/>
            </w:tcBorders>
            <w:vAlign w:val="center"/>
          </w:tcPr>
          <w:p w:rsidRPr="008D1918" w:rsidR="00A97A75" w:rsidP="000016F0" w:rsidRDefault="00A97A75" w14:paraId="4B627EEC" w14:textId="77777777">
            <w:pPr>
              <w:keepNext/>
              <w:spacing w:before="60" w:after="60"/>
              <w:rPr>
                <w:rFonts w:cs="Arial"/>
                <w:sz w:val="20"/>
                <w:szCs w:val="20"/>
                <w:lang w:val="en-AU" w:eastAsia="en-AU"/>
              </w:rPr>
            </w:pPr>
            <w:r w:rsidRPr="008D1918">
              <w:rPr>
                <w:rFonts w:cs="Arial"/>
                <w:sz w:val="20"/>
                <w:szCs w:val="20"/>
                <w:lang w:val="en-AU"/>
              </w:rPr>
              <w:t>2</w:t>
            </w:r>
          </w:p>
        </w:tc>
        <w:tc>
          <w:tcPr>
            <w:tcW w:w="153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1CAC0FB5" w14:textId="77777777">
            <w:pPr>
              <w:keepNext/>
              <w:spacing w:before="60" w:after="60"/>
              <w:ind w:right="62"/>
              <w:jc w:val="right"/>
              <w:rPr>
                <w:rFonts w:cs="Arial"/>
                <w:color w:val="000000"/>
                <w:sz w:val="20"/>
                <w:szCs w:val="20"/>
                <w:lang w:val="en-AU" w:eastAsia="en-AU"/>
              </w:rPr>
            </w:pPr>
            <w:r w:rsidRPr="008D1918">
              <w:rPr>
                <w:rFonts w:cs="Arial"/>
                <w:sz w:val="20"/>
                <w:szCs w:val="20"/>
                <w:lang w:val="en-AU"/>
              </w:rPr>
              <w:t>24,170</w:t>
            </w:r>
          </w:p>
        </w:tc>
        <w:tc>
          <w:tcPr>
            <w:tcW w:w="187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0FE362C8" w14:textId="77777777">
            <w:pPr>
              <w:keepNext/>
              <w:spacing w:before="60" w:after="60"/>
              <w:ind w:right="62"/>
              <w:jc w:val="right"/>
              <w:rPr>
                <w:rFonts w:cs="Arial"/>
                <w:color w:val="000000"/>
                <w:sz w:val="20"/>
                <w:szCs w:val="20"/>
                <w:lang w:val="en-AU" w:eastAsia="en-AU"/>
              </w:rPr>
            </w:pPr>
            <w:r w:rsidRPr="008D1918">
              <w:rPr>
                <w:rFonts w:cs="Arial"/>
                <w:sz w:val="20"/>
                <w:szCs w:val="20"/>
                <w:lang w:val="en-AU"/>
              </w:rPr>
              <w:t>$0.7</w:t>
            </w:r>
          </w:p>
        </w:tc>
        <w:tc>
          <w:tcPr>
            <w:tcW w:w="1644"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215145D6" w14:textId="77777777">
            <w:pPr>
              <w:keepNext/>
              <w:spacing w:before="60" w:after="60"/>
              <w:ind w:right="62"/>
              <w:jc w:val="right"/>
              <w:rPr>
                <w:rFonts w:cs="Arial"/>
                <w:color w:val="000000"/>
                <w:sz w:val="20"/>
                <w:szCs w:val="20"/>
                <w:lang w:val="en-AU" w:eastAsia="en-AU"/>
              </w:rPr>
            </w:pPr>
            <w:r w:rsidRPr="008D1918">
              <w:rPr>
                <w:rFonts w:cs="Cordia New"/>
                <w:sz w:val="20"/>
                <w:szCs w:val="20"/>
                <w:lang w:val="en-AU"/>
              </w:rPr>
              <w:t>$27,500</w:t>
            </w:r>
          </w:p>
        </w:tc>
        <w:tc>
          <w:tcPr>
            <w:tcW w:w="170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45F0D88A" w14:textId="77777777">
            <w:pPr>
              <w:keepNext/>
              <w:spacing w:before="60" w:after="60"/>
              <w:ind w:right="62"/>
              <w:jc w:val="right"/>
              <w:rPr>
                <w:rFonts w:cs="Arial"/>
                <w:color w:val="000000"/>
                <w:sz w:val="20"/>
                <w:szCs w:val="20"/>
                <w:lang w:val="en-AU" w:eastAsia="en-AU"/>
              </w:rPr>
            </w:pPr>
            <w:r w:rsidRPr="008D1918">
              <w:rPr>
                <w:rFonts w:cs="Arial"/>
                <w:sz w:val="20"/>
                <w:szCs w:val="20"/>
                <w:lang w:val="en-AU"/>
              </w:rPr>
              <w:t>3.9%</w:t>
            </w:r>
          </w:p>
        </w:tc>
      </w:tr>
      <w:tr w:rsidRPr="008D1918" w:rsidR="00A238C6" w:rsidTr="005A6823" w14:paraId="703FCC65" w14:textId="77777777">
        <w:trPr>
          <w:cnfStyle w:val="000000100000" w:firstRow="0" w:lastRow="0" w:firstColumn="0" w:lastColumn="0" w:oddVBand="0" w:evenVBand="0" w:oddHBand="1" w:evenHBand="0" w:firstRowFirstColumn="0" w:firstRowLastColumn="0" w:lastRowFirstColumn="0" w:lastRowLastColumn="0"/>
          <w:trHeight w:val="397"/>
        </w:trPr>
        <w:tc>
          <w:tcPr>
            <w:tcW w:w="2041" w:type="dxa"/>
            <w:tcBorders>
              <w:top w:val="single" w:color="BA61C9" w:sz="4" w:space="0"/>
              <w:left w:val="single" w:color="BA61C9" w:sz="4" w:space="0"/>
              <w:bottom w:val="single" w:color="BA61C9" w:sz="4" w:space="0"/>
              <w:right w:val="single" w:color="BA61C9" w:sz="4" w:space="0"/>
            </w:tcBorders>
            <w:vAlign w:val="center"/>
          </w:tcPr>
          <w:p w:rsidRPr="008D1918" w:rsidR="00A97A75" w:rsidP="000016F0" w:rsidRDefault="00A97A75" w14:paraId="5462E974" w14:textId="77777777">
            <w:pPr>
              <w:keepNext/>
              <w:spacing w:before="60" w:after="60"/>
              <w:rPr>
                <w:rFonts w:cs="Arial"/>
                <w:sz w:val="20"/>
                <w:szCs w:val="20"/>
                <w:lang w:val="en-AU" w:eastAsia="en-AU"/>
              </w:rPr>
            </w:pPr>
            <w:r w:rsidRPr="008D1918">
              <w:rPr>
                <w:rFonts w:cs="Arial"/>
                <w:sz w:val="20"/>
                <w:szCs w:val="20"/>
                <w:lang w:val="en-AU"/>
              </w:rPr>
              <w:t>3</w:t>
            </w:r>
          </w:p>
        </w:tc>
        <w:tc>
          <w:tcPr>
            <w:tcW w:w="153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71A2E0FA" w14:textId="77777777">
            <w:pPr>
              <w:keepNext/>
              <w:spacing w:before="60" w:after="60"/>
              <w:ind w:right="62"/>
              <w:jc w:val="right"/>
              <w:rPr>
                <w:rFonts w:cs="Arial"/>
                <w:sz w:val="20"/>
                <w:szCs w:val="20"/>
                <w:lang w:val="en-AU"/>
              </w:rPr>
            </w:pPr>
            <w:r w:rsidRPr="008D1918">
              <w:rPr>
                <w:rFonts w:cs="Arial"/>
                <w:sz w:val="20"/>
                <w:szCs w:val="20"/>
                <w:lang w:val="en-AU"/>
              </w:rPr>
              <w:t>11,412</w:t>
            </w:r>
          </w:p>
        </w:tc>
        <w:tc>
          <w:tcPr>
            <w:tcW w:w="187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109DCEDC" w14:textId="77777777">
            <w:pPr>
              <w:keepNext/>
              <w:spacing w:before="60" w:after="60"/>
              <w:ind w:right="62"/>
              <w:jc w:val="right"/>
              <w:rPr>
                <w:rFonts w:cs="Arial"/>
                <w:sz w:val="20"/>
                <w:szCs w:val="20"/>
                <w:lang w:val="en-AU"/>
              </w:rPr>
            </w:pPr>
            <w:r w:rsidRPr="008D1918">
              <w:rPr>
                <w:rFonts w:cs="Arial"/>
                <w:sz w:val="20"/>
                <w:szCs w:val="20"/>
                <w:lang w:val="en-AU"/>
              </w:rPr>
              <w:t>$0.5</w:t>
            </w:r>
          </w:p>
        </w:tc>
        <w:tc>
          <w:tcPr>
            <w:tcW w:w="1644"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1115811A" w14:textId="77777777">
            <w:pPr>
              <w:keepNext/>
              <w:spacing w:before="60" w:after="60"/>
              <w:ind w:right="62"/>
              <w:jc w:val="right"/>
              <w:rPr>
                <w:rFonts w:cs="Arial"/>
                <w:sz w:val="20"/>
                <w:szCs w:val="20"/>
                <w:lang w:val="en-AU"/>
              </w:rPr>
            </w:pPr>
            <w:r w:rsidRPr="008D1918">
              <w:rPr>
                <w:rFonts w:cs="Cordia New"/>
                <w:sz w:val="20"/>
                <w:szCs w:val="20"/>
                <w:lang w:val="en-AU"/>
              </w:rPr>
              <w:t>$39,600</w:t>
            </w:r>
          </w:p>
        </w:tc>
        <w:tc>
          <w:tcPr>
            <w:tcW w:w="170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0106783F" w14:textId="77777777">
            <w:pPr>
              <w:keepNext/>
              <w:spacing w:before="60" w:after="60"/>
              <w:ind w:right="62"/>
              <w:jc w:val="right"/>
              <w:rPr>
                <w:rFonts w:cs="Arial"/>
                <w:sz w:val="20"/>
                <w:szCs w:val="20"/>
                <w:lang w:val="en-AU"/>
              </w:rPr>
            </w:pPr>
            <w:r w:rsidRPr="008D1918">
              <w:rPr>
                <w:rFonts w:cs="Arial"/>
                <w:sz w:val="20"/>
                <w:szCs w:val="20"/>
                <w:lang w:val="en-AU"/>
              </w:rPr>
              <w:t>2.7%</w:t>
            </w:r>
          </w:p>
        </w:tc>
      </w:tr>
      <w:tr w:rsidRPr="008D1918" w:rsidR="00A97A75" w:rsidTr="005A6823" w14:paraId="43832D35" w14:textId="77777777">
        <w:trPr>
          <w:trHeight w:val="397"/>
        </w:trPr>
        <w:tc>
          <w:tcPr>
            <w:tcW w:w="2041" w:type="dxa"/>
            <w:tcBorders>
              <w:top w:val="single" w:color="BA61C9" w:sz="4" w:space="0"/>
              <w:left w:val="single" w:color="BA61C9" w:sz="4" w:space="0"/>
              <w:bottom w:val="single" w:color="BA61C9" w:sz="4" w:space="0"/>
              <w:right w:val="single" w:color="BA61C9" w:sz="4" w:space="0"/>
            </w:tcBorders>
            <w:vAlign w:val="center"/>
          </w:tcPr>
          <w:p w:rsidRPr="008D1918" w:rsidR="00A97A75" w:rsidP="000016F0" w:rsidRDefault="00A97A75" w14:paraId="5A9131C8" w14:textId="77777777">
            <w:pPr>
              <w:keepNext/>
              <w:spacing w:before="60" w:after="60"/>
              <w:rPr>
                <w:rFonts w:cs="Arial"/>
                <w:b/>
                <w:sz w:val="20"/>
                <w:szCs w:val="20"/>
                <w:lang w:val="en-AU" w:eastAsia="en-AU"/>
              </w:rPr>
            </w:pPr>
            <w:r w:rsidRPr="008D1918">
              <w:rPr>
                <w:rFonts w:cs="Arial"/>
                <w:sz w:val="20"/>
                <w:szCs w:val="20"/>
                <w:lang w:val="en-AU"/>
              </w:rPr>
              <w:t>4</w:t>
            </w:r>
          </w:p>
        </w:tc>
        <w:tc>
          <w:tcPr>
            <w:tcW w:w="153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0F2FAB0A" w14:textId="77777777">
            <w:pPr>
              <w:keepNext/>
              <w:spacing w:before="60" w:after="60"/>
              <w:ind w:right="62"/>
              <w:jc w:val="right"/>
              <w:rPr>
                <w:rFonts w:cs="Arial"/>
                <w:b/>
                <w:sz w:val="20"/>
                <w:szCs w:val="20"/>
                <w:lang w:val="en-AU"/>
              </w:rPr>
            </w:pPr>
            <w:r w:rsidRPr="008D1918">
              <w:rPr>
                <w:rFonts w:cs="Arial"/>
                <w:sz w:val="20"/>
                <w:szCs w:val="20"/>
                <w:lang w:val="en-AU"/>
              </w:rPr>
              <w:t>6,611</w:t>
            </w:r>
          </w:p>
        </w:tc>
        <w:tc>
          <w:tcPr>
            <w:tcW w:w="187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32C148E5" w14:textId="77777777">
            <w:pPr>
              <w:keepNext/>
              <w:spacing w:before="60" w:after="60"/>
              <w:ind w:right="62"/>
              <w:jc w:val="right"/>
              <w:rPr>
                <w:rFonts w:cs="Arial"/>
                <w:b/>
                <w:sz w:val="20"/>
                <w:szCs w:val="20"/>
                <w:lang w:val="en-AU"/>
              </w:rPr>
            </w:pPr>
            <w:r w:rsidRPr="008D1918">
              <w:rPr>
                <w:rFonts w:cs="Arial"/>
                <w:sz w:val="20"/>
                <w:szCs w:val="20"/>
                <w:lang w:val="en-AU"/>
              </w:rPr>
              <w:t>$0.4</w:t>
            </w:r>
          </w:p>
        </w:tc>
        <w:tc>
          <w:tcPr>
            <w:tcW w:w="1644"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3C163DC0" w14:textId="77777777">
            <w:pPr>
              <w:keepNext/>
              <w:spacing w:before="60" w:after="60"/>
              <w:ind w:right="62"/>
              <w:jc w:val="right"/>
              <w:rPr>
                <w:rFonts w:cs="Arial"/>
                <w:b/>
                <w:sz w:val="20"/>
                <w:szCs w:val="20"/>
                <w:lang w:val="en-AU"/>
              </w:rPr>
            </w:pPr>
            <w:r w:rsidRPr="008D1918">
              <w:rPr>
                <w:rFonts w:cs="Cordia New"/>
                <w:sz w:val="20"/>
                <w:szCs w:val="20"/>
                <w:lang w:val="en-AU"/>
              </w:rPr>
              <w:t>$54,800</w:t>
            </w:r>
          </w:p>
        </w:tc>
        <w:tc>
          <w:tcPr>
            <w:tcW w:w="170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3C4BD04F" w14:textId="77777777">
            <w:pPr>
              <w:keepNext/>
              <w:spacing w:before="60" w:after="60"/>
              <w:ind w:right="62"/>
              <w:jc w:val="right"/>
              <w:rPr>
                <w:rFonts w:cs="Arial"/>
                <w:b/>
                <w:sz w:val="20"/>
                <w:szCs w:val="20"/>
                <w:lang w:val="en-AU"/>
              </w:rPr>
            </w:pPr>
            <w:r w:rsidRPr="008D1918">
              <w:rPr>
                <w:rFonts w:cs="Arial"/>
                <w:sz w:val="20"/>
                <w:szCs w:val="20"/>
                <w:lang w:val="en-AU"/>
              </w:rPr>
              <w:t>2.1%</w:t>
            </w:r>
          </w:p>
        </w:tc>
      </w:tr>
      <w:tr w:rsidRPr="008D1918" w:rsidR="00A238C6" w:rsidTr="005A6823" w14:paraId="3969A1A7" w14:textId="77777777">
        <w:trPr>
          <w:cnfStyle w:val="000000100000" w:firstRow="0" w:lastRow="0" w:firstColumn="0" w:lastColumn="0" w:oddVBand="0" w:evenVBand="0" w:oddHBand="1" w:evenHBand="0" w:firstRowFirstColumn="0" w:firstRowLastColumn="0" w:lastRowFirstColumn="0" w:lastRowLastColumn="0"/>
          <w:trHeight w:val="397"/>
        </w:trPr>
        <w:tc>
          <w:tcPr>
            <w:tcW w:w="2041" w:type="dxa"/>
            <w:tcBorders>
              <w:top w:val="single" w:color="BA61C9" w:sz="4" w:space="0"/>
              <w:left w:val="single" w:color="BA61C9" w:sz="4" w:space="0"/>
              <w:bottom w:val="single" w:color="BA61C9" w:sz="4" w:space="0"/>
              <w:right w:val="single" w:color="BA61C9" w:sz="4" w:space="0"/>
            </w:tcBorders>
            <w:vAlign w:val="center"/>
          </w:tcPr>
          <w:p w:rsidRPr="008D1918" w:rsidR="00A97A75" w:rsidP="000016F0" w:rsidRDefault="00A97A75" w14:paraId="1A6A212C" w14:textId="77777777">
            <w:pPr>
              <w:keepNext/>
              <w:spacing w:before="60" w:after="60"/>
              <w:rPr>
                <w:rFonts w:cs="Arial"/>
                <w:b/>
                <w:sz w:val="20"/>
                <w:szCs w:val="20"/>
                <w:lang w:val="en-AU" w:eastAsia="en-AU"/>
              </w:rPr>
            </w:pPr>
            <w:r w:rsidRPr="008D1918">
              <w:rPr>
                <w:rFonts w:cs="Arial"/>
                <w:sz w:val="20"/>
                <w:szCs w:val="20"/>
                <w:lang w:val="en-AU"/>
              </w:rPr>
              <w:t>5</w:t>
            </w:r>
          </w:p>
        </w:tc>
        <w:tc>
          <w:tcPr>
            <w:tcW w:w="153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7487636E" w14:textId="77777777">
            <w:pPr>
              <w:keepNext/>
              <w:spacing w:before="60" w:after="60"/>
              <w:ind w:right="62"/>
              <w:jc w:val="right"/>
              <w:rPr>
                <w:rFonts w:cs="Arial"/>
                <w:b/>
                <w:sz w:val="20"/>
                <w:szCs w:val="20"/>
                <w:lang w:val="en-AU"/>
              </w:rPr>
            </w:pPr>
            <w:r w:rsidRPr="008D1918">
              <w:rPr>
                <w:rFonts w:cs="Arial"/>
                <w:sz w:val="20"/>
                <w:szCs w:val="20"/>
                <w:lang w:val="en-AU"/>
              </w:rPr>
              <w:t>4,162</w:t>
            </w:r>
          </w:p>
        </w:tc>
        <w:tc>
          <w:tcPr>
            <w:tcW w:w="187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08FE79FC" w14:textId="77777777">
            <w:pPr>
              <w:keepNext/>
              <w:spacing w:before="60" w:after="60"/>
              <w:ind w:right="62"/>
              <w:jc w:val="right"/>
              <w:rPr>
                <w:rFonts w:cs="Arial"/>
                <w:b/>
                <w:sz w:val="20"/>
                <w:szCs w:val="20"/>
                <w:lang w:val="en-AU"/>
              </w:rPr>
            </w:pPr>
            <w:r w:rsidRPr="008D1918">
              <w:rPr>
                <w:rFonts w:cs="Arial"/>
                <w:sz w:val="20"/>
                <w:szCs w:val="20"/>
                <w:lang w:val="en-AU"/>
              </w:rPr>
              <w:t>$0.3</w:t>
            </w:r>
          </w:p>
        </w:tc>
        <w:tc>
          <w:tcPr>
            <w:tcW w:w="1644"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259A7850" w14:textId="77777777">
            <w:pPr>
              <w:keepNext/>
              <w:spacing w:before="60" w:after="60"/>
              <w:ind w:right="62"/>
              <w:jc w:val="right"/>
              <w:rPr>
                <w:rFonts w:cs="Arial"/>
                <w:b/>
                <w:sz w:val="20"/>
                <w:szCs w:val="20"/>
                <w:lang w:val="en-AU"/>
              </w:rPr>
            </w:pPr>
            <w:r w:rsidRPr="008D1918">
              <w:rPr>
                <w:rFonts w:cs="Cordia New"/>
                <w:sz w:val="20"/>
                <w:szCs w:val="20"/>
                <w:lang w:val="en-AU"/>
              </w:rPr>
              <w:t>$69,800</w:t>
            </w:r>
          </w:p>
        </w:tc>
        <w:tc>
          <w:tcPr>
            <w:tcW w:w="170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32065EA5" w14:textId="77777777">
            <w:pPr>
              <w:keepNext/>
              <w:spacing w:before="60" w:after="60"/>
              <w:ind w:right="62"/>
              <w:jc w:val="right"/>
              <w:rPr>
                <w:rFonts w:cs="Arial"/>
                <w:b/>
                <w:sz w:val="20"/>
                <w:szCs w:val="20"/>
                <w:lang w:val="en-AU"/>
              </w:rPr>
            </w:pPr>
            <w:r w:rsidRPr="008D1918">
              <w:rPr>
                <w:rFonts w:cs="Arial"/>
                <w:sz w:val="20"/>
                <w:szCs w:val="20"/>
                <w:lang w:val="en-AU"/>
              </w:rPr>
              <w:t>1.7%</w:t>
            </w:r>
          </w:p>
        </w:tc>
      </w:tr>
      <w:tr w:rsidRPr="008D1918" w:rsidR="00A97A75" w:rsidTr="005A6823" w14:paraId="42E6FB0B" w14:textId="77777777">
        <w:trPr>
          <w:trHeight w:val="397"/>
        </w:trPr>
        <w:tc>
          <w:tcPr>
            <w:tcW w:w="2041" w:type="dxa"/>
            <w:tcBorders>
              <w:top w:val="single" w:color="BA61C9" w:sz="4" w:space="0"/>
              <w:left w:val="single" w:color="BA61C9" w:sz="4" w:space="0"/>
              <w:bottom w:val="single" w:color="BA61C9" w:sz="4" w:space="0"/>
              <w:right w:val="single" w:color="BA61C9" w:sz="4" w:space="0"/>
            </w:tcBorders>
            <w:vAlign w:val="center"/>
          </w:tcPr>
          <w:p w:rsidRPr="008D1918" w:rsidR="00A97A75" w:rsidP="000016F0" w:rsidRDefault="00A97A75" w14:paraId="246B68F9" w14:textId="77777777">
            <w:pPr>
              <w:keepNext/>
              <w:spacing w:before="60" w:after="60"/>
              <w:rPr>
                <w:rFonts w:cs="Arial"/>
                <w:b/>
                <w:sz w:val="20"/>
                <w:szCs w:val="20"/>
                <w:lang w:val="en-AU" w:eastAsia="en-AU"/>
              </w:rPr>
            </w:pPr>
            <w:r w:rsidRPr="008D1918">
              <w:rPr>
                <w:rFonts w:cs="Arial"/>
                <w:sz w:val="20"/>
                <w:szCs w:val="20"/>
                <w:lang w:val="en-AU"/>
              </w:rPr>
              <w:t>6–10</w:t>
            </w:r>
          </w:p>
        </w:tc>
        <w:tc>
          <w:tcPr>
            <w:tcW w:w="153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47A6E21D" w14:textId="77777777">
            <w:pPr>
              <w:keepNext/>
              <w:spacing w:before="60" w:after="60"/>
              <w:ind w:right="62"/>
              <w:jc w:val="right"/>
              <w:rPr>
                <w:rFonts w:cs="Arial"/>
                <w:b/>
                <w:sz w:val="20"/>
                <w:szCs w:val="20"/>
                <w:lang w:val="en-AU"/>
              </w:rPr>
            </w:pPr>
            <w:r w:rsidRPr="008D1918">
              <w:rPr>
                <w:rFonts w:cs="Arial"/>
                <w:sz w:val="20"/>
                <w:szCs w:val="20"/>
                <w:lang w:val="en-AU"/>
              </w:rPr>
              <w:t>7,739</w:t>
            </w:r>
          </w:p>
        </w:tc>
        <w:tc>
          <w:tcPr>
            <w:tcW w:w="187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683D3B37" w14:textId="77777777">
            <w:pPr>
              <w:keepNext/>
              <w:spacing w:before="60" w:after="60"/>
              <w:ind w:right="62"/>
              <w:jc w:val="right"/>
              <w:rPr>
                <w:rFonts w:cs="Arial"/>
                <w:b/>
                <w:sz w:val="20"/>
                <w:szCs w:val="20"/>
                <w:lang w:val="en-AU"/>
              </w:rPr>
            </w:pPr>
            <w:r w:rsidRPr="008D1918">
              <w:rPr>
                <w:rFonts w:cs="Arial"/>
                <w:sz w:val="20"/>
                <w:szCs w:val="20"/>
                <w:lang w:val="en-AU"/>
              </w:rPr>
              <w:t>$1.0</w:t>
            </w:r>
          </w:p>
        </w:tc>
        <w:tc>
          <w:tcPr>
            <w:tcW w:w="1644"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10158E2A" w14:textId="77777777">
            <w:pPr>
              <w:keepNext/>
              <w:spacing w:before="60" w:after="60"/>
              <w:ind w:right="62"/>
              <w:jc w:val="right"/>
              <w:rPr>
                <w:rFonts w:cs="Arial"/>
                <w:b/>
                <w:sz w:val="20"/>
                <w:szCs w:val="20"/>
                <w:lang w:val="en-AU"/>
              </w:rPr>
            </w:pPr>
            <w:r w:rsidRPr="008D1918">
              <w:rPr>
                <w:rFonts w:cs="Cordia New"/>
                <w:sz w:val="20"/>
                <w:szCs w:val="20"/>
                <w:lang w:val="en-AU"/>
              </w:rPr>
              <w:t>$133,700</w:t>
            </w:r>
          </w:p>
        </w:tc>
        <w:tc>
          <w:tcPr>
            <w:tcW w:w="170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25FBAB4A" w14:textId="77777777">
            <w:pPr>
              <w:keepNext/>
              <w:spacing w:before="60" w:after="60"/>
              <w:ind w:right="62"/>
              <w:jc w:val="right"/>
              <w:rPr>
                <w:rFonts w:cs="Arial"/>
                <w:b/>
                <w:sz w:val="20"/>
                <w:szCs w:val="20"/>
                <w:lang w:val="en-AU"/>
              </w:rPr>
            </w:pPr>
            <w:r w:rsidRPr="008D1918">
              <w:rPr>
                <w:rFonts w:cs="Arial"/>
                <w:sz w:val="20"/>
                <w:szCs w:val="20"/>
                <w:lang w:val="en-AU"/>
              </w:rPr>
              <w:t>6.1%</w:t>
            </w:r>
          </w:p>
        </w:tc>
      </w:tr>
      <w:tr w:rsidRPr="008D1918" w:rsidR="00A238C6" w:rsidTr="005A6823" w14:paraId="55E7B6AE" w14:textId="77777777">
        <w:trPr>
          <w:cnfStyle w:val="000000100000" w:firstRow="0" w:lastRow="0" w:firstColumn="0" w:lastColumn="0" w:oddVBand="0" w:evenVBand="0" w:oddHBand="1" w:evenHBand="0" w:firstRowFirstColumn="0" w:firstRowLastColumn="0" w:lastRowFirstColumn="0" w:lastRowLastColumn="0"/>
          <w:trHeight w:val="397"/>
        </w:trPr>
        <w:tc>
          <w:tcPr>
            <w:tcW w:w="2041" w:type="dxa"/>
            <w:tcBorders>
              <w:top w:val="single" w:color="BA61C9" w:sz="4" w:space="0"/>
              <w:left w:val="single" w:color="BA61C9" w:sz="4" w:space="0"/>
              <w:bottom w:val="single" w:color="BA61C9" w:sz="4" w:space="0"/>
              <w:right w:val="single" w:color="BA61C9" w:sz="4" w:space="0"/>
            </w:tcBorders>
            <w:vAlign w:val="center"/>
          </w:tcPr>
          <w:p w:rsidRPr="008D1918" w:rsidR="00A97A75" w:rsidP="000016F0" w:rsidRDefault="00A97A75" w14:paraId="3239A193" w14:textId="77777777">
            <w:pPr>
              <w:keepNext/>
              <w:spacing w:before="60" w:after="60"/>
              <w:rPr>
                <w:rFonts w:cs="Arial"/>
                <w:b/>
                <w:sz w:val="20"/>
                <w:szCs w:val="20"/>
                <w:lang w:val="en-AU" w:eastAsia="en-AU"/>
              </w:rPr>
            </w:pPr>
            <w:r w:rsidRPr="008D1918">
              <w:rPr>
                <w:rFonts w:cs="Arial"/>
                <w:sz w:val="20"/>
                <w:szCs w:val="20"/>
                <w:lang w:val="en-AU"/>
              </w:rPr>
              <w:t>11–50</w:t>
            </w:r>
          </w:p>
        </w:tc>
        <w:tc>
          <w:tcPr>
            <w:tcW w:w="153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67F8504D" w14:textId="77777777">
            <w:pPr>
              <w:keepNext/>
              <w:spacing w:before="60" w:after="60"/>
              <w:ind w:right="62"/>
              <w:jc w:val="right"/>
              <w:rPr>
                <w:rFonts w:cs="Arial"/>
                <w:b/>
                <w:sz w:val="20"/>
                <w:szCs w:val="20"/>
                <w:lang w:val="en-AU"/>
              </w:rPr>
            </w:pPr>
            <w:r w:rsidRPr="008D1918">
              <w:rPr>
                <w:rFonts w:cs="Arial"/>
                <w:sz w:val="20"/>
                <w:szCs w:val="20"/>
                <w:lang w:val="en-AU"/>
              </w:rPr>
              <w:t>7,070</w:t>
            </w:r>
          </w:p>
        </w:tc>
        <w:tc>
          <w:tcPr>
            <w:tcW w:w="187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3C2D9A40" w14:textId="77777777">
            <w:pPr>
              <w:keepNext/>
              <w:spacing w:before="60" w:after="60"/>
              <w:ind w:right="62"/>
              <w:jc w:val="right"/>
              <w:rPr>
                <w:rFonts w:cs="Arial"/>
                <w:b/>
                <w:sz w:val="20"/>
                <w:szCs w:val="20"/>
                <w:lang w:val="en-AU"/>
              </w:rPr>
            </w:pPr>
            <w:r w:rsidRPr="008D1918">
              <w:rPr>
                <w:rFonts w:cs="Arial"/>
                <w:sz w:val="20"/>
                <w:szCs w:val="20"/>
                <w:lang w:val="en-AU"/>
              </w:rPr>
              <w:t>$4.7</w:t>
            </w:r>
          </w:p>
        </w:tc>
        <w:tc>
          <w:tcPr>
            <w:tcW w:w="1644"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3C8361E4" w14:textId="77777777">
            <w:pPr>
              <w:keepNext/>
              <w:spacing w:before="60" w:after="60"/>
              <w:ind w:right="62"/>
              <w:jc w:val="right"/>
              <w:rPr>
                <w:rFonts w:cs="Arial"/>
                <w:b/>
                <w:sz w:val="20"/>
                <w:szCs w:val="20"/>
                <w:lang w:val="en-AU"/>
              </w:rPr>
            </w:pPr>
            <w:r w:rsidRPr="008D1918">
              <w:rPr>
                <w:rFonts w:cs="Cordia New"/>
                <w:sz w:val="20"/>
                <w:szCs w:val="20"/>
                <w:lang w:val="en-AU"/>
              </w:rPr>
              <w:t>$663,000</w:t>
            </w:r>
          </w:p>
        </w:tc>
        <w:tc>
          <w:tcPr>
            <w:tcW w:w="170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174F3D19" w14:textId="77777777">
            <w:pPr>
              <w:keepNext/>
              <w:spacing w:before="60" w:after="60"/>
              <w:ind w:right="62"/>
              <w:jc w:val="right"/>
              <w:rPr>
                <w:rFonts w:cs="Arial"/>
                <w:b/>
                <w:sz w:val="20"/>
                <w:szCs w:val="20"/>
                <w:lang w:val="en-AU"/>
              </w:rPr>
            </w:pPr>
            <w:r w:rsidRPr="008D1918">
              <w:rPr>
                <w:rFonts w:cs="Arial"/>
                <w:sz w:val="20"/>
                <w:szCs w:val="20"/>
                <w:lang w:val="en-AU"/>
              </w:rPr>
              <w:t>27.5%</w:t>
            </w:r>
          </w:p>
        </w:tc>
      </w:tr>
      <w:tr w:rsidRPr="008D1918" w:rsidR="00A97A75" w:rsidTr="005A6823" w14:paraId="0E782121" w14:textId="77777777">
        <w:trPr>
          <w:trHeight w:val="397"/>
        </w:trPr>
        <w:tc>
          <w:tcPr>
            <w:tcW w:w="2041" w:type="dxa"/>
            <w:tcBorders>
              <w:top w:val="single" w:color="BA61C9" w:sz="4" w:space="0"/>
              <w:left w:val="single" w:color="BA61C9" w:sz="4" w:space="0"/>
              <w:bottom w:val="single" w:color="BA61C9" w:sz="4" w:space="0"/>
              <w:right w:val="single" w:color="BA61C9" w:sz="4" w:space="0"/>
            </w:tcBorders>
            <w:vAlign w:val="center"/>
          </w:tcPr>
          <w:p w:rsidRPr="008D1918" w:rsidR="00A97A75" w:rsidP="000016F0" w:rsidRDefault="00A97A75" w14:paraId="35581FCE" w14:textId="77777777">
            <w:pPr>
              <w:keepNext/>
              <w:spacing w:before="60" w:after="60"/>
              <w:rPr>
                <w:rFonts w:cs="Arial"/>
                <w:b/>
                <w:sz w:val="20"/>
                <w:szCs w:val="20"/>
                <w:lang w:val="en-AU" w:eastAsia="en-AU"/>
              </w:rPr>
            </w:pPr>
            <w:r w:rsidRPr="008D1918">
              <w:rPr>
                <w:rFonts w:cs="Arial"/>
                <w:sz w:val="20"/>
                <w:szCs w:val="20"/>
                <w:lang w:val="en-AU"/>
              </w:rPr>
              <w:t>51–100</w:t>
            </w:r>
          </w:p>
        </w:tc>
        <w:tc>
          <w:tcPr>
            <w:tcW w:w="153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10C8FF93" w14:textId="77777777">
            <w:pPr>
              <w:keepNext/>
              <w:spacing w:before="60" w:after="60"/>
              <w:ind w:right="62"/>
              <w:jc w:val="right"/>
              <w:rPr>
                <w:rFonts w:cs="Arial"/>
                <w:b/>
                <w:sz w:val="20"/>
                <w:szCs w:val="20"/>
                <w:lang w:val="en-AU"/>
              </w:rPr>
            </w:pPr>
            <w:r w:rsidRPr="008D1918">
              <w:rPr>
                <w:rFonts w:cs="Arial"/>
                <w:sz w:val="20"/>
                <w:szCs w:val="20"/>
                <w:lang w:val="en-AU"/>
              </w:rPr>
              <w:t>1,113</w:t>
            </w:r>
          </w:p>
        </w:tc>
        <w:tc>
          <w:tcPr>
            <w:tcW w:w="187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0A0166CC" w14:textId="77777777">
            <w:pPr>
              <w:keepNext/>
              <w:spacing w:before="60" w:after="60"/>
              <w:ind w:right="62"/>
              <w:jc w:val="right"/>
              <w:rPr>
                <w:rFonts w:cs="Arial"/>
                <w:b/>
                <w:sz w:val="20"/>
                <w:szCs w:val="20"/>
                <w:lang w:val="en-AU"/>
              </w:rPr>
            </w:pPr>
            <w:r w:rsidRPr="008D1918">
              <w:rPr>
                <w:rFonts w:cs="Arial"/>
                <w:sz w:val="20"/>
                <w:szCs w:val="20"/>
                <w:lang w:val="en-AU"/>
              </w:rPr>
              <w:t>$2.6</w:t>
            </w:r>
          </w:p>
        </w:tc>
        <w:tc>
          <w:tcPr>
            <w:tcW w:w="1644"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72D16304" w14:textId="77777777">
            <w:pPr>
              <w:keepNext/>
              <w:spacing w:before="60" w:after="60"/>
              <w:ind w:right="62"/>
              <w:jc w:val="right"/>
              <w:rPr>
                <w:rFonts w:cs="Arial"/>
                <w:b/>
                <w:sz w:val="20"/>
                <w:szCs w:val="20"/>
                <w:lang w:val="en-AU"/>
              </w:rPr>
            </w:pPr>
            <w:r w:rsidRPr="008D1918">
              <w:rPr>
                <w:rFonts w:cs="Arial"/>
                <w:sz w:val="20"/>
                <w:szCs w:val="20"/>
                <w:lang w:val="en-AU"/>
              </w:rPr>
              <w:t>$2.3m</w:t>
            </w:r>
          </w:p>
        </w:tc>
        <w:tc>
          <w:tcPr>
            <w:tcW w:w="170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65D09885" w14:textId="77777777">
            <w:pPr>
              <w:keepNext/>
              <w:spacing w:before="60" w:after="60"/>
              <w:ind w:right="62"/>
              <w:jc w:val="right"/>
              <w:rPr>
                <w:rFonts w:cs="Arial"/>
                <w:b/>
                <w:sz w:val="20"/>
                <w:szCs w:val="20"/>
                <w:lang w:val="en-AU"/>
              </w:rPr>
            </w:pPr>
            <w:r w:rsidRPr="008D1918">
              <w:rPr>
                <w:rFonts w:cs="Arial"/>
                <w:sz w:val="20"/>
                <w:szCs w:val="20"/>
                <w:lang w:val="en-AU"/>
              </w:rPr>
              <w:t>15.0%</w:t>
            </w:r>
          </w:p>
        </w:tc>
      </w:tr>
      <w:tr w:rsidRPr="008D1918" w:rsidR="00A238C6" w:rsidTr="005A6823" w14:paraId="161DD044" w14:textId="77777777">
        <w:trPr>
          <w:cnfStyle w:val="000000100000" w:firstRow="0" w:lastRow="0" w:firstColumn="0" w:lastColumn="0" w:oddVBand="0" w:evenVBand="0" w:oddHBand="1" w:evenHBand="0" w:firstRowFirstColumn="0" w:firstRowLastColumn="0" w:lastRowFirstColumn="0" w:lastRowLastColumn="0"/>
          <w:trHeight w:val="397"/>
        </w:trPr>
        <w:tc>
          <w:tcPr>
            <w:tcW w:w="2041" w:type="dxa"/>
            <w:tcBorders>
              <w:top w:val="single" w:color="BA61C9" w:sz="4" w:space="0"/>
              <w:left w:val="single" w:color="BA61C9" w:sz="4" w:space="0"/>
              <w:bottom w:val="single" w:color="BA61C9" w:sz="4" w:space="0"/>
              <w:right w:val="single" w:color="BA61C9" w:sz="4" w:space="0"/>
            </w:tcBorders>
            <w:vAlign w:val="center"/>
          </w:tcPr>
          <w:p w:rsidRPr="008D1918" w:rsidR="00A97A75" w:rsidP="000016F0" w:rsidRDefault="00A97A75" w14:paraId="319B974D" w14:textId="77777777">
            <w:pPr>
              <w:keepNext/>
              <w:spacing w:before="60" w:after="60"/>
              <w:rPr>
                <w:rFonts w:cs="Arial"/>
                <w:b/>
                <w:sz w:val="20"/>
                <w:szCs w:val="20"/>
                <w:lang w:val="en-AU" w:eastAsia="en-AU"/>
              </w:rPr>
            </w:pPr>
            <w:r w:rsidRPr="008D1918">
              <w:rPr>
                <w:rFonts w:cs="Arial"/>
                <w:sz w:val="20"/>
                <w:szCs w:val="20"/>
                <w:lang w:val="en-AU"/>
              </w:rPr>
              <w:t>101–250</w:t>
            </w:r>
          </w:p>
        </w:tc>
        <w:tc>
          <w:tcPr>
            <w:tcW w:w="153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3908342C" w14:textId="77777777">
            <w:pPr>
              <w:keepNext/>
              <w:spacing w:before="60" w:after="60"/>
              <w:ind w:right="62"/>
              <w:jc w:val="right"/>
              <w:rPr>
                <w:rFonts w:cs="Arial"/>
                <w:b/>
                <w:sz w:val="20"/>
                <w:szCs w:val="20"/>
                <w:lang w:val="en-AU"/>
              </w:rPr>
            </w:pPr>
            <w:r w:rsidRPr="008D1918">
              <w:rPr>
                <w:rFonts w:cs="Arial"/>
                <w:sz w:val="20"/>
                <w:szCs w:val="20"/>
                <w:lang w:val="en-AU"/>
              </w:rPr>
              <w:t>498</w:t>
            </w:r>
          </w:p>
        </w:tc>
        <w:tc>
          <w:tcPr>
            <w:tcW w:w="187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0AC6559A" w14:textId="77777777">
            <w:pPr>
              <w:keepNext/>
              <w:spacing w:before="60" w:after="60"/>
              <w:ind w:right="62"/>
              <w:jc w:val="right"/>
              <w:rPr>
                <w:rFonts w:cs="Arial"/>
                <w:b/>
                <w:sz w:val="20"/>
                <w:szCs w:val="20"/>
                <w:lang w:val="en-AU"/>
              </w:rPr>
            </w:pPr>
            <w:r w:rsidRPr="008D1918">
              <w:rPr>
                <w:rFonts w:cs="Arial"/>
                <w:sz w:val="20"/>
                <w:szCs w:val="20"/>
                <w:lang w:val="en-AU"/>
              </w:rPr>
              <w:t>$2.3</w:t>
            </w:r>
          </w:p>
        </w:tc>
        <w:tc>
          <w:tcPr>
            <w:tcW w:w="1644"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75CEB1B6" w14:textId="77777777">
            <w:pPr>
              <w:keepNext/>
              <w:spacing w:before="60" w:after="60"/>
              <w:ind w:right="62"/>
              <w:jc w:val="right"/>
              <w:rPr>
                <w:rFonts w:cs="Arial"/>
                <w:b/>
                <w:sz w:val="20"/>
                <w:szCs w:val="20"/>
                <w:lang w:val="en-AU"/>
              </w:rPr>
            </w:pPr>
            <w:r w:rsidRPr="008D1918">
              <w:rPr>
                <w:rFonts w:cs="Arial"/>
                <w:sz w:val="20"/>
                <w:szCs w:val="20"/>
                <w:lang w:val="en-AU"/>
              </w:rPr>
              <w:t>$4.6m</w:t>
            </w:r>
          </w:p>
        </w:tc>
        <w:tc>
          <w:tcPr>
            <w:tcW w:w="170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158478DF" w14:textId="77777777">
            <w:pPr>
              <w:keepNext/>
              <w:spacing w:before="60" w:after="60"/>
              <w:ind w:right="62"/>
              <w:jc w:val="right"/>
              <w:rPr>
                <w:rFonts w:cs="Arial"/>
                <w:b/>
                <w:sz w:val="20"/>
                <w:szCs w:val="20"/>
                <w:lang w:val="en-AU"/>
              </w:rPr>
            </w:pPr>
            <w:r w:rsidRPr="008D1918">
              <w:rPr>
                <w:rFonts w:cs="Arial"/>
                <w:sz w:val="20"/>
                <w:szCs w:val="20"/>
                <w:lang w:val="en-AU"/>
              </w:rPr>
              <w:t>13.3%</w:t>
            </w:r>
          </w:p>
        </w:tc>
      </w:tr>
      <w:tr w:rsidRPr="008D1918" w:rsidR="00A97A75" w:rsidTr="005A6823" w14:paraId="47D29F96" w14:textId="77777777">
        <w:trPr>
          <w:trHeight w:val="397"/>
        </w:trPr>
        <w:tc>
          <w:tcPr>
            <w:tcW w:w="2041" w:type="dxa"/>
            <w:tcBorders>
              <w:top w:val="single" w:color="BA61C9" w:sz="4" w:space="0"/>
              <w:left w:val="single" w:color="BA61C9" w:sz="4" w:space="0"/>
              <w:bottom w:val="single" w:color="BA61C9" w:sz="4" w:space="0"/>
              <w:right w:val="single" w:color="BA61C9" w:sz="4" w:space="0"/>
            </w:tcBorders>
            <w:vAlign w:val="center"/>
          </w:tcPr>
          <w:p w:rsidRPr="008D1918" w:rsidR="00A97A75" w:rsidP="000016F0" w:rsidRDefault="00A97A75" w14:paraId="10CB7E99" w14:textId="77777777">
            <w:pPr>
              <w:keepNext/>
              <w:spacing w:before="60" w:after="60"/>
              <w:rPr>
                <w:rFonts w:cs="Arial"/>
                <w:b/>
                <w:sz w:val="20"/>
                <w:szCs w:val="20"/>
                <w:lang w:val="en-AU" w:eastAsia="en-AU"/>
              </w:rPr>
            </w:pPr>
            <w:r w:rsidRPr="008D1918">
              <w:rPr>
                <w:rFonts w:cs="Arial"/>
                <w:sz w:val="20"/>
                <w:szCs w:val="20"/>
                <w:lang w:val="en-AU"/>
              </w:rPr>
              <w:t>251–1000</w:t>
            </w:r>
          </w:p>
        </w:tc>
        <w:tc>
          <w:tcPr>
            <w:tcW w:w="153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69C46867" w14:textId="77777777">
            <w:pPr>
              <w:keepNext/>
              <w:spacing w:before="60" w:after="60"/>
              <w:ind w:right="62"/>
              <w:jc w:val="right"/>
              <w:rPr>
                <w:rFonts w:cs="Arial"/>
                <w:b/>
                <w:sz w:val="20"/>
                <w:szCs w:val="20"/>
                <w:lang w:val="en-AU"/>
              </w:rPr>
            </w:pPr>
            <w:r w:rsidRPr="008D1918">
              <w:rPr>
                <w:rFonts w:cs="Arial"/>
                <w:sz w:val="20"/>
                <w:szCs w:val="20"/>
                <w:lang w:val="en-AU"/>
              </w:rPr>
              <w:t>146</w:t>
            </w:r>
          </w:p>
        </w:tc>
        <w:tc>
          <w:tcPr>
            <w:tcW w:w="187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2EE639CB" w14:textId="77777777">
            <w:pPr>
              <w:keepNext/>
              <w:spacing w:before="60" w:after="60"/>
              <w:ind w:right="62"/>
              <w:jc w:val="right"/>
              <w:rPr>
                <w:rFonts w:cs="Arial"/>
                <w:b/>
                <w:sz w:val="20"/>
                <w:szCs w:val="20"/>
                <w:lang w:val="en-AU"/>
              </w:rPr>
            </w:pPr>
            <w:r w:rsidRPr="008D1918">
              <w:rPr>
                <w:rFonts w:cs="Arial"/>
                <w:sz w:val="20"/>
                <w:szCs w:val="20"/>
                <w:lang w:val="en-AU"/>
              </w:rPr>
              <w:t>$2.2</w:t>
            </w:r>
          </w:p>
        </w:tc>
        <w:tc>
          <w:tcPr>
            <w:tcW w:w="1644"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5143FCAF" w14:textId="77777777">
            <w:pPr>
              <w:keepNext/>
              <w:spacing w:before="60" w:after="60"/>
              <w:ind w:right="62"/>
              <w:jc w:val="right"/>
              <w:rPr>
                <w:rFonts w:cs="Arial"/>
                <w:b/>
                <w:sz w:val="20"/>
                <w:szCs w:val="20"/>
                <w:lang w:val="en-AU"/>
              </w:rPr>
            </w:pPr>
            <w:r w:rsidRPr="008D1918">
              <w:rPr>
                <w:rFonts w:cs="Arial"/>
                <w:sz w:val="20"/>
                <w:szCs w:val="20"/>
                <w:lang w:val="en-AU"/>
              </w:rPr>
              <w:t>$15.3m</w:t>
            </w:r>
          </w:p>
        </w:tc>
        <w:tc>
          <w:tcPr>
            <w:tcW w:w="170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38419A8B" w14:textId="77777777">
            <w:pPr>
              <w:keepNext/>
              <w:spacing w:before="60" w:after="60"/>
              <w:ind w:right="62"/>
              <w:jc w:val="right"/>
              <w:rPr>
                <w:rFonts w:cs="Arial"/>
                <w:b/>
                <w:sz w:val="20"/>
                <w:szCs w:val="20"/>
                <w:lang w:val="en-AU"/>
              </w:rPr>
            </w:pPr>
            <w:r w:rsidRPr="008D1918">
              <w:rPr>
                <w:rFonts w:cs="Arial"/>
                <w:sz w:val="20"/>
                <w:szCs w:val="20"/>
                <w:lang w:val="en-AU"/>
              </w:rPr>
              <w:t>13.1%</w:t>
            </w:r>
          </w:p>
        </w:tc>
      </w:tr>
      <w:tr w:rsidRPr="008D1918" w:rsidR="00A238C6" w:rsidTr="005A6823" w14:paraId="5AD55F4D" w14:textId="77777777">
        <w:trPr>
          <w:cnfStyle w:val="000000100000" w:firstRow="0" w:lastRow="0" w:firstColumn="0" w:lastColumn="0" w:oddVBand="0" w:evenVBand="0" w:oddHBand="1" w:evenHBand="0" w:firstRowFirstColumn="0" w:firstRowLastColumn="0" w:lastRowFirstColumn="0" w:lastRowLastColumn="0"/>
          <w:trHeight w:val="397"/>
        </w:trPr>
        <w:tc>
          <w:tcPr>
            <w:tcW w:w="2041" w:type="dxa"/>
            <w:tcBorders>
              <w:top w:val="single" w:color="BA61C9" w:sz="4" w:space="0"/>
              <w:left w:val="single" w:color="BA61C9" w:sz="4" w:space="0"/>
              <w:bottom w:val="single" w:color="BA61C9" w:sz="4" w:space="0"/>
              <w:right w:val="single" w:color="BA61C9" w:sz="4" w:space="0"/>
            </w:tcBorders>
            <w:vAlign w:val="center"/>
          </w:tcPr>
          <w:p w:rsidRPr="008D1918" w:rsidR="00A97A75" w:rsidP="000016F0" w:rsidRDefault="00A97A75" w14:paraId="76411634" w14:textId="77777777">
            <w:pPr>
              <w:keepNext/>
              <w:spacing w:before="60" w:after="60"/>
              <w:rPr>
                <w:rFonts w:cs="Arial"/>
                <w:b/>
                <w:sz w:val="20"/>
                <w:szCs w:val="20"/>
                <w:lang w:val="en-AU" w:eastAsia="en-AU"/>
              </w:rPr>
            </w:pPr>
            <w:r w:rsidRPr="008D1918">
              <w:rPr>
                <w:rFonts w:cs="Arial"/>
                <w:sz w:val="20"/>
                <w:szCs w:val="20"/>
                <w:lang w:val="en-AU"/>
              </w:rPr>
              <w:t>1000+</w:t>
            </w:r>
          </w:p>
        </w:tc>
        <w:tc>
          <w:tcPr>
            <w:tcW w:w="153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39FDCB7E" w14:textId="77777777">
            <w:pPr>
              <w:keepNext/>
              <w:spacing w:before="60" w:after="60"/>
              <w:ind w:right="62"/>
              <w:jc w:val="right"/>
              <w:rPr>
                <w:rFonts w:cs="Arial"/>
                <w:b/>
                <w:sz w:val="20"/>
                <w:szCs w:val="20"/>
                <w:lang w:val="en-AU"/>
              </w:rPr>
            </w:pPr>
            <w:r w:rsidRPr="008D1918">
              <w:rPr>
                <w:rFonts w:cs="Arial"/>
                <w:sz w:val="20"/>
                <w:szCs w:val="20"/>
                <w:lang w:val="en-AU"/>
              </w:rPr>
              <w:t>14</w:t>
            </w:r>
          </w:p>
        </w:tc>
        <w:tc>
          <w:tcPr>
            <w:tcW w:w="187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58746B53" w14:textId="77777777">
            <w:pPr>
              <w:keepNext/>
              <w:spacing w:before="60" w:after="60"/>
              <w:ind w:right="62"/>
              <w:jc w:val="right"/>
              <w:rPr>
                <w:rFonts w:cs="Arial"/>
                <w:b/>
                <w:sz w:val="20"/>
                <w:szCs w:val="20"/>
                <w:lang w:val="en-AU"/>
              </w:rPr>
            </w:pPr>
            <w:r w:rsidRPr="008D1918">
              <w:rPr>
                <w:rFonts w:cs="Arial"/>
                <w:sz w:val="20"/>
                <w:szCs w:val="20"/>
                <w:lang w:val="en-AU"/>
              </w:rPr>
              <w:t>$1.3</w:t>
            </w:r>
          </w:p>
        </w:tc>
        <w:tc>
          <w:tcPr>
            <w:tcW w:w="1644"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05464518" w14:textId="77777777">
            <w:pPr>
              <w:keepNext/>
              <w:spacing w:before="60" w:after="60"/>
              <w:ind w:right="62"/>
              <w:jc w:val="right"/>
              <w:rPr>
                <w:rFonts w:cs="Arial"/>
                <w:b/>
                <w:sz w:val="20"/>
                <w:szCs w:val="20"/>
                <w:lang w:val="en-AU"/>
              </w:rPr>
            </w:pPr>
            <w:r w:rsidRPr="008D1918">
              <w:rPr>
                <w:rFonts w:cs="Arial"/>
                <w:sz w:val="20"/>
                <w:szCs w:val="20"/>
                <w:lang w:val="en-AU"/>
              </w:rPr>
              <w:t>$91.9m</w:t>
            </w:r>
          </w:p>
        </w:tc>
        <w:tc>
          <w:tcPr>
            <w:tcW w:w="170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73D55972" w14:textId="77777777">
            <w:pPr>
              <w:keepNext/>
              <w:spacing w:before="60" w:after="60"/>
              <w:ind w:right="62"/>
              <w:jc w:val="right"/>
              <w:rPr>
                <w:rFonts w:cs="Arial"/>
                <w:b/>
                <w:sz w:val="20"/>
                <w:szCs w:val="20"/>
                <w:lang w:val="en-AU"/>
              </w:rPr>
            </w:pPr>
            <w:r w:rsidRPr="008D1918">
              <w:rPr>
                <w:rFonts w:cs="Arial"/>
                <w:sz w:val="20"/>
                <w:szCs w:val="20"/>
                <w:lang w:val="en-AU"/>
              </w:rPr>
              <w:t>7.5%</w:t>
            </w:r>
          </w:p>
        </w:tc>
      </w:tr>
      <w:tr w:rsidRPr="008D1918" w:rsidR="00A97A75" w:rsidTr="005A6823" w14:paraId="24237A5B" w14:textId="77777777">
        <w:trPr>
          <w:trHeight w:val="397"/>
        </w:trPr>
        <w:tc>
          <w:tcPr>
            <w:tcW w:w="2041" w:type="dxa"/>
            <w:tcBorders>
              <w:top w:val="single" w:color="BA61C9" w:sz="4" w:space="0"/>
              <w:left w:val="single" w:color="BA61C9" w:sz="4" w:space="0"/>
              <w:bottom w:val="single" w:color="BA61C9" w:sz="4" w:space="0"/>
              <w:right w:val="single" w:color="BA61C9" w:sz="4" w:space="0"/>
            </w:tcBorders>
            <w:vAlign w:val="center"/>
          </w:tcPr>
          <w:p w:rsidRPr="008D1918" w:rsidR="00A97A75" w:rsidP="000016F0" w:rsidRDefault="00A97A75" w14:paraId="46B5F499" w14:textId="77777777">
            <w:pPr>
              <w:keepNext/>
              <w:spacing w:before="60" w:after="60"/>
              <w:rPr>
                <w:rFonts w:cs="Arial"/>
                <w:b/>
                <w:sz w:val="20"/>
                <w:szCs w:val="20"/>
                <w:lang w:val="en-AU"/>
              </w:rPr>
            </w:pPr>
            <w:r w:rsidRPr="008D1918">
              <w:rPr>
                <w:rFonts w:cs="Arial"/>
                <w:b/>
                <w:sz w:val="20"/>
                <w:szCs w:val="20"/>
                <w:lang w:val="en-AU"/>
              </w:rPr>
              <w:t>Overall</w:t>
            </w:r>
          </w:p>
        </w:tc>
        <w:tc>
          <w:tcPr>
            <w:tcW w:w="153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4D757370" w14:textId="77777777">
            <w:pPr>
              <w:keepNext/>
              <w:spacing w:before="60" w:after="60"/>
              <w:ind w:right="62"/>
              <w:jc w:val="right"/>
              <w:rPr>
                <w:rFonts w:cs="Arial"/>
                <w:b/>
                <w:sz w:val="20"/>
                <w:szCs w:val="20"/>
                <w:lang w:val="en-AU"/>
              </w:rPr>
            </w:pPr>
            <w:r w:rsidRPr="008D1918">
              <w:rPr>
                <w:rFonts w:cs="Arial"/>
                <w:b/>
                <w:sz w:val="20"/>
                <w:szCs w:val="20"/>
                <w:lang w:val="en-AU"/>
              </w:rPr>
              <w:t>144,754</w:t>
            </w:r>
          </w:p>
        </w:tc>
        <w:tc>
          <w:tcPr>
            <w:tcW w:w="187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2DDA7212" w14:textId="77777777">
            <w:pPr>
              <w:keepNext/>
              <w:spacing w:before="60" w:after="60"/>
              <w:ind w:right="62"/>
              <w:jc w:val="right"/>
              <w:rPr>
                <w:rFonts w:cs="Arial"/>
                <w:b/>
                <w:sz w:val="20"/>
                <w:szCs w:val="20"/>
                <w:lang w:val="en-AU"/>
              </w:rPr>
            </w:pPr>
            <w:r w:rsidRPr="008D1918">
              <w:rPr>
                <w:rFonts w:cs="Arial"/>
                <w:b/>
                <w:sz w:val="20"/>
                <w:szCs w:val="20"/>
                <w:lang w:val="en-AU"/>
              </w:rPr>
              <w:t>$17.1</w:t>
            </w:r>
          </w:p>
        </w:tc>
        <w:tc>
          <w:tcPr>
            <w:tcW w:w="1644"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3056E2F9" w14:textId="77777777">
            <w:pPr>
              <w:keepNext/>
              <w:spacing w:before="60" w:after="60"/>
              <w:ind w:right="62"/>
              <w:jc w:val="right"/>
              <w:rPr>
                <w:rFonts w:cs="Arial"/>
                <w:b/>
                <w:sz w:val="20"/>
                <w:szCs w:val="20"/>
                <w:lang w:val="en-AU"/>
              </w:rPr>
            </w:pPr>
            <w:r w:rsidRPr="008D1918">
              <w:rPr>
                <w:rFonts w:cs="Arial"/>
                <w:b/>
                <w:sz w:val="20"/>
                <w:szCs w:val="20"/>
                <w:lang w:val="en-AU"/>
              </w:rPr>
              <w:t>$117,800</w:t>
            </w:r>
          </w:p>
        </w:tc>
        <w:tc>
          <w:tcPr>
            <w:tcW w:w="1701" w:type="dxa"/>
            <w:tcBorders>
              <w:top w:val="single" w:color="BA61C9" w:sz="4" w:space="0"/>
              <w:left w:val="single" w:color="BA61C9" w:sz="4" w:space="0"/>
              <w:bottom w:val="single" w:color="BA61C9" w:sz="4" w:space="0"/>
              <w:right w:val="single" w:color="BA61C9" w:sz="4" w:space="0"/>
            </w:tcBorders>
            <w:vAlign w:val="center"/>
          </w:tcPr>
          <w:p w:rsidRPr="008D1918" w:rsidR="00A97A75" w:rsidP="004A1820" w:rsidRDefault="00A97A75" w14:paraId="104E3A69" w14:textId="73BD8916">
            <w:pPr>
              <w:keepNext/>
              <w:spacing w:before="60" w:after="60"/>
              <w:ind w:right="62"/>
              <w:jc w:val="right"/>
              <w:rPr>
                <w:rFonts w:cs="Arial"/>
                <w:b/>
                <w:sz w:val="20"/>
                <w:szCs w:val="20"/>
                <w:lang w:val="en-AU"/>
              </w:rPr>
            </w:pPr>
            <w:r w:rsidRPr="008D1918">
              <w:rPr>
                <w:rFonts w:cs="Arial"/>
                <w:b/>
                <w:sz w:val="20"/>
                <w:szCs w:val="20"/>
                <w:lang w:val="en-AU"/>
              </w:rPr>
              <w:t>100</w:t>
            </w:r>
            <w:r w:rsidRPr="008D1918" w:rsidR="00397AFD">
              <w:rPr>
                <w:rFonts w:cs="Arial"/>
                <w:b/>
                <w:sz w:val="20"/>
                <w:szCs w:val="20"/>
                <w:lang w:val="en-AU"/>
              </w:rPr>
              <w:t>%</w:t>
            </w:r>
          </w:p>
        </w:tc>
      </w:tr>
    </w:tbl>
    <w:p w:rsidRPr="008D1918" w:rsidR="00A97A75" w:rsidP="000016F0" w:rsidRDefault="00A97A75" w14:paraId="0019AEFB" w14:textId="77777777">
      <w:pPr>
        <w:keepNext/>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A97A75" w:rsidP="000016F0" w:rsidRDefault="00A97A75" w14:paraId="745A9651" w14:textId="77777777">
      <w:pPr>
        <w:spacing w:before="120" w:after="360" w:line="240" w:lineRule="atLeast"/>
        <w:rPr>
          <w:rFonts w:cs="Calibri"/>
          <w:sz w:val="20"/>
          <w:szCs w:val="20"/>
          <w:lang w:val="en-AU" w:eastAsia="en-AU"/>
        </w:rPr>
      </w:pPr>
      <w:r w:rsidRPr="008D1918">
        <w:rPr>
          <w:rFonts w:cs="Calibri"/>
          <w:sz w:val="20"/>
          <w:szCs w:val="20"/>
          <w:lang w:val="en-AU" w:eastAsia="en-AU"/>
        </w:rPr>
        <w:t>Note: Average revenue is rounded up to the nearest hundred.</w:t>
      </w:r>
    </w:p>
    <w:p w:rsidRPr="008D1918" w:rsidR="00911F16" w:rsidP="00245B10" w:rsidRDefault="00A97A75" w14:paraId="6C04D96E" w14:textId="0E5C4CFC">
      <w:pPr>
        <w:pStyle w:val="H5"/>
      </w:pPr>
      <w:bookmarkStart w:name="_Toc223428410" w:id="733"/>
      <w:bookmarkStart w:name="_Toc223445869" w:id="734"/>
      <w:bookmarkStart w:name="_Toc223604713" w:id="735"/>
      <w:r w:rsidRPr="008D1918">
        <w:rPr>
          <w:rFonts w:eastAsia="Arial"/>
        </w:rPr>
        <w:t>Payment consistency</w:t>
      </w:r>
      <w:bookmarkEnd w:id="733"/>
      <w:bookmarkEnd w:id="734"/>
      <w:bookmarkEnd w:id="735"/>
      <w:r w:rsidRPr="008D1918" w:rsidR="003A40F0">
        <w:t xml:space="preserve"> </w:t>
      </w:r>
    </w:p>
    <w:p w:rsidRPr="008D1918" w:rsidR="00A97A75" w:rsidRDefault="00A97A75" w14:paraId="49AFC3C8" w14:textId="7652C2FD">
      <w:pPr>
        <w:rPr>
          <w:lang w:val="en-AU"/>
        </w:rPr>
      </w:pPr>
      <w:r w:rsidRPr="008D1918">
        <w:rPr>
          <w:lang w:val="en-AU"/>
        </w:rPr>
        <w:t>Long-term provider retention varies significantly by registration status, with 4</w:t>
      </w:r>
      <w:r w:rsidRPr="008D1918" w:rsidR="008B7EA2">
        <w:rPr>
          <w:lang w:val="en-AU"/>
        </w:rPr>
        <w:t>1</w:t>
      </w:r>
      <w:r w:rsidRPr="008D1918">
        <w:rPr>
          <w:lang w:val="en-AU"/>
        </w:rPr>
        <w:t>% of registered providers active across all 6 half-year periods from January 2023 to December 2025, claiming 92% of total registered payments (</w:t>
      </w:r>
      <w:r w:rsidRPr="008D1918" w:rsidR="006F7462">
        <w:rPr>
          <w:lang w:val="en-AU"/>
        </w:rPr>
        <w:fldChar w:fldCharType="begin"/>
      </w:r>
      <w:r w:rsidRPr="008D1918" w:rsidR="006F7462">
        <w:rPr>
          <w:lang w:val="en-AU"/>
        </w:rPr>
        <w:instrText xml:space="preserve"> REF _Ref223624104 \h </w:instrText>
      </w:r>
      <w:r w:rsidRPr="008D1918" w:rsidR="00762DF8">
        <w:rPr>
          <w:lang w:val="en-AU"/>
        </w:rPr>
        <w:instrText xml:space="preserve"> \* MERGEFORMAT </w:instrText>
      </w:r>
      <w:r w:rsidRPr="008D1918" w:rsidR="006F7462">
        <w:rPr>
          <w:lang w:val="en-AU"/>
        </w:rPr>
      </w:r>
      <w:r w:rsidRPr="008D1918" w:rsidR="006F7462">
        <w:rPr>
          <w:lang w:val="en-AU"/>
        </w:rPr>
        <w:fldChar w:fldCharType="separate"/>
      </w:r>
      <w:r w:rsidRPr="008F56A2" w:rsidR="008F56A2">
        <w:rPr>
          <w:lang w:val="en-AU"/>
        </w:rPr>
        <w:t>Figure</w:t>
      </w:r>
      <w:r w:rsidRPr="008D1918" w:rsidR="008F56A2">
        <w:t xml:space="preserve"> </w:t>
      </w:r>
      <w:r w:rsidR="008F56A2">
        <w:rPr>
          <w:noProof/>
        </w:rPr>
        <w:t>8</w:t>
      </w:r>
      <w:r w:rsidRPr="008D1918" w:rsidR="006F7462">
        <w:rPr>
          <w:lang w:val="en-AU"/>
        </w:rPr>
        <w:fldChar w:fldCharType="end"/>
      </w:r>
      <w:r w:rsidRPr="008D1918">
        <w:rPr>
          <w:lang w:val="en-AU"/>
        </w:rPr>
        <w:t xml:space="preserve">). </w:t>
      </w:r>
      <w:r w:rsidRPr="008D1918" w:rsidR="00BC18C7">
        <w:rPr>
          <w:lang w:val="en-AU"/>
        </w:rPr>
        <w:t xml:space="preserve">In contrast </w:t>
      </w:r>
      <w:r w:rsidRPr="008D1918" w:rsidR="005F618C">
        <w:rPr>
          <w:lang w:val="en-AU"/>
        </w:rPr>
        <w:t xml:space="preserve">amongst </w:t>
      </w:r>
      <w:r w:rsidRPr="008D1918">
        <w:rPr>
          <w:lang w:val="en-AU"/>
        </w:rPr>
        <w:t xml:space="preserve">unregistered providers, consistent activity is </w:t>
      </w:r>
      <w:r w:rsidRPr="008D1918" w:rsidR="005F618C">
        <w:rPr>
          <w:lang w:val="en-AU"/>
        </w:rPr>
        <w:t xml:space="preserve">significantly </w:t>
      </w:r>
      <w:r w:rsidRPr="008D1918">
        <w:rPr>
          <w:lang w:val="en-AU"/>
        </w:rPr>
        <w:t xml:space="preserve">lower, with </w:t>
      </w:r>
      <w:r w:rsidRPr="008D1918" w:rsidR="0015249A">
        <w:rPr>
          <w:lang w:val="en-AU"/>
        </w:rPr>
        <w:t>17</w:t>
      </w:r>
      <w:r w:rsidRPr="008D1918">
        <w:rPr>
          <w:lang w:val="en-AU"/>
        </w:rPr>
        <w:t>% delivering supports across all 6 periods. However, this stable base still captures the majority of value, claiming 69% of total unregistered payments, while a larger portion of the unregistered market is transient (</w:t>
      </w:r>
      <w:r w:rsidRPr="008D1918" w:rsidR="00F603AD">
        <w:rPr>
          <w:lang w:val="en-AU"/>
        </w:rPr>
        <w:fldChar w:fldCharType="begin"/>
      </w:r>
      <w:r w:rsidRPr="008D1918" w:rsidR="00F603AD">
        <w:rPr>
          <w:lang w:val="en-AU"/>
        </w:rPr>
        <w:instrText xml:space="preserve"> REF _Ref223624104 \h </w:instrText>
      </w:r>
      <w:r w:rsidRPr="008D1918" w:rsidR="00762DF8">
        <w:rPr>
          <w:lang w:val="en-AU"/>
        </w:rPr>
        <w:instrText xml:space="preserve"> \* MERGEFORMAT </w:instrText>
      </w:r>
      <w:r w:rsidRPr="008D1918" w:rsidR="00F603AD">
        <w:rPr>
          <w:lang w:val="en-AU"/>
        </w:rPr>
      </w:r>
      <w:r w:rsidRPr="008D1918" w:rsidR="00F603AD">
        <w:rPr>
          <w:lang w:val="en-AU"/>
        </w:rPr>
        <w:fldChar w:fldCharType="separate"/>
      </w:r>
      <w:r w:rsidRPr="008F56A2" w:rsidR="008F56A2">
        <w:rPr>
          <w:lang w:val="en-AU"/>
        </w:rPr>
        <w:t>Figure</w:t>
      </w:r>
      <w:r w:rsidRPr="008D1918" w:rsidR="008F56A2">
        <w:t xml:space="preserve"> </w:t>
      </w:r>
      <w:r w:rsidR="008F56A2">
        <w:rPr>
          <w:noProof/>
        </w:rPr>
        <w:t>8</w:t>
      </w:r>
      <w:r w:rsidRPr="008D1918" w:rsidR="00F603AD">
        <w:rPr>
          <w:lang w:val="en-AU"/>
        </w:rPr>
        <w:fldChar w:fldCharType="end"/>
      </w:r>
      <w:r w:rsidRPr="008D1918">
        <w:rPr>
          <w:lang w:val="en-AU"/>
        </w:rPr>
        <w:t>).</w:t>
      </w:r>
    </w:p>
    <w:p w:rsidRPr="008D1918" w:rsidR="00A97A75" w:rsidP="00D473D5" w:rsidRDefault="00A97A75" w14:paraId="76F6B016" w14:textId="6A185713">
      <w:pPr>
        <w:pStyle w:val="Caption"/>
        <w:rPr>
          <w:rFonts w:eastAsia="DengXian" w:cs="Cordia New"/>
          <w:i w:val="0"/>
          <w:color w:val="6B2876" w:themeColor="accent5"/>
        </w:rPr>
      </w:pPr>
      <w:bookmarkStart w:name="_Ref223624104" w:id="736"/>
      <w:r w:rsidRPr="008D1918">
        <w:t xml:space="preserve">Figure </w:t>
      </w:r>
      <w:r>
        <w:fldChar w:fldCharType="begin"/>
      </w:r>
      <w:r>
        <w:instrText>SEQ Figure \* ARABIC</w:instrText>
      </w:r>
      <w:r>
        <w:fldChar w:fldCharType="separate"/>
      </w:r>
      <w:r w:rsidR="008F56A2">
        <w:rPr>
          <w:noProof/>
        </w:rPr>
        <w:t>8</w:t>
      </w:r>
      <w:r>
        <w:fldChar w:fldCharType="end"/>
      </w:r>
      <w:bookmarkEnd w:id="736"/>
      <w:r w:rsidRPr="008D1918">
        <w:rPr>
          <w:rFonts w:eastAsia="DengXian" w:cs="Cordia New"/>
          <w:color w:val="6B2876" w:themeColor="accent5"/>
        </w:rPr>
        <w:t>: Provider continuity for DSW-related supports by registration status and percentage of total payments, January 2023 to December 2025</w:t>
      </w:r>
    </w:p>
    <w:p w:rsidRPr="008D1918" w:rsidR="00A97A75" w:rsidP="000016F0" w:rsidRDefault="00A97A75" w14:paraId="70CE336D" w14:textId="77777777">
      <w:pPr>
        <w:spacing w:before="240" w:after="360" w:line="240" w:lineRule="atLeast"/>
        <w:rPr>
          <w:rFonts w:cs="Calibri"/>
          <w:b/>
          <w:sz w:val="20"/>
          <w:szCs w:val="18"/>
          <w:lang w:val="en-AU" w:eastAsia="en-AU"/>
        </w:rPr>
      </w:pPr>
      <w:r w:rsidRPr="008D1918">
        <w:rPr>
          <w:noProof/>
          <w:lang w:val="en-AU"/>
        </w:rPr>
        <mc:AlternateContent>
          <mc:Choice Requires="wps">
            <w:drawing>
              <wp:inline distT="0" distB="0" distL="0" distR="0" wp14:anchorId="018F18B8" wp14:editId="69B3FCBE">
                <wp:extent cx="5688000" cy="2448000"/>
                <wp:effectExtent l="0" t="0" r="8255" b="9525"/>
                <wp:docPr id="1964048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448000"/>
                        </a:xfrm>
                        <a:prstGeom prst="rect">
                          <a:avLst/>
                        </a:prstGeom>
                        <a:solidFill>
                          <a:srgbClr val="FFFFFF"/>
                        </a:solidFill>
                        <a:ln w="9525">
                          <a:noFill/>
                          <a:miter lim="800000"/>
                          <a:headEnd/>
                          <a:tailEnd/>
                        </a:ln>
                      </wps:spPr>
                      <wps:txbx>
                        <w:txbxContent>
                          <w:p w:rsidR="00A97A75" w:rsidRDefault="00A97A75" w14:paraId="6D29B451" w14:textId="77777777">
                            <w:pPr>
                              <w:pStyle w:val="Sourcefortableorfigure"/>
                            </w:pPr>
                            <w:r>
                              <w:rPr>
                                <w:b w:val="0"/>
                                <w:noProof/>
                                <w:highlight w:val="lightGray"/>
                              </w:rPr>
                              <w:drawing>
                                <wp:inline distT="0" distB="0" distL="0" distR="0" wp14:anchorId="45C77A80" wp14:editId="23567081">
                                  <wp:extent cx="2588400" cy="2023200"/>
                                  <wp:effectExtent l="0" t="0" r="2540" b="0"/>
                                  <wp:docPr id="2125867996" name="Picture 1" descr="Figure 8 part 1: A bar graph showing provider continuity for DSW-related supports by registration status and percentage of total payments, from January 2023 to December 2025 - Registered providers.&#10;92% of payments to registered providers over the period were to providers who operated over all half years in the period (45%).&#10;Source: NDIS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67996" name="Picture 1" descr="Figure 8 part 1: A bar graph showing provider continuity for DSW-related supports by registration status and percentage of total payments, from January 2023 to December 2025 - Registered providers.&#10;92% of payments to registered providers over the period were to providers who operated over all half years in the period (45%).&#10;Source: NDIS internal dat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8400" cy="2023200"/>
                                          </a:xfrm>
                                          <a:prstGeom prst="rect">
                                            <a:avLst/>
                                          </a:prstGeom>
                                          <a:noFill/>
                                        </pic:spPr>
                                      </pic:pic>
                                    </a:graphicData>
                                  </a:graphic>
                                </wp:inline>
                              </w:drawing>
                            </w:r>
                            <w:r>
                              <w:t xml:space="preserve">        </w:t>
                            </w:r>
                            <w:r w:rsidRPr="00B548D2">
                              <w:rPr>
                                <w:noProof/>
                              </w:rPr>
                              <w:drawing>
                                <wp:inline distT="0" distB="0" distL="0" distR="0" wp14:anchorId="4B80CE92" wp14:editId="3F9A177A">
                                  <wp:extent cx="2592000" cy="2023200"/>
                                  <wp:effectExtent l="0" t="0" r="0" b="0"/>
                                  <wp:docPr id="602855020" name="Picture 4" descr="Figure 8 part 2: A bar graph showing provider continuity for DSW-related supports by registration status and percentage of total payments, from January 2023 to December 2025 - Unregistered providers.&#10;69% of payments to unregistered providers over the period were to providers who operated over all half years in the period (43% of unregistered providers) The majority of unregistered providers operate across only one half year in the period.&#10;Source: NDIS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55020" name="Picture 4" descr="Figure 8 part 2: A bar graph showing provider continuity for DSW-related supports by registration status and percentage of total payments, from January 2023 to December 2025 - Unregistered providers.&#10;69% of payments to unregistered providers over the period were to providers who operated over all half years in the period (43% of unregistered providers) The majority of unregistered providers operate across only one half year in the period.&#10;Source: NDIS internal dat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92000" cy="2023200"/>
                                          </a:xfrm>
                                          <a:prstGeom prst="rect">
                                            <a:avLst/>
                                          </a:prstGeom>
                                          <a:noFill/>
                                          <a:ln>
                                            <a:noFill/>
                                          </a:ln>
                                        </pic:spPr>
                                      </pic:pic>
                                    </a:graphicData>
                                  </a:graphic>
                                </wp:inline>
                              </w:drawing>
                            </w:r>
                          </w:p>
                          <w:p w:rsidRPr="006C0680" w:rsidR="00A97A75" w:rsidRDefault="00A97A75" w14:paraId="73F77232" w14:textId="77777777">
                            <w:pPr>
                              <w:pStyle w:val="Sourcefortableorfigure"/>
                              <w:rPr>
                                <w:sz w:val="22"/>
                                <w:szCs w:val="20"/>
                              </w:rPr>
                            </w:pPr>
                            <w:r w:rsidRPr="006C0680">
                              <w:rPr>
                                <w:sz w:val="18"/>
                              </w:rPr>
                              <w:t>Source: NDIS internal administrative data</w:t>
                            </w:r>
                          </w:p>
                        </w:txbxContent>
                      </wps:txbx>
                      <wps:bodyPr rot="0" vert="horz" wrap="square" lIns="91440" tIns="45720" rIns="91440" bIns="45720" anchor="t" anchorCtr="0">
                        <a:noAutofit/>
                      </wps:bodyPr>
                    </wps:wsp>
                  </a:graphicData>
                </a:graphic>
              </wp:inline>
            </w:drawing>
          </mc:Choice>
          <mc:Fallback>
            <w:pict w14:anchorId="3DEE0098">
              <v:shapetype id="_x0000_t202" coordsize="21600,21600" o:spt="202" path="m,l,21600r21600,l21600,xe" w14:anchorId="018F18B8">
                <v:stroke joinstyle="miter"/>
                <v:path gradientshapeok="t" o:connecttype="rect"/>
              </v:shapetype>
              <v:shape id="Text Box 2" style="width:447.85pt;height:192.75pt;visibility:visible;mso-wrap-style:square;mso-left-percent:-10001;mso-top-percent:-10001;mso-position-horizontal:absolute;mso-position-horizontal-relative:char;mso-position-vertical:absolute;mso-position-vertical-relative:line;mso-left-percent:-10001;mso-top-percent:-10001;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">
                <v:textbox>
                  <w:txbxContent>
                    <w:p w:rsidR="00A97A75" w:rsidRDefault="00A97A75" w14:paraId="6994FCCC" w14:textId="77777777">
                      <w:pPr>
                        <w:pStyle w:val="Sourcefortableorfigure"/>
                      </w:pPr>
                      <w:r>
                        <w:rPr>
                          <w:b w:val="0"/>
                          <w:noProof/>
                          <w:highlight w:val="lightGray"/>
                        </w:rPr>
                        <w:drawing>
                          <wp:inline distT="0" distB="0" distL="0" distR="0" wp14:anchorId="4226C9DE" wp14:editId="23567081">
                            <wp:extent cx="2588400" cy="2023200"/>
                            <wp:effectExtent l="0" t="0" r="2540" b="0"/>
                            <wp:docPr id="1014819006" name="Picture 1" descr="Figure 8 part 1: A bar graph showing provider continuity for DSW-related supports by registration status and percentage of total payments, from January 2023 to December 2025 - Registered providers.&#10;92% of payments to registered providers over the period were to providers who operated over all half years in the period (45%).&#10;Source: NDIS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67996" name="Picture 1" descr="Figure 8 part 1: A bar graph showing provider continuity for DSW-related supports by registration status and percentage of total payments, from January 2023 to December 2025 - Registered providers.&#10;92% of payments to registered providers over the period were to providers who operated over all half years in the period (45%).&#10;Source: NDIS internal dat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8400" cy="2023200"/>
                                    </a:xfrm>
                                    <a:prstGeom prst="rect">
                                      <a:avLst/>
                                    </a:prstGeom>
                                    <a:noFill/>
                                  </pic:spPr>
                                </pic:pic>
                              </a:graphicData>
                            </a:graphic>
                          </wp:inline>
                        </w:drawing>
                      </w:r>
                      <w:r>
                        <w:t xml:space="preserve">        </w:t>
                      </w:r>
                      <w:r w:rsidRPr="00B548D2">
                        <w:rPr>
                          <w:noProof/>
                        </w:rPr>
                        <w:drawing>
                          <wp:inline distT="0" distB="0" distL="0" distR="0" wp14:anchorId="06D27515" wp14:editId="3F9A177A">
                            <wp:extent cx="2592000" cy="2023200"/>
                            <wp:effectExtent l="0" t="0" r="0" b="0"/>
                            <wp:docPr id="1960226256" name="Picture 4" descr="Figure 8 part 2: A bar graph showing provider continuity for DSW-related supports by registration status and percentage of total payments, from January 2023 to December 2025 - Unregistered providers.&#10;69% of payments to unregistered providers over the period were to providers who operated over all half years in the period (43% of unregistered providers) The majority of unregistered providers operate across only one half year in the period.&#10;Source: NDIS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55020" name="Picture 4" descr="Figure 8 part 2: A bar graph showing provider continuity for DSW-related supports by registration status and percentage of total payments, from January 2023 to December 2025 - Unregistered providers.&#10;69% of payments to unregistered providers over the period were to providers who operated over all half years in the period (43% of unregistered providers) The majority of unregistered providers operate across only one half year in the period.&#10;Source: NDIS internal dat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92000" cy="2023200"/>
                                    </a:xfrm>
                                    <a:prstGeom prst="rect">
                                      <a:avLst/>
                                    </a:prstGeom>
                                    <a:noFill/>
                                    <a:ln>
                                      <a:noFill/>
                                    </a:ln>
                                  </pic:spPr>
                                </pic:pic>
                              </a:graphicData>
                            </a:graphic>
                          </wp:inline>
                        </w:drawing>
                      </w:r>
                    </w:p>
                    <w:p w:rsidRPr="006C0680" w:rsidR="00A97A75" w:rsidRDefault="00A97A75" w14:paraId="46EFF291" w14:textId="77777777">
                      <w:pPr>
                        <w:pStyle w:val="Sourcefortableorfigure"/>
                        <w:rPr>
                          <w:sz w:val="22"/>
                          <w:szCs w:val="20"/>
                        </w:rPr>
                      </w:pPr>
                      <w:r w:rsidRPr="006C0680">
                        <w:rPr>
                          <w:sz w:val="18"/>
                        </w:rPr>
                        <w:t>Source: NDIS internal administrative data</w:t>
                      </w:r>
                    </w:p>
                  </w:txbxContent>
                </v:textbox>
                <w10:anchorlock/>
              </v:shape>
            </w:pict>
          </mc:Fallback>
        </mc:AlternateContent>
      </w:r>
    </w:p>
    <w:p w:rsidRPr="008D1918" w:rsidR="00A97A75" w:rsidP="00245B10" w:rsidRDefault="00A97A75" w14:paraId="3197CB1E" w14:textId="77777777">
      <w:pPr>
        <w:pStyle w:val="H5"/>
        <w:rPr>
          <w:rFonts w:eastAsia="Arial"/>
        </w:rPr>
      </w:pPr>
      <w:bookmarkStart w:name="_Toc200103491" w:id="737"/>
      <w:bookmarkStart w:name="_Toc200271604" w:id="738"/>
      <w:bookmarkStart w:name="_Toc223428411" w:id="739"/>
      <w:bookmarkStart w:name="_Toc223445870" w:id="740"/>
      <w:bookmarkStart w:name="_Toc223604714" w:id="741"/>
      <w:r w:rsidRPr="008D1918">
        <w:rPr>
          <w:rFonts w:eastAsia="Arial"/>
        </w:rPr>
        <w:t>Payment activity for registered providers</w:t>
      </w:r>
      <w:bookmarkEnd w:id="737"/>
      <w:bookmarkEnd w:id="738"/>
      <w:bookmarkEnd w:id="739"/>
      <w:bookmarkEnd w:id="740"/>
      <w:bookmarkEnd w:id="741"/>
    </w:p>
    <w:p w:rsidRPr="008D1918" w:rsidR="0050033A" w:rsidP="0050033A" w:rsidRDefault="00A97A75" w14:paraId="71220E07" w14:textId="661A5C79">
      <w:pPr>
        <w:rPr>
          <w:lang w:val="en-AU"/>
        </w:rPr>
      </w:pPr>
      <w:r w:rsidRPr="008D1918">
        <w:rPr>
          <w:lang w:val="en-AU"/>
        </w:rPr>
        <w:t xml:space="preserve">Market turnover analysis shows provider entries and exits have a minimal financial impact relative to the total market size. Inactive registered providers accounted for 0.2% of total payments in the </w:t>
      </w:r>
      <w:r w:rsidRPr="008D1918" w:rsidR="001750DB">
        <w:rPr>
          <w:lang w:val="en-AU"/>
        </w:rPr>
        <w:t xml:space="preserve">6 </w:t>
      </w:r>
      <w:r w:rsidRPr="008D1918">
        <w:rPr>
          <w:lang w:val="en-AU"/>
        </w:rPr>
        <w:t xml:space="preserve">months to December 2025, and similarly, newly active registered providers contributed 1.0% of total payments in the same period </w:t>
      </w:r>
      <w:r w:rsidRPr="008D1918" w:rsidR="00272A9F">
        <w:rPr>
          <w:lang w:val="en-AU"/>
        </w:rPr>
        <w:t>(</w:t>
      </w:r>
      <w:r w:rsidRPr="008D1918" w:rsidR="0050033A">
        <w:rPr>
          <w:lang w:val="en-AU"/>
        </w:rPr>
        <w:fldChar w:fldCharType="begin"/>
      </w:r>
      <w:r w:rsidRPr="008D1918" w:rsidR="0050033A">
        <w:rPr>
          <w:lang w:val="en-AU"/>
        </w:rPr>
        <w:instrText xml:space="preserve"> REF _Ref195556178 \h  \* MERGEFORMAT </w:instrText>
      </w:r>
      <w:r w:rsidRPr="008D1918" w:rsidR="0050033A">
        <w:rPr>
          <w:lang w:val="en-AU"/>
        </w:rPr>
      </w:r>
      <w:r w:rsidRPr="008D1918" w:rsidR="0050033A">
        <w:rPr>
          <w:lang w:val="en-AU"/>
        </w:rPr>
        <w:fldChar w:fldCharType="separate"/>
      </w:r>
      <w:r w:rsidRPr="008F56A2" w:rsidR="008F56A2">
        <w:rPr>
          <w:lang w:val="en-AU"/>
        </w:rPr>
        <w:t>Figure</w:t>
      </w:r>
      <w:r w:rsidRPr="008D1918" w:rsidR="008F56A2">
        <w:t xml:space="preserve"> </w:t>
      </w:r>
      <w:r w:rsidRPr="008D1918" w:rsidR="0050033A">
        <w:rPr>
          <w:lang w:val="en-AU"/>
        </w:rPr>
        <w:fldChar w:fldCharType="end"/>
      </w:r>
      <w:r w:rsidR="006B1426">
        <w:rPr>
          <w:lang w:val="en-AU"/>
        </w:rPr>
        <w:t>9</w:t>
      </w:r>
      <w:r w:rsidRPr="008D1918" w:rsidR="0050033A">
        <w:rPr>
          <w:lang w:val="en-AU"/>
        </w:rPr>
        <w:t>).</w:t>
      </w:r>
    </w:p>
    <w:p w:rsidRPr="008D1918" w:rsidR="00A97A75" w:rsidP="008B4BA1" w:rsidRDefault="00A97A75" w14:paraId="79208480" w14:textId="3CF22300">
      <w:pPr>
        <w:pStyle w:val="Caption"/>
        <w:rPr>
          <w:rFonts w:eastAsia="DengXian" w:cs="Cordia New"/>
          <w:i w:val="0"/>
          <w:color w:val="6B2876" w:themeColor="accent5"/>
        </w:rPr>
      </w:pPr>
      <w:bookmarkStart w:name="_Ref195556178" w:id="742"/>
      <w:r w:rsidRPr="008D1918">
        <w:t xml:space="preserve">Figure </w:t>
      </w:r>
      <w:bookmarkEnd w:id="742"/>
      <w:r w:rsidRPr="008D1918" w:rsidR="008B4BA1">
        <w:fldChar w:fldCharType="begin"/>
      </w:r>
      <w:r w:rsidRPr="008D1918" w:rsidR="008B4BA1">
        <w:instrText xml:space="preserve"> SEQ Figure \* ARABIC </w:instrText>
      </w:r>
      <w:r w:rsidRPr="008D1918" w:rsidR="008B4BA1">
        <w:fldChar w:fldCharType="separate"/>
      </w:r>
      <w:r w:rsidR="008F56A2">
        <w:rPr>
          <w:noProof/>
        </w:rPr>
        <w:t>9</w:t>
      </w:r>
      <w:r w:rsidRPr="008D1918" w:rsidR="008B4BA1">
        <w:fldChar w:fldCharType="end"/>
      </w:r>
      <w:r w:rsidRPr="008D1918">
        <w:rPr>
          <w:rFonts w:eastAsia="DengXian" w:cs="Cordia New"/>
          <w:color w:val="6B2876" w:themeColor="accent5"/>
        </w:rPr>
        <w:t>: DSW-related registered provider activity movements, January 2023 to December 2025</w:t>
      </w:r>
    </w:p>
    <w:p w:rsidRPr="008D1918" w:rsidR="00A97A75" w:rsidRDefault="00A97A75" w14:paraId="6F882DA4" w14:textId="77777777">
      <w:pPr>
        <w:spacing w:line="276" w:lineRule="auto"/>
        <w:rPr>
          <w:lang w:val="en-AU"/>
        </w:rPr>
      </w:pPr>
      <w:r w:rsidRPr="008D1918">
        <w:rPr>
          <w:noProof/>
          <w:lang w:val="en-AU"/>
        </w:rPr>
        <w:drawing>
          <wp:inline distT="0" distB="0" distL="0" distR="0" wp14:anchorId="38F4042E" wp14:editId="198AEB0C">
            <wp:extent cx="5731510" cy="3046100"/>
            <wp:effectExtent l="0" t="0" r="2540" b="1905"/>
            <wp:docPr id="388104461" name="Picture 9" descr="Figure 9: A bar graph showing DSW-related registered provider activity movements, from January 2023 to December 2025. The graph shows that Inactive registered providers accounted for 0.2% of total payments in the six months to December 2025, and similarly, newly active registered providers contributed 1.0% of total payments in the same period. Compared to inactive registered providers accounting for 0.1% of total payments in the six months to June 2023, and similarly, newly active registered providers contributing 0.8% of total payments in the same period. &#10;Source: NDIS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04461" name="Picture 9" descr="Figure 9: A bar graph showing DSW-related registered provider activity movements, from January 2023 to December 2025. The graph shows that Inactive registered providers accounted for 0.2% of total payments in the six months to December 2025, and similarly, newly active registered providers contributed 1.0% of total payments in the same period. Compared to inactive registered providers accounting for 0.1% of total payments in the six months to June 2023, and similarly, newly active registered providers contributing 0.8% of total payments in the same period. &#10;Source: NDIS internal dat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3046100"/>
                    </a:xfrm>
                    <a:prstGeom prst="rect">
                      <a:avLst/>
                    </a:prstGeom>
                    <a:noFill/>
                  </pic:spPr>
                </pic:pic>
              </a:graphicData>
            </a:graphic>
          </wp:inline>
        </w:drawing>
      </w:r>
    </w:p>
    <w:p w:rsidRPr="008D1918" w:rsidR="00A97A75" w:rsidP="002204D3" w:rsidRDefault="00A97A75" w14:paraId="35CDF42F" w14:textId="5CB06537">
      <w:pPr>
        <w:spacing w:before="120" w:after="360" w:line="240" w:lineRule="atLeast"/>
        <w:rPr>
          <w:sz w:val="20"/>
          <w:szCs w:val="20"/>
          <w:lang w:val="en-AU"/>
        </w:rPr>
      </w:pPr>
      <w:r w:rsidRPr="008D1918">
        <w:rPr>
          <w:rFonts w:cs="Arial"/>
          <w:sz w:val="20"/>
          <w:szCs w:val="20"/>
          <w:lang w:val="en-AU"/>
        </w:rPr>
        <w:t xml:space="preserve">Note: </w:t>
      </w:r>
      <w:r w:rsidRPr="008D1918">
        <w:rPr>
          <w:sz w:val="20"/>
          <w:szCs w:val="20"/>
          <w:lang w:val="en-AU"/>
        </w:rPr>
        <w:t xml:space="preserve">‘New Activity’ within a half-year period is identified when providers who were inactive in the previous half-year begin to receive payments. Conversely, ‘Inactivity’ is noted when providers that received payments in one half-year do not in the subsequent one. These fluctuations are measured </w:t>
      </w:r>
      <w:r w:rsidRPr="008D1918">
        <w:rPr>
          <w:sz w:val="20"/>
          <w:szCs w:val="20"/>
          <w:lang w:val="en-AU"/>
        </w:rPr>
        <w:t>as a percentage of the total payments made within that half-year, or the previous one, in the case of</w:t>
      </w:r>
      <w:r w:rsidRPr="008D1918" w:rsidR="000016F0">
        <w:rPr>
          <w:sz w:val="20"/>
          <w:szCs w:val="20"/>
          <w:lang w:val="en-AU"/>
        </w:rPr>
        <w:t xml:space="preserve"> </w:t>
      </w:r>
      <w:r w:rsidRPr="008D1918">
        <w:rPr>
          <w:sz w:val="20"/>
          <w:szCs w:val="20"/>
          <w:lang w:val="en-AU"/>
        </w:rPr>
        <w:t>inactivity.</w:t>
      </w:r>
    </w:p>
    <w:p w:rsidRPr="008D1918" w:rsidR="005E3D04" w:rsidP="00590437" w:rsidRDefault="005E3D04" w14:paraId="07EFDFE7" w14:textId="3A1686C1">
      <w:pPr>
        <w:pStyle w:val="Heading31"/>
        <w:ind w:left="1077" w:hanging="720"/>
      </w:pPr>
      <w:bookmarkStart w:name="_Toc227337081" w:id="743"/>
      <w:r w:rsidRPr="008D1918">
        <w:t>Consultation</w:t>
      </w:r>
      <w:bookmarkEnd w:id="743"/>
    </w:p>
    <w:p w:rsidRPr="008D1918" w:rsidR="00C44845" w:rsidP="001D163B" w:rsidRDefault="00443B19" w14:paraId="6A64FD18" w14:textId="62E4BB3E">
      <w:r w:rsidRPr="008D1918">
        <w:t>Consultation evidence in this chapter pla</w:t>
      </w:r>
      <w:r w:rsidRPr="008D1918" w:rsidR="005C220E">
        <w:t>y</w:t>
      </w:r>
      <w:r w:rsidRPr="008D1918">
        <w:t xml:space="preserve">s a different role from consultation </w:t>
      </w:r>
      <w:r w:rsidRPr="008D1918" w:rsidR="00D248F1">
        <w:t xml:space="preserve">in the benchmarked therapy </w:t>
      </w:r>
      <w:r w:rsidRPr="008D1918" w:rsidR="00215565">
        <w:t xml:space="preserve">market </w:t>
      </w:r>
      <w:r w:rsidRPr="008D1918" w:rsidR="00D248F1">
        <w:t>and Scheme</w:t>
      </w:r>
      <w:r w:rsidRPr="008D1918" w:rsidR="00215565">
        <w:t>-</w:t>
      </w:r>
      <w:r w:rsidRPr="008D1918" w:rsidR="00D248F1">
        <w:t xml:space="preserve">created markets like plan management and </w:t>
      </w:r>
      <w:r w:rsidRPr="008D1918" w:rsidR="002A75FF">
        <w:t xml:space="preserve">support coordination. In the absence of external price comparators, provider feedback on cost pressures is the primary source of evidence for identifying </w:t>
      </w:r>
      <w:r w:rsidRPr="008D1918" w:rsidR="00553257">
        <w:t xml:space="preserve">which DSW Cost Model assumptions may no longer reflect contemporary service delivery conditions. This makes consultation more analytically important here than </w:t>
      </w:r>
      <w:r w:rsidR="00950BB6">
        <w:t xml:space="preserve">in </w:t>
      </w:r>
      <w:r w:rsidRPr="008D1918" w:rsidR="00553257">
        <w:t>chapters where benchmarking data is available. At the same time, provider reports of cost pressures do not by themselves establish that current prices are inadequate</w:t>
      </w:r>
      <w:r w:rsidRPr="008D1918" w:rsidR="00527F33">
        <w:t xml:space="preserve">. They </w:t>
      </w:r>
      <w:r w:rsidRPr="008D1918" w:rsidR="00553257">
        <w:t>identify where the model warrants scrutiny, not what the price l</w:t>
      </w:r>
      <w:r w:rsidRPr="008D1918" w:rsidR="006621EF">
        <w:t>e</w:t>
      </w:r>
      <w:r w:rsidRPr="008D1918" w:rsidR="00553257">
        <w:t>vel should be. Participant feedback identif</w:t>
      </w:r>
      <w:r w:rsidRPr="008D1918" w:rsidR="00AF1E11">
        <w:t>y</w:t>
      </w:r>
      <w:r w:rsidRPr="008D1918" w:rsidR="00553257">
        <w:t>i</w:t>
      </w:r>
      <w:r w:rsidRPr="008D1918" w:rsidR="00AF1E11">
        <w:t>ng</w:t>
      </w:r>
      <w:r w:rsidRPr="008D1918" w:rsidR="00553257">
        <w:t xml:space="preserve"> access and quality concerns are relevant to monitoring and stewardship; </w:t>
      </w:r>
      <w:r w:rsidRPr="008D1918" w:rsidR="00AF1E11">
        <w:t>they do</w:t>
      </w:r>
      <w:r w:rsidRPr="008D1918" w:rsidR="00553257">
        <w:t xml:space="preserve"> not determine pricing </w:t>
      </w:r>
      <w:r w:rsidRPr="008D1918" w:rsidR="003066A5">
        <w:t>recommendations</w:t>
      </w:r>
      <w:r w:rsidRPr="008D1918" w:rsidR="00553257">
        <w:t xml:space="preserve">. </w:t>
      </w:r>
    </w:p>
    <w:p w:rsidRPr="008D1918" w:rsidR="005E3D04" w:rsidP="00041468" w:rsidRDefault="005E3D04" w14:paraId="186D6568" w14:textId="1DDB45CF">
      <w:pPr>
        <w:pStyle w:val="StyleStyle112pt"/>
      </w:pPr>
      <w:bookmarkStart w:name="_Toc227337082" w:id="744"/>
      <w:r w:rsidRPr="008D1918">
        <w:t>Participants</w:t>
      </w:r>
      <w:bookmarkEnd w:id="744"/>
      <w:r w:rsidRPr="008D1918">
        <w:t xml:space="preserve"> </w:t>
      </w:r>
    </w:p>
    <w:p w:rsidRPr="008D1918" w:rsidR="00E92F5D" w:rsidP="00B97218" w:rsidRDefault="007F78EF" w14:paraId="36C4DBEA" w14:textId="08125072">
      <w:pPr>
        <w:rPr>
          <w:lang w:val="en-AU"/>
        </w:rPr>
      </w:pPr>
      <w:r w:rsidRPr="008D1918">
        <w:rPr>
          <w:lang w:val="en-AU"/>
        </w:rPr>
        <w:t>Participant responses indicate that in the DSW market</w:t>
      </w:r>
      <w:r w:rsidRPr="008D1918" w:rsidR="00F57A94">
        <w:rPr>
          <w:lang w:val="en-AU"/>
        </w:rPr>
        <w:t>,</w:t>
      </w:r>
      <w:r w:rsidRPr="008D1918">
        <w:rPr>
          <w:lang w:val="en-AU"/>
        </w:rPr>
        <w:t xml:space="preserve"> quality and access are closely linked. Around 74% of respondents rated quality as very or somewhat important</w:t>
      </w:r>
      <w:r w:rsidR="009C3AEF">
        <w:rPr>
          <w:lang w:val="en-AU"/>
        </w:rPr>
        <w:t>.</w:t>
      </w:r>
      <w:r w:rsidRPr="008D1918" w:rsidR="002D3382">
        <w:rPr>
          <w:lang w:val="en-AU"/>
        </w:rPr>
        <w:t xml:space="preserve"> </w:t>
      </w:r>
      <w:r w:rsidR="00623F22">
        <w:rPr>
          <w:lang w:val="en-AU"/>
        </w:rPr>
        <w:t>This suggests</w:t>
      </w:r>
      <w:r w:rsidRPr="008D1918" w:rsidR="002D3382">
        <w:rPr>
          <w:lang w:val="en-AU"/>
        </w:rPr>
        <w:t xml:space="preserve"> participants place substantial weight on the suitability and reliability of support rather than on price alone. At the same time access constraints were prominent. Half of respondents who expressed a view on complex supports </w:t>
      </w:r>
      <w:r w:rsidRPr="008D1918" w:rsidR="007B2436">
        <w:rPr>
          <w:lang w:val="en-AU"/>
        </w:rPr>
        <w:t>said</w:t>
      </w:r>
      <w:r w:rsidRPr="008D1918" w:rsidR="002D3382">
        <w:rPr>
          <w:lang w:val="en-AU"/>
        </w:rPr>
        <w:t xml:space="preserve"> they </w:t>
      </w:r>
      <w:r w:rsidRPr="008D1918" w:rsidR="00FE61F5">
        <w:rPr>
          <w:lang w:val="en-AU"/>
        </w:rPr>
        <w:t>often or sometime</w:t>
      </w:r>
      <w:r w:rsidRPr="008D1918" w:rsidR="00B809E0">
        <w:rPr>
          <w:lang w:val="en-AU"/>
        </w:rPr>
        <w:t>s</w:t>
      </w:r>
      <w:r w:rsidRPr="008D1918" w:rsidR="00FE61F5">
        <w:rPr>
          <w:lang w:val="en-AU"/>
        </w:rPr>
        <w:t xml:space="preserve"> had difficulty finding providers able to deliver to them, while 52% </w:t>
      </w:r>
      <w:r w:rsidRPr="008D1918" w:rsidR="00E11298">
        <w:rPr>
          <w:lang w:val="en-AU"/>
        </w:rPr>
        <w:t>said</w:t>
      </w:r>
      <w:r w:rsidRPr="008D1918" w:rsidR="00FE61F5">
        <w:rPr>
          <w:lang w:val="en-AU"/>
        </w:rPr>
        <w:t xml:space="preserve"> many providers, or at least a few providers, would not travel to them. These responses were more common in regional and </w:t>
      </w:r>
      <w:r w:rsidRPr="008D1918" w:rsidR="00E00F9C">
        <w:rPr>
          <w:lang w:val="en-AU"/>
        </w:rPr>
        <w:t>remote</w:t>
      </w:r>
      <w:r w:rsidRPr="008D1918" w:rsidR="00FE61F5">
        <w:rPr>
          <w:lang w:val="en-AU"/>
        </w:rPr>
        <w:t xml:space="preserve"> areas and among respondents supporting participants with more complex needs</w:t>
      </w:r>
      <w:r w:rsidRPr="008D1918" w:rsidR="00341E88">
        <w:rPr>
          <w:lang w:val="en-AU"/>
        </w:rPr>
        <w:t xml:space="preserve">. This indicates </w:t>
      </w:r>
      <w:r w:rsidRPr="008D1918" w:rsidR="00FE61F5">
        <w:rPr>
          <w:lang w:val="en-AU"/>
        </w:rPr>
        <w:t>that practical access remains uneven</w:t>
      </w:r>
      <w:r w:rsidRPr="008D1918" w:rsidR="00C172FA">
        <w:rPr>
          <w:lang w:val="en-AU"/>
        </w:rPr>
        <w:t>,</w:t>
      </w:r>
      <w:r w:rsidRPr="008D1918" w:rsidR="00FE61F5">
        <w:rPr>
          <w:lang w:val="en-AU"/>
        </w:rPr>
        <w:t xml:space="preserve"> </w:t>
      </w:r>
      <w:r w:rsidRPr="008D1918" w:rsidR="002A1193">
        <w:rPr>
          <w:lang w:val="en-AU"/>
        </w:rPr>
        <w:t xml:space="preserve">even where overall provider supply appears sufficient. </w:t>
      </w:r>
    </w:p>
    <w:p w:rsidRPr="008D1918" w:rsidR="006E1733" w:rsidP="00B97218" w:rsidRDefault="00E92F5D" w14:paraId="3C17A4D9" w14:textId="4EE9AE1E">
      <w:pPr>
        <w:rPr>
          <w:lang w:val="en-AU"/>
        </w:rPr>
      </w:pPr>
      <w:r w:rsidRPr="008D1918">
        <w:rPr>
          <w:lang w:val="en-AU"/>
        </w:rPr>
        <w:t xml:space="preserve">This does not mean participants are indifferent to price. Concerns increased </w:t>
      </w:r>
      <w:r w:rsidRPr="008D1918" w:rsidR="00EC119F">
        <w:rPr>
          <w:lang w:val="en-AU"/>
        </w:rPr>
        <w:t xml:space="preserve">when </w:t>
      </w:r>
      <w:r w:rsidRPr="008D1918">
        <w:rPr>
          <w:lang w:val="en-AU"/>
        </w:rPr>
        <w:t xml:space="preserve">pricing </w:t>
      </w:r>
      <w:r w:rsidRPr="008D1918" w:rsidR="00840C2D">
        <w:rPr>
          <w:lang w:val="en-AU"/>
        </w:rPr>
        <w:t>was</w:t>
      </w:r>
      <w:r w:rsidRPr="008D1918">
        <w:rPr>
          <w:lang w:val="en-AU"/>
        </w:rPr>
        <w:t xml:space="preserve"> perceived to affect the amount of support that could be purchased or the ability to retain existing providers. </w:t>
      </w:r>
      <w:r w:rsidRPr="008D1918" w:rsidR="001E2726">
        <w:rPr>
          <w:lang w:val="en-AU"/>
        </w:rPr>
        <w:t>When a</w:t>
      </w:r>
      <w:r w:rsidRPr="008D1918">
        <w:rPr>
          <w:lang w:val="en-AU"/>
        </w:rPr>
        <w:t>sked about their strongest concerns</w:t>
      </w:r>
      <w:r w:rsidRPr="008D1918" w:rsidR="000A5D6B">
        <w:rPr>
          <w:lang w:val="en-AU"/>
        </w:rPr>
        <w:t xml:space="preserve"> with differentiated pricing</w:t>
      </w:r>
      <w:r w:rsidRPr="008D1918">
        <w:rPr>
          <w:lang w:val="en-AU"/>
        </w:rPr>
        <w:t xml:space="preserve">, 70% cited getting fewer hours in their plan, 59% cited providers charging more </w:t>
      </w:r>
      <w:r w:rsidRPr="008D1918" w:rsidR="006E1733">
        <w:rPr>
          <w:lang w:val="en-AU"/>
        </w:rPr>
        <w:t xml:space="preserve">than needed and 55% cited losing access to their current provider. Only 7% reported no concerns. This suggests participants experience price most directly through its effect on continuity and purchasing power, rather than as a simple signal of provider quality. </w:t>
      </w:r>
    </w:p>
    <w:p w:rsidRPr="008D1918" w:rsidR="005E3D04" w:rsidP="00B97218" w:rsidRDefault="006E1733" w14:paraId="73C5465A" w14:textId="21CC29BC">
      <w:pPr>
        <w:rPr>
          <w:lang w:val="en-AU"/>
        </w:rPr>
      </w:pPr>
      <w:r w:rsidRPr="008D1918">
        <w:rPr>
          <w:lang w:val="en-AU"/>
        </w:rPr>
        <w:t>Responses on provider choice reinforce this pattern. When asked how they would respond to differentiated pricing, 45% said it would not change their provider choice, indic</w:t>
      </w:r>
      <w:r w:rsidRPr="008D1918" w:rsidR="00921975">
        <w:rPr>
          <w:lang w:val="en-AU"/>
        </w:rPr>
        <w:t>a</w:t>
      </w:r>
      <w:r w:rsidRPr="008D1918">
        <w:rPr>
          <w:lang w:val="en-AU"/>
        </w:rPr>
        <w:t xml:space="preserve">ting that existing relationships and service fit remain the dominant considerations. However, 27% said they would choose unregistered providers </w:t>
      </w:r>
      <w:r w:rsidRPr="008D1918" w:rsidR="00E62671">
        <w:rPr>
          <w:lang w:val="en-AU"/>
        </w:rPr>
        <w:t>to</w:t>
      </w:r>
      <w:r w:rsidRPr="008D1918">
        <w:rPr>
          <w:lang w:val="en-AU"/>
        </w:rPr>
        <w:t xml:space="preserve"> </w:t>
      </w:r>
      <w:r w:rsidRPr="008D1918">
        <w:rPr>
          <w:lang w:val="en-AU"/>
        </w:rPr>
        <w:t>access more hours from their budget, while 15% said they would choose registered providers for quality or safety. A further 7% said their choice would depend on support type and 7% said they</w:t>
      </w:r>
      <w:r w:rsidRPr="008D1918" w:rsidR="008F0C29">
        <w:rPr>
          <w:lang w:val="en-AU"/>
        </w:rPr>
        <w:t xml:space="preserve"> would </w:t>
      </w:r>
      <w:r w:rsidRPr="008D1918">
        <w:rPr>
          <w:lang w:val="en-AU"/>
        </w:rPr>
        <w:t>need help understanding their options. Taken together, the consultation suggests participants value quality and continuity but often make choice</w:t>
      </w:r>
      <w:r w:rsidRPr="008D1918" w:rsidR="001E63EA">
        <w:rPr>
          <w:lang w:val="en-AU"/>
        </w:rPr>
        <w:t>s</w:t>
      </w:r>
      <w:r w:rsidRPr="008D1918">
        <w:rPr>
          <w:lang w:val="en-AU"/>
        </w:rPr>
        <w:t xml:space="preserve"> within constrained local markets where provider availability, willingness to travel and the effective purchasing power of plan budgets shape the options available to them. </w:t>
      </w:r>
      <w:r w:rsidRPr="008D1918" w:rsidR="005E3D04">
        <w:rPr>
          <w:lang w:val="en-AU"/>
        </w:rPr>
        <w:t xml:space="preserve"> </w:t>
      </w:r>
    </w:p>
    <w:p w:rsidRPr="008D1918" w:rsidR="005E3D04" w:rsidP="00041468" w:rsidRDefault="005E3D04" w14:paraId="7228E799" w14:textId="513DA41D">
      <w:pPr>
        <w:pStyle w:val="StyleStyle112pt"/>
      </w:pPr>
      <w:bookmarkStart w:name="_Toc227337083" w:id="745"/>
      <w:r w:rsidRPr="008D1918">
        <w:t>Providers</w:t>
      </w:r>
      <w:bookmarkEnd w:id="745"/>
      <w:r w:rsidRPr="008D1918">
        <w:t xml:space="preserve"> </w:t>
      </w:r>
    </w:p>
    <w:p w:rsidRPr="008D1918" w:rsidR="005C2A9E" w:rsidP="000201A4" w:rsidRDefault="005100BD" w14:paraId="1A20E430" w14:textId="41A4DB4A">
      <w:pPr>
        <w:spacing w:before="120" w:after="360" w:line="276" w:lineRule="auto"/>
        <w:rPr>
          <w:lang w:val="en-AU"/>
        </w:rPr>
      </w:pPr>
      <w:r w:rsidRPr="008D1918">
        <w:rPr>
          <w:lang w:val="en-AU"/>
        </w:rPr>
        <w:t xml:space="preserve">Provider feedback indicates the DSW market remains </w:t>
      </w:r>
      <w:r w:rsidRPr="008D1918" w:rsidR="008F39E9">
        <w:rPr>
          <w:lang w:val="en-AU"/>
        </w:rPr>
        <w:t>heavily</w:t>
      </w:r>
      <w:r w:rsidRPr="008D1918">
        <w:rPr>
          <w:lang w:val="en-AU"/>
        </w:rPr>
        <w:t xml:space="preserve"> anchored to award-based employment settings. Around 89% of DSW consultation respondents identified the SCHADS Award as part of their primary employment model, with a further 10% iden</w:t>
      </w:r>
      <w:r w:rsidRPr="008D1918" w:rsidR="0054745F">
        <w:rPr>
          <w:lang w:val="en-AU"/>
        </w:rPr>
        <w:t xml:space="preserve">tifying an </w:t>
      </w:r>
      <w:r w:rsidRPr="008D1918" w:rsidR="00CA3B5F">
        <w:rPr>
          <w:lang w:val="en-AU"/>
        </w:rPr>
        <w:t>EBA</w:t>
      </w:r>
      <w:r w:rsidRPr="008D1918" w:rsidR="0054745F">
        <w:rPr>
          <w:lang w:val="en-AU"/>
        </w:rPr>
        <w:t xml:space="preserve"> in some form. This suggests that, for most providers responding on DSW supports, pricing concerns are being considered through an award-linked cost structure rather than through purely discretionary labour arrangements. </w:t>
      </w:r>
      <w:r w:rsidRPr="008D1918" w:rsidR="00186B40">
        <w:rPr>
          <w:lang w:val="en-AU"/>
        </w:rPr>
        <w:t>In that context</w:t>
      </w:r>
      <w:r w:rsidRPr="008D1918" w:rsidR="006259FF">
        <w:rPr>
          <w:lang w:val="en-AU"/>
        </w:rPr>
        <w:t xml:space="preserve">, </w:t>
      </w:r>
      <w:r w:rsidRPr="008D1918" w:rsidR="00D35441">
        <w:rPr>
          <w:lang w:val="en-AU"/>
        </w:rPr>
        <w:t xml:space="preserve">the key </w:t>
      </w:r>
      <w:r w:rsidRPr="008D1918" w:rsidR="00CD18C2">
        <w:rPr>
          <w:lang w:val="en-AU"/>
        </w:rPr>
        <w:t>question is</w:t>
      </w:r>
      <w:r w:rsidRPr="008D1918" w:rsidR="00D35441">
        <w:rPr>
          <w:lang w:val="en-AU"/>
        </w:rPr>
        <w:t xml:space="preserve"> </w:t>
      </w:r>
      <w:r w:rsidRPr="008D1918" w:rsidR="007F3B6F">
        <w:rPr>
          <w:lang w:val="en-AU"/>
        </w:rPr>
        <w:t xml:space="preserve">not whether SCHADS wage rates are adequate, </w:t>
      </w:r>
      <w:r w:rsidRPr="008D1918" w:rsidR="006259FF">
        <w:rPr>
          <w:lang w:val="en-AU"/>
        </w:rPr>
        <w:t xml:space="preserve">but </w:t>
      </w:r>
      <w:r w:rsidRPr="008D1918" w:rsidR="00B44CC6">
        <w:rPr>
          <w:lang w:val="en-AU"/>
        </w:rPr>
        <w:t xml:space="preserve">rather </w:t>
      </w:r>
      <w:r w:rsidRPr="008D1918" w:rsidR="006259FF">
        <w:rPr>
          <w:lang w:val="en-AU"/>
        </w:rPr>
        <w:t xml:space="preserve">which elements </w:t>
      </w:r>
      <w:r w:rsidRPr="008D1918" w:rsidR="005C2A9E">
        <w:rPr>
          <w:lang w:val="en-AU"/>
        </w:rPr>
        <w:t xml:space="preserve">of the </w:t>
      </w:r>
      <w:r w:rsidRPr="008D1918" w:rsidR="007F3B6F">
        <w:rPr>
          <w:lang w:val="en-AU"/>
        </w:rPr>
        <w:t xml:space="preserve">broader </w:t>
      </w:r>
      <w:r w:rsidRPr="008D1918" w:rsidR="005C2A9E">
        <w:rPr>
          <w:lang w:val="en-AU"/>
        </w:rPr>
        <w:t xml:space="preserve">cost structure providers </w:t>
      </w:r>
      <w:r w:rsidRPr="008D1918" w:rsidR="007F3B6F">
        <w:rPr>
          <w:lang w:val="en-AU"/>
        </w:rPr>
        <w:t>are unable to recover under current price</w:t>
      </w:r>
      <w:r w:rsidRPr="008D1918" w:rsidR="00C675FD">
        <w:rPr>
          <w:lang w:val="en-AU"/>
        </w:rPr>
        <w:t>s</w:t>
      </w:r>
      <w:r w:rsidRPr="008D1918" w:rsidR="007F3B6F">
        <w:rPr>
          <w:lang w:val="en-AU"/>
        </w:rPr>
        <w:t xml:space="preserve">. </w:t>
      </w:r>
    </w:p>
    <w:p w:rsidRPr="008D1918" w:rsidR="00665BD6" w:rsidP="001D163B" w:rsidRDefault="005C2A9E" w14:paraId="5A853D03" w14:textId="234C6865">
      <w:pPr>
        <w:rPr>
          <w:lang w:val="en-AU"/>
        </w:rPr>
      </w:pPr>
      <w:r w:rsidRPr="008D1918">
        <w:rPr>
          <w:lang w:val="en-AU"/>
        </w:rPr>
        <w:t>On th</w:t>
      </w:r>
      <w:r w:rsidRPr="008D1918" w:rsidR="00E76A86">
        <w:rPr>
          <w:lang w:val="en-AU"/>
        </w:rPr>
        <w:t>e</w:t>
      </w:r>
      <w:r w:rsidRPr="008D1918">
        <w:rPr>
          <w:lang w:val="en-AU"/>
        </w:rPr>
        <w:t xml:space="preserve"> question</w:t>
      </w:r>
      <w:r w:rsidRPr="008D1918" w:rsidR="00E76A86">
        <w:rPr>
          <w:lang w:val="en-AU"/>
        </w:rPr>
        <w:t xml:space="preserve"> of </w:t>
      </w:r>
      <w:r w:rsidRPr="008D1918" w:rsidR="009C58F9">
        <w:rPr>
          <w:lang w:val="en-AU"/>
        </w:rPr>
        <w:t xml:space="preserve">cost structures that are difficult </w:t>
      </w:r>
      <w:r w:rsidRPr="008D1918" w:rsidR="003E73C3">
        <w:rPr>
          <w:lang w:val="en-AU"/>
        </w:rPr>
        <w:t xml:space="preserve">for providers </w:t>
      </w:r>
      <w:r w:rsidRPr="008D1918" w:rsidR="009C58F9">
        <w:rPr>
          <w:lang w:val="en-AU"/>
        </w:rPr>
        <w:t>to absorb</w:t>
      </w:r>
      <w:r w:rsidRPr="008D1918">
        <w:rPr>
          <w:lang w:val="en-AU"/>
        </w:rPr>
        <w:t xml:space="preserve">, provider feedback points more strongly to the broader delivery requirements surrounding direct care than to wage rates alone. Qualifications and training </w:t>
      </w:r>
      <w:r w:rsidRPr="008D1918" w:rsidR="00665BD6">
        <w:rPr>
          <w:lang w:val="en-AU"/>
        </w:rPr>
        <w:t xml:space="preserve">were identified in 75% of DSW consultation records, while 69% referred to supervision, administration or other indirect-time burdens and 55% raised safeguarding or oversight considerations. This suggests that while SCHADS remains the core </w:t>
      </w:r>
      <w:r w:rsidRPr="008D1918" w:rsidR="002C56A7">
        <w:rPr>
          <w:lang w:val="en-AU"/>
        </w:rPr>
        <w:t>wage-</w:t>
      </w:r>
      <w:r w:rsidRPr="008D1918" w:rsidR="00665BD6">
        <w:rPr>
          <w:lang w:val="en-AU"/>
        </w:rPr>
        <w:t>setting framework, providers see cost pressure</w:t>
      </w:r>
      <w:r w:rsidRPr="008D1918" w:rsidR="002C04BC">
        <w:rPr>
          <w:lang w:val="en-AU"/>
        </w:rPr>
        <w:t>s</w:t>
      </w:r>
      <w:r w:rsidRPr="008D1918" w:rsidR="00665BD6">
        <w:rPr>
          <w:lang w:val="en-AU"/>
        </w:rPr>
        <w:t xml:space="preserve"> arising from the wider operating requirements attached to employing and supporting that workforce. The implication for pricing is that the issue may lie less in annual recognition of SCHADS wage movements and more in whether the broader DSW Cost </w:t>
      </w:r>
      <w:r w:rsidRPr="008D1918" w:rsidR="001004F3">
        <w:rPr>
          <w:lang w:val="en-AU"/>
        </w:rPr>
        <w:t>Model</w:t>
      </w:r>
      <w:r w:rsidRPr="008D1918" w:rsidR="00665BD6">
        <w:rPr>
          <w:lang w:val="en-AU"/>
        </w:rPr>
        <w:t xml:space="preserve"> continues to reflect the non-direct costs associated with delivering supports under contemporary workforce, compliance and safeguarding settings. </w:t>
      </w:r>
    </w:p>
    <w:p w:rsidRPr="008D1918" w:rsidR="005E3D04" w:rsidP="001D163B" w:rsidRDefault="00CE2364" w14:paraId="2863F903" w14:textId="529AC1A1">
      <w:pPr>
        <w:rPr>
          <w:lang w:val="en-AU"/>
        </w:rPr>
      </w:pPr>
      <w:r w:rsidRPr="008D1918">
        <w:rPr>
          <w:lang w:val="en-AU"/>
        </w:rPr>
        <w:t xml:space="preserve">Responses on pricing differentiation reinforce this pattern. Registration status was the </w:t>
      </w:r>
      <w:r w:rsidRPr="008D1918" w:rsidR="001004F3">
        <w:rPr>
          <w:lang w:val="en-AU"/>
        </w:rPr>
        <w:t>most nominated</w:t>
      </w:r>
      <w:r w:rsidRPr="008D1918" w:rsidR="00B00819">
        <w:rPr>
          <w:lang w:val="en-AU"/>
        </w:rPr>
        <w:t xml:space="preserve"> basis for differentiation in DSW supports, followed by participant complexity and workforce qualifications. In qualitative responses, providers frequently </w:t>
      </w:r>
      <w:r w:rsidRPr="008D1918" w:rsidR="003B784B">
        <w:rPr>
          <w:lang w:val="en-AU"/>
        </w:rPr>
        <w:t>linked these issues back to the cost of employing and supervising staff under more formal service models, and to concern</w:t>
      </w:r>
      <w:r w:rsidRPr="008D1918" w:rsidR="001B4BA5">
        <w:rPr>
          <w:lang w:val="en-AU"/>
        </w:rPr>
        <w:t>s</w:t>
      </w:r>
      <w:r w:rsidRPr="008D1918" w:rsidR="003B784B">
        <w:rPr>
          <w:lang w:val="en-AU"/>
        </w:rPr>
        <w:t xml:space="preserve"> that </w:t>
      </w:r>
      <w:r w:rsidRPr="008D1918" w:rsidR="001A275E">
        <w:rPr>
          <w:lang w:val="en-AU"/>
        </w:rPr>
        <w:t>providers investing in compliance</w:t>
      </w:r>
      <w:r w:rsidRPr="008D1918" w:rsidR="00BF1570">
        <w:rPr>
          <w:lang w:val="en-AU"/>
        </w:rPr>
        <w:t>, workforce capability and governance face the same price</w:t>
      </w:r>
      <w:r w:rsidRPr="008D1918" w:rsidR="00C675FD">
        <w:rPr>
          <w:lang w:val="en-AU"/>
        </w:rPr>
        <w:t>s</w:t>
      </w:r>
      <w:r w:rsidRPr="008D1918" w:rsidR="00BF1570">
        <w:rPr>
          <w:lang w:val="en-AU"/>
        </w:rPr>
        <w:t xml:space="preserve"> as models with materially lower overheads. </w:t>
      </w:r>
      <w:r w:rsidRPr="008D1918" w:rsidR="006E7A86">
        <w:rPr>
          <w:lang w:val="en-AU"/>
        </w:rPr>
        <w:t>T</w:t>
      </w:r>
      <w:r w:rsidRPr="008D1918" w:rsidR="00BF1570">
        <w:rPr>
          <w:lang w:val="en-AU"/>
        </w:rPr>
        <w:t xml:space="preserve">he consultation </w:t>
      </w:r>
      <w:r w:rsidRPr="008D1918" w:rsidR="001004F3">
        <w:rPr>
          <w:lang w:val="en-AU"/>
        </w:rPr>
        <w:t>suggests</w:t>
      </w:r>
      <w:r w:rsidRPr="008D1918" w:rsidR="00BF1570">
        <w:rPr>
          <w:lang w:val="en-AU"/>
        </w:rPr>
        <w:t xml:space="preserve"> SCHADS-linked indexation remains </w:t>
      </w:r>
      <w:r w:rsidRPr="008D1918" w:rsidR="00727942">
        <w:rPr>
          <w:lang w:val="en-AU"/>
        </w:rPr>
        <w:t xml:space="preserve">accepted as the appropriate mechanism for annual wage adjustments, but providers are less confident that the current DSW Cost Model fully </w:t>
      </w:r>
      <w:r w:rsidRPr="008D1918" w:rsidR="00727942">
        <w:rPr>
          <w:lang w:val="en-AU"/>
        </w:rPr>
        <w:t xml:space="preserve">captures the broader cost structures associated with delivering workforce-intensive supports under contemporary award, regulatory and safeguarding settings. </w:t>
      </w:r>
    </w:p>
    <w:p w:rsidRPr="008D1918" w:rsidR="00644B12" w:rsidP="001D163B" w:rsidRDefault="00130EAC" w14:paraId="6AAD7837" w14:textId="7677216F">
      <w:pPr>
        <w:pStyle w:val="Heading31"/>
        <w:ind w:left="1077" w:hanging="720"/>
      </w:pPr>
      <w:bookmarkStart w:name="_Toc227337084" w:id="746"/>
      <w:r w:rsidRPr="008D1918">
        <w:t>Discussion</w:t>
      </w:r>
      <w:bookmarkEnd w:id="746"/>
    </w:p>
    <w:p w:rsidRPr="006B1426" w:rsidR="00644B12" w:rsidRDefault="00130EAC" w14:paraId="6FBFF4D0" w14:textId="53E79020">
      <w:pPr>
        <w:rPr>
          <w:lang w:val="en-AU"/>
        </w:rPr>
      </w:pPr>
      <w:r w:rsidRPr="008D1918">
        <w:rPr>
          <w:lang w:val="en-AU"/>
        </w:rPr>
        <w:t>Th</w:t>
      </w:r>
      <w:r w:rsidRPr="008D1918" w:rsidR="009A3247">
        <w:rPr>
          <w:lang w:val="en-AU"/>
        </w:rPr>
        <w:t>is</w:t>
      </w:r>
      <w:r w:rsidRPr="008D1918">
        <w:rPr>
          <w:lang w:val="en-AU"/>
        </w:rPr>
        <w:t xml:space="preserve"> chapter addresses 3 distinct </w:t>
      </w:r>
      <w:r w:rsidRPr="008D1918" w:rsidR="00020FD9">
        <w:rPr>
          <w:lang w:val="en-AU"/>
        </w:rPr>
        <w:t>questions</w:t>
      </w:r>
      <w:r w:rsidR="00020FD9">
        <w:rPr>
          <w:lang w:val="en-AU"/>
        </w:rPr>
        <w:t>.</w:t>
      </w:r>
      <w:r w:rsidRPr="008D1918">
        <w:rPr>
          <w:lang w:val="en-AU"/>
        </w:rPr>
        <w:t xml:space="preserve"> First, whether the current indexation approach remains appropriate for 202</w:t>
      </w:r>
      <w:r w:rsidR="00C414AA">
        <w:rPr>
          <w:lang w:val="en-AU"/>
        </w:rPr>
        <w:t>6</w:t>
      </w:r>
      <w:r w:rsidRPr="008D1918" w:rsidR="00CD2B2F">
        <w:rPr>
          <w:lang w:val="en-AU"/>
        </w:rPr>
        <w:t>–</w:t>
      </w:r>
      <w:r w:rsidRPr="008D1918">
        <w:rPr>
          <w:lang w:val="en-AU"/>
        </w:rPr>
        <w:t>2</w:t>
      </w:r>
      <w:r w:rsidR="00C414AA">
        <w:rPr>
          <w:lang w:val="en-AU"/>
        </w:rPr>
        <w:t>7</w:t>
      </w:r>
      <w:r w:rsidRPr="008D1918">
        <w:rPr>
          <w:lang w:val="en-AU"/>
        </w:rPr>
        <w:t>. Second, whether the DSW Cost Model continues to provide an adequate basis for pricing DSW-related supports, or whether its structural assumptions require updating, a model</w:t>
      </w:r>
      <w:r w:rsidRPr="008D1918" w:rsidR="00DC5AAA">
        <w:rPr>
          <w:lang w:val="en-AU"/>
        </w:rPr>
        <w:t>-</w:t>
      </w:r>
      <w:r w:rsidRPr="008D1918">
        <w:rPr>
          <w:lang w:val="en-AU"/>
        </w:rPr>
        <w:t xml:space="preserve">adequacy question. Third, what the pathway to structural reform should be, including the scope and sequencing of the DSW Cost Model Review and the SIL Pricing Review. These </w:t>
      </w:r>
      <w:r w:rsidRPr="008D1918" w:rsidR="00DC0FE9">
        <w:rPr>
          <w:lang w:val="en-AU"/>
        </w:rPr>
        <w:t>3</w:t>
      </w:r>
      <w:r w:rsidRPr="008D1918">
        <w:rPr>
          <w:lang w:val="en-AU"/>
        </w:rPr>
        <w:t xml:space="preserve"> questions are related but distinct: the first can be answered affirmatively on current evidence without resolving the second, and the second can be diagnose</w:t>
      </w:r>
      <w:r w:rsidRPr="008D1918" w:rsidR="009A3247">
        <w:rPr>
          <w:lang w:val="en-AU"/>
        </w:rPr>
        <w:t>d</w:t>
      </w:r>
      <w:r w:rsidRPr="008D1918">
        <w:rPr>
          <w:lang w:val="en-AU"/>
        </w:rPr>
        <w:t xml:space="preserve"> without fully resolving </w:t>
      </w:r>
      <w:r w:rsidRPr="006B1426">
        <w:rPr>
          <w:lang w:val="en-AU"/>
        </w:rPr>
        <w:t xml:space="preserve">the third. </w:t>
      </w:r>
    </w:p>
    <w:p w:rsidRPr="008D1918" w:rsidR="00E53C87" w:rsidP="001D163B" w:rsidRDefault="002755A3" w14:paraId="2CA5F3DD" w14:textId="5235D24C">
      <w:r w:rsidRPr="006B1426">
        <w:rPr>
          <w:lang w:val="en-AU"/>
        </w:rPr>
        <w:t>The persistence of claiming at the 60</w:t>
      </w:r>
      <w:r w:rsidRPr="006B1426" w:rsidR="0084101E">
        <w:rPr>
          <w:lang w:val="en-AU"/>
        </w:rPr>
        <w:t>-</w:t>
      </w:r>
      <w:r w:rsidRPr="006B1426">
        <w:rPr>
          <w:lang w:val="en-AU"/>
        </w:rPr>
        <w:t xml:space="preserve">minute </w:t>
      </w:r>
      <w:r w:rsidRPr="006B1426" w:rsidR="003066A5">
        <w:rPr>
          <w:lang w:val="en-AU"/>
        </w:rPr>
        <w:t>maximum price</w:t>
      </w:r>
      <w:r w:rsidRPr="006B1426">
        <w:rPr>
          <w:lang w:val="en-AU"/>
        </w:rPr>
        <w:t xml:space="preserve"> </w:t>
      </w:r>
      <w:r w:rsidRPr="006B1426" w:rsidR="00020FD9">
        <w:rPr>
          <w:lang w:val="en-AU"/>
        </w:rPr>
        <w:t>(</w:t>
      </w:r>
      <w:r w:rsidRPr="006B1426">
        <w:rPr>
          <w:lang w:val="en-AU"/>
        </w:rPr>
        <w:t>69</w:t>
      </w:r>
      <w:r w:rsidRPr="006B1426" w:rsidR="0084101E">
        <w:rPr>
          <w:lang w:val="en-AU"/>
        </w:rPr>
        <w:t>%</w:t>
      </w:r>
      <w:r w:rsidRPr="006B1426">
        <w:rPr>
          <w:lang w:val="en-AU"/>
        </w:rPr>
        <w:t xml:space="preserve"> across all providers </w:t>
      </w:r>
      <w:r w:rsidRPr="006B1426" w:rsidR="00020FD9">
        <w:rPr>
          <w:lang w:val="en-AU"/>
        </w:rPr>
        <w:t xml:space="preserve">and </w:t>
      </w:r>
      <w:r w:rsidRPr="006B1426">
        <w:rPr>
          <w:lang w:val="en-AU"/>
        </w:rPr>
        <w:t>73</w:t>
      </w:r>
      <w:r w:rsidRPr="006B1426" w:rsidR="009E2144">
        <w:rPr>
          <w:lang w:val="en-AU"/>
        </w:rPr>
        <w:t>%</w:t>
      </w:r>
      <w:r w:rsidRPr="006B1426">
        <w:rPr>
          <w:lang w:val="en-AU"/>
        </w:rPr>
        <w:t xml:space="preserve"> for registered providers</w:t>
      </w:r>
      <w:r w:rsidRPr="006B1426" w:rsidR="009E2144">
        <w:rPr>
          <w:lang w:val="en-AU"/>
        </w:rPr>
        <w:t>)</w:t>
      </w:r>
      <w:r w:rsidRPr="006B1426" w:rsidR="0024613A">
        <w:rPr>
          <w:lang w:val="en-AU"/>
        </w:rPr>
        <w:t>,</w:t>
      </w:r>
      <w:r w:rsidRPr="006B1426" w:rsidR="009E2144">
        <w:rPr>
          <w:lang w:val="en-AU"/>
        </w:rPr>
        <w:t xml:space="preserve"> remains</w:t>
      </w:r>
      <w:r w:rsidRPr="006B1426">
        <w:rPr>
          <w:lang w:val="en-AU"/>
        </w:rPr>
        <w:t xml:space="preserve"> stable over </w:t>
      </w:r>
      <w:r w:rsidRPr="006B1426" w:rsidR="00917B77">
        <w:rPr>
          <w:lang w:val="en-AU"/>
        </w:rPr>
        <w:t>the past 3</w:t>
      </w:r>
      <w:r w:rsidRPr="006B1426">
        <w:rPr>
          <w:lang w:val="en-AU"/>
        </w:rPr>
        <w:t xml:space="preserve"> years</w:t>
      </w:r>
      <w:r w:rsidRPr="006B1426" w:rsidR="00917B77">
        <w:rPr>
          <w:lang w:val="en-AU"/>
        </w:rPr>
        <w:t>. This pattern</w:t>
      </w:r>
      <w:r w:rsidRPr="006B1426" w:rsidR="00020A8E">
        <w:rPr>
          <w:lang w:val="en-AU"/>
        </w:rPr>
        <w:t xml:space="preserve"> establishes that </w:t>
      </w:r>
      <w:r w:rsidRPr="006B1426" w:rsidR="00890AC6">
        <w:rPr>
          <w:lang w:val="en-AU"/>
        </w:rPr>
        <w:t xml:space="preserve">the prices </w:t>
      </w:r>
      <w:r w:rsidRPr="006B1426" w:rsidR="00A12E68">
        <w:rPr>
          <w:lang w:val="en-AU"/>
        </w:rPr>
        <w:t>published</w:t>
      </w:r>
      <w:r w:rsidRPr="006B1426" w:rsidR="00890AC6">
        <w:rPr>
          <w:lang w:val="en-AU"/>
        </w:rPr>
        <w:t xml:space="preserve"> by the </w:t>
      </w:r>
      <w:r w:rsidRPr="006B1426" w:rsidR="00A96D0C">
        <w:rPr>
          <w:lang w:val="en-AU"/>
        </w:rPr>
        <w:t>NDIA continue</w:t>
      </w:r>
      <w:r w:rsidRPr="006B1426" w:rsidR="00020A8E">
        <w:rPr>
          <w:lang w:val="en-AU"/>
        </w:rPr>
        <w:t xml:space="preserve"> to function as an active market-setting mechanism rather than a passive ceiling. This</w:t>
      </w:r>
      <w:r w:rsidRPr="006B1426" w:rsidR="003570FE">
        <w:rPr>
          <w:lang w:val="en-AU"/>
        </w:rPr>
        <w:t xml:space="preserve"> indicates that</w:t>
      </w:r>
      <w:r w:rsidRPr="006B1426" w:rsidR="00020A8E">
        <w:rPr>
          <w:lang w:val="en-AU"/>
        </w:rPr>
        <w:t xml:space="preserve"> the </w:t>
      </w:r>
      <w:r w:rsidRPr="006B1426" w:rsidR="003066A5">
        <w:rPr>
          <w:lang w:val="en-AU"/>
        </w:rPr>
        <w:t>NDIA’s</w:t>
      </w:r>
      <w:r w:rsidRPr="006B1426" w:rsidR="00890AC6">
        <w:rPr>
          <w:lang w:val="en-AU"/>
        </w:rPr>
        <w:t xml:space="preserve"> approach to</w:t>
      </w:r>
      <w:r w:rsidRPr="006B1426" w:rsidR="003066A5">
        <w:rPr>
          <w:lang w:val="en-AU"/>
        </w:rPr>
        <w:t xml:space="preserve"> </w:t>
      </w:r>
      <w:r w:rsidRPr="006B1426" w:rsidR="00020A8E">
        <w:rPr>
          <w:lang w:val="en-AU"/>
        </w:rPr>
        <w:t>indexation has real consequences: providers are pric</w:t>
      </w:r>
      <w:r w:rsidRPr="006B1426" w:rsidR="002E3780">
        <w:rPr>
          <w:lang w:val="en-AU"/>
        </w:rPr>
        <w:t>ing</w:t>
      </w:r>
      <w:r w:rsidRPr="006B1426" w:rsidR="00020A8E">
        <w:rPr>
          <w:lang w:val="en-AU"/>
        </w:rPr>
        <w:t xml:space="preserve"> at or near the </w:t>
      </w:r>
      <w:r w:rsidRPr="006B1426" w:rsidR="003066A5">
        <w:rPr>
          <w:lang w:val="en-AU"/>
        </w:rPr>
        <w:t xml:space="preserve">maximum price </w:t>
      </w:r>
      <w:r w:rsidRPr="006B1426" w:rsidR="00020A8E">
        <w:rPr>
          <w:lang w:val="en-AU"/>
        </w:rPr>
        <w:t xml:space="preserve">and annual wage adjustments flow through directly to provider economics. It also means that any structural understatement of costs in the model is not offset by providers charging below the </w:t>
      </w:r>
      <w:r w:rsidRPr="006B1426" w:rsidR="003066A5">
        <w:rPr>
          <w:lang w:val="en-AU"/>
        </w:rPr>
        <w:t>recommended maximum price</w:t>
      </w:r>
      <w:r w:rsidRPr="006B1426" w:rsidR="00020A8E">
        <w:rPr>
          <w:lang w:val="en-AU"/>
        </w:rPr>
        <w:t>. These signals together confirm that annual SCHADS-linked indexation remains the appropriate near-term pricing response, while also pointing to why the model’s structural assumptions warrant a more comprehensive review.</w:t>
      </w:r>
      <w:r w:rsidRPr="008D1918" w:rsidR="00020A8E">
        <w:rPr>
          <w:lang w:val="en-AU"/>
        </w:rPr>
        <w:t xml:space="preserve"> </w:t>
      </w:r>
      <w:bookmarkStart w:name="_Toc227130878" w:id="747"/>
      <w:bookmarkStart w:name="_Toc195553332" w:id="748"/>
      <w:bookmarkStart w:name="_Toc195553388" w:id="749"/>
      <w:bookmarkStart w:name="_Toc195553409" w:id="750"/>
      <w:bookmarkStart w:name="_Toc196754628" w:id="751"/>
      <w:bookmarkStart w:name="_Toc196758230" w:id="752"/>
      <w:bookmarkStart w:name="_Toc197344306" w:id="753"/>
      <w:bookmarkStart w:name="_Toc200271608" w:id="754"/>
      <w:bookmarkEnd w:id="747"/>
    </w:p>
    <w:p w:rsidRPr="008D1918" w:rsidR="00752896" w:rsidP="00041468" w:rsidRDefault="00752896" w14:paraId="1B29CB5F" w14:textId="4AC8DCE0">
      <w:pPr>
        <w:pStyle w:val="StyleStyle112pt"/>
      </w:pPr>
      <w:bookmarkStart w:name="_Toc227318717" w:id="755"/>
      <w:bookmarkStart w:name="_Toc227337085" w:id="756"/>
      <w:r w:rsidRPr="008D1918">
        <w:t>Cost model adequacy</w:t>
      </w:r>
      <w:bookmarkEnd w:id="755"/>
      <w:bookmarkEnd w:id="756"/>
      <w:r w:rsidRPr="008D1918">
        <w:t xml:space="preserve"> </w:t>
      </w:r>
    </w:p>
    <w:p w:rsidRPr="008D1918" w:rsidR="00752896" w:rsidP="00752896" w:rsidRDefault="00C75D86" w14:paraId="395647B8" w14:textId="3309AAC1">
      <w:pPr>
        <w:rPr>
          <w:lang w:val="en-AU"/>
        </w:rPr>
      </w:pPr>
      <w:r w:rsidRPr="008D1918">
        <w:rPr>
          <w:lang w:val="en-AU"/>
        </w:rPr>
        <w:t xml:space="preserve">The DSW Cost Model provides a transparent and consistently applied basis for </w:t>
      </w:r>
      <w:r w:rsidRPr="008D1918" w:rsidR="003066A5">
        <w:rPr>
          <w:lang w:val="en-AU"/>
        </w:rPr>
        <w:t>developing pricing recommendations</w:t>
      </w:r>
      <w:r w:rsidRPr="008D1918">
        <w:rPr>
          <w:lang w:val="en-AU"/>
        </w:rPr>
        <w:t xml:space="preserve"> f</w:t>
      </w:r>
      <w:r w:rsidRPr="008D1918" w:rsidR="00681765">
        <w:rPr>
          <w:lang w:val="en-AU"/>
        </w:rPr>
        <w:t>or workforce-intensive supports. Its link to SCHADS Award wage</w:t>
      </w:r>
      <w:r w:rsidRPr="008D1918" w:rsidR="00BE62D7">
        <w:rPr>
          <w:lang w:val="en-AU"/>
        </w:rPr>
        <w:t xml:space="preserve"> rates ensures annual price adjustments track the primary cost driver for most providers. For the purpose of </w:t>
      </w:r>
      <w:r w:rsidRPr="008D1918" w:rsidR="003066A5">
        <w:rPr>
          <w:lang w:val="en-AU"/>
        </w:rPr>
        <w:t>developing recommendations for 2026-2027 prices</w:t>
      </w:r>
      <w:r w:rsidRPr="008D1918" w:rsidR="00BE62D7">
        <w:rPr>
          <w:lang w:val="en-AU"/>
        </w:rPr>
        <w:t xml:space="preserve">, the model remains fit for </w:t>
      </w:r>
      <w:r w:rsidRPr="008D1918" w:rsidR="00E57F0F">
        <w:rPr>
          <w:lang w:val="en-AU"/>
        </w:rPr>
        <w:t>use</w:t>
      </w:r>
      <w:r w:rsidRPr="008D1918" w:rsidR="00BE62D7">
        <w:rPr>
          <w:lang w:val="en-AU"/>
        </w:rPr>
        <w:t xml:space="preserve">. </w:t>
      </w:r>
    </w:p>
    <w:p w:rsidRPr="008D1918" w:rsidR="00985922" w:rsidP="00752896" w:rsidRDefault="00BE62D7" w14:paraId="4F023B32" w14:textId="49896F3C">
      <w:pPr>
        <w:rPr>
          <w:lang w:val="en-AU"/>
        </w:rPr>
      </w:pPr>
      <w:r w:rsidRPr="008D1918">
        <w:rPr>
          <w:lang w:val="en-AU"/>
        </w:rPr>
        <w:t xml:space="preserve">The question of whether the model’s structural assumptions remain adequate is separate from the indexation question and requires its own assessment. The model’s overhead parameters were last calibrated </w:t>
      </w:r>
      <w:r w:rsidRPr="008D1918" w:rsidR="00E57F0F">
        <w:rPr>
          <w:lang w:val="en-AU"/>
        </w:rPr>
        <w:t>based on benchmarking survey results from 2020–21</w:t>
      </w:r>
      <w:r w:rsidRPr="008D1918">
        <w:rPr>
          <w:lang w:val="en-AU"/>
        </w:rPr>
        <w:t xml:space="preserve">. </w:t>
      </w:r>
      <w:r w:rsidR="006D50E9">
        <w:rPr>
          <w:lang w:val="en-AU"/>
        </w:rPr>
        <w:t>Three</w:t>
      </w:r>
      <w:r w:rsidRPr="008D1918">
        <w:rPr>
          <w:lang w:val="en-AU"/>
        </w:rPr>
        <w:t xml:space="preserve"> development</w:t>
      </w:r>
      <w:r w:rsidRPr="008D1918" w:rsidR="00495932">
        <w:rPr>
          <w:lang w:val="en-AU"/>
        </w:rPr>
        <w:t>s</w:t>
      </w:r>
      <w:r w:rsidRPr="008D1918" w:rsidR="00437426">
        <w:rPr>
          <w:lang w:val="en-AU"/>
        </w:rPr>
        <w:t xml:space="preserve"> indicate the model</w:t>
      </w:r>
      <w:r w:rsidRPr="008D1918">
        <w:rPr>
          <w:lang w:val="en-AU"/>
        </w:rPr>
        <w:t xml:space="preserve"> assumptions may no longer reflect contemporary delivery conditions. </w:t>
      </w:r>
    </w:p>
    <w:p w:rsidRPr="008D1918" w:rsidR="00526978" w:rsidP="00752896" w:rsidRDefault="00BE62D7" w14:paraId="76895C92" w14:textId="234263E5">
      <w:pPr>
        <w:rPr>
          <w:lang w:val="en-AU"/>
        </w:rPr>
      </w:pPr>
      <w:r w:rsidRPr="008D1918">
        <w:rPr>
          <w:lang w:val="en-AU"/>
        </w:rPr>
        <w:t xml:space="preserve">First, the operational overhead assumptions, covering </w:t>
      </w:r>
      <w:r w:rsidRPr="008D1918" w:rsidR="003D0B1D">
        <w:rPr>
          <w:lang w:val="en-AU"/>
        </w:rPr>
        <w:t xml:space="preserve">supervision, training, utilisation and quality assurance, were all calibrated against a provider mix that predates significant market fragmentation. </w:t>
      </w:r>
      <w:r w:rsidRPr="008D1918" w:rsidR="00672115">
        <w:rPr>
          <w:lang w:val="en-AU"/>
        </w:rPr>
        <w:t xml:space="preserve">Since </w:t>
      </w:r>
      <w:r w:rsidRPr="008D1918" w:rsidR="00A9674E">
        <w:rPr>
          <w:lang w:val="en-AU"/>
        </w:rPr>
        <w:t>then</w:t>
      </w:r>
      <w:r w:rsidR="00B52F02">
        <w:rPr>
          <w:lang w:val="en-AU"/>
        </w:rPr>
        <w:t>,</w:t>
      </w:r>
      <w:r w:rsidRPr="008D1918" w:rsidR="00672115">
        <w:rPr>
          <w:lang w:val="en-AU"/>
        </w:rPr>
        <w:t xml:space="preserve"> </w:t>
      </w:r>
      <w:r w:rsidRPr="008D1918" w:rsidR="002E68EE">
        <w:rPr>
          <w:lang w:val="en-AU"/>
        </w:rPr>
        <w:t xml:space="preserve">the </w:t>
      </w:r>
      <w:r w:rsidRPr="008D1918" w:rsidR="00EC2EBD">
        <w:rPr>
          <w:lang w:val="en-AU"/>
        </w:rPr>
        <w:t>num</w:t>
      </w:r>
      <w:r w:rsidRPr="008D1918" w:rsidR="002E68EE">
        <w:rPr>
          <w:lang w:val="en-AU"/>
        </w:rPr>
        <w:t xml:space="preserve">ber of micro-providers </w:t>
      </w:r>
      <w:r w:rsidRPr="008D1918" w:rsidR="002E68EE">
        <w:rPr>
          <w:lang w:val="en-AU"/>
        </w:rPr>
        <w:t>and sole traders has grown</w:t>
      </w:r>
      <w:r w:rsidRPr="008D1918" w:rsidR="00672115">
        <w:rPr>
          <w:lang w:val="en-AU"/>
        </w:rPr>
        <w:t xml:space="preserve"> </w:t>
      </w:r>
      <w:r w:rsidRPr="008D1918" w:rsidR="003736EA">
        <w:rPr>
          <w:lang w:val="en-AU"/>
        </w:rPr>
        <w:t xml:space="preserve">and accounts for </w:t>
      </w:r>
      <w:r w:rsidRPr="008D1918" w:rsidR="003D0B1D">
        <w:rPr>
          <w:lang w:val="en-AU"/>
        </w:rPr>
        <w:t>78</w:t>
      </w:r>
      <w:r w:rsidRPr="008D1918" w:rsidR="00F60237">
        <w:rPr>
          <w:lang w:val="en-AU"/>
        </w:rPr>
        <w:t>%</w:t>
      </w:r>
      <w:r w:rsidRPr="008D1918" w:rsidR="003D0B1D">
        <w:rPr>
          <w:lang w:val="en-AU"/>
        </w:rPr>
        <w:t xml:space="preserve"> of active providers</w:t>
      </w:r>
      <w:r w:rsidRPr="008D1918" w:rsidR="003736EA">
        <w:rPr>
          <w:lang w:val="en-AU"/>
        </w:rPr>
        <w:t xml:space="preserve">. This means </w:t>
      </w:r>
      <w:r w:rsidRPr="008D1918" w:rsidR="00526978">
        <w:rPr>
          <w:lang w:val="en-AU"/>
        </w:rPr>
        <w:t>the model’s utilisation assumptions, designed around organisational delivery at scale, are increasingly applied to delivery models with structurally different cost profiles. Second, consultation evidence indicates providers see cost pressure</w:t>
      </w:r>
      <w:r w:rsidR="00A835C1">
        <w:rPr>
          <w:lang w:val="en-AU"/>
        </w:rPr>
        <w:t>s</w:t>
      </w:r>
      <w:r w:rsidRPr="008D1918" w:rsidR="00526978">
        <w:rPr>
          <w:lang w:val="en-AU"/>
        </w:rPr>
        <w:t xml:space="preserve"> primarily arising from broader workforce requirements, qualifications and training, supervision and administration, and safeguarding, rather than from award wage rates alone. These are the </w:t>
      </w:r>
      <w:r w:rsidRPr="008D1918" w:rsidR="00780FDF">
        <w:rPr>
          <w:lang w:val="en-AU"/>
        </w:rPr>
        <w:t>components</w:t>
      </w:r>
      <w:r w:rsidRPr="008D1918" w:rsidR="00526978">
        <w:rPr>
          <w:lang w:val="en-AU"/>
        </w:rPr>
        <w:t xml:space="preserve"> of operational </w:t>
      </w:r>
      <w:r w:rsidRPr="008D1918" w:rsidR="00780FDF">
        <w:rPr>
          <w:lang w:val="en-AU"/>
        </w:rPr>
        <w:t>overhead</w:t>
      </w:r>
      <w:r w:rsidRPr="008D1918" w:rsidR="00526978">
        <w:rPr>
          <w:lang w:val="en-AU"/>
        </w:rPr>
        <w:t xml:space="preserve"> most </w:t>
      </w:r>
      <w:r w:rsidRPr="008D1918" w:rsidR="00780FDF">
        <w:rPr>
          <w:lang w:val="en-AU"/>
        </w:rPr>
        <w:t>likely</w:t>
      </w:r>
      <w:r w:rsidRPr="008D1918" w:rsidR="00526978">
        <w:rPr>
          <w:lang w:val="en-AU"/>
        </w:rPr>
        <w:t xml:space="preserve"> to have shifted since 2020</w:t>
      </w:r>
      <w:r w:rsidRPr="008D1918" w:rsidR="0017166B">
        <w:rPr>
          <w:lang w:val="en-AU"/>
        </w:rPr>
        <w:t>–</w:t>
      </w:r>
      <w:r w:rsidRPr="008D1918" w:rsidR="00526978">
        <w:rPr>
          <w:lang w:val="en-AU"/>
        </w:rPr>
        <w:t>21, and the direction of risk is that the model understates them for registered organisational providers delivering complex supports. Third, SIL delivery conditions have diverged materially from the common model assumptions, a</w:t>
      </w:r>
      <w:r w:rsidR="001931F1">
        <w:rPr>
          <w:lang w:val="en-AU"/>
        </w:rPr>
        <w:t> </w:t>
      </w:r>
      <w:r w:rsidRPr="008D1918" w:rsidR="00526978">
        <w:rPr>
          <w:lang w:val="en-AU"/>
        </w:rPr>
        <w:t xml:space="preserve">point addressed in the SIL subsection below. </w:t>
      </w:r>
    </w:p>
    <w:p w:rsidRPr="008D1918" w:rsidR="00A97A75" w:rsidP="00041468" w:rsidRDefault="00A97A75" w14:paraId="7C3094FC" w14:textId="77777777">
      <w:pPr>
        <w:pStyle w:val="StyleStyle112pt"/>
      </w:pPr>
      <w:bookmarkStart w:name="_Toc223428416" w:id="757"/>
      <w:bookmarkStart w:name="_Toc223445875" w:id="758"/>
      <w:bookmarkStart w:name="_Toc223539667" w:id="759"/>
      <w:bookmarkStart w:name="_Toc223539884" w:id="760"/>
      <w:bookmarkStart w:name="_Toc223540352" w:id="761"/>
      <w:bookmarkStart w:name="_Toc223540568" w:id="762"/>
      <w:bookmarkStart w:name="_Toc223542104" w:id="763"/>
      <w:bookmarkStart w:name="_Toc223604290" w:id="764"/>
      <w:bookmarkStart w:name="_Toc223604501" w:id="765"/>
      <w:bookmarkStart w:name="_Toc223604719" w:id="766"/>
      <w:bookmarkStart w:name="_Toc223618583" w:id="767"/>
      <w:bookmarkStart w:name="_Toc223702820" w:id="768"/>
      <w:bookmarkStart w:name="_Toc227318718" w:id="769"/>
      <w:bookmarkStart w:name="_Toc227337086" w:id="770"/>
      <w:r w:rsidRPr="008D1918">
        <w:t>Industrial relations context</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r w:rsidRPr="008D1918">
        <w:t xml:space="preserve"> </w:t>
      </w:r>
    </w:p>
    <w:p w:rsidR="00612999" w:rsidRDefault="008416BC" w14:paraId="2957E956" w14:textId="406BD0C9">
      <w:r w:rsidRPr="008D1918">
        <w:t xml:space="preserve">The Fair Work Commission’s (FWC) Expert Panel for pay equity in the care and community sector is conducting a Gender-based </w:t>
      </w:r>
      <w:r w:rsidRPr="008D1918" w:rsidR="009D7F83">
        <w:t>u</w:t>
      </w:r>
      <w:r w:rsidRPr="008D1918">
        <w:t xml:space="preserve">ndervaluation </w:t>
      </w:r>
      <w:r w:rsidRPr="008D1918" w:rsidR="009D7F83">
        <w:t>–</w:t>
      </w:r>
      <w:r w:rsidRPr="008D1918">
        <w:t xml:space="preserve"> </w:t>
      </w:r>
      <w:r w:rsidRPr="008D1918" w:rsidR="00033E30">
        <w:t>p</w:t>
      </w:r>
      <w:r w:rsidRPr="008D1918">
        <w:t xml:space="preserve">riority </w:t>
      </w:r>
      <w:r w:rsidRPr="008D1918" w:rsidR="00033E30">
        <w:t>a</w:t>
      </w:r>
      <w:r w:rsidRPr="008D1918">
        <w:t xml:space="preserve">wards </w:t>
      </w:r>
      <w:r w:rsidRPr="008D1918" w:rsidR="00033E30">
        <w:t>r</w:t>
      </w:r>
      <w:r w:rsidRPr="008D1918">
        <w:t>eview</w:t>
      </w:r>
      <w:r w:rsidR="0003517E">
        <w:t>. I</w:t>
      </w:r>
      <w:r w:rsidRPr="008D1918">
        <w:t xml:space="preserve">nitiated in June 2024, </w:t>
      </w:r>
      <w:r w:rsidR="0003517E">
        <w:t>it</w:t>
      </w:r>
      <w:r w:rsidRPr="008D1918" w:rsidR="0003517E">
        <w:t xml:space="preserve"> </w:t>
      </w:r>
      <w:r w:rsidRPr="008D1918">
        <w:t xml:space="preserve">includes the SCHADS Award as one of </w:t>
      </w:r>
      <w:r w:rsidR="00BC6545">
        <w:br/>
      </w:r>
      <w:r w:rsidRPr="008D1918" w:rsidR="00033E30">
        <w:t>5</w:t>
      </w:r>
      <w:r w:rsidRPr="008D1918">
        <w:t xml:space="preserve"> priority awards. In its </w:t>
      </w:r>
      <w:r w:rsidRPr="008D1918" w:rsidR="00D011FF">
        <w:t xml:space="preserve">initial decision in </w:t>
      </w:r>
      <w:r w:rsidRPr="008D1918">
        <w:t xml:space="preserve">April 2025, the Expert Panel found that increases to minimum </w:t>
      </w:r>
      <w:r w:rsidRPr="008D1918" w:rsidR="00CF6D2E">
        <w:t>award</w:t>
      </w:r>
      <w:r w:rsidRPr="008D1918">
        <w:t xml:space="preserve"> wages for social and community services </w:t>
      </w:r>
      <w:r w:rsidRPr="008D1918" w:rsidR="00CF6D2E">
        <w:t>employees</w:t>
      </w:r>
      <w:r w:rsidRPr="008D1918">
        <w:t xml:space="preserve"> and home care employees in disability care covered by the SCHADS Award are necessary, finding that existing rates do not properly reflect the value of the work performed in part due to his</w:t>
      </w:r>
      <w:r w:rsidRPr="008D1918" w:rsidR="00CF6D2E">
        <w:t>torical</w:t>
      </w:r>
      <w:r w:rsidRPr="008D1918">
        <w:t xml:space="preserve"> </w:t>
      </w:r>
      <w:r w:rsidRPr="008D1918" w:rsidR="00CF6D2E">
        <w:t>gender</w:t>
      </w:r>
      <w:r w:rsidRPr="008D1918">
        <w:t xml:space="preserve">-based undervaluation. </w:t>
      </w:r>
    </w:p>
    <w:p w:rsidR="00351B30" w:rsidRDefault="008416BC" w14:paraId="05A22D54" w14:textId="77777777">
      <w:r w:rsidRPr="008D1918">
        <w:t>The Expert Panel’s provision</w:t>
      </w:r>
      <w:r w:rsidRPr="008D1918" w:rsidR="00091C08">
        <w:t>al</w:t>
      </w:r>
      <w:r w:rsidRPr="008D1918">
        <w:t xml:space="preserve"> view is the </w:t>
      </w:r>
      <w:r w:rsidRPr="008D1918" w:rsidR="00E650A0">
        <w:t>5</w:t>
      </w:r>
      <w:r w:rsidRPr="008D1918">
        <w:t xml:space="preserve"> separate SCHADS classification structures should be abolished and replaced with a single, simplified classification structure based on alignment with the Caring Skills benchmark rate</w:t>
      </w:r>
      <w:r w:rsidRPr="008D1918" w:rsidR="00091C08">
        <w:t xml:space="preserve">. This would </w:t>
      </w:r>
      <w:r w:rsidRPr="008D1918">
        <w:t xml:space="preserve">also involve revoking the existing Equal Remuneration Order as </w:t>
      </w:r>
      <w:r w:rsidRPr="008D1918" w:rsidR="00D031CE">
        <w:t xml:space="preserve">it would be </w:t>
      </w:r>
      <w:r w:rsidRPr="008D1918">
        <w:t xml:space="preserve">redundant once new rates are in place. Submissions from interested parties reflected broad support for addressing gender-based undervaluation and a simplified classification </w:t>
      </w:r>
      <w:r w:rsidRPr="008D1918" w:rsidR="00CF6D2E">
        <w:t>structure but</w:t>
      </w:r>
      <w:r w:rsidRPr="008D1918">
        <w:t xml:space="preserve"> raised significant concerns that the proposed structure fails to capture the nuance of work in the social services sector and that some workers could face reduced pay </w:t>
      </w:r>
      <w:r w:rsidRPr="008D1918" w:rsidR="00CF6D2E">
        <w:t>under</w:t>
      </w:r>
      <w:r w:rsidRPr="008D1918">
        <w:t xml:space="preserve"> the transition.</w:t>
      </w:r>
      <w:r w:rsidRPr="008D1918" w:rsidR="00417DD4">
        <w:t xml:space="preserve"> </w:t>
      </w:r>
    </w:p>
    <w:p w:rsidRPr="008D1918" w:rsidR="00A97A75" w:rsidRDefault="000301E8" w14:paraId="6ED08B45" w14:textId="7DC83B91">
      <w:r w:rsidRPr="008D1918">
        <w:t xml:space="preserve">The NDIA will continue to monitor the progression of the Award case and consider any final determination </w:t>
      </w:r>
      <w:r w:rsidRPr="008D1918" w:rsidR="003066A5">
        <w:t xml:space="preserve">in its guidance </w:t>
      </w:r>
      <w:r w:rsidRPr="008D1918">
        <w:t>through the DSW Cost Model Review</w:t>
      </w:r>
      <w:r w:rsidRPr="008D1918" w:rsidR="00230D57">
        <w:t xml:space="preserve"> scheduled for 2026–27</w:t>
      </w:r>
      <w:r w:rsidRPr="008D1918">
        <w:t xml:space="preserve">. </w:t>
      </w:r>
      <w:r w:rsidRPr="008D1918" w:rsidR="00BB6014">
        <w:t xml:space="preserve"> </w:t>
      </w:r>
    </w:p>
    <w:p w:rsidRPr="008D1918" w:rsidR="00A97A75" w:rsidP="00041468" w:rsidRDefault="00A97A75" w14:paraId="12FB134E" w14:textId="77777777">
      <w:pPr>
        <w:pStyle w:val="StyleStyle112pt"/>
      </w:pPr>
      <w:bookmarkStart w:name="_Toc223428417" w:id="771"/>
      <w:bookmarkStart w:name="_Toc223445876" w:id="772"/>
      <w:bookmarkStart w:name="_Toc223539668" w:id="773"/>
      <w:bookmarkStart w:name="_Toc223539885" w:id="774"/>
      <w:bookmarkStart w:name="_Toc223540353" w:id="775"/>
      <w:bookmarkStart w:name="_Toc223540569" w:id="776"/>
      <w:bookmarkStart w:name="_Toc223542105" w:id="777"/>
      <w:bookmarkStart w:name="_Toc223604291" w:id="778"/>
      <w:bookmarkStart w:name="_Toc223604502" w:id="779"/>
      <w:bookmarkStart w:name="_Toc223604720" w:id="780"/>
      <w:bookmarkStart w:name="_Toc223618584" w:id="781"/>
      <w:bookmarkStart w:name="_Toc223702821" w:id="782"/>
      <w:bookmarkStart w:name="_Toc227318719" w:id="783"/>
      <w:bookmarkStart w:name="_Toc227337087" w:id="784"/>
      <w:r w:rsidRPr="008D1918">
        <w:t>Market structure and dynamics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rsidRPr="008D1918">
        <w:t xml:space="preserve"> </w:t>
      </w:r>
    </w:p>
    <w:p w:rsidRPr="008D1918" w:rsidR="00DE17A4" w:rsidRDefault="00C06FD1" w14:paraId="3D101AC4" w14:textId="628EA624">
      <w:pPr>
        <w:rPr>
          <w:lang w:val="en-AU"/>
        </w:rPr>
      </w:pPr>
      <w:r w:rsidRPr="008D1918">
        <w:rPr>
          <w:lang w:val="en-AU"/>
        </w:rPr>
        <w:t>T</w:t>
      </w:r>
      <w:r w:rsidRPr="008D1918" w:rsidR="00705EDE">
        <w:rPr>
          <w:lang w:val="en-AU"/>
        </w:rPr>
        <w:t xml:space="preserve">he DSW </w:t>
      </w:r>
      <w:r w:rsidRPr="008D1918" w:rsidR="00F53381">
        <w:rPr>
          <w:lang w:val="en-AU"/>
        </w:rPr>
        <w:t xml:space="preserve">market continues to grow and diversify, with provider numbers reaching nearly 145,000 in the 6 months to December 2025. Growth has occurred across all geographic areas and both registration categories. However, the composition of this growth matters for pricing. Most new entrants are operating at very small scale, </w:t>
      </w:r>
      <w:r w:rsidRPr="008D1918" w:rsidR="00A2629F">
        <w:rPr>
          <w:lang w:val="en-AU"/>
        </w:rPr>
        <w:t xml:space="preserve">with </w:t>
      </w:r>
      <w:r w:rsidRPr="008D1918" w:rsidR="00F53381">
        <w:rPr>
          <w:lang w:val="en-AU"/>
        </w:rPr>
        <w:t>89</w:t>
      </w:r>
      <w:r w:rsidRPr="008D1918" w:rsidR="00A2629F">
        <w:rPr>
          <w:lang w:val="en-AU"/>
        </w:rPr>
        <w:t>%</w:t>
      </w:r>
      <w:r w:rsidRPr="008D1918" w:rsidR="00F53381">
        <w:rPr>
          <w:lang w:val="en-AU"/>
        </w:rPr>
        <w:t xml:space="preserve"> of providers support</w:t>
      </w:r>
      <w:r w:rsidRPr="008D1918" w:rsidR="00A2629F">
        <w:rPr>
          <w:lang w:val="en-AU"/>
        </w:rPr>
        <w:t>ing 5</w:t>
      </w:r>
      <w:r w:rsidRPr="008D1918" w:rsidR="00F53381">
        <w:rPr>
          <w:lang w:val="en-AU"/>
        </w:rPr>
        <w:t xml:space="preserve"> or fewer participants, and 81,819 providers </w:t>
      </w:r>
      <w:r w:rsidRPr="008D1918" w:rsidR="00EB4109">
        <w:rPr>
          <w:lang w:val="en-AU"/>
        </w:rPr>
        <w:t xml:space="preserve">(57%) </w:t>
      </w:r>
      <w:r w:rsidRPr="008D1918" w:rsidR="00F53381">
        <w:rPr>
          <w:lang w:val="en-AU"/>
        </w:rPr>
        <w:t>support</w:t>
      </w:r>
      <w:r w:rsidRPr="008D1918" w:rsidR="00A2629F">
        <w:rPr>
          <w:lang w:val="en-AU"/>
        </w:rPr>
        <w:t>ing</w:t>
      </w:r>
      <w:r w:rsidRPr="008D1918" w:rsidR="00F53381">
        <w:rPr>
          <w:lang w:val="en-AU"/>
        </w:rPr>
        <w:t xml:space="preserve"> a single participant. The core of economically significant providers, those delivering </w:t>
      </w:r>
      <w:r w:rsidRPr="008D1918" w:rsidR="00E72632">
        <w:rPr>
          <w:lang w:val="en-AU"/>
        </w:rPr>
        <w:t>most</w:t>
      </w:r>
      <w:r w:rsidRPr="008D1918" w:rsidR="00F53381">
        <w:rPr>
          <w:lang w:val="en-AU"/>
        </w:rPr>
        <w:t xml:space="preserve"> payments, is </w:t>
      </w:r>
      <w:r w:rsidRPr="008D1918" w:rsidR="00CD07AE">
        <w:rPr>
          <w:lang w:val="en-AU"/>
        </w:rPr>
        <w:t xml:space="preserve">a </w:t>
      </w:r>
      <w:r w:rsidRPr="008D1918" w:rsidR="00F53381">
        <w:rPr>
          <w:lang w:val="en-AU"/>
        </w:rPr>
        <w:t xml:space="preserve">relatively stable cohort, with 41% of registered providers active across all </w:t>
      </w:r>
      <w:r w:rsidRPr="008D1918" w:rsidR="00CD07AE">
        <w:rPr>
          <w:lang w:val="en-AU"/>
        </w:rPr>
        <w:t>6</w:t>
      </w:r>
      <w:r w:rsidRPr="008D1918" w:rsidR="00F53381">
        <w:rPr>
          <w:lang w:val="en-AU"/>
        </w:rPr>
        <w:t xml:space="preserve"> half-year periods accounting for 92</w:t>
      </w:r>
      <w:r w:rsidRPr="008D1918" w:rsidR="00CD07AE">
        <w:rPr>
          <w:lang w:val="en-AU"/>
        </w:rPr>
        <w:t>%</w:t>
      </w:r>
      <w:r w:rsidRPr="008D1918" w:rsidR="00F53381">
        <w:rPr>
          <w:lang w:val="en-AU"/>
        </w:rPr>
        <w:t xml:space="preserve"> of registered provider payments. Growth in provider numbers should not be read as a material expansion of sustained delivery capacity. </w:t>
      </w:r>
    </w:p>
    <w:p w:rsidRPr="008D1918" w:rsidR="00A97A75" w:rsidP="00041468" w:rsidRDefault="00A97A75" w14:paraId="2378EE70" w14:textId="77777777">
      <w:pPr>
        <w:pStyle w:val="StyleStyle112pt"/>
      </w:pPr>
      <w:bookmarkStart w:name="_Toc223428418" w:id="785"/>
      <w:bookmarkStart w:name="_Toc223445877" w:id="786"/>
      <w:bookmarkStart w:name="_Toc223539669" w:id="787"/>
      <w:bookmarkStart w:name="_Toc223539886" w:id="788"/>
      <w:bookmarkStart w:name="_Toc223540354" w:id="789"/>
      <w:bookmarkStart w:name="_Toc223540570" w:id="790"/>
      <w:bookmarkStart w:name="_Toc223542106" w:id="791"/>
      <w:bookmarkStart w:name="_Toc223604292" w:id="792"/>
      <w:bookmarkStart w:name="_Toc223604503" w:id="793"/>
      <w:bookmarkStart w:name="_Toc223604721" w:id="794"/>
      <w:bookmarkStart w:name="_Toc223618585" w:id="795"/>
      <w:bookmarkStart w:name="_Toc223702822" w:id="796"/>
      <w:bookmarkStart w:name="_Toc227318720" w:id="797"/>
      <w:bookmarkStart w:name="_Toc227337088" w:id="798"/>
      <w:r w:rsidRPr="008D1918">
        <w:t>Supported Independent Living</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rsidRPr="008D1918">
        <w:t xml:space="preserve"> </w:t>
      </w:r>
    </w:p>
    <w:p w:rsidRPr="008D1918" w:rsidR="00DA32D9" w:rsidP="00DA32D9" w:rsidRDefault="00E75BB7" w14:paraId="257982E4" w14:textId="12788F22">
      <w:pPr>
        <w:rPr>
          <w:lang w:val="en-AU"/>
        </w:rPr>
      </w:pPr>
      <w:r w:rsidRPr="008D1918">
        <w:rPr>
          <w:lang w:val="en-AU"/>
        </w:rPr>
        <w:t xml:space="preserve">SIL warrants specific attention within the DSW pricing framework. It is the largest support category by expenditure, is dominated by registered providers, and supports a cohort that is generally more established and higher intensity than the broader DSW market. SIL participants are concentrated in longer-duration support arrangements and higher-support streams, indicating a market shaped less by episodic service use and new entrant growth than by sustained, </w:t>
      </w:r>
      <w:r w:rsidRPr="008D1918" w:rsidR="00BF1BBB">
        <w:rPr>
          <w:lang w:val="en-AU"/>
        </w:rPr>
        <w:t>continuous</w:t>
      </w:r>
      <w:r w:rsidRPr="008D1918">
        <w:rPr>
          <w:lang w:val="en-AU"/>
        </w:rPr>
        <w:t xml:space="preserve"> care. This distinguishes SIL from other DSW-related supports where delivery is more episodic, participant-provider relationships are more contestable, and provider entry is a more meaningful indicator of effective supply. </w:t>
      </w:r>
    </w:p>
    <w:p w:rsidRPr="008D1918" w:rsidR="00E75BB7" w:rsidP="00DA32D9" w:rsidRDefault="00E75BB7" w14:paraId="4C7A8756" w14:textId="77886BE5">
      <w:pPr>
        <w:rPr>
          <w:lang w:val="en-AU"/>
        </w:rPr>
      </w:pPr>
      <w:r w:rsidRPr="008D1918">
        <w:rPr>
          <w:lang w:val="en-AU"/>
        </w:rPr>
        <w:t>The provider market is also structurally distinct. While registered providers account for less than half of all SIL providers they receive almost all SIL payments</w:t>
      </w:r>
      <w:r w:rsidR="00AB7A8E">
        <w:rPr>
          <w:lang w:val="en-AU"/>
        </w:rPr>
        <w:t>. This indicates</w:t>
      </w:r>
      <w:r w:rsidRPr="008D1918">
        <w:rPr>
          <w:lang w:val="en-AU"/>
        </w:rPr>
        <w:t xml:space="preserve"> the economically material segment of the market is overwhelm</w:t>
      </w:r>
      <w:r w:rsidRPr="008D1918" w:rsidR="00BF1BBB">
        <w:rPr>
          <w:lang w:val="en-AU"/>
        </w:rPr>
        <w:t>ingly registered and large in scale. Unregistered providers are numerically present but financially peripheral. Participant choice is also materially weaker than in other DSW markets, as changing SIL provider</w:t>
      </w:r>
      <w:r w:rsidRPr="008D1918" w:rsidR="00524785">
        <w:rPr>
          <w:lang w:val="en-AU"/>
        </w:rPr>
        <w:t>s</w:t>
      </w:r>
      <w:r w:rsidRPr="008D1918" w:rsidR="00BF1BBB">
        <w:rPr>
          <w:lang w:val="en-AU"/>
        </w:rPr>
        <w:t xml:space="preserve"> often requires changing living arrangements rather than simply changing service provider</w:t>
      </w:r>
      <w:r w:rsidRPr="008D1918" w:rsidR="00524785">
        <w:rPr>
          <w:lang w:val="en-AU"/>
        </w:rPr>
        <w:t>s</w:t>
      </w:r>
      <w:r w:rsidRPr="008D1918" w:rsidR="00BF1BBB">
        <w:rPr>
          <w:lang w:val="en-AU"/>
        </w:rPr>
        <w:t xml:space="preserve">. Taken together, these features suggest the current general DSW pricing framework may not fully capture the cost structure, fixed operating requirements and weaker competitive dynamics of SIL. The SIL </w:t>
      </w:r>
      <w:r w:rsidRPr="008D1918" w:rsidR="00C21A8C">
        <w:rPr>
          <w:lang w:val="en-AU"/>
        </w:rPr>
        <w:t>p</w:t>
      </w:r>
      <w:r w:rsidRPr="008D1918" w:rsidR="00BF1BBB">
        <w:rPr>
          <w:lang w:val="en-AU"/>
        </w:rPr>
        <w:t>ilot is therefore a central part of the NDIA’s evidence-building for future reform. Its findings will help determine whether SIL requires pric</w:t>
      </w:r>
      <w:r w:rsidRPr="008D1918" w:rsidR="00605D03">
        <w:rPr>
          <w:lang w:val="en-AU"/>
        </w:rPr>
        <w:t>e</w:t>
      </w:r>
      <w:r w:rsidRPr="008D1918" w:rsidR="00BF1BBB">
        <w:rPr>
          <w:lang w:val="en-AU"/>
        </w:rPr>
        <w:t xml:space="preserve"> settings that better reflect its distinctive delivery model and cost structure. Until that evidence is available, current SIL </w:t>
      </w:r>
      <w:r w:rsidRPr="008D1918" w:rsidR="003066A5">
        <w:rPr>
          <w:lang w:val="en-AU"/>
        </w:rPr>
        <w:t>prices should</w:t>
      </w:r>
      <w:r w:rsidRPr="008D1918" w:rsidR="00BF1BBB">
        <w:rPr>
          <w:lang w:val="en-AU"/>
        </w:rPr>
        <w:t xml:space="preserve"> continue to be maintained through the standard DSW Cost Model.</w:t>
      </w:r>
    </w:p>
    <w:p w:rsidRPr="008D1918" w:rsidR="00B0224B" w:rsidP="00DA32D9" w:rsidRDefault="00A90F5E" w14:paraId="45DAB74D" w14:textId="4A2FFCF1">
      <w:pPr>
        <w:rPr>
          <w:lang w:val="en-AU"/>
        </w:rPr>
      </w:pPr>
      <w:r w:rsidRPr="008D1918">
        <w:rPr>
          <w:lang w:val="en-AU"/>
        </w:rPr>
        <w:t xml:space="preserve">Participants currently using unregistered providers may be forced to switch if their preferred provider chooses not to register. </w:t>
      </w:r>
      <w:r w:rsidRPr="008D1918" w:rsidR="005070DE">
        <w:rPr>
          <w:lang w:val="en-AU"/>
        </w:rPr>
        <w:t xml:space="preserve">In regional, rural and remote areas, choice </w:t>
      </w:r>
      <w:r w:rsidRPr="008D1918" w:rsidR="00051587">
        <w:rPr>
          <w:lang w:val="en-AU"/>
        </w:rPr>
        <w:t xml:space="preserve">in providers </w:t>
      </w:r>
      <w:r w:rsidRPr="008D1918" w:rsidR="005070DE">
        <w:rPr>
          <w:lang w:val="en-AU"/>
        </w:rPr>
        <w:t xml:space="preserve">is often limited. Mandatory registration may push smaller, boutique or local providers out of the market. </w:t>
      </w:r>
      <w:r w:rsidRPr="008D1918" w:rsidR="00935B5D">
        <w:rPr>
          <w:lang w:val="en-AU"/>
        </w:rPr>
        <w:t xml:space="preserve">However, participants will have the assurance that every worker in their home has passed mandatory worker screening </w:t>
      </w:r>
      <w:r w:rsidRPr="008D1918" w:rsidR="00A9674E">
        <w:rPr>
          <w:lang w:val="en-AU"/>
        </w:rPr>
        <w:t>checks,</w:t>
      </w:r>
      <w:r w:rsidRPr="008D1918" w:rsidR="00935B5D">
        <w:rPr>
          <w:lang w:val="en-AU"/>
        </w:rPr>
        <w:t xml:space="preserve"> and the provider meets national SIL Practice Standards (also set to be introduced from 1 July 2026). </w:t>
      </w:r>
    </w:p>
    <w:p w:rsidRPr="008D1918" w:rsidR="00994E40" w:rsidP="00DA32D9" w:rsidRDefault="00E50718" w14:paraId="0553381F" w14:textId="7DDEF9AB">
      <w:pPr>
        <w:rPr>
          <w:lang w:val="en-AU"/>
        </w:rPr>
      </w:pPr>
      <w:r w:rsidRPr="008D1918">
        <w:rPr>
          <w:lang w:val="en-AU"/>
        </w:rPr>
        <w:t xml:space="preserve">The implementation of mandatory registration is expected to trigger a period of market consolidation as providers evaluate the long-term viability of their current operating models. The significant capital investment required for Certification Audits, </w:t>
      </w:r>
      <w:r w:rsidRPr="008D1918">
        <w:rPr>
          <w:lang w:val="en-AU"/>
        </w:rPr>
        <w:t xml:space="preserve">coupled with the increased administrative overhead of high-risk compliance, creates a substantial barrier to entry. Consequently, providers unable or unwilling to absorb these additional regulatory costs may choose to exit the SIL </w:t>
      </w:r>
      <w:r w:rsidRPr="008D1918" w:rsidR="000C0D11">
        <w:rPr>
          <w:lang w:val="en-AU"/>
        </w:rPr>
        <w:t>market</w:t>
      </w:r>
      <w:r w:rsidRPr="008D1918">
        <w:rPr>
          <w:lang w:val="en-AU"/>
        </w:rPr>
        <w:t>. This potential reduction in the number of active providers poses a direct risk to participant choice, as the market may shift toward a more concentrated landscape dominated by larger, integrated organisations, potentially limiting the diversity of service models available to participants.</w:t>
      </w:r>
      <w:r w:rsidRPr="008D1918" w:rsidR="00465EC8">
        <w:rPr>
          <w:lang w:val="en-AU"/>
        </w:rPr>
        <w:t xml:space="preserve"> </w:t>
      </w:r>
    </w:p>
    <w:p w:rsidRPr="008D1918" w:rsidR="00A97A75" w:rsidP="006D6406" w:rsidRDefault="00A97A75" w14:paraId="03EB9437" w14:textId="77777777">
      <w:pPr>
        <w:pStyle w:val="Heading31"/>
        <w:ind w:left="1077" w:hanging="720"/>
      </w:pPr>
      <w:bookmarkStart w:name="_Toc223539671" w:id="799"/>
      <w:bookmarkStart w:name="_Toc223539888" w:id="800"/>
      <w:bookmarkStart w:name="_Toc223540356" w:id="801"/>
      <w:bookmarkStart w:name="_Toc223540572" w:id="802"/>
      <w:bookmarkStart w:name="_Toc223542108" w:id="803"/>
      <w:bookmarkStart w:name="_Toc223604294" w:id="804"/>
      <w:bookmarkStart w:name="_Toc223604505" w:id="805"/>
      <w:bookmarkStart w:name="_Toc227337089" w:id="806"/>
      <w:r w:rsidRPr="008D1918">
        <w:t>Recommendations</w:t>
      </w:r>
      <w:bookmarkEnd w:id="748"/>
      <w:bookmarkEnd w:id="749"/>
      <w:bookmarkEnd w:id="750"/>
      <w:bookmarkEnd w:id="751"/>
      <w:bookmarkEnd w:id="752"/>
      <w:bookmarkEnd w:id="753"/>
      <w:bookmarkEnd w:id="754"/>
      <w:bookmarkEnd w:id="799"/>
      <w:bookmarkEnd w:id="800"/>
      <w:bookmarkEnd w:id="801"/>
      <w:bookmarkEnd w:id="802"/>
      <w:bookmarkEnd w:id="803"/>
      <w:bookmarkEnd w:id="804"/>
      <w:bookmarkEnd w:id="805"/>
      <w:bookmarkEnd w:id="806"/>
    </w:p>
    <w:p w:rsidRPr="008D1918" w:rsidR="00A97A75" w:rsidP="00245B10" w:rsidRDefault="00A97A75" w14:paraId="7FA1A98A" w14:textId="77777777">
      <w:pPr>
        <w:pStyle w:val="H4"/>
      </w:pPr>
      <w:bookmarkStart w:name="_Toc223428421" w:id="807"/>
      <w:bookmarkStart w:name="_Toc223445880" w:id="808"/>
      <w:bookmarkStart w:name="_Toc223604724" w:id="809"/>
      <w:r w:rsidRPr="008D1918">
        <w:t>DSW Cost Model indexation and review</w:t>
      </w:r>
      <w:bookmarkEnd w:id="807"/>
      <w:bookmarkEnd w:id="808"/>
      <w:bookmarkEnd w:id="809"/>
    </w:p>
    <w:p w:rsidRPr="008D1918" w:rsidR="00A97A75" w:rsidRDefault="00A97A75" w14:paraId="77F20FBC" w14:textId="77777777">
      <w:pPr>
        <w:rPr>
          <w:lang w:val="en-AU"/>
        </w:rPr>
      </w:pPr>
      <w:r w:rsidRPr="008D1918">
        <w:rPr>
          <w:lang w:val="en-AU"/>
        </w:rPr>
        <w:t>Supports priced under the DSW Cost Model are directly linked to wage decisions under the FWC’s SCHADS Award and to the National Employment Standards. While structured indexation gives providers certainty to meet minimum legal entitlements for their employees, the NDIA should retain flexibility to respond to changes that affect the NDIS and the disability sector.</w:t>
      </w:r>
    </w:p>
    <w:p w:rsidRPr="008D1918" w:rsidR="00A97A75" w:rsidRDefault="00A97A75" w14:paraId="1C52A233" w14:textId="77777777">
      <w:pPr>
        <w:rPr>
          <w:lang w:val="en-AU"/>
        </w:rPr>
      </w:pPr>
      <w:r w:rsidRPr="008D1918">
        <w:rPr>
          <w:lang w:val="en-AU"/>
        </w:rPr>
        <w:t>When making pricing decisions for DSW-related supports, the NDIA considers:</w:t>
      </w:r>
    </w:p>
    <w:p w:rsidRPr="008D1918" w:rsidR="00A97A75" w:rsidP="009F6459" w:rsidRDefault="00196DEF" w14:paraId="29253E98" w14:textId="10578DC0">
      <w:pPr>
        <w:numPr>
          <w:ilvl w:val="0"/>
          <w:numId w:val="16"/>
        </w:numPr>
        <w:rPr>
          <w:lang w:val="en-AU"/>
        </w:rPr>
      </w:pPr>
      <w:r>
        <w:rPr>
          <w:lang w:val="en-AU"/>
        </w:rPr>
        <w:t>M</w:t>
      </w:r>
      <w:r w:rsidRPr="008D1918" w:rsidR="00A97A75">
        <w:rPr>
          <w:lang w:val="en-AU"/>
        </w:rPr>
        <w:t>ovements in adjacent sectors, such as Aged Care Award decisions</w:t>
      </w:r>
    </w:p>
    <w:p w:rsidRPr="008D1918" w:rsidR="00A97A75" w:rsidP="009F6459" w:rsidRDefault="00196DEF" w14:paraId="14DF0C50" w14:textId="2AB89372">
      <w:pPr>
        <w:numPr>
          <w:ilvl w:val="0"/>
          <w:numId w:val="16"/>
        </w:numPr>
        <w:rPr>
          <w:lang w:val="en-AU"/>
        </w:rPr>
      </w:pPr>
      <w:r>
        <w:rPr>
          <w:lang w:val="en-AU"/>
        </w:rPr>
        <w:t>C</w:t>
      </w:r>
      <w:r w:rsidRPr="008D1918" w:rsidR="00A97A75">
        <w:rPr>
          <w:lang w:val="en-AU"/>
        </w:rPr>
        <w:t>hanges to applicable awards, including the current Gender</w:t>
      </w:r>
      <w:r w:rsidRPr="008D1918" w:rsidR="00D95D25">
        <w:rPr>
          <w:lang w:val="en-AU"/>
        </w:rPr>
        <w:t>-based u</w:t>
      </w:r>
      <w:r w:rsidRPr="008D1918" w:rsidR="00A97A75">
        <w:rPr>
          <w:lang w:val="en-AU"/>
        </w:rPr>
        <w:t>ndervaluation</w:t>
      </w:r>
      <w:r w:rsidRPr="008D1918" w:rsidR="00D95D25">
        <w:rPr>
          <w:lang w:val="en-AU"/>
        </w:rPr>
        <w:t xml:space="preserve"> – p</w:t>
      </w:r>
      <w:r w:rsidRPr="008D1918" w:rsidR="00A97A75">
        <w:rPr>
          <w:lang w:val="en-AU"/>
        </w:rPr>
        <w:t xml:space="preserve">riority </w:t>
      </w:r>
      <w:r w:rsidRPr="008D1918" w:rsidR="00D95D25">
        <w:rPr>
          <w:lang w:val="en-AU"/>
        </w:rPr>
        <w:t>a</w:t>
      </w:r>
      <w:r w:rsidRPr="008D1918" w:rsidR="00A97A75">
        <w:rPr>
          <w:lang w:val="en-AU"/>
        </w:rPr>
        <w:t xml:space="preserve">wards </w:t>
      </w:r>
      <w:r w:rsidRPr="008D1918" w:rsidR="00D95D25">
        <w:rPr>
          <w:lang w:val="en-AU"/>
        </w:rPr>
        <w:t>r</w:t>
      </w:r>
      <w:r w:rsidRPr="008D1918" w:rsidR="00A97A75">
        <w:rPr>
          <w:lang w:val="en-AU"/>
        </w:rPr>
        <w:t>eview</w:t>
      </w:r>
    </w:p>
    <w:p w:rsidRPr="008D1918" w:rsidR="00A97A75" w:rsidP="009F6459" w:rsidRDefault="00196DEF" w14:paraId="4BE80A4A" w14:textId="158A9AE1">
      <w:pPr>
        <w:numPr>
          <w:ilvl w:val="0"/>
          <w:numId w:val="16"/>
        </w:numPr>
        <w:rPr>
          <w:lang w:val="en-AU"/>
        </w:rPr>
      </w:pPr>
      <w:r>
        <w:rPr>
          <w:lang w:val="en-AU"/>
        </w:rPr>
        <w:t>A</w:t>
      </w:r>
      <w:r w:rsidRPr="008D1918" w:rsidR="00A97A75">
        <w:rPr>
          <w:lang w:val="en-AU"/>
        </w:rPr>
        <w:t>ny changes to the National Employment Standards.</w:t>
      </w:r>
    </w:p>
    <w:p w:rsidRPr="008D1918" w:rsidR="00E07478" w:rsidRDefault="00A97A75" w14:paraId="1FDF9FB0" w14:textId="63512C41">
      <w:pPr>
        <w:rPr>
          <w:lang w:val="en-AU"/>
        </w:rPr>
      </w:pPr>
      <w:r w:rsidRPr="008D1918">
        <w:rPr>
          <w:lang w:val="en-AU"/>
        </w:rPr>
        <w:t xml:space="preserve">Where appropriate, the NDIA may undertake further review of pricing decisions to assess implications for provider sustainability and </w:t>
      </w:r>
      <w:r w:rsidRPr="008D1918" w:rsidR="009C7B5A">
        <w:rPr>
          <w:lang w:val="en-AU"/>
        </w:rPr>
        <w:t xml:space="preserve">NDIS </w:t>
      </w:r>
      <w:r w:rsidRPr="008D1918">
        <w:rPr>
          <w:lang w:val="en-AU"/>
        </w:rPr>
        <w:t>outcomes. Any final outcomes from the gender undervaluation proceedings will be incorporated into the DSW Cost Model.</w:t>
      </w:r>
    </w:p>
    <w:p w:rsidRPr="008D1918" w:rsidR="00E07478" w:rsidRDefault="00E07478" w14:paraId="4E3307F2" w14:textId="77777777">
      <w:pPr>
        <w:spacing w:after="0" w:line="240" w:lineRule="auto"/>
        <w:rPr>
          <w:lang w:val="en-AU"/>
        </w:rPr>
      </w:pPr>
      <w:r w:rsidRPr="008D1918">
        <w:rPr>
          <w:lang w:val="en-AU"/>
        </w:rPr>
        <w:br w:type="page"/>
      </w:r>
    </w:p>
    <w:p w:rsidRPr="008D1918" w:rsidR="00A97A75" w:rsidP="00245B10" w:rsidRDefault="00A97A75" w14:paraId="60FDDE81" w14:textId="6DA9B41D">
      <w:pPr>
        <w:pStyle w:val="RecommendationH5"/>
      </w:pPr>
      <w:r w:rsidRPr="008D1918">
        <w:t xml:space="preserve">Recommendation </w:t>
      </w:r>
      <w:r w:rsidRPr="008D1918" w:rsidR="00D62E92">
        <w:rPr>
          <w:bCs/>
        </w:rPr>
        <w:t>1</w:t>
      </w:r>
      <w:r w:rsidRPr="008D1918">
        <w:t>:</w:t>
      </w:r>
    </w:p>
    <w:p w:rsidRPr="008D1918" w:rsidR="00287E82" w:rsidP="009C4415" w:rsidRDefault="00C675FD" w14:paraId="52669546" w14:textId="770F8F76">
      <w:pPr>
        <w:pStyle w:val="Normalrecommendationtext"/>
      </w:pPr>
      <w:r w:rsidRPr="008D1918">
        <w:t xml:space="preserve">Prices for supports determined by the NDIS Disability Support Worker Cost Model should be adjusted to reflect changes in the minimum wage specified in the </w:t>
      </w:r>
      <w:r w:rsidRPr="008D1918">
        <w:rPr>
          <w:rFonts w:eastAsia="Segoe UI"/>
          <w:i/>
          <w:iCs/>
        </w:rPr>
        <w:t>Social, Community</w:t>
      </w:r>
      <w:r w:rsidR="003931F8">
        <w:rPr>
          <w:rFonts w:eastAsia="Segoe UI"/>
          <w:i/>
          <w:iCs/>
        </w:rPr>
        <w:t>, Home Care</w:t>
      </w:r>
      <w:r w:rsidRPr="008D1918">
        <w:rPr>
          <w:rFonts w:eastAsia="Segoe UI"/>
          <w:i/>
          <w:iCs/>
        </w:rPr>
        <w:t xml:space="preserve"> and Disability Services Industry Award 2010</w:t>
      </w:r>
      <w:r w:rsidRPr="008D1918">
        <w:rPr>
          <w:rFonts w:eastAsia="Segoe UI"/>
        </w:rPr>
        <w:t xml:space="preserve"> (SCHADS Award)</w:t>
      </w:r>
      <w:r w:rsidRPr="008D1918">
        <w:t>, as determined by the Fair Work Commission’s Annual Wage Review determination on 2 June 2026.</w:t>
      </w:r>
    </w:p>
    <w:p w:rsidRPr="008D1918" w:rsidR="00A97A75" w:rsidP="00245B10" w:rsidRDefault="00A97A75" w14:paraId="7538D44A" w14:textId="1352FC13">
      <w:pPr>
        <w:pStyle w:val="RecommendationH5"/>
      </w:pPr>
      <w:r w:rsidRPr="008D1918">
        <w:t xml:space="preserve">Recommendation </w:t>
      </w:r>
      <w:r w:rsidRPr="008D1918" w:rsidR="00716DC0">
        <w:t>2</w:t>
      </w:r>
      <w:r w:rsidRPr="008D1918">
        <w:t>:</w:t>
      </w:r>
    </w:p>
    <w:p w:rsidRPr="008D1918" w:rsidR="00A97A75" w:rsidP="008A3C98" w:rsidRDefault="00A97A75" w14:paraId="20351192" w14:textId="53EF7470">
      <w:pPr>
        <w:pStyle w:val="Normalrecommendationtext"/>
        <w:spacing w:line="288" w:lineRule="auto"/>
        <w:rPr>
          <w:color w:val="6B2976"/>
        </w:rPr>
      </w:pPr>
      <w:r w:rsidRPr="008D1918">
        <w:rPr>
          <w:color w:val="6B2976"/>
        </w:rPr>
        <w:t xml:space="preserve">The NDIA should undertake a review of the </w:t>
      </w:r>
      <w:r w:rsidRPr="008D1918" w:rsidR="004815A4">
        <w:rPr>
          <w:color w:val="6B2976"/>
        </w:rPr>
        <w:t>Disability Support Worker</w:t>
      </w:r>
      <w:r w:rsidRPr="008D1918">
        <w:rPr>
          <w:color w:val="6B2976"/>
        </w:rPr>
        <w:t xml:space="preserve"> Cost Model, including consideration of whether the model’s structure and the way workforce and wage-setting inputs are incorporated continue to appropriately reflect contemporary employment and labour market conditions. </w:t>
      </w:r>
    </w:p>
    <w:p w:rsidRPr="008D1918" w:rsidR="00A97A75" w:rsidP="00245B10" w:rsidRDefault="00A97A75" w14:paraId="2EEFDD17" w14:textId="6B1D8F58">
      <w:pPr>
        <w:pStyle w:val="H4"/>
      </w:pPr>
      <w:bookmarkStart w:name="_Toc223428422" w:id="810"/>
      <w:bookmarkStart w:name="_Toc223445881" w:id="811"/>
      <w:bookmarkStart w:name="_Toc223604725" w:id="812"/>
      <w:r w:rsidRPr="008D1918">
        <w:t xml:space="preserve">Short </w:t>
      </w:r>
      <w:r w:rsidRPr="008D1918" w:rsidR="00897855">
        <w:t>T</w:t>
      </w:r>
      <w:r w:rsidRPr="008D1918">
        <w:t xml:space="preserve">erm </w:t>
      </w:r>
      <w:bookmarkEnd w:id="810"/>
      <w:bookmarkEnd w:id="811"/>
      <w:bookmarkEnd w:id="812"/>
      <w:r w:rsidRPr="008D1918" w:rsidR="00897855">
        <w:t>A</w:t>
      </w:r>
      <w:r w:rsidRPr="008D1918" w:rsidR="00F53F4E">
        <w:t>ccommodation</w:t>
      </w:r>
    </w:p>
    <w:p w:rsidRPr="008D1918" w:rsidR="00796EE8" w:rsidP="37CCAC32" w:rsidRDefault="607F8622" w14:paraId="0AC34AFE" w14:textId="5993408B">
      <w:pPr>
        <w:rPr>
          <w:lang w:val="en-AU"/>
        </w:rPr>
      </w:pPr>
      <w:r w:rsidRPr="008D1918">
        <w:rPr>
          <w:lang w:val="en-AU"/>
        </w:rPr>
        <w:t xml:space="preserve">The </w:t>
      </w:r>
      <w:r w:rsidRPr="008D1918" w:rsidR="001F2F9E">
        <w:rPr>
          <w:lang w:val="en-AU"/>
        </w:rPr>
        <w:t>Short Term Accommodation (</w:t>
      </w:r>
      <w:r w:rsidRPr="008D1918" w:rsidR="00897855">
        <w:rPr>
          <w:lang w:val="en-AU"/>
        </w:rPr>
        <w:t>STA</w:t>
      </w:r>
      <w:r w:rsidRPr="008D1918" w:rsidR="001F2F9E">
        <w:rPr>
          <w:lang w:val="en-AU"/>
        </w:rPr>
        <w:t>)</w:t>
      </w:r>
      <w:r w:rsidRPr="008D1918">
        <w:rPr>
          <w:lang w:val="en-AU"/>
        </w:rPr>
        <w:t xml:space="preserve"> recommendation addresses a specific structural issue. The current </w:t>
      </w:r>
      <w:r w:rsidRPr="008D1918" w:rsidR="00DF37CB">
        <w:rPr>
          <w:lang w:val="en-AU"/>
        </w:rPr>
        <w:t>approach bundles</w:t>
      </w:r>
      <w:r w:rsidRPr="008D1918">
        <w:rPr>
          <w:lang w:val="en-AU"/>
        </w:rPr>
        <w:t xml:space="preserve"> accommodation and support worker costs into a single rate</w:t>
      </w:r>
      <w:r w:rsidRPr="008D1918" w:rsidR="00FF0220">
        <w:rPr>
          <w:lang w:val="en-AU"/>
        </w:rPr>
        <w:t xml:space="preserve">. This </w:t>
      </w:r>
      <w:r w:rsidRPr="008D1918">
        <w:rPr>
          <w:lang w:val="en-AU"/>
        </w:rPr>
        <w:t xml:space="preserve">does not reflect the distinct cost components of temporary accommodation and the actual </w:t>
      </w:r>
      <w:r w:rsidRPr="008D1918" w:rsidR="00897855">
        <w:rPr>
          <w:lang w:val="en-AU"/>
        </w:rPr>
        <w:t>hours</w:t>
      </w:r>
      <w:r w:rsidRPr="008D1918">
        <w:rPr>
          <w:lang w:val="en-AU"/>
        </w:rPr>
        <w:t xml:space="preserve"> and intensity of support delivered. It also embeds cost elements not specified within the NDIS Supports for Participants Rules, reducing transparency about what the price is intended to fund. Unbundling ST</w:t>
      </w:r>
      <w:r w:rsidRPr="008D1918" w:rsidR="007C0830">
        <w:rPr>
          <w:lang w:val="en-AU"/>
        </w:rPr>
        <w:t>A</w:t>
      </w:r>
      <w:r w:rsidRPr="008D1918" w:rsidR="00890AC6">
        <w:rPr>
          <w:lang w:val="en-AU"/>
        </w:rPr>
        <w:t xml:space="preserve"> prices</w:t>
      </w:r>
      <w:r w:rsidRPr="008D1918">
        <w:rPr>
          <w:lang w:val="en-AU"/>
        </w:rPr>
        <w:t xml:space="preserve">, aligning the accommodation component with the existing </w:t>
      </w:r>
      <w:r w:rsidRPr="008D1918" w:rsidR="00C0681F">
        <w:rPr>
          <w:lang w:val="en-AU"/>
        </w:rPr>
        <w:t>Medium-Term</w:t>
      </w:r>
      <w:r w:rsidRPr="008D1918">
        <w:rPr>
          <w:lang w:val="en-AU"/>
        </w:rPr>
        <w:t xml:space="preserve"> Accommodation </w:t>
      </w:r>
      <w:r w:rsidRPr="008D1918" w:rsidR="001F2F9E">
        <w:rPr>
          <w:lang w:val="en-AU"/>
        </w:rPr>
        <w:t xml:space="preserve">(MTA) </w:t>
      </w:r>
      <w:r w:rsidRPr="008D1918">
        <w:rPr>
          <w:lang w:val="en-AU"/>
        </w:rPr>
        <w:t xml:space="preserve">rate and the support worker component with SIL pricing under the DSW Cost Model, </w:t>
      </w:r>
      <w:r w:rsidRPr="008D1918" w:rsidR="004616D8">
        <w:rPr>
          <w:lang w:val="en-AU"/>
        </w:rPr>
        <w:t xml:space="preserve">would </w:t>
      </w:r>
      <w:r w:rsidRPr="008D1918">
        <w:rPr>
          <w:lang w:val="en-AU"/>
        </w:rPr>
        <w:t>improve transparency</w:t>
      </w:r>
      <w:r w:rsidRPr="008D1918" w:rsidR="004616D8">
        <w:rPr>
          <w:lang w:val="en-AU"/>
        </w:rPr>
        <w:t xml:space="preserve"> and </w:t>
      </w:r>
      <w:r w:rsidRPr="008D1918">
        <w:rPr>
          <w:lang w:val="en-AU"/>
        </w:rPr>
        <w:t xml:space="preserve">enable more accurate claiming based on actual support delivered, </w:t>
      </w:r>
      <w:r w:rsidRPr="008D1918" w:rsidR="004616D8">
        <w:rPr>
          <w:lang w:val="en-AU"/>
        </w:rPr>
        <w:t xml:space="preserve">in </w:t>
      </w:r>
      <w:r w:rsidRPr="008D1918">
        <w:rPr>
          <w:lang w:val="en-AU"/>
        </w:rPr>
        <w:t>alignment with comparable supports.</w:t>
      </w:r>
    </w:p>
    <w:p w:rsidRPr="008D1918" w:rsidR="00796EE8" w:rsidRDefault="00796EE8" w14:paraId="37B91760" w14:textId="77777777">
      <w:pPr>
        <w:spacing w:after="0" w:line="240" w:lineRule="auto"/>
        <w:rPr>
          <w:lang w:val="en-AU"/>
        </w:rPr>
      </w:pPr>
      <w:r w:rsidRPr="008D1918">
        <w:rPr>
          <w:lang w:val="en-AU"/>
        </w:rPr>
        <w:br w:type="page"/>
      </w:r>
    </w:p>
    <w:p w:rsidRPr="008D1918" w:rsidR="00AC5B77" w:rsidP="00245B10" w:rsidRDefault="00AC5B77" w14:paraId="14049E2A" w14:textId="35B3F0C5">
      <w:pPr>
        <w:pStyle w:val="RecommendationH5"/>
      </w:pPr>
      <w:r w:rsidRPr="008D1918">
        <w:t xml:space="preserve">Recommendation </w:t>
      </w:r>
      <w:r w:rsidRPr="008D1918" w:rsidR="00716DC0">
        <w:t>3</w:t>
      </w:r>
      <w:r w:rsidRPr="008D1918">
        <w:t xml:space="preserve">: </w:t>
      </w:r>
    </w:p>
    <w:p w:rsidRPr="008D1918" w:rsidR="004616D8" w:rsidP="004616D8" w:rsidRDefault="004616D8" w14:paraId="5BE6D13B" w14:textId="4D5BA875">
      <w:pPr>
        <w:pStyle w:val="Normalrecommendationtext"/>
        <w:spacing w:line="288" w:lineRule="auto"/>
        <w:rPr>
          <w:color w:val="6B2976"/>
        </w:rPr>
      </w:pPr>
      <w:bookmarkStart w:name="_Toc227337090" w:id="813"/>
      <w:r w:rsidRPr="008D1918">
        <w:rPr>
          <w:color w:val="6B2976"/>
        </w:rPr>
        <w:t xml:space="preserve">The current daily </w:t>
      </w:r>
      <w:r w:rsidRPr="008D1918" w:rsidR="00AE1A2E">
        <w:rPr>
          <w:color w:val="6B2976"/>
        </w:rPr>
        <w:t>price for</w:t>
      </w:r>
      <w:r w:rsidRPr="008D1918">
        <w:rPr>
          <w:color w:val="6B2976"/>
        </w:rPr>
        <w:t xml:space="preserve"> Short Term Accommodation should be unbundled so</w:t>
      </w:r>
      <w:r w:rsidR="002A7B15">
        <w:rPr>
          <w:color w:val="6B2976"/>
        </w:rPr>
        <w:t> </w:t>
      </w:r>
      <w:r w:rsidRPr="008D1918">
        <w:rPr>
          <w:color w:val="6B2976"/>
        </w:rPr>
        <w:t>that:</w:t>
      </w:r>
    </w:p>
    <w:p w:rsidRPr="008D1918" w:rsidR="004616D8" w:rsidP="009F6459" w:rsidRDefault="004616D8" w14:paraId="40F5B6D9" w14:textId="6D2BD74C">
      <w:pPr>
        <w:pStyle w:val="ExecBrief-Heading3"/>
        <w:numPr>
          <w:ilvl w:val="2"/>
          <w:numId w:val="38"/>
        </w:numPr>
        <w:spacing w:before="0" w:after="200" w:line="288" w:lineRule="auto"/>
        <w:rPr>
          <w:color w:val="6B2976"/>
          <w:lang w:val="en-US"/>
        </w:rPr>
      </w:pPr>
      <w:r w:rsidRPr="008D1918">
        <w:rPr>
          <w:color w:val="6B2976"/>
          <w:lang w:val="en-US"/>
        </w:rPr>
        <w:t>The accommodation component reflects only the capital cost of a temporary stay away from a participant’s usual place of residence. The price of Short Term Accommodation should be aligned with the existing price for Medium Term Accommodation ($158.66).</w:t>
      </w:r>
    </w:p>
    <w:p w:rsidRPr="008D1918" w:rsidR="004616D8" w:rsidP="004616D8" w:rsidRDefault="004616D8" w14:paraId="2D748AAF" w14:textId="4624CDC7">
      <w:pPr>
        <w:pStyle w:val="ExecBrief-Heading3"/>
        <w:spacing w:before="0" w:after="200" w:line="288" w:lineRule="auto"/>
        <w:rPr>
          <w:color w:val="6B2976"/>
          <w:lang w:val="en-US"/>
        </w:rPr>
      </w:pPr>
      <w:r w:rsidRPr="008D1918">
        <w:rPr>
          <w:color w:val="6B2976"/>
          <w:lang w:val="en-US"/>
        </w:rPr>
        <w:t>New 'Short Term Accommodation – Assistance with self</w:t>
      </w:r>
      <w:r w:rsidRPr="008D1918">
        <w:rPr>
          <w:rFonts w:ascii="Cambria Math" w:hAnsi="Cambria Math" w:cs="Cambria Math"/>
          <w:color w:val="6B2876" w:themeColor="accent5"/>
          <w:lang w:val="en-US"/>
        </w:rPr>
        <w:t>‑</w:t>
      </w:r>
      <w:r w:rsidRPr="008D1918">
        <w:rPr>
          <w:color w:val="6B2976"/>
          <w:lang w:val="en-US"/>
        </w:rPr>
        <w:t xml:space="preserve">care or community access activities’ support items apply. These support </w:t>
      </w:r>
      <w:r w:rsidRPr="008D1918" w:rsidR="00AE1A2E">
        <w:rPr>
          <w:color w:val="6B2976"/>
          <w:lang w:val="en-US"/>
        </w:rPr>
        <w:t>items should</w:t>
      </w:r>
      <w:r w:rsidRPr="008D1918">
        <w:rPr>
          <w:color w:val="6B2976"/>
          <w:lang w:val="en-US"/>
        </w:rPr>
        <w:t xml:space="preserve"> be structured by day of the week and time of day and aligned with the Disability Support Worker Cost Model. This will allow for accurate claiming based on:</w:t>
      </w:r>
    </w:p>
    <w:p w:rsidRPr="008D1918" w:rsidR="004616D8" w:rsidP="009F6459" w:rsidRDefault="004616D8" w14:paraId="6AF92BF8" w14:textId="77777777">
      <w:pPr>
        <w:pStyle w:val="ExecBrief-Heading2"/>
        <w:numPr>
          <w:ilvl w:val="0"/>
          <w:numId w:val="37"/>
        </w:numPr>
        <w:spacing w:before="0" w:after="200" w:line="288" w:lineRule="auto"/>
        <w:rPr>
          <w:color w:val="6B2976"/>
        </w:rPr>
      </w:pPr>
      <w:r w:rsidRPr="008D1918">
        <w:rPr>
          <w:color w:val="6B2976"/>
        </w:rPr>
        <w:t>The actual hours of support delivered,</w:t>
      </w:r>
    </w:p>
    <w:p w:rsidRPr="008D1918" w:rsidR="004616D8" w:rsidP="009F6459" w:rsidRDefault="004616D8" w14:paraId="7418C579" w14:textId="77777777">
      <w:pPr>
        <w:pStyle w:val="ExecBrief-Heading2"/>
        <w:numPr>
          <w:ilvl w:val="0"/>
          <w:numId w:val="37"/>
        </w:numPr>
        <w:spacing w:before="0" w:after="200" w:line="288" w:lineRule="auto"/>
        <w:rPr>
          <w:color w:val="6B2976"/>
        </w:rPr>
      </w:pPr>
      <w:r w:rsidRPr="008D1918">
        <w:rPr>
          <w:color w:val="6B2976"/>
        </w:rPr>
        <w:t>The times of the day and week that supports are delivered, and</w:t>
      </w:r>
    </w:p>
    <w:p w:rsidRPr="008D1918" w:rsidR="004616D8" w:rsidP="009F6459" w:rsidRDefault="004616D8" w14:paraId="755CA0E0" w14:textId="77777777">
      <w:pPr>
        <w:pStyle w:val="ExecBrief-Heading2"/>
        <w:numPr>
          <w:ilvl w:val="0"/>
          <w:numId w:val="37"/>
        </w:numPr>
        <w:spacing w:before="0" w:after="200" w:line="288" w:lineRule="auto"/>
        <w:rPr>
          <w:color w:val="6B2976"/>
          <w:lang w:val="en-US"/>
        </w:rPr>
      </w:pPr>
      <w:r w:rsidRPr="008D1918">
        <w:rPr>
          <w:color w:val="6B2976"/>
          <w:lang w:val="en-US"/>
        </w:rPr>
        <w:t xml:space="preserve">The intensity of </w:t>
      </w:r>
      <w:r w:rsidRPr="008D1918">
        <w:rPr>
          <w:color w:val="6B2976"/>
        </w:rPr>
        <w:t>supports</w:t>
      </w:r>
      <w:r w:rsidRPr="008D1918">
        <w:rPr>
          <w:color w:val="6B2976"/>
          <w:lang w:val="en-US"/>
        </w:rPr>
        <w:t xml:space="preserve"> delivered.</w:t>
      </w:r>
    </w:p>
    <w:p w:rsidRPr="008D1918" w:rsidR="004616D8" w:rsidP="004616D8" w:rsidRDefault="004616D8" w14:paraId="7D949D32" w14:textId="77777777">
      <w:pPr>
        <w:pStyle w:val="ExecBrief-Heading3"/>
        <w:spacing w:before="0" w:after="200" w:line="288" w:lineRule="auto"/>
        <w:rPr>
          <w:color w:val="6B2976"/>
          <w:lang w:val="en-US"/>
        </w:rPr>
      </w:pPr>
      <w:r w:rsidRPr="008D1918">
        <w:rPr>
          <w:color w:val="6B2976"/>
          <w:lang w:val="en-US"/>
        </w:rPr>
        <w:t>Providers supporting participants funded for High Intensity Supports and/or behaviours of concern will be able to claim these loadings when appropriate.</w:t>
      </w:r>
    </w:p>
    <w:p w:rsidRPr="008D1918" w:rsidR="00BD7314" w:rsidP="001D163B" w:rsidRDefault="00BD7314" w14:paraId="5881F331" w14:textId="77777777">
      <w:pPr>
        <w:pStyle w:val="Heading31"/>
        <w:ind w:left="1077" w:hanging="720"/>
      </w:pPr>
      <w:r w:rsidRPr="008D1918">
        <w:t>Indexation of nurses and other general supports</w:t>
      </w:r>
      <w:bookmarkEnd w:id="813"/>
    </w:p>
    <w:p w:rsidRPr="008D1918" w:rsidR="00BD7314" w:rsidP="00BD7314" w:rsidRDefault="00BD7314" w14:paraId="0C5B774B" w14:textId="77777777">
      <w:pPr>
        <w:rPr>
          <w:rFonts w:eastAsia="Arial" w:cs="Arial"/>
          <w:lang w:val="en-AU"/>
        </w:rPr>
      </w:pPr>
      <w:r w:rsidRPr="008D1918">
        <w:rPr>
          <w:rFonts w:eastAsia="Arial" w:cs="Arial"/>
          <w:lang w:val="en-AU"/>
        </w:rPr>
        <w:t>In December 2024, the FWC issued its decision in the Aged Care Work Value Case, introducing staged wage increases for nurses employed in aged care settings. However, these increases did not apply to nurses classified as ‘other than aged care employees. In response, nurses in other sectors have pursued comparable wage outcomes through separate industrial processes.</w:t>
      </w:r>
    </w:p>
    <w:p w:rsidRPr="008D1918" w:rsidR="004616D8" w:rsidP="004616D8" w:rsidRDefault="004616D8" w14:paraId="0EA40234" w14:textId="77FAB1C9">
      <w:pPr>
        <w:rPr>
          <w:rFonts w:eastAsia="Arial" w:cs="Arial"/>
          <w:lang w:val="en-AU"/>
        </w:rPr>
      </w:pPr>
      <w:r w:rsidRPr="008D1918">
        <w:rPr>
          <w:rFonts w:eastAsia="Arial" w:cs="Arial"/>
          <w:lang w:val="en-AU"/>
        </w:rPr>
        <w:t xml:space="preserve">NDIS nursing prices were established in 2019 using higher award wage benchmarks across jurisdictions and are differentiated by nursing level and service context. These prices have been indexed annually. Having regard to the Aged Care determination, the NDIA considers current </w:t>
      </w:r>
      <w:r w:rsidRPr="008D1918" w:rsidR="003F377A">
        <w:rPr>
          <w:rFonts w:eastAsia="Arial" w:cs="Arial"/>
          <w:lang w:val="en-AU"/>
        </w:rPr>
        <w:t xml:space="preserve">nursing </w:t>
      </w:r>
      <w:r w:rsidRPr="008D1918">
        <w:rPr>
          <w:rFonts w:eastAsia="Arial" w:cs="Arial"/>
          <w:lang w:val="en-AU"/>
        </w:rPr>
        <w:t>prices remain appropriate. Award wages for a mid</w:t>
      </w:r>
      <w:r w:rsidRPr="008D1918">
        <w:rPr>
          <w:rFonts w:ascii="Cambria Math" w:hAnsi="Cambria Math" w:eastAsia="Arial" w:cs="Cambria Math"/>
          <w:lang w:val="en-AU"/>
        </w:rPr>
        <w:t>‑</w:t>
      </w:r>
      <w:r w:rsidRPr="008D1918">
        <w:rPr>
          <w:rFonts w:eastAsia="Arial" w:cs="Arial"/>
          <w:lang w:val="en-AU"/>
        </w:rPr>
        <w:t>level Registered Nurse are materially lower than the applicable NDIS prices once non</w:t>
      </w:r>
      <w:r w:rsidRPr="008D1918">
        <w:rPr>
          <w:rFonts w:ascii="Cambria Math" w:hAnsi="Cambria Math" w:eastAsia="Arial" w:cs="Cambria Math"/>
          <w:lang w:val="en-AU"/>
        </w:rPr>
        <w:t>‑</w:t>
      </w:r>
      <w:r w:rsidRPr="008D1918">
        <w:rPr>
          <w:rFonts w:eastAsia="Arial" w:cs="Arial"/>
          <w:lang w:val="en-AU"/>
        </w:rPr>
        <w:t>wage costs are accounted for in the Nursing Cost Model. At this stage, there is limited evidence of sector</w:t>
      </w:r>
      <w:r w:rsidRPr="008D1918">
        <w:rPr>
          <w:rFonts w:ascii="Cambria Math" w:hAnsi="Cambria Math" w:eastAsia="Arial" w:cs="Cambria Math"/>
          <w:lang w:val="en-AU"/>
        </w:rPr>
        <w:t>‑</w:t>
      </w:r>
      <w:r w:rsidRPr="008D1918">
        <w:rPr>
          <w:rFonts w:eastAsia="Arial" w:cs="Arial"/>
          <w:lang w:val="en-AU"/>
        </w:rPr>
        <w:t>wide access issues or coordinated claims for higher NDIS rates. The NDIA will continue to monitor access and labour market conditions, including the potential flow</w:t>
      </w:r>
      <w:r w:rsidRPr="008D1918">
        <w:rPr>
          <w:rFonts w:ascii="Cambria Math" w:hAnsi="Cambria Math" w:eastAsia="Arial" w:cs="Cambria Math"/>
          <w:lang w:val="en-AU"/>
        </w:rPr>
        <w:t>‑</w:t>
      </w:r>
      <w:r w:rsidRPr="008D1918">
        <w:rPr>
          <w:rFonts w:eastAsia="Arial" w:cs="Arial"/>
          <w:lang w:val="en-AU"/>
        </w:rPr>
        <w:t>on effects of future aged care wage decisions.</w:t>
      </w:r>
    </w:p>
    <w:p w:rsidRPr="008D1918" w:rsidR="004616D8" w:rsidP="004616D8" w:rsidRDefault="004616D8" w14:paraId="6602E0AD" w14:textId="67836E9E">
      <w:pPr>
        <w:rPr>
          <w:rFonts w:eastAsia="Arial" w:cs="Arial"/>
          <w:lang w:val="en-AU"/>
        </w:rPr>
      </w:pPr>
      <w:r w:rsidRPr="008D1918">
        <w:rPr>
          <w:rFonts w:eastAsia="Arial" w:cs="Arial"/>
          <w:lang w:val="en-AU"/>
        </w:rPr>
        <w:t>For nurses and selected community</w:t>
      </w:r>
      <w:r w:rsidRPr="008D1918">
        <w:rPr>
          <w:rFonts w:ascii="Cambria Math" w:hAnsi="Cambria Math" w:eastAsia="Arial" w:cs="Cambria Math"/>
          <w:lang w:val="en-AU"/>
        </w:rPr>
        <w:t>‑</w:t>
      </w:r>
      <w:r w:rsidRPr="008D1918">
        <w:rPr>
          <w:rFonts w:eastAsia="Arial" w:cs="Arial"/>
          <w:lang w:val="en-AU"/>
        </w:rPr>
        <w:t>based supports not covered by the DSW Cost Model (which applies to workers employed under the SCHADS Award) and are not otherwise subject to specific adjustments in this APR, price movements should be applied through indexation. Indexation will reflect a weighted combination of movements in the Australian Bureau of Statistics (ABS) Wage Price Index (WPI) and Consumer Price Index (CPI). This ensures price adjustments remain proportionate, evidence</w:t>
      </w:r>
      <w:r w:rsidRPr="008D1918">
        <w:rPr>
          <w:rFonts w:ascii="Cambria Math" w:hAnsi="Cambria Math" w:eastAsia="Arial" w:cs="Cambria Math"/>
          <w:lang w:val="en-AU"/>
        </w:rPr>
        <w:t>‑</w:t>
      </w:r>
      <w:r w:rsidRPr="008D1918">
        <w:rPr>
          <w:rFonts w:eastAsia="Arial" w:cs="Arial"/>
          <w:lang w:val="en-AU"/>
        </w:rPr>
        <w:t>based and aligned with broader provider cost pressures, without pre</w:t>
      </w:r>
      <w:r w:rsidRPr="008D1918">
        <w:rPr>
          <w:rFonts w:ascii="Cambria Math" w:hAnsi="Cambria Math" w:eastAsia="Arial" w:cs="Cambria Math"/>
          <w:lang w:val="en-AU"/>
        </w:rPr>
        <w:t>‑</w:t>
      </w:r>
      <w:r w:rsidRPr="008D1918">
        <w:rPr>
          <w:rFonts w:eastAsia="Arial" w:cs="Arial"/>
          <w:lang w:val="en-AU"/>
        </w:rPr>
        <w:t>empting the outcomes of sector</w:t>
      </w:r>
      <w:r w:rsidRPr="008D1918">
        <w:rPr>
          <w:rFonts w:ascii="Cambria Math" w:hAnsi="Cambria Math" w:eastAsia="Arial" w:cs="Cambria Math"/>
          <w:lang w:val="en-AU"/>
        </w:rPr>
        <w:t>‑</w:t>
      </w:r>
      <w:r w:rsidRPr="008D1918">
        <w:rPr>
          <w:rFonts w:eastAsia="Arial" w:cs="Arial"/>
          <w:lang w:val="en-AU"/>
        </w:rPr>
        <w:t>specific wage processes.</w:t>
      </w:r>
    </w:p>
    <w:p w:rsidRPr="008D1918" w:rsidR="00BD7314" w:rsidP="00245B10" w:rsidRDefault="00BD7314" w14:paraId="6E051327" w14:textId="5AE8DA7B">
      <w:pPr>
        <w:pStyle w:val="RecommendationH4"/>
        <w:rPr>
          <w:color w:val="6B2876" w:themeColor="accent5"/>
        </w:rPr>
      </w:pPr>
      <w:r w:rsidRPr="008D1918">
        <w:t xml:space="preserve">Recommendation </w:t>
      </w:r>
      <w:r w:rsidRPr="008D1918" w:rsidR="001977D3">
        <w:rPr>
          <w:color w:val="6B2876" w:themeColor="accent5"/>
        </w:rPr>
        <w:t>4</w:t>
      </w:r>
      <w:r w:rsidRPr="008D1918">
        <w:rPr>
          <w:color w:val="6B2876" w:themeColor="accent5"/>
        </w:rPr>
        <w:t>:</w:t>
      </w:r>
    </w:p>
    <w:p w:rsidRPr="008D1918" w:rsidR="004616D8" w:rsidP="004616D8" w:rsidRDefault="004616D8" w14:paraId="566D9797" w14:textId="4741B700">
      <w:pPr>
        <w:pStyle w:val="Normalrecommendationtext"/>
        <w:spacing w:line="288" w:lineRule="auto"/>
        <w:rPr>
          <w:rFonts w:eastAsiaTheme="minorEastAsia"/>
        </w:rPr>
      </w:pPr>
      <w:r w:rsidRPr="008D1918">
        <w:rPr>
          <w:rFonts w:eastAsiaTheme="minorEastAsia"/>
        </w:rPr>
        <w:t>Prices should increase for nursing and other supports not covered by Disability Support Worker-related supports, Capital supports or otherwise covered in the Annual Pricing Review. This adjustment should reflect the weighted movement in the ABS WPI (Australia, total hourly rates of pay excluding bonuses) and the ABS CPI (All Groups, weighted average of 8 capital cities) over the 12 months to the end of Quarter 3 (31 March 2026) immediately preceding the indexation data (with an 80/20 weighting).</w:t>
      </w:r>
    </w:p>
    <w:p w:rsidRPr="008D1918" w:rsidR="007C50D8" w:rsidP="000350D3" w:rsidRDefault="007C50D8" w14:paraId="58C01950" w14:textId="77777777">
      <w:pPr>
        <w:rPr>
          <w:lang w:val="en-AU"/>
        </w:rPr>
      </w:pPr>
      <w:r w:rsidRPr="008D1918">
        <w:rPr>
          <w:lang w:val="en-AU"/>
        </w:rPr>
        <w:br w:type="page"/>
      </w:r>
    </w:p>
    <w:p w:rsidRPr="008D1918" w:rsidR="00337E33" w:rsidP="0064315C" w:rsidRDefault="00337E33" w14:paraId="1F079888" w14:textId="422D622F">
      <w:pPr>
        <w:pStyle w:val="Heading21"/>
        <w:ind w:left="1077" w:hanging="720"/>
      </w:pPr>
      <w:bookmarkStart w:name="_Toc223539672" w:id="814"/>
      <w:bookmarkStart w:name="_Toc223539889" w:id="815"/>
      <w:bookmarkStart w:name="_Toc223540357" w:id="816"/>
      <w:bookmarkStart w:name="_Toc223540573" w:id="817"/>
      <w:bookmarkStart w:name="_Toc223542109" w:id="818"/>
      <w:bookmarkStart w:name="_Toc223604295" w:id="819"/>
      <w:bookmarkStart w:name="_Toc223604506" w:id="820"/>
      <w:bookmarkStart w:name="_Toc227337091" w:id="821"/>
      <w:r w:rsidRPr="008D1918">
        <w:t xml:space="preserve">Therapy </w:t>
      </w:r>
      <w:r w:rsidRPr="008D1918" w:rsidR="00DD2457">
        <w:t>s</w:t>
      </w:r>
      <w:r w:rsidRPr="008D1918">
        <w:t>upports</w:t>
      </w:r>
      <w:bookmarkEnd w:id="814"/>
      <w:bookmarkEnd w:id="815"/>
      <w:bookmarkEnd w:id="816"/>
      <w:bookmarkEnd w:id="817"/>
      <w:bookmarkEnd w:id="818"/>
      <w:bookmarkEnd w:id="819"/>
      <w:bookmarkEnd w:id="820"/>
      <w:bookmarkEnd w:id="821"/>
    </w:p>
    <w:p w:rsidRPr="008D1918" w:rsidR="000E3523" w:rsidP="00CD4EB4" w:rsidRDefault="000E3523" w14:paraId="70289D3A" w14:textId="370B14C3">
      <w:pPr>
        <w:pStyle w:val="Heading31"/>
        <w:ind w:left="1077" w:hanging="720"/>
      </w:pPr>
      <w:bookmarkStart w:name="_Toc164424405" w:id="822"/>
      <w:bookmarkStart w:name="_Toc164970261" w:id="823"/>
      <w:bookmarkStart w:name="_Toc1547742371" w:id="824"/>
      <w:bookmarkStart w:name="_Toc195538917" w:id="825"/>
      <w:bookmarkStart w:name="_Toc195538986" w:id="826"/>
      <w:bookmarkStart w:name="_Toc196754630" w:id="827"/>
      <w:bookmarkStart w:name="_Toc196758232" w:id="828"/>
      <w:bookmarkStart w:name="_Toc197344308" w:id="829"/>
      <w:bookmarkStart w:name="_Toc200271610" w:id="830"/>
      <w:bookmarkStart w:name="_Toc223539673" w:id="831"/>
      <w:bookmarkStart w:name="_Toc223539890" w:id="832"/>
      <w:bookmarkStart w:name="_Toc223540358" w:id="833"/>
      <w:bookmarkStart w:name="_Toc223540574" w:id="834"/>
      <w:bookmarkStart w:name="_Toc223542110" w:id="835"/>
      <w:bookmarkStart w:name="_Toc223604296" w:id="836"/>
      <w:bookmarkStart w:name="_Toc223604507" w:id="837"/>
      <w:bookmarkStart w:name="_Toc227337092" w:id="838"/>
      <w:r w:rsidRPr="008D1918">
        <w:t>Context</w:t>
      </w:r>
      <w:bookmarkStart w:name="_Ref195540070" w:id="839"/>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p>
    <w:p w:rsidRPr="008D1918" w:rsidR="000E3523" w:rsidRDefault="000E3523" w14:paraId="6124A07F" w14:textId="46F04C52">
      <w:pPr>
        <w:rPr>
          <w:lang w:val="en-AU"/>
        </w:rPr>
      </w:pPr>
      <w:r w:rsidRPr="008D1918">
        <w:rPr>
          <w:lang w:val="en-AU"/>
        </w:rPr>
        <w:t xml:space="preserve">Therapy supports are delivered within professional labour markets of the care economy that extend beyond the NDIS. Psychologists, </w:t>
      </w:r>
      <w:r w:rsidR="003F260F">
        <w:rPr>
          <w:lang w:val="en-AU"/>
        </w:rPr>
        <w:t>P</w:t>
      </w:r>
      <w:r w:rsidRPr="008D1918" w:rsidR="003F260F">
        <w:rPr>
          <w:lang w:val="en-AU"/>
        </w:rPr>
        <w:t>hysiotherapists</w:t>
      </w:r>
      <w:r w:rsidRPr="008D1918">
        <w:rPr>
          <w:lang w:val="en-AU"/>
        </w:rPr>
        <w:t xml:space="preserve">, </w:t>
      </w:r>
      <w:r w:rsidR="003F260F">
        <w:rPr>
          <w:lang w:val="en-AU"/>
        </w:rPr>
        <w:t>O</w:t>
      </w:r>
      <w:r w:rsidRPr="008D1918" w:rsidR="003F260F">
        <w:rPr>
          <w:lang w:val="en-AU"/>
        </w:rPr>
        <w:t xml:space="preserve">ccupational </w:t>
      </w:r>
      <w:r w:rsidR="003F260F">
        <w:rPr>
          <w:lang w:val="en-AU"/>
        </w:rPr>
        <w:t>T</w:t>
      </w:r>
      <w:r w:rsidRPr="008D1918" w:rsidR="003F260F">
        <w:rPr>
          <w:lang w:val="en-AU"/>
        </w:rPr>
        <w:t>herapists</w:t>
      </w:r>
      <w:r w:rsidRPr="008D1918">
        <w:rPr>
          <w:lang w:val="en-AU"/>
        </w:rPr>
        <w:t xml:space="preserve">, </w:t>
      </w:r>
      <w:r w:rsidR="003F260F">
        <w:rPr>
          <w:lang w:val="en-AU"/>
        </w:rPr>
        <w:t>S</w:t>
      </w:r>
      <w:r w:rsidRPr="008D1918" w:rsidR="003F260F">
        <w:rPr>
          <w:lang w:val="en-AU"/>
        </w:rPr>
        <w:t xml:space="preserve">peech </w:t>
      </w:r>
      <w:r w:rsidR="003F260F">
        <w:rPr>
          <w:lang w:val="en-AU"/>
        </w:rPr>
        <w:t>P</w:t>
      </w:r>
      <w:r w:rsidRPr="008D1918" w:rsidR="003F260F">
        <w:rPr>
          <w:lang w:val="en-AU"/>
        </w:rPr>
        <w:t>athologists</w:t>
      </w:r>
      <w:r w:rsidRPr="008D1918">
        <w:rPr>
          <w:lang w:val="en-AU"/>
        </w:rPr>
        <w:t xml:space="preserve">, </w:t>
      </w:r>
      <w:r w:rsidR="003F260F">
        <w:rPr>
          <w:lang w:val="en-AU"/>
        </w:rPr>
        <w:t>D</w:t>
      </w:r>
      <w:r w:rsidRPr="008D1918" w:rsidR="003F260F">
        <w:rPr>
          <w:lang w:val="en-AU"/>
        </w:rPr>
        <w:t xml:space="preserve">ietitians </w:t>
      </w:r>
      <w:r w:rsidRPr="008D1918">
        <w:rPr>
          <w:lang w:val="en-AU"/>
        </w:rPr>
        <w:t xml:space="preserve">and </w:t>
      </w:r>
      <w:r w:rsidR="003F260F">
        <w:rPr>
          <w:lang w:val="en-AU"/>
        </w:rPr>
        <w:t>E</w:t>
      </w:r>
      <w:r w:rsidRPr="008D1918" w:rsidR="003F260F">
        <w:rPr>
          <w:lang w:val="en-AU"/>
        </w:rPr>
        <w:t xml:space="preserve">xercise </w:t>
      </w:r>
      <w:r w:rsidR="003F260F">
        <w:rPr>
          <w:lang w:val="en-AU"/>
        </w:rPr>
        <w:t>P</w:t>
      </w:r>
      <w:r w:rsidRPr="008D1918" w:rsidR="003F260F">
        <w:rPr>
          <w:lang w:val="en-AU"/>
        </w:rPr>
        <w:t>hysiologists</w:t>
      </w:r>
      <w:r w:rsidRPr="008D1918" w:rsidR="008B7BD2">
        <w:rPr>
          <w:lang w:val="en-AU"/>
        </w:rPr>
        <w:t xml:space="preserve"> </w:t>
      </w:r>
      <w:r w:rsidRPr="008D1918">
        <w:rPr>
          <w:lang w:val="en-AU"/>
        </w:rPr>
        <w:t>work in various settings across Medicare, private health insurance</w:t>
      </w:r>
      <w:r w:rsidRPr="008D1918" w:rsidR="003E7EA6">
        <w:rPr>
          <w:lang w:val="en-AU"/>
        </w:rPr>
        <w:t xml:space="preserve"> (PHI)</w:t>
      </w:r>
      <w:r w:rsidRPr="008D1918">
        <w:rPr>
          <w:lang w:val="en-AU"/>
        </w:rPr>
        <w:t xml:space="preserve">, aged care, worker’s compensation and motor accident schemes, and private practice. The NDIS is one source of funding in these markets, </w:t>
      </w:r>
      <w:r w:rsidRPr="008D1918">
        <w:rPr>
          <w:rFonts w:eastAsia="Arial" w:cs="Arial"/>
          <w:lang w:val="en-AU"/>
        </w:rPr>
        <w:t>rather than the sole or dominant source of demand, with participants the purchasers of therapy services.</w:t>
      </w:r>
    </w:p>
    <w:p w:rsidRPr="008D1918" w:rsidR="000E3523" w:rsidRDefault="000E3523" w14:paraId="552E0DAA" w14:textId="03C116F9">
      <w:pPr>
        <w:rPr>
          <w:lang w:val="en-AU"/>
        </w:rPr>
      </w:pPr>
      <w:r w:rsidRPr="008D1918">
        <w:rPr>
          <w:lang w:val="en-AU"/>
        </w:rPr>
        <w:t xml:space="preserve">The structure of the therapy market creates a distinct pricing context. Unlike most other NDIS support categories, therapy services have observable market prices established through millions of transactions that can be captured through other funding systems. </w:t>
      </w:r>
      <w:r w:rsidRPr="008D1918" w:rsidR="006D7348">
        <w:rPr>
          <w:lang w:val="en-AU"/>
        </w:rPr>
        <w:t>Medicare Benefits Scheme (</w:t>
      </w:r>
      <w:r w:rsidRPr="008D1918">
        <w:rPr>
          <w:rFonts w:eastAsia="Arial" w:cs="Arial"/>
          <w:lang w:val="en-AU"/>
        </w:rPr>
        <w:t>MBS</w:t>
      </w:r>
      <w:r w:rsidRPr="008D1918" w:rsidR="006D7348">
        <w:rPr>
          <w:rFonts w:eastAsia="Arial" w:cs="Arial"/>
          <w:lang w:val="en-AU"/>
        </w:rPr>
        <w:t>)</w:t>
      </w:r>
      <w:r w:rsidRPr="008D1918">
        <w:rPr>
          <w:rFonts w:eastAsia="Arial" w:cs="Arial"/>
          <w:lang w:val="en-AU"/>
        </w:rPr>
        <w:t xml:space="preserve"> data, </w:t>
      </w:r>
      <w:r w:rsidRPr="008D1918" w:rsidR="006D7348">
        <w:rPr>
          <w:rFonts w:eastAsia="Arial" w:cs="Arial"/>
          <w:lang w:val="en-AU"/>
        </w:rPr>
        <w:t>PHI</w:t>
      </w:r>
      <w:r w:rsidRPr="008D1918">
        <w:rPr>
          <w:rFonts w:eastAsia="Arial" w:cs="Arial"/>
          <w:lang w:val="en-AU"/>
        </w:rPr>
        <w:t xml:space="preserve"> claims </w:t>
      </w:r>
      <w:r w:rsidRPr="008D1918" w:rsidR="003E7EA6">
        <w:rPr>
          <w:rFonts w:eastAsia="Arial" w:cs="Arial"/>
          <w:lang w:val="en-AU"/>
        </w:rPr>
        <w:t xml:space="preserve">data </w:t>
      </w:r>
      <w:r w:rsidRPr="008D1918">
        <w:rPr>
          <w:rFonts w:eastAsia="Arial" w:cs="Arial"/>
          <w:lang w:val="en-AU"/>
        </w:rPr>
        <w:t>and pricing information from government injury and compensation schemes provide an external reference for assessing prevailing market rates.</w:t>
      </w:r>
      <w:r w:rsidRPr="008D1918">
        <w:rPr>
          <w:lang w:val="en-AU"/>
        </w:rPr>
        <w:t xml:space="preserve"> </w:t>
      </w:r>
      <w:r w:rsidRPr="008D1918" w:rsidR="009F6C41">
        <w:rPr>
          <w:lang w:val="en-AU"/>
        </w:rPr>
        <w:t xml:space="preserve">The sources are used </w:t>
      </w:r>
      <w:r w:rsidRPr="008D1918" w:rsidR="00D024F4">
        <w:rPr>
          <w:lang w:val="en-AU"/>
        </w:rPr>
        <w:t>for comparison</w:t>
      </w:r>
      <w:r w:rsidRPr="008D1918" w:rsidR="006537DF">
        <w:rPr>
          <w:lang w:val="en-AU"/>
        </w:rPr>
        <w:t>,</w:t>
      </w:r>
      <w:r w:rsidRPr="008D1918" w:rsidR="009F6C41">
        <w:rPr>
          <w:lang w:val="en-AU"/>
        </w:rPr>
        <w:t xml:space="preserve"> not because they are identical to the NDIS, but because they share the same therapist workforce. The professionals who deliver NDIS therapy also deliver services under MBS, PHI </w:t>
      </w:r>
      <w:r w:rsidRPr="008D1918" w:rsidR="00C731BB">
        <w:rPr>
          <w:lang w:val="en-AU"/>
        </w:rPr>
        <w:t xml:space="preserve">and other </w:t>
      </w:r>
      <w:r w:rsidRPr="008D1918" w:rsidR="002A18C8">
        <w:rPr>
          <w:lang w:val="en-AU"/>
        </w:rPr>
        <w:t>compensation</w:t>
      </w:r>
      <w:r w:rsidRPr="008D1918" w:rsidR="00C731BB">
        <w:rPr>
          <w:lang w:val="en-AU"/>
        </w:rPr>
        <w:t xml:space="preserve"> schemes, and their allocation decisions are shaped by the relative return across those systems</w:t>
      </w:r>
      <w:r w:rsidRPr="008D1918">
        <w:rPr>
          <w:rFonts w:eastAsia="Arial" w:cs="Arial"/>
          <w:lang w:val="en-AU"/>
        </w:rPr>
        <w:t>.</w:t>
      </w:r>
    </w:p>
    <w:p w:rsidRPr="008D1918" w:rsidR="000E3523" w:rsidRDefault="000E3523" w14:paraId="62CF1151" w14:textId="05784886">
      <w:pPr>
        <w:rPr>
          <w:lang w:val="en-AU"/>
        </w:rPr>
      </w:pPr>
      <w:r w:rsidRPr="008D1918">
        <w:rPr>
          <w:lang w:val="en-AU"/>
        </w:rPr>
        <w:t>The existence of these external markets creates a specific pricing challenge. Where NDIS price</w:t>
      </w:r>
      <w:r w:rsidRPr="008D1918" w:rsidR="0036306A">
        <w:rPr>
          <w:lang w:val="en-AU"/>
        </w:rPr>
        <w:t>s</w:t>
      </w:r>
      <w:r w:rsidRPr="008D1918">
        <w:rPr>
          <w:lang w:val="en-AU"/>
        </w:rPr>
        <w:t xml:space="preserve"> sit consistently and materially above prevailing rates in comparable markets, the </w:t>
      </w:r>
      <w:r w:rsidRPr="008D1918" w:rsidR="0093492B">
        <w:rPr>
          <w:lang w:val="en-AU"/>
        </w:rPr>
        <w:t xml:space="preserve">NDIA </w:t>
      </w:r>
      <w:r w:rsidRPr="008D1918">
        <w:rPr>
          <w:lang w:val="en-AU"/>
        </w:rPr>
        <w:t xml:space="preserve">risks systematically paying higher rates for professional services available at lower rates elsewhere. This may not represent value for participants or the </w:t>
      </w:r>
      <w:r w:rsidRPr="008D1918" w:rsidR="00635095">
        <w:rPr>
          <w:lang w:val="en-AU"/>
        </w:rPr>
        <w:t>NDIS</w:t>
      </w:r>
      <w:r w:rsidRPr="008D1918">
        <w:rPr>
          <w:lang w:val="en-AU"/>
        </w:rPr>
        <w:t>. On the other hand, if price</w:t>
      </w:r>
      <w:r w:rsidRPr="008D1918" w:rsidR="0036306A">
        <w:rPr>
          <w:lang w:val="en-AU"/>
        </w:rPr>
        <w:t>s</w:t>
      </w:r>
      <w:r w:rsidRPr="008D1918">
        <w:rPr>
          <w:lang w:val="en-AU"/>
        </w:rPr>
        <w:t xml:space="preserve"> sit materially below prevailing rates, qualified professionals may direct their capacity toward better-compensated settings, reducing participant access to timely and appropriate therapy. The </w:t>
      </w:r>
      <w:r w:rsidRPr="008D1918" w:rsidR="00185DA9">
        <w:rPr>
          <w:lang w:val="en-AU"/>
        </w:rPr>
        <w:t>NDIA’s</w:t>
      </w:r>
      <w:r w:rsidRPr="008D1918">
        <w:rPr>
          <w:lang w:val="en-AU"/>
        </w:rPr>
        <w:t xml:space="preserve"> objective is to position</w:t>
      </w:r>
      <w:r w:rsidRPr="008D1918" w:rsidR="0036306A">
        <w:rPr>
          <w:lang w:val="en-AU"/>
        </w:rPr>
        <w:t xml:space="preserve"> recommended</w:t>
      </w:r>
      <w:r w:rsidRPr="008D1918">
        <w:rPr>
          <w:lang w:val="en-AU"/>
        </w:rPr>
        <w:t xml:space="preserve"> NDIS price</w:t>
      </w:r>
      <w:r w:rsidRPr="008D1918" w:rsidR="0036306A">
        <w:rPr>
          <w:lang w:val="en-AU"/>
        </w:rPr>
        <w:t>s</w:t>
      </w:r>
      <w:r w:rsidRPr="008D1918">
        <w:rPr>
          <w:lang w:val="en-AU"/>
        </w:rPr>
        <w:t xml:space="preserve"> within the range of observed market rates at a level that supports access to quality services that promote positive participant outcomes and sustains provider services, while avoiding systematic overpayment relative to the broader care economy.</w:t>
      </w:r>
    </w:p>
    <w:p w:rsidRPr="008D1918" w:rsidR="000E3523" w:rsidRDefault="000E3523" w14:paraId="3CD8331B" w14:textId="49613049">
      <w:pPr>
        <w:rPr>
          <w:lang w:val="en-AU"/>
        </w:rPr>
      </w:pPr>
      <w:r w:rsidRPr="008D1918">
        <w:rPr>
          <w:lang w:val="en-AU"/>
        </w:rPr>
        <w:t xml:space="preserve">The </w:t>
      </w:r>
      <w:r w:rsidRPr="008D1918" w:rsidR="00B8426A">
        <w:rPr>
          <w:lang w:val="en-AU"/>
        </w:rPr>
        <w:t>previous</w:t>
      </w:r>
      <w:r w:rsidRPr="008D1918">
        <w:rPr>
          <w:lang w:val="en-AU"/>
        </w:rPr>
        <w:t xml:space="preserve"> APR established the benchmarking methodology that informs this assessment, drawing on MBS and </w:t>
      </w:r>
      <w:r w:rsidRPr="008D1918" w:rsidR="007B7C0D">
        <w:rPr>
          <w:lang w:val="en-AU"/>
        </w:rPr>
        <w:t>PHI</w:t>
      </w:r>
      <w:r w:rsidRPr="008D1918">
        <w:rPr>
          <w:lang w:val="en-AU"/>
        </w:rPr>
        <w:t xml:space="preserve"> billing data alongside other government schemes’ pricing. </w:t>
      </w:r>
      <w:r w:rsidRPr="008D1918" w:rsidR="0036306A">
        <w:rPr>
          <w:lang w:val="en-AU"/>
        </w:rPr>
        <w:t>Following t</w:t>
      </w:r>
      <w:r w:rsidRPr="008D1918">
        <w:rPr>
          <w:lang w:val="en-AU"/>
        </w:rPr>
        <w:t>hat initial review</w:t>
      </w:r>
      <w:r w:rsidRPr="008D1918" w:rsidR="0036306A">
        <w:rPr>
          <w:lang w:val="en-AU"/>
        </w:rPr>
        <w:t>,</w:t>
      </w:r>
      <w:r w:rsidRPr="008D1918">
        <w:rPr>
          <w:lang w:val="en-AU"/>
        </w:rPr>
        <w:t xml:space="preserve"> price adjustments</w:t>
      </w:r>
      <w:r w:rsidRPr="008D1918" w:rsidR="0036306A">
        <w:rPr>
          <w:lang w:val="en-AU"/>
        </w:rPr>
        <w:t xml:space="preserve"> were made to</w:t>
      </w:r>
      <w:r w:rsidRPr="008D1918">
        <w:rPr>
          <w:lang w:val="en-AU"/>
        </w:rPr>
        <w:t xml:space="preserve"> several therapy types, jurisdictional pricing premiums</w:t>
      </w:r>
      <w:r w:rsidRPr="008D1918" w:rsidR="0036306A">
        <w:rPr>
          <w:lang w:val="en-AU"/>
        </w:rPr>
        <w:t xml:space="preserve"> were removed</w:t>
      </w:r>
      <w:r w:rsidRPr="008D1918">
        <w:rPr>
          <w:lang w:val="en-AU"/>
        </w:rPr>
        <w:t xml:space="preserve"> for </w:t>
      </w:r>
      <w:r w:rsidRPr="008D1918" w:rsidR="008435A9">
        <w:rPr>
          <w:lang w:val="en-AU"/>
        </w:rPr>
        <w:t xml:space="preserve">Psychologists </w:t>
      </w:r>
      <w:r w:rsidRPr="008D1918">
        <w:rPr>
          <w:lang w:val="en-AU"/>
        </w:rPr>
        <w:t xml:space="preserve">and </w:t>
      </w:r>
      <w:r w:rsidRPr="008D1918" w:rsidR="008435A9">
        <w:rPr>
          <w:lang w:val="en-AU"/>
        </w:rPr>
        <w:t>Physiotherapists</w:t>
      </w:r>
      <w:r w:rsidRPr="008D1918">
        <w:rPr>
          <w:lang w:val="en-AU"/>
        </w:rPr>
        <w:t xml:space="preserve">, and </w:t>
      </w:r>
      <w:r w:rsidRPr="008D1918" w:rsidR="0036306A">
        <w:rPr>
          <w:lang w:val="en-AU"/>
        </w:rPr>
        <w:t xml:space="preserve">the potential for </w:t>
      </w:r>
      <w:r w:rsidRPr="008D1918">
        <w:rPr>
          <w:lang w:val="en-AU"/>
        </w:rPr>
        <w:t>longer-term structural adjustments to therapy pricing</w:t>
      </w:r>
      <w:r w:rsidRPr="008D1918" w:rsidR="0036306A">
        <w:rPr>
          <w:lang w:val="en-AU"/>
        </w:rPr>
        <w:t xml:space="preserve"> was considered</w:t>
      </w:r>
      <w:r w:rsidRPr="008D1918">
        <w:rPr>
          <w:lang w:val="en-AU"/>
        </w:rPr>
        <w:t xml:space="preserve">. This  </w:t>
      </w:r>
      <w:r w:rsidRPr="008D1918" w:rsidR="00CB467F">
        <w:rPr>
          <w:lang w:val="en-AU"/>
        </w:rPr>
        <w:t>APR</w:t>
      </w:r>
      <w:r w:rsidRPr="008D1918">
        <w:rPr>
          <w:lang w:val="en-AU"/>
        </w:rPr>
        <w:t xml:space="preserve"> applies updated and additional data to the same methodology, </w:t>
      </w:r>
      <w:r w:rsidRPr="008D1918" w:rsidR="003F377A">
        <w:rPr>
          <w:lang w:val="en-AU"/>
        </w:rPr>
        <w:t xml:space="preserve">recommends </w:t>
      </w:r>
      <w:r w:rsidRPr="008D1918">
        <w:rPr>
          <w:lang w:val="en-AU"/>
        </w:rPr>
        <w:t>continue</w:t>
      </w:r>
      <w:r w:rsidRPr="008D1918" w:rsidR="003F377A">
        <w:rPr>
          <w:lang w:val="en-AU"/>
        </w:rPr>
        <w:t>d</w:t>
      </w:r>
      <w:r w:rsidRPr="008D1918">
        <w:rPr>
          <w:lang w:val="en-AU"/>
        </w:rPr>
        <w:t xml:space="preserve"> refinement of </w:t>
      </w:r>
      <w:r w:rsidRPr="008D1918">
        <w:rPr>
          <w:lang w:val="en-AU"/>
        </w:rPr>
        <w:t xml:space="preserve">pricing to align with broader markets and progresses the foundational work for broader </w:t>
      </w:r>
      <w:r w:rsidRPr="008D1918" w:rsidR="005C0355">
        <w:rPr>
          <w:lang w:val="en-AU"/>
        </w:rPr>
        <w:t xml:space="preserve">pricing </w:t>
      </w:r>
      <w:r w:rsidRPr="008D1918">
        <w:rPr>
          <w:lang w:val="en-AU"/>
        </w:rPr>
        <w:t>reform</w:t>
      </w:r>
      <w:r w:rsidRPr="008D1918" w:rsidR="005C0355">
        <w:rPr>
          <w:lang w:val="en-AU"/>
        </w:rPr>
        <w:t>.</w:t>
      </w:r>
      <w:r w:rsidRPr="008D1918">
        <w:rPr>
          <w:lang w:val="en-AU"/>
        </w:rPr>
        <w:t xml:space="preserve"> </w:t>
      </w:r>
    </w:p>
    <w:p w:rsidRPr="008D1918" w:rsidR="000E3523" w:rsidP="00CD4EB4" w:rsidRDefault="00767EE4" w14:paraId="4D2D751D" w14:textId="6F3D4FC0">
      <w:pPr>
        <w:pStyle w:val="Heading31"/>
        <w:ind w:left="1077" w:hanging="720"/>
      </w:pPr>
      <w:bookmarkStart w:name="_Toc195538918" w:id="840"/>
      <w:bookmarkStart w:name="_Toc195538987" w:id="841"/>
      <w:bookmarkStart w:name="_Toc196754631" w:id="842"/>
      <w:bookmarkStart w:name="_Toc196758233" w:id="843"/>
      <w:bookmarkStart w:name="_Toc197344309" w:id="844"/>
      <w:bookmarkStart w:name="_Toc200271611" w:id="845"/>
      <w:bookmarkStart w:name="_Toc223539674" w:id="846"/>
      <w:bookmarkStart w:name="_Toc223539891" w:id="847"/>
      <w:bookmarkStart w:name="_Toc223540359" w:id="848"/>
      <w:bookmarkStart w:name="_Toc223540575" w:id="849"/>
      <w:bookmarkStart w:name="_Toc223542111" w:id="850"/>
      <w:bookmarkStart w:name="_Toc223604297" w:id="851"/>
      <w:bookmarkStart w:name="_Toc223604508" w:id="852"/>
      <w:bookmarkStart w:name="_Toc227337093" w:id="853"/>
      <w:bookmarkEnd w:id="839"/>
      <w:r w:rsidRPr="008D1918">
        <w:t>Scheme s</w:t>
      </w:r>
      <w:r w:rsidRPr="008D1918" w:rsidR="000E3523">
        <w:t>tatistics</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r w:rsidRPr="008D1918" w:rsidR="000E3523">
        <w:t xml:space="preserve"> </w:t>
      </w:r>
    </w:p>
    <w:p w:rsidRPr="008D1918" w:rsidR="000E3523" w:rsidP="00041468" w:rsidRDefault="000E3523" w14:paraId="63F2BF5C" w14:textId="77777777">
      <w:pPr>
        <w:pStyle w:val="StyleStyle112pt"/>
      </w:pPr>
      <w:bookmarkStart w:name="_Toc195538919" w:id="854"/>
      <w:bookmarkStart w:name="_Toc200103499" w:id="855"/>
      <w:bookmarkStart w:name="_Toc200271612" w:id="856"/>
      <w:bookmarkStart w:name="_Toc223428426" w:id="857"/>
      <w:bookmarkStart w:name="_Toc223445885" w:id="858"/>
      <w:bookmarkStart w:name="_Toc223539675" w:id="859"/>
      <w:bookmarkStart w:name="_Toc223539892" w:id="860"/>
      <w:bookmarkStart w:name="_Toc223540360" w:id="861"/>
      <w:bookmarkStart w:name="_Toc223540576" w:id="862"/>
      <w:bookmarkStart w:name="_Toc223542112" w:id="863"/>
      <w:bookmarkStart w:name="_Toc223604298" w:id="864"/>
      <w:bookmarkStart w:name="_Toc223604509" w:id="865"/>
      <w:bookmarkStart w:name="_Toc223604729" w:id="866"/>
      <w:bookmarkStart w:name="_Toc223618591" w:id="867"/>
      <w:bookmarkStart w:name="_Toc223702828" w:id="868"/>
      <w:bookmarkStart w:name="_Toc227318726" w:id="869"/>
      <w:bookmarkStart w:name="_Toc227337094" w:id="870"/>
      <w:r w:rsidRPr="008D1918">
        <w:t xml:space="preserve">Market </w:t>
      </w:r>
      <w:bookmarkEnd w:id="854"/>
      <w:bookmarkEnd w:id="855"/>
      <w:bookmarkEnd w:id="856"/>
      <w:r w:rsidRPr="008D1918">
        <w:t>overview</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rsidRPr="008D1918" w:rsidR="00E64EAD" w:rsidRDefault="000E3523" w14:paraId="72D813EC" w14:textId="741DE8C4">
      <w:pPr>
        <w:rPr>
          <w:lang w:val="en-AU"/>
        </w:rPr>
      </w:pPr>
      <w:r w:rsidRPr="008D1918">
        <w:rPr>
          <w:lang w:val="en-AU"/>
        </w:rPr>
        <w:t xml:space="preserve">In the </w:t>
      </w:r>
      <w:r w:rsidRPr="008D1918" w:rsidR="00AF498E">
        <w:rPr>
          <w:lang w:val="en-AU"/>
        </w:rPr>
        <w:t>6</w:t>
      </w:r>
      <w:r w:rsidRPr="008D1918">
        <w:rPr>
          <w:lang w:val="en-AU"/>
        </w:rPr>
        <w:t xml:space="preserve"> months to December 2025, therapy supports were accessed by 465,</w:t>
      </w:r>
      <w:r w:rsidRPr="008D1918" w:rsidR="00EF06C8">
        <w:rPr>
          <w:lang w:val="en-AU"/>
        </w:rPr>
        <w:t xml:space="preserve">602 </w:t>
      </w:r>
      <w:r w:rsidRPr="008D1918">
        <w:rPr>
          <w:lang w:val="en-AU"/>
        </w:rPr>
        <w:t>participants</w:t>
      </w:r>
      <w:r w:rsidRPr="008D1918" w:rsidR="00A27394">
        <w:rPr>
          <w:lang w:val="en-AU"/>
        </w:rPr>
        <w:t>. This is</w:t>
      </w:r>
      <w:r w:rsidRPr="008D1918">
        <w:rPr>
          <w:lang w:val="en-AU"/>
        </w:rPr>
        <w:t xml:space="preserve"> an increase of 12.8% compared to the same period in 2024. Total payments reached $2.7 billion, an increase of 10.3% compared with the same period in 2024</w:t>
      </w:r>
      <w:r w:rsidRPr="008D1918" w:rsidR="00FE71D8">
        <w:rPr>
          <w:lang w:val="en-AU"/>
        </w:rPr>
        <w:t>,</w:t>
      </w:r>
      <w:r w:rsidRPr="008D1918">
        <w:rPr>
          <w:lang w:val="en-AU"/>
        </w:rPr>
        <w:t xml:space="preserve"> and accounts for approximately 10% of total NDIS expenditure. Despite growing participant demand, the number of active therapy providers declined by 3.9% to just over 53,200 (</w:t>
      </w:r>
      <w:r w:rsidRPr="008D1918" w:rsidR="00186BB2">
        <w:rPr>
          <w:lang w:val="en-AU"/>
        </w:rPr>
        <w:fldChar w:fldCharType="begin"/>
      </w:r>
      <w:r w:rsidRPr="008D1918" w:rsidR="00186BB2">
        <w:rPr>
          <w:lang w:val="en-AU"/>
        </w:rPr>
        <w:instrText xml:space="preserve"> REF _Ref223686842 \h </w:instrText>
      </w:r>
      <w:r w:rsidRPr="008D1918" w:rsidR="00762DF8">
        <w:rPr>
          <w:lang w:val="en-AU"/>
        </w:rPr>
        <w:instrText xml:space="preserve"> \* MERGEFORMAT </w:instrText>
      </w:r>
      <w:r w:rsidRPr="008D1918" w:rsidR="00186BB2">
        <w:rPr>
          <w:lang w:val="en-AU"/>
        </w:rPr>
      </w:r>
      <w:r w:rsidRPr="008D1918" w:rsidR="00186BB2">
        <w:rPr>
          <w:lang w:val="en-AU"/>
        </w:rPr>
        <w:fldChar w:fldCharType="separate"/>
      </w:r>
      <w:r w:rsidRPr="008F56A2" w:rsidR="008F56A2">
        <w:rPr>
          <w:lang w:val="en-AU"/>
        </w:rPr>
        <w:t>Table</w:t>
      </w:r>
      <w:r w:rsidRPr="008D1918" w:rsidR="008F56A2">
        <w:t xml:space="preserve"> </w:t>
      </w:r>
      <w:r w:rsidR="008F56A2">
        <w:rPr>
          <w:noProof/>
        </w:rPr>
        <w:t>11</w:t>
      </w:r>
      <w:r w:rsidRPr="008D1918" w:rsidR="00186BB2">
        <w:rPr>
          <w:lang w:val="en-AU"/>
        </w:rPr>
        <w:fldChar w:fldCharType="end"/>
      </w:r>
      <w:r w:rsidRPr="008D1918" w:rsidR="00390D4B">
        <w:rPr>
          <w:lang w:val="en-AU"/>
        </w:rPr>
        <w:t>,</w:t>
      </w:r>
      <w:r w:rsidRPr="008D1918">
        <w:rPr>
          <w:lang w:val="en-AU"/>
        </w:rPr>
        <w:t xml:space="preserve"> </w:t>
      </w:r>
      <w:r w:rsidRPr="008D1918" w:rsidR="00142C3F">
        <w:rPr>
          <w:lang w:val="en-AU"/>
        </w:rPr>
        <w:fldChar w:fldCharType="begin"/>
      </w:r>
      <w:r w:rsidRPr="008D1918" w:rsidR="00142C3F">
        <w:rPr>
          <w:lang w:val="en-AU"/>
        </w:rPr>
        <w:instrText xml:space="preserve"> REF _Ref223624197 \h </w:instrText>
      </w:r>
      <w:r w:rsidRPr="008D1918" w:rsidR="00762DF8">
        <w:rPr>
          <w:lang w:val="en-AU"/>
        </w:rPr>
        <w:instrText xml:space="preserve"> \* MERGEFORMAT </w:instrText>
      </w:r>
      <w:r w:rsidRPr="008D1918" w:rsidR="00142C3F">
        <w:rPr>
          <w:lang w:val="en-AU"/>
        </w:rPr>
      </w:r>
      <w:r w:rsidRPr="008D1918" w:rsidR="00142C3F">
        <w:rPr>
          <w:lang w:val="en-AU"/>
        </w:rPr>
        <w:fldChar w:fldCharType="separate"/>
      </w:r>
      <w:r w:rsidRPr="008F56A2" w:rsidR="008F56A2">
        <w:rPr>
          <w:lang w:val="en-AU"/>
        </w:rPr>
        <w:t>Figure</w:t>
      </w:r>
      <w:r w:rsidRPr="008D1918" w:rsidR="008F56A2">
        <w:t xml:space="preserve"> </w:t>
      </w:r>
      <w:r w:rsidR="008F56A2">
        <w:rPr>
          <w:noProof/>
        </w:rPr>
        <w:t>10</w:t>
      </w:r>
      <w:r w:rsidRPr="008D1918" w:rsidR="00142C3F">
        <w:rPr>
          <w:lang w:val="en-AU"/>
        </w:rPr>
        <w:fldChar w:fldCharType="end"/>
      </w:r>
      <w:r w:rsidRPr="008D1918">
        <w:rPr>
          <w:lang w:val="en-AU"/>
        </w:rPr>
        <w:t>).</w:t>
      </w:r>
      <w:r w:rsidRPr="008D1918" w:rsidR="00E64EAD">
        <w:rPr>
          <w:lang w:val="en-AU"/>
        </w:rPr>
        <w:t xml:space="preserve"> This divergence, rising demand alongside </w:t>
      </w:r>
      <w:r w:rsidRPr="008D1918" w:rsidR="00407E57">
        <w:rPr>
          <w:lang w:val="en-AU"/>
        </w:rPr>
        <w:t>declining</w:t>
      </w:r>
      <w:r w:rsidRPr="008D1918" w:rsidR="00E64EAD">
        <w:rPr>
          <w:lang w:val="en-AU"/>
        </w:rPr>
        <w:t xml:space="preserve"> provider numbers, is </w:t>
      </w:r>
      <w:r w:rsidRPr="008D1918" w:rsidR="00B30651">
        <w:rPr>
          <w:lang w:val="en-AU"/>
        </w:rPr>
        <w:t xml:space="preserve">a </w:t>
      </w:r>
      <w:r w:rsidRPr="008D1918" w:rsidR="00E64EAD">
        <w:rPr>
          <w:lang w:val="en-AU"/>
        </w:rPr>
        <w:t>distinctive market signal for therapy</w:t>
      </w:r>
      <w:r w:rsidRPr="008D1918" w:rsidR="00E366F4">
        <w:rPr>
          <w:lang w:val="en-AU"/>
        </w:rPr>
        <w:t xml:space="preserve"> and </w:t>
      </w:r>
      <w:r w:rsidRPr="008D1918" w:rsidR="00E64EAD">
        <w:rPr>
          <w:lang w:val="en-AU"/>
        </w:rPr>
        <w:t xml:space="preserve">not observed in DSW, </w:t>
      </w:r>
      <w:r w:rsidR="00A1444C">
        <w:rPr>
          <w:lang w:val="en-AU"/>
        </w:rPr>
        <w:t>S</w:t>
      </w:r>
      <w:r w:rsidRPr="008D1918" w:rsidR="00A1444C">
        <w:rPr>
          <w:lang w:val="en-AU"/>
        </w:rPr>
        <w:t xml:space="preserve">upport </w:t>
      </w:r>
      <w:r w:rsidR="00A1444C">
        <w:rPr>
          <w:lang w:val="en-AU"/>
        </w:rPr>
        <w:t>C</w:t>
      </w:r>
      <w:r w:rsidRPr="008D1918" w:rsidR="00A1444C">
        <w:rPr>
          <w:lang w:val="en-AU"/>
        </w:rPr>
        <w:t>oordination</w:t>
      </w:r>
      <w:r w:rsidRPr="008D1918" w:rsidR="00E64EAD">
        <w:rPr>
          <w:lang w:val="en-AU"/>
        </w:rPr>
        <w:t xml:space="preserve">, </w:t>
      </w:r>
      <w:r w:rsidR="00A1444C">
        <w:rPr>
          <w:lang w:val="en-AU"/>
        </w:rPr>
        <w:t>P</w:t>
      </w:r>
      <w:r w:rsidRPr="008D1918" w:rsidR="00A1444C">
        <w:rPr>
          <w:lang w:val="en-AU"/>
        </w:rPr>
        <w:t xml:space="preserve">lan </w:t>
      </w:r>
      <w:r w:rsidR="00A1444C">
        <w:rPr>
          <w:lang w:val="en-AU"/>
        </w:rPr>
        <w:t>M</w:t>
      </w:r>
      <w:r w:rsidRPr="008D1918" w:rsidR="00A1444C">
        <w:rPr>
          <w:lang w:val="en-AU"/>
        </w:rPr>
        <w:t xml:space="preserve">anagement </w:t>
      </w:r>
      <w:r w:rsidRPr="008D1918" w:rsidR="00E64EAD">
        <w:rPr>
          <w:lang w:val="en-AU"/>
        </w:rPr>
        <w:t xml:space="preserve">or Social, Community </w:t>
      </w:r>
      <w:r w:rsidRPr="008D1918" w:rsidR="00D031E7">
        <w:rPr>
          <w:lang w:val="en-AU"/>
        </w:rPr>
        <w:t xml:space="preserve">and Civic </w:t>
      </w:r>
      <w:r w:rsidRPr="008D1918" w:rsidR="00E64EAD">
        <w:rPr>
          <w:lang w:val="en-AU"/>
        </w:rPr>
        <w:t>Participation markets</w:t>
      </w:r>
      <w:r w:rsidRPr="008D1918" w:rsidR="00E366F4">
        <w:rPr>
          <w:lang w:val="en-AU"/>
        </w:rPr>
        <w:t xml:space="preserve">. It </w:t>
      </w:r>
      <w:r w:rsidRPr="008D1918" w:rsidR="00123ABE">
        <w:rPr>
          <w:lang w:val="en-AU"/>
        </w:rPr>
        <w:t xml:space="preserve">shapes how pricing risk should be </w:t>
      </w:r>
      <w:r w:rsidRPr="008D1918" w:rsidR="00D7487A">
        <w:rPr>
          <w:lang w:val="en-AU"/>
        </w:rPr>
        <w:t>assessed</w:t>
      </w:r>
      <w:r w:rsidRPr="008D1918" w:rsidR="00C657F7">
        <w:rPr>
          <w:lang w:val="en-AU"/>
        </w:rPr>
        <w:t>. P</w:t>
      </w:r>
      <w:r w:rsidRPr="008D1918" w:rsidR="00D7487A">
        <w:rPr>
          <w:lang w:val="en-AU"/>
        </w:rPr>
        <w:t>rovider numbers are already contracting</w:t>
      </w:r>
      <w:r w:rsidRPr="008D1918" w:rsidR="00665967">
        <w:rPr>
          <w:lang w:val="en-AU"/>
        </w:rPr>
        <w:t xml:space="preserve"> so</w:t>
      </w:r>
      <w:r w:rsidRPr="008D1918" w:rsidR="00D7487A">
        <w:rPr>
          <w:lang w:val="en-AU"/>
        </w:rPr>
        <w:t xml:space="preserve"> reductions that widen the gap between NDIS and comparator rates carry a higher probability of further exit</w:t>
      </w:r>
      <w:r w:rsidR="00BD197D">
        <w:rPr>
          <w:lang w:val="en-AU"/>
        </w:rPr>
        <w:t>s</w:t>
      </w:r>
      <w:r w:rsidR="00245484">
        <w:rPr>
          <w:lang w:val="en-AU"/>
        </w:rPr>
        <w:t>,</w:t>
      </w:r>
      <w:r w:rsidRPr="008D1918" w:rsidR="00D7487A">
        <w:rPr>
          <w:lang w:val="en-AU"/>
        </w:rPr>
        <w:t xml:space="preserve"> than increases carry of overshooting the market.</w:t>
      </w:r>
    </w:p>
    <w:p w:rsidRPr="008D1918" w:rsidR="000E3523" w:rsidP="00186BB2" w:rsidRDefault="00186BB2" w14:paraId="1E7371C2" w14:textId="64E8C554">
      <w:pPr>
        <w:pStyle w:val="Caption"/>
        <w:rPr>
          <w:rFonts w:eastAsia="DengXian" w:cs="Cordia New"/>
          <w:i w:val="0"/>
          <w:color w:val="6B2876" w:themeColor="accent5"/>
        </w:rPr>
      </w:pPr>
      <w:bookmarkStart w:name="_Ref223686842" w:id="871"/>
      <w:r w:rsidRPr="008D1918">
        <w:t xml:space="preserve">Table </w:t>
      </w:r>
      <w:r>
        <w:fldChar w:fldCharType="begin"/>
      </w:r>
      <w:r>
        <w:instrText>SEQ Table \* ARABIC</w:instrText>
      </w:r>
      <w:r>
        <w:fldChar w:fldCharType="separate"/>
      </w:r>
      <w:r w:rsidR="008F56A2">
        <w:rPr>
          <w:noProof/>
        </w:rPr>
        <w:t>11</w:t>
      </w:r>
      <w:r>
        <w:fldChar w:fldCharType="end"/>
      </w:r>
      <w:bookmarkEnd w:id="871"/>
      <w:r w:rsidRPr="008D1918" w:rsidR="000E3523">
        <w:rPr>
          <w:rFonts w:eastAsia="DengXian" w:cs="Cordia New"/>
          <w:color w:val="6B2876" w:themeColor="accent5"/>
        </w:rPr>
        <w:t xml:space="preserve">: Therapy supports </w:t>
      </w:r>
      <w:r w:rsidRPr="008D1918" w:rsidR="00EF0F92">
        <w:rPr>
          <w:rFonts w:eastAsia="DengXian" w:cs="Cordia New"/>
          <w:color w:val="6B2876" w:themeColor="accent5"/>
        </w:rPr>
        <w:t>S</w:t>
      </w:r>
      <w:r w:rsidRPr="008D1918" w:rsidR="000E3523">
        <w:rPr>
          <w:rFonts w:eastAsia="DengXian" w:cs="Cordia New"/>
          <w:color w:val="6B2876" w:themeColor="accent5"/>
        </w:rPr>
        <w:t>cheme statistics – all providers</w:t>
      </w:r>
      <w:r w:rsidRPr="008D1918" w:rsidR="00EF0F92">
        <w:rPr>
          <w:rFonts w:eastAsia="DengXian" w:cs="Cordia New"/>
          <w:color w:val="6B2876" w:themeColor="accent5"/>
        </w:rPr>
        <w:t>,</w:t>
      </w:r>
      <w:r w:rsidRPr="008D1918" w:rsidR="00335F39">
        <w:rPr>
          <w:rFonts w:eastAsia="DengXian" w:cs="Cordia New"/>
          <w:color w:val="6B2876" w:themeColor="accent5"/>
        </w:rPr>
        <w:t xml:space="preserve"> July 2024 to December 2025</w:t>
      </w:r>
    </w:p>
    <w:tbl>
      <w:tblPr>
        <w:tblStyle w:val="GridTable4-Accent121"/>
        <w:tblW w:w="0" w:type="auto"/>
        <w:tblInd w:w="5" w:type="dxa"/>
        <w:tblLayout w:type="fixed"/>
        <w:tblLook w:val="04A0" w:firstRow="1" w:lastRow="0" w:firstColumn="1" w:lastColumn="0" w:noHBand="0" w:noVBand="1"/>
      </w:tblPr>
      <w:tblGrid>
        <w:gridCol w:w="3629"/>
        <w:gridCol w:w="1928"/>
        <w:gridCol w:w="1928"/>
        <w:gridCol w:w="1418"/>
      </w:tblGrid>
      <w:tr w:rsidRPr="008D1918" w:rsidR="00A238C6" w:rsidTr="007A346D" w14:paraId="72A06F58" w14:textId="77777777">
        <w:trPr>
          <w:cnfStyle w:val="100000000000" w:firstRow="1" w:lastRow="0" w:firstColumn="0" w:lastColumn="0" w:oddVBand="0" w:evenVBand="0" w:oddHBand="0" w:evenHBand="0" w:firstRowFirstColumn="0" w:firstRowLastColumn="0" w:lastRowFirstColumn="0" w:lastRowLastColumn="0"/>
          <w:trHeight w:val="645"/>
          <w:tblHeader/>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7A346D" w:rsidRDefault="001B1345" w14:paraId="4DDFDCFE" w14:textId="113E3E46">
            <w:pPr>
              <w:keepLines/>
              <w:spacing w:before="60" w:after="60"/>
              <w:rPr>
                <w:rFonts w:cs="Arial"/>
                <w:bCs w:val="0"/>
                <w:sz w:val="20"/>
                <w:szCs w:val="20"/>
                <w:lang w:val="en-AU" w:eastAsia="en-AU"/>
              </w:rPr>
            </w:pPr>
            <w:r w:rsidRPr="008D1918">
              <w:rPr>
                <w:rFonts w:cs="Arial"/>
                <w:bCs w:val="0"/>
                <w:sz w:val="20"/>
                <w:szCs w:val="20"/>
                <w:lang w:val="en-AU" w:eastAsia="en-AU"/>
              </w:rPr>
              <w:t>Statistics</w:t>
            </w:r>
          </w:p>
        </w:tc>
        <w:tc>
          <w:tcPr>
            <w:tcW w:w="1928" w:type="dxa"/>
            <w:vAlign w:val="center"/>
            <w:hideMark/>
          </w:tcPr>
          <w:p w:rsidRPr="008D1918" w:rsidR="000E3523" w:rsidP="007A346D" w:rsidRDefault="000E3523" w14:paraId="202DDAFC" w14:textId="77777777">
            <w:pPr>
              <w:keepLines/>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2024</w:t>
            </w:r>
          </w:p>
        </w:tc>
        <w:tc>
          <w:tcPr>
            <w:tcW w:w="1928" w:type="dxa"/>
            <w:vAlign w:val="center"/>
            <w:hideMark/>
          </w:tcPr>
          <w:p w:rsidRPr="008D1918" w:rsidR="000E3523" w:rsidP="007A346D" w:rsidRDefault="000E3523" w14:paraId="1A36BFCE" w14:textId="77777777">
            <w:pPr>
              <w:keepLines/>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2025</w:t>
            </w:r>
          </w:p>
        </w:tc>
        <w:tc>
          <w:tcPr>
            <w:tcW w:w="1418" w:type="dxa"/>
            <w:vAlign w:val="center"/>
            <w:hideMark/>
          </w:tcPr>
          <w:p w:rsidRPr="008D1918" w:rsidR="000E3523" w:rsidP="007A346D" w:rsidRDefault="000E3523" w14:paraId="4168F589" w14:textId="3C33EFC0">
            <w:pPr>
              <w:keepLines/>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 xml:space="preserve">Percentage </w:t>
            </w:r>
            <w:r w:rsidRPr="008D1918" w:rsidR="007A346D">
              <w:rPr>
                <w:rFonts w:cs="Arial"/>
                <w:sz w:val="20"/>
                <w:szCs w:val="20"/>
                <w:lang w:val="en-AU" w:eastAsia="en-AU"/>
              </w:rPr>
              <w:t>c</w:t>
            </w:r>
            <w:r w:rsidRPr="008D1918">
              <w:rPr>
                <w:rFonts w:cs="Arial"/>
                <w:sz w:val="20"/>
                <w:szCs w:val="20"/>
                <w:lang w:val="en-AU" w:eastAsia="en-AU"/>
              </w:rPr>
              <w:t>hange</w:t>
            </w:r>
          </w:p>
        </w:tc>
      </w:tr>
      <w:tr w:rsidRPr="008D1918" w:rsidR="00A238C6" w:rsidTr="00676524" w14:paraId="7A323D85"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1B1345" w:rsidRDefault="000E3523" w14:paraId="0FDC765D" w14:textId="77777777">
            <w:pPr>
              <w:keepLines/>
              <w:spacing w:before="60" w:after="60"/>
              <w:rPr>
                <w:rFonts w:cs="Arial"/>
                <w:sz w:val="20"/>
                <w:szCs w:val="20"/>
                <w:lang w:val="en-AU" w:eastAsia="en-AU"/>
              </w:rPr>
            </w:pPr>
            <w:r w:rsidRPr="008D1918">
              <w:rPr>
                <w:rFonts w:cs="Arial"/>
                <w:sz w:val="20"/>
                <w:szCs w:val="20"/>
                <w:lang w:val="en-AU" w:eastAsia="en-AU"/>
              </w:rPr>
              <w:t>Number of NDIS participants</w:t>
            </w:r>
          </w:p>
        </w:tc>
        <w:tc>
          <w:tcPr>
            <w:tcW w:w="1928" w:type="dxa"/>
            <w:vAlign w:val="center"/>
            <w:hideMark/>
          </w:tcPr>
          <w:p w:rsidRPr="008D1918" w:rsidR="000E3523" w:rsidP="001B1345" w:rsidRDefault="000E3523" w14:paraId="17B576C6" w14:textId="77777777">
            <w:pPr>
              <w:keepLines/>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412,945</w:t>
            </w:r>
          </w:p>
        </w:tc>
        <w:tc>
          <w:tcPr>
            <w:tcW w:w="1928" w:type="dxa"/>
            <w:vAlign w:val="center"/>
            <w:hideMark/>
          </w:tcPr>
          <w:p w:rsidRPr="008D1918" w:rsidR="000E3523" w:rsidP="001B1345" w:rsidRDefault="000E3523" w14:paraId="279A4B1E" w14:textId="77777777">
            <w:pPr>
              <w:keepLines/>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465,602</w:t>
            </w:r>
          </w:p>
        </w:tc>
        <w:tc>
          <w:tcPr>
            <w:tcW w:w="1418" w:type="dxa"/>
            <w:vAlign w:val="center"/>
            <w:hideMark/>
          </w:tcPr>
          <w:p w:rsidRPr="008D1918" w:rsidR="000E3523" w:rsidP="001B1345" w:rsidRDefault="000E3523" w14:paraId="654098C9" w14:textId="77777777">
            <w:pPr>
              <w:keepLines/>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+12.8%</w:t>
            </w:r>
          </w:p>
        </w:tc>
      </w:tr>
      <w:tr w:rsidRPr="008D1918" w:rsidR="000E3523" w:rsidTr="00676524" w14:paraId="2851A5F6" w14:textId="77777777">
        <w:trPr>
          <w:trHeight w:val="315"/>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1B1345" w:rsidRDefault="000E3523" w14:paraId="746F03BC" w14:textId="77777777">
            <w:pPr>
              <w:keepLines/>
              <w:spacing w:before="60" w:after="60"/>
              <w:rPr>
                <w:rFonts w:cs="Arial"/>
                <w:color w:val="000000"/>
                <w:sz w:val="20"/>
                <w:szCs w:val="20"/>
                <w:lang w:val="en-AU" w:eastAsia="en-AU"/>
              </w:rPr>
            </w:pPr>
            <w:r w:rsidRPr="008D1918">
              <w:rPr>
                <w:rFonts w:cs="Arial"/>
                <w:color w:val="000000"/>
                <w:sz w:val="20"/>
                <w:szCs w:val="20"/>
                <w:lang w:val="en-AU" w:eastAsia="en-AU"/>
              </w:rPr>
              <w:t>Number of active providers</w:t>
            </w:r>
          </w:p>
        </w:tc>
        <w:tc>
          <w:tcPr>
            <w:tcW w:w="1928" w:type="dxa"/>
            <w:vAlign w:val="center"/>
            <w:hideMark/>
          </w:tcPr>
          <w:p w:rsidRPr="008D1918" w:rsidR="000E3523" w:rsidP="001B1345" w:rsidRDefault="000E3523" w14:paraId="61EF3D34" w14:textId="77777777">
            <w:pPr>
              <w:keepLines/>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55,366</w:t>
            </w:r>
          </w:p>
        </w:tc>
        <w:tc>
          <w:tcPr>
            <w:tcW w:w="1928" w:type="dxa"/>
            <w:vAlign w:val="center"/>
            <w:hideMark/>
          </w:tcPr>
          <w:p w:rsidRPr="008D1918" w:rsidR="000E3523" w:rsidP="001B1345" w:rsidRDefault="000E3523" w14:paraId="320BE21C" w14:textId="77777777">
            <w:pPr>
              <w:keepLines/>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53,205</w:t>
            </w:r>
          </w:p>
        </w:tc>
        <w:tc>
          <w:tcPr>
            <w:tcW w:w="1418" w:type="dxa"/>
            <w:vAlign w:val="center"/>
            <w:hideMark/>
          </w:tcPr>
          <w:p w:rsidRPr="008D1918" w:rsidR="000E3523" w:rsidP="001B1345" w:rsidRDefault="000E3523" w14:paraId="0CEE2D6F" w14:textId="77777777">
            <w:pPr>
              <w:keepLines/>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-3.9%</w:t>
            </w:r>
          </w:p>
        </w:tc>
      </w:tr>
      <w:tr w:rsidRPr="008D1918" w:rsidR="00A238C6" w:rsidTr="00676524" w14:paraId="2A8C7DD5"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1B1345" w:rsidRDefault="000E3523" w14:paraId="5F588F67" w14:textId="0D2F3E49">
            <w:pPr>
              <w:keepLines/>
              <w:spacing w:before="60" w:after="60"/>
              <w:rPr>
                <w:rFonts w:cs="Arial"/>
                <w:sz w:val="20"/>
                <w:szCs w:val="20"/>
                <w:lang w:val="en-AU" w:eastAsia="en-AU"/>
              </w:rPr>
            </w:pPr>
            <w:r w:rsidRPr="008D1918">
              <w:rPr>
                <w:rFonts w:cs="Arial"/>
                <w:sz w:val="20"/>
                <w:szCs w:val="20"/>
                <w:lang w:val="en-AU" w:eastAsia="en-AU"/>
              </w:rPr>
              <w:t xml:space="preserve">Total amount claimed by active providers of </w:t>
            </w:r>
            <w:r w:rsidRPr="008D1918" w:rsidR="00981026">
              <w:rPr>
                <w:rFonts w:cs="Arial"/>
                <w:sz w:val="20"/>
                <w:szCs w:val="20"/>
                <w:lang w:val="en-AU" w:eastAsia="en-AU"/>
              </w:rPr>
              <w:t>t</w:t>
            </w:r>
            <w:r w:rsidRPr="008D1918">
              <w:rPr>
                <w:rFonts w:cs="Arial"/>
                <w:sz w:val="20"/>
                <w:szCs w:val="20"/>
                <w:lang w:val="en-AU" w:eastAsia="en-AU"/>
              </w:rPr>
              <w:t>herapy supports</w:t>
            </w:r>
          </w:p>
        </w:tc>
        <w:tc>
          <w:tcPr>
            <w:tcW w:w="1928" w:type="dxa"/>
            <w:vAlign w:val="center"/>
            <w:hideMark/>
          </w:tcPr>
          <w:p w:rsidRPr="008D1918" w:rsidR="000E3523" w:rsidP="001B1345" w:rsidRDefault="000E3523" w14:paraId="638255BB" w14:textId="77777777">
            <w:pPr>
              <w:keepLines/>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$2.4 billion</w:t>
            </w:r>
          </w:p>
        </w:tc>
        <w:tc>
          <w:tcPr>
            <w:tcW w:w="1928" w:type="dxa"/>
            <w:vAlign w:val="center"/>
            <w:hideMark/>
          </w:tcPr>
          <w:p w:rsidRPr="008D1918" w:rsidR="000E3523" w:rsidP="001B1345" w:rsidRDefault="000E3523" w14:paraId="1A1FD5AE" w14:textId="77777777">
            <w:pPr>
              <w:keepLines/>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$2.7 billion</w:t>
            </w:r>
          </w:p>
        </w:tc>
        <w:tc>
          <w:tcPr>
            <w:tcW w:w="1418" w:type="dxa"/>
            <w:vAlign w:val="center"/>
            <w:hideMark/>
          </w:tcPr>
          <w:p w:rsidRPr="008D1918" w:rsidR="000E3523" w:rsidP="001B1345" w:rsidRDefault="000E3523" w14:paraId="52553985" w14:textId="77777777">
            <w:pPr>
              <w:keepLines/>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+10.3%</w:t>
            </w:r>
          </w:p>
        </w:tc>
      </w:tr>
      <w:tr w:rsidRPr="008D1918" w:rsidR="000E3523" w:rsidTr="00676524" w14:paraId="32206D11" w14:textId="77777777">
        <w:trPr>
          <w:trHeight w:val="615"/>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1B1345" w:rsidRDefault="000E3523" w14:paraId="6AC41809" w14:textId="68751B9B">
            <w:pPr>
              <w:keepLines/>
              <w:spacing w:before="60" w:after="60"/>
              <w:rPr>
                <w:rFonts w:cs="Arial"/>
                <w:color w:val="000000"/>
                <w:sz w:val="20"/>
                <w:szCs w:val="20"/>
                <w:lang w:val="en-AU" w:eastAsia="en-AU"/>
              </w:rPr>
            </w:pPr>
            <w:r w:rsidRPr="008D1918">
              <w:rPr>
                <w:rFonts w:cs="Arial"/>
                <w:color w:val="000000"/>
                <w:sz w:val="20"/>
                <w:szCs w:val="20"/>
                <w:lang w:val="en-AU" w:eastAsia="en-AU"/>
              </w:rPr>
              <w:t xml:space="preserve">Average amount claimed by all active providers of </w:t>
            </w:r>
            <w:r w:rsidRPr="008D1918" w:rsidR="00981026">
              <w:rPr>
                <w:rFonts w:cs="Arial"/>
                <w:color w:val="000000"/>
                <w:sz w:val="20"/>
                <w:szCs w:val="20"/>
                <w:lang w:val="en-AU" w:eastAsia="en-AU"/>
              </w:rPr>
              <w:t>t</w:t>
            </w:r>
            <w:r w:rsidRPr="008D1918">
              <w:rPr>
                <w:rFonts w:cs="Arial"/>
                <w:color w:val="000000"/>
                <w:sz w:val="20"/>
                <w:szCs w:val="20"/>
                <w:lang w:val="en-AU" w:eastAsia="en-AU"/>
              </w:rPr>
              <w:t>herapy supports</w:t>
            </w:r>
          </w:p>
        </w:tc>
        <w:tc>
          <w:tcPr>
            <w:tcW w:w="1928" w:type="dxa"/>
            <w:vAlign w:val="center"/>
            <w:hideMark/>
          </w:tcPr>
          <w:p w:rsidRPr="008D1918" w:rsidR="000E3523" w:rsidP="001B1345" w:rsidRDefault="000E3523" w14:paraId="7FDB124B" w14:textId="77777777">
            <w:pPr>
              <w:keepLines/>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$43,700</w:t>
            </w:r>
          </w:p>
        </w:tc>
        <w:tc>
          <w:tcPr>
            <w:tcW w:w="1928" w:type="dxa"/>
            <w:vAlign w:val="center"/>
            <w:hideMark/>
          </w:tcPr>
          <w:p w:rsidRPr="008D1918" w:rsidR="000E3523" w:rsidP="001B1345" w:rsidRDefault="000E3523" w14:paraId="1259BF36" w14:textId="77777777">
            <w:pPr>
              <w:keepLines/>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$50,100</w:t>
            </w:r>
          </w:p>
        </w:tc>
        <w:tc>
          <w:tcPr>
            <w:tcW w:w="1418" w:type="dxa"/>
            <w:vAlign w:val="center"/>
            <w:hideMark/>
          </w:tcPr>
          <w:p w:rsidRPr="008D1918" w:rsidR="000E3523" w:rsidP="001B1345" w:rsidRDefault="000E3523" w14:paraId="180926C1" w14:textId="77777777">
            <w:pPr>
              <w:keepLines/>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+14.6%</w:t>
            </w:r>
          </w:p>
        </w:tc>
      </w:tr>
    </w:tbl>
    <w:p w:rsidRPr="008D1918" w:rsidR="000E3523" w:rsidP="00D91861" w:rsidRDefault="000E3523" w14:paraId="2104EC6F" w14:textId="77777777">
      <w:pPr>
        <w:spacing w:before="120" w:after="360" w:line="240" w:lineRule="atLeast"/>
        <w:rPr>
          <w:rFonts w:cs="Calibri"/>
          <w:b/>
          <w:sz w:val="20"/>
          <w:szCs w:val="18"/>
          <w:lang w:val="en-AU" w:eastAsia="en-AU"/>
        </w:rPr>
      </w:pPr>
      <w:r w:rsidRPr="008D1918">
        <w:rPr>
          <w:b/>
          <w:sz w:val="20"/>
          <w:szCs w:val="20"/>
          <w:lang w:val="en-AU"/>
        </w:rPr>
        <w:t>Source: NDIS internal administrative data</w:t>
      </w:r>
      <w:r w:rsidRPr="008D1918">
        <w:rPr>
          <w:rFonts w:cs="Calibri"/>
          <w:b/>
          <w:sz w:val="20"/>
          <w:szCs w:val="18"/>
          <w:lang w:val="en-AU" w:eastAsia="en-AU"/>
        </w:rPr>
        <w:t> </w:t>
      </w:r>
    </w:p>
    <w:p w:rsidRPr="008D1918" w:rsidR="000E3523" w:rsidP="00142C3F" w:rsidRDefault="000E3523" w14:paraId="76CC2621" w14:textId="5262C9DC">
      <w:pPr>
        <w:pStyle w:val="Caption"/>
        <w:rPr>
          <w:rFonts w:eastAsia="DengXian" w:cs="Cordia New"/>
          <w:i w:val="0"/>
          <w:color w:val="6B2876" w:themeColor="accent5"/>
        </w:rPr>
      </w:pPr>
      <w:bookmarkStart w:name="_Ref223624197" w:id="872"/>
      <w:r w:rsidRPr="008D1918">
        <w:t>Figure</w:t>
      </w:r>
      <w:r w:rsidRPr="008D1918" w:rsidR="00142C3F">
        <w:t xml:space="preserve"> </w:t>
      </w:r>
      <w:r>
        <w:fldChar w:fldCharType="begin"/>
      </w:r>
      <w:r>
        <w:instrText>SEQ Figure \* ARABIC</w:instrText>
      </w:r>
      <w:r>
        <w:fldChar w:fldCharType="separate"/>
      </w:r>
      <w:r w:rsidR="008F56A2">
        <w:rPr>
          <w:noProof/>
        </w:rPr>
        <w:t>10</w:t>
      </w:r>
      <w:r>
        <w:fldChar w:fldCharType="end"/>
      </w:r>
      <w:bookmarkEnd w:id="872"/>
      <w:r w:rsidRPr="008D1918">
        <w:rPr>
          <w:rFonts w:eastAsia="DengXian" w:cs="Cordia New"/>
          <w:color w:val="6B2876" w:themeColor="accent5"/>
        </w:rPr>
        <w:t>: NDIS expenditure on therapy supports since January 2023 relative to total NDIS expenditure</w:t>
      </w:r>
    </w:p>
    <w:p w:rsidRPr="008D1918" w:rsidR="00064FFF" w:rsidP="00D24225" w:rsidRDefault="00064FFF" w14:paraId="194CD174" w14:textId="441822A4">
      <w:pPr>
        <w:spacing w:after="360"/>
        <w:rPr>
          <w:rFonts w:cs="Calibri" w:eastAsiaTheme="minorEastAsia"/>
          <w:sz w:val="20"/>
          <w:szCs w:val="18"/>
          <w:lang w:val="en-AU"/>
        </w:rPr>
      </w:pPr>
      <w:r w:rsidRPr="008D1918">
        <w:rPr>
          <w:rFonts w:cs="Calibri" w:eastAsiaTheme="minorEastAsia"/>
          <w:noProof/>
          <w:sz w:val="20"/>
          <w:szCs w:val="18"/>
          <w:lang w:val="en-AU"/>
        </w:rPr>
        <w:drawing>
          <wp:inline distT="0" distB="0" distL="0" distR="0" wp14:anchorId="3FA28C34" wp14:editId="6135A29A">
            <wp:extent cx="5677200" cy="3294000"/>
            <wp:effectExtent l="0" t="0" r="0" b="1905"/>
            <wp:docPr id="1805284608" name="Picture 1" descr="Figure 10: A bar and line graph showing NDIS expenditure on therapy supports since January 2023 relative to total NDIS expenditure.&#10;This graph shows that whilst therapy spend has increased from $1.8b to 2.7b over the period, it has remained relatively stable in % of overall scheme spend - 9.6% to 10.4% over the period.&#10;Source: NDIS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84608" name="Picture 1" descr="Figure 10: A bar and line graph showing NDIS expenditure on therapy supports since January 2023 relative to total NDIS expenditure.&#10;This graph shows that whilst therapy spend has increased from $1.8b to 2.7b over the period, it has remained relatively stable in % of overall scheme spend - 9.6% to 10.4% over the period.&#10;Source: NDIS internal dat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77200" cy="3294000"/>
                    </a:xfrm>
                    <a:prstGeom prst="rect">
                      <a:avLst/>
                    </a:prstGeom>
                    <a:noFill/>
                  </pic:spPr>
                </pic:pic>
              </a:graphicData>
            </a:graphic>
          </wp:inline>
        </w:drawing>
      </w:r>
    </w:p>
    <w:p w:rsidRPr="008D1918" w:rsidR="000E3523" w:rsidP="00041468" w:rsidRDefault="000E3523" w14:paraId="6EB27973" w14:textId="77777777">
      <w:pPr>
        <w:pStyle w:val="StyleStyle112pt"/>
      </w:pPr>
      <w:bookmarkStart w:name="_Toc195538920" w:id="873"/>
      <w:bookmarkStart w:name="_Toc200103500" w:id="874"/>
      <w:bookmarkStart w:name="_Toc200271613" w:id="875"/>
      <w:bookmarkStart w:name="_Toc223428427" w:id="876"/>
      <w:bookmarkStart w:name="_Toc223445886" w:id="877"/>
      <w:bookmarkStart w:name="_Toc223539676" w:id="878"/>
      <w:bookmarkStart w:name="_Toc223539893" w:id="879"/>
      <w:bookmarkStart w:name="_Toc223540361" w:id="880"/>
      <w:bookmarkStart w:name="_Toc223540577" w:id="881"/>
      <w:bookmarkStart w:name="_Toc223542113" w:id="882"/>
      <w:bookmarkStart w:name="_Toc223604299" w:id="883"/>
      <w:bookmarkStart w:name="_Toc223604510" w:id="884"/>
      <w:bookmarkStart w:name="_Toc223604730" w:id="885"/>
      <w:bookmarkStart w:name="_Toc223618592" w:id="886"/>
      <w:bookmarkStart w:name="_Toc223702829" w:id="887"/>
      <w:bookmarkStart w:name="_Toc227318727" w:id="888"/>
      <w:bookmarkStart w:name="_Toc227337095" w:id="889"/>
      <w:r w:rsidRPr="008D1918">
        <w:t>Participants, payments and providers</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rsidRPr="008D1918" w:rsidR="000E3523" w:rsidRDefault="000E3523" w14:paraId="4FEA2AE9" w14:textId="5A1673B5">
      <w:pPr>
        <w:rPr>
          <w:lang w:val="en-AU"/>
        </w:rPr>
      </w:pPr>
      <w:r w:rsidRPr="008D1918">
        <w:rPr>
          <w:lang w:val="en-AU"/>
        </w:rPr>
        <w:t xml:space="preserve">In the </w:t>
      </w:r>
      <w:r w:rsidRPr="008D1918" w:rsidR="00970260">
        <w:rPr>
          <w:lang w:val="en-AU"/>
        </w:rPr>
        <w:t xml:space="preserve">6 </w:t>
      </w:r>
      <w:r w:rsidRPr="008D1918">
        <w:rPr>
          <w:lang w:val="en-AU"/>
        </w:rPr>
        <w:t xml:space="preserve">months to December 2025, </w:t>
      </w:r>
      <w:r w:rsidRPr="008D1918" w:rsidR="00970260">
        <w:rPr>
          <w:lang w:val="en-AU"/>
        </w:rPr>
        <w:t xml:space="preserve">5 </w:t>
      </w:r>
      <w:r w:rsidRPr="008D1918">
        <w:rPr>
          <w:lang w:val="en-AU"/>
        </w:rPr>
        <w:t xml:space="preserve">therapies accounted for </w:t>
      </w:r>
      <w:r w:rsidRPr="008D1918" w:rsidR="00970260">
        <w:rPr>
          <w:lang w:val="en-AU"/>
        </w:rPr>
        <w:t>more than</w:t>
      </w:r>
      <w:r w:rsidRPr="008D1918">
        <w:rPr>
          <w:lang w:val="en-AU"/>
        </w:rPr>
        <w:t xml:space="preserve"> 75% of all therapy payments: </w:t>
      </w:r>
      <w:r w:rsidRPr="008D1918" w:rsidR="00DF0B20">
        <w:rPr>
          <w:lang w:val="en-AU"/>
        </w:rPr>
        <w:t>E</w:t>
      </w:r>
      <w:r w:rsidRPr="008D1918">
        <w:rPr>
          <w:lang w:val="en-AU"/>
        </w:rPr>
        <w:t xml:space="preserve">arly </w:t>
      </w:r>
      <w:r w:rsidRPr="008D1918" w:rsidR="00DF0B20">
        <w:rPr>
          <w:lang w:val="en-AU"/>
        </w:rPr>
        <w:t>C</w:t>
      </w:r>
      <w:r w:rsidRPr="008D1918">
        <w:rPr>
          <w:lang w:val="en-AU"/>
        </w:rPr>
        <w:t xml:space="preserve">hildhood </w:t>
      </w:r>
      <w:r w:rsidRPr="008D1918" w:rsidR="00DF0B20">
        <w:rPr>
          <w:lang w:val="en-AU"/>
        </w:rPr>
        <w:t>I</w:t>
      </w:r>
      <w:r w:rsidRPr="008D1918">
        <w:rPr>
          <w:lang w:val="en-AU"/>
        </w:rPr>
        <w:t xml:space="preserve">ntervention therapists ($592 million), </w:t>
      </w:r>
      <w:r w:rsidRPr="008D1918" w:rsidR="00DF0B20">
        <w:rPr>
          <w:lang w:val="en-AU"/>
        </w:rPr>
        <w:t>O</w:t>
      </w:r>
      <w:r w:rsidRPr="008D1918">
        <w:rPr>
          <w:lang w:val="en-AU"/>
        </w:rPr>
        <w:t xml:space="preserve">ccupational </w:t>
      </w:r>
      <w:r w:rsidRPr="008D1918" w:rsidR="00DF0B20">
        <w:rPr>
          <w:lang w:val="en-AU"/>
        </w:rPr>
        <w:t>T</w:t>
      </w:r>
      <w:r w:rsidRPr="008D1918">
        <w:rPr>
          <w:lang w:val="en-AU"/>
        </w:rPr>
        <w:t xml:space="preserve">herapists ($554 million), </w:t>
      </w:r>
      <w:r w:rsidRPr="008D1918" w:rsidR="00DF0B20">
        <w:rPr>
          <w:lang w:val="en-AU"/>
        </w:rPr>
        <w:t>B</w:t>
      </w:r>
      <w:r w:rsidRPr="008D1918">
        <w:rPr>
          <w:lang w:val="en-AU"/>
        </w:rPr>
        <w:t xml:space="preserve">ehaviour </w:t>
      </w:r>
      <w:r w:rsidRPr="008D1918" w:rsidR="00DF0B20">
        <w:rPr>
          <w:lang w:val="en-AU"/>
        </w:rPr>
        <w:t>S</w:t>
      </w:r>
      <w:r w:rsidRPr="008D1918">
        <w:rPr>
          <w:lang w:val="en-AU"/>
        </w:rPr>
        <w:t xml:space="preserve">upport </w:t>
      </w:r>
      <w:r w:rsidRPr="008D1918" w:rsidR="00DF0B20">
        <w:rPr>
          <w:lang w:val="en-AU"/>
        </w:rPr>
        <w:t>P</w:t>
      </w:r>
      <w:r w:rsidRPr="008D1918">
        <w:rPr>
          <w:lang w:val="en-AU"/>
        </w:rPr>
        <w:t xml:space="preserve">rofessionals ($497 million), </w:t>
      </w:r>
      <w:r w:rsidRPr="008D1918" w:rsidR="00DF0B20">
        <w:rPr>
          <w:lang w:val="en-AU"/>
        </w:rPr>
        <w:t>S</w:t>
      </w:r>
      <w:r w:rsidRPr="008D1918">
        <w:rPr>
          <w:lang w:val="en-AU"/>
        </w:rPr>
        <w:t xml:space="preserve">peech </w:t>
      </w:r>
      <w:r w:rsidRPr="008D1918" w:rsidR="00DF0B20">
        <w:rPr>
          <w:lang w:val="en-AU"/>
        </w:rPr>
        <w:t>P</w:t>
      </w:r>
      <w:r w:rsidRPr="008D1918">
        <w:rPr>
          <w:lang w:val="en-AU"/>
        </w:rPr>
        <w:t xml:space="preserve">athologists ($234 million) and </w:t>
      </w:r>
      <w:r w:rsidRPr="008D1918" w:rsidR="00DF0B20">
        <w:rPr>
          <w:lang w:val="en-AU"/>
        </w:rPr>
        <w:t>P</w:t>
      </w:r>
      <w:r w:rsidRPr="008D1918">
        <w:rPr>
          <w:lang w:val="en-AU"/>
        </w:rPr>
        <w:t>hysiotherapists ($211 million) (</w:t>
      </w:r>
      <w:r w:rsidRPr="008D1918" w:rsidR="00186BB2">
        <w:rPr>
          <w:lang w:val="en-AU"/>
        </w:rPr>
        <w:fldChar w:fldCharType="begin"/>
      </w:r>
      <w:r w:rsidRPr="008D1918" w:rsidR="00186BB2">
        <w:rPr>
          <w:lang w:val="en-AU"/>
        </w:rPr>
        <w:instrText xml:space="preserve"> REF _Ref223686879 \h </w:instrText>
      </w:r>
      <w:r w:rsidRPr="008D1918" w:rsidR="00762DF8">
        <w:rPr>
          <w:lang w:val="en-AU"/>
        </w:rPr>
        <w:instrText xml:space="preserve"> \* MERGEFORMAT </w:instrText>
      </w:r>
      <w:r w:rsidRPr="008D1918" w:rsidR="00186BB2">
        <w:rPr>
          <w:lang w:val="en-AU"/>
        </w:rPr>
      </w:r>
      <w:r w:rsidRPr="008D1918" w:rsidR="00186BB2">
        <w:rPr>
          <w:lang w:val="en-AU"/>
        </w:rPr>
        <w:fldChar w:fldCharType="separate"/>
      </w:r>
      <w:r w:rsidRPr="008F56A2" w:rsidR="008F56A2">
        <w:rPr>
          <w:lang w:val="en-AU"/>
        </w:rPr>
        <w:t>Table</w:t>
      </w:r>
      <w:r w:rsidRPr="008D1918" w:rsidR="008F56A2">
        <w:t xml:space="preserve"> </w:t>
      </w:r>
      <w:r w:rsidR="008F56A2">
        <w:rPr>
          <w:noProof/>
        </w:rPr>
        <w:t>12</w:t>
      </w:r>
      <w:r w:rsidRPr="008D1918" w:rsidR="00186BB2">
        <w:rPr>
          <w:lang w:val="en-AU"/>
        </w:rPr>
        <w:fldChar w:fldCharType="end"/>
      </w:r>
      <w:r w:rsidRPr="008D1918">
        <w:rPr>
          <w:lang w:val="en-AU"/>
        </w:rPr>
        <w:t xml:space="preserve">). Together, these </w:t>
      </w:r>
      <w:r w:rsidRPr="008D1918" w:rsidR="00613DB6">
        <w:rPr>
          <w:lang w:val="en-AU"/>
        </w:rPr>
        <w:t>5</w:t>
      </w:r>
      <w:r w:rsidRPr="008D1918">
        <w:rPr>
          <w:lang w:val="en-AU"/>
        </w:rPr>
        <w:t xml:space="preserve"> categories represented $2.1 billion in claims</w:t>
      </w:r>
      <w:r w:rsidRPr="008D1918" w:rsidR="00B41B3E">
        <w:rPr>
          <w:lang w:val="en-AU"/>
        </w:rPr>
        <w:t xml:space="preserve">. </w:t>
      </w:r>
      <w:r w:rsidRPr="008D1918" w:rsidR="004C55C6">
        <w:rPr>
          <w:lang w:val="en-AU"/>
        </w:rPr>
        <w:t xml:space="preserve">This is </w:t>
      </w:r>
      <w:r w:rsidRPr="008D1918">
        <w:rPr>
          <w:lang w:val="en-AU"/>
        </w:rPr>
        <w:t>just over three-quarters of the NDIA’s $2.7 billion therapy expenditure during the reporting period</w:t>
      </w:r>
      <w:r w:rsidRPr="008D1918" w:rsidR="000B519E">
        <w:rPr>
          <w:lang w:val="en-AU"/>
        </w:rPr>
        <w:t>.</w:t>
      </w:r>
    </w:p>
    <w:p w:rsidRPr="008D1918" w:rsidR="000E3523" w:rsidRDefault="000E3523" w14:paraId="657D097B" w14:textId="7EB3A29D">
      <w:pPr>
        <w:rPr>
          <w:lang w:val="en-AU"/>
        </w:rPr>
      </w:pPr>
      <w:r w:rsidRPr="008D1918">
        <w:rPr>
          <w:lang w:val="en-AU"/>
        </w:rPr>
        <w:t xml:space="preserve">In the </w:t>
      </w:r>
      <w:r w:rsidRPr="008D1918" w:rsidR="004C55C6">
        <w:rPr>
          <w:lang w:val="en-AU"/>
        </w:rPr>
        <w:t>6</w:t>
      </w:r>
      <w:r w:rsidRPr="008D1918">
        <w:rPr>
          <w:lang w:val="en-AU"/>
        </w:rPr>
        <w:t xml:space="preserve"> months to December 2025, 337,008 participants used registered providers, representing a 10% increase compared with the same period in the previous year. Over the same period, 290,644 participants used unregistered providers, a 14% increase from the previous year.</w:t>
      </w:r>
    </w:p>
    <w:p w:rsidRPr="008D1918" w:rsidR="00525E5C" w:rsidP="00F72889" w:rsidRDefault="00142C3F" w14:paraId="08E18F8D" w14:textId="7A187DC1">
      <w:pPr>
        <w:rPr>
          <w:rFonts w:eastAsia="Segoe UI"/>
          <w:lang w:val="en-AU"/>
        </w:rPr>
      </w:pPr>
      <w:r w:rsidRPr="008D1918">
        <w:rPr>
          <w:rFonts w:eastAsia="Segoe UI"/>
          <w:lang w:val="en-AU"/>
        </w:rPr>
        <w:fldChar w:fldCharType="begin"/>
      </w:r>
      <w:r w:rsidRPr="008D1918">
        <w:rPr>
          <w:rFonts w:eastAsia="Segoe UI"/>
          <w:lang w:val="en-AU"/>
        </w:rPr>
        <w:instrText xml:space="preserve"> REF _Ref195540685 \h </w:instrText>
      </w:r>
      <w:r w:rsidRPr="008D1918" w:rsidR="00762DF8">
        <w:rPr>
          <w:rFonts w:eastAsia="Segoe UI"/>
          <w:lang w:val="en-AU"/>
        </w:rPr>
        <w:instrText xml:space="preserve"> \* MERGEFORMAT </w:instrText>
      </w:r>
      <w:r w:rsidRPr="008D1918">
        <w:rPr>
          <w:rFonts w:eastAsia="Segoe UI"/>
          <w:lang w:val="en-AU"/>
        </w:rPr>
      </w:r>
      <w:r w:rsidRPr="008D1918">
        <w:rPr>
          <w:rFonts w:eastAsia="Segoe UI"/>
          <w:lang w:val="en-AU"/>
        </w:rPr>
        <w:fldChar w:fldCharType="separate"/>
      </w:r>
      <w:r w:rsidRPr="008F56A2" w:rsidR="008F56A2">
        <w:rPr>
          <w:lang w:val="en-AU"/>
        </w:rPr>
        <w:t>Figure</w:t>
      </w:r>
      <w:r w:rsidRPr="008D1918" w:rsidR="008F56A2">
        <w:t xml:space="preserve"> </w:t>
      </w:r>
      <w:r w:rsidRPr="008D1918">
        <w:rPr>
          <w:rFonts w:eastAsia="Segoe UI"/>
          <w:lang w:val="en-AU"/>
        </w:rPr>
        <w:fldChar w:fldCharType="end"/>
      </w:r>
      <w:r w:rsidRPr="008D1918" w:rsidR="00234847">
        <w:rPr>
          <w:rFonts w:eastAsia="Segoe UI"/>
          <w:lang w:val="en-AU"/>
        </w:rPr>
        <w:t>11</w:t>
      </w:r>
      <w:r w:rsidRPr="008D1918" w:rsidR="000E3523">
        <w:rPr>
          <w:rFonts w:eastAsia="Segoe UI"/>
          <w:lang w:val="en-AU"/>
        </w:rPr>
        <w:t xml:space="preserve"> illustrates the high degree of concentration in therapy expenditure, showing that a small number of therapy types have consistently accounted for </w:t>
      </w:r>
      <w:r w:rsidRPr="008D1918" w:rsidR="00C63244">
        <w:rPr>
          <w:rFonts w:eastAsia="Segoe UI"/>
          <w:lang w:val="en-AU"/>
        </w:rPr>
        <w:t xml:space="preserve">most </w:t>
      </w:r>
      <w:r w:rsidRPr="008D1918" w:rsidR="000E3523">
        <w:rPr>
          <w:rFonts w:eastAsia="Segoe UI"/>
          <w:lang w:val="en-AU"/>
        </w:rPr>
        <w:t>NDIS therapy payments over time. This concentration has remained stable despite growth in overall expenditure.</w:t>
      </w:r>
    </w:p>
    <w:p w:rsidRPr="008D1918" w:rsidR="00525E5C" w:rsidRDefault="00525E5C" w14:paraId="7334B611" w14:textId="77777777">
      <w:pPr>
        <w:spacing w:after="0" w:line="240" w:lineRule="auto"/>
        <w:rPr>
          <w:rFonts w:eastAsia="Segoe UI"/>
          <w:lang w:val="en-AU"/>
        </w:rPr>
      </w:pPr>
      <w:r w:rsidRPr="008D1918">
        <w:rPr>
          <w:rFonts w:eastAsia="Segoe UI"/>
          <w:lang w:val="en-AU"/>
        </w:rPr>
        <w:br w:type="page"/>
      </w:r>
    </w:p>
    <w:p w:rsidRPr="008D1918" w:rsidR="000E3523" w:rsidP="00186BB2" w:rsidRDefault="00186BB2" w14:paraId="504CBBDC" w14:textId="43A602BC">
      <w:pPr>
        <w:pStyle w:val="Caption"/>
        <w:rPr>
          <w:rFonts w:eastAsia="DengXian" w:cs="Cordia New"/>
          <w:i w:val="0"/>
          <w:color w:val="6B2876" w:themeColor="accent5"/>
        </w:rPr>
      </w:pPr>
      <w:bookmarkStart w:name="_Ref223686879" w:id="890"/>
      <w:r w:rsidRPr="008D1918">
        <w:t xml:space="preserve">Table </w:t>
      </w:r>
      <w:r>
        <w:fldChar w:fldCharType="begin"/>
      </w:r>
      <w:r>
        <w:instrText>SEQ Table \* ARABIC</w:instrText>
      </w:r>
      <w:r>
        <w:fldChar w:fldCharType="separate"/>
      </w:r>
      <w:r w:rsidR="008F56A2">
        <w:rPr>
          <w:noProof/>
        </w:rPr>
        <w:t>12</w:t>
      </w:r>
      <w:r>
        <w:fldChar w:fldCharType="end"/>
      </w:r>
      <w:bookmarkEnd w:id="890"/>
      <w:r w:rsidRPr="008D1918" w:rsidR="000E3523">
        <w:rPr>
          <w:rFonts w:cs="Arial"/>
          <w:color w:val="6B2876" w:themeColor="accent5"/>
          <w:lang w:eastAsia="en-AU"/>
        </w:rPr>
        <w:t>: Scheme expenditure by type of therapist, July to December 2025</w:t>
      </w:r>
      <w:r w:rsidRPr="008D1918" w:rsidR="000E3523">
        <w:rPr>
          <w:rFonts w:eastAsia="DengXian" w:cs="Cordia New"/>
          <w:color w:val="6B2876" w:themeColor="accent5"/>
        </w:rPr>
        <w:t> </w:t>
      </w:r>
    </w:p>
    <w:tbl>
      <w:tblPr>
        <w:tblW w:w="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Caption w:val="TABLE 3: NUMBER OF ACTIVE REGISTERED PROVIDERS BY CATEGORY FROM WHICH THEY PURCHASED DSW SUPPORTS, 31 DECEMBER 2022"/>
      </w:tblPr>
      <w:tblGrid>
        <w:gridCol w:w="3105"/>
        <w:gridCol w:w="1920"/>
        <w:gridCol w:w="1920"/>
        <w:gridCol w:w="1920"/>
      </w:tblGrid>
      <w:tr w:rsidRPr="008D1918" w:rsidR="00762DF8" w:rsidTr="000F4FB8" w14:paraId="16AABE3F" w14:textId="77777777">
        <w:trPr>
          <w:trHeight w:val="615"/>
          <w:tblHeader/>
        </w:trPr>
        <w:tc>
          <w:tcPr>
            <w:tcW w:w="3105"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vAlign w:val="center"/>
            <w:hideMark/>
          </w:tcPr>
          <w:p w:rsidRPr="008D1918" w:rsidR="000E3523" w:rsidP="000F4FB8" w:rsidRDefault="000E3523" w14:paraId="2ACFC422" w14:textId="228C7523">
            <w:pPr>
              <w:spacing w:before="60" w:after="60"/>
              <w:textAlignment w:val="baseline"/>
              <w:rPr>
                <w:rFonts w:ascii="Times New Roman" w:hAnsi="Times New Roman"/>
                <w:b/>
                <w:bCs/>
                <w:color w:val="F9F9F9"/>
                <w:lang w:val="en-AU" w:eastAsia="en-AU"/>
              </w:rPr>
            </w:pPr>
            <w:r w:rsidRPr="008D1918">
              <w:rPr>
                <w:rFonts w:cs="Arial"/>
                <w:b/>
                <w:bCs/>
                <w:color w:val="F9F9F9" w:themeColor="background1"/>
                <w:sz w:val="20"/>
                <w:szCs w:val="20"/>
                <w:lang w:val="en-AU" w:eastAsia="en-AU"/>
              </w:rPr>
              <w:t xml:space="preserve">Type of </w:t>
            </w:r>
            <w:r w:rsidRPr="008D1918" w:rsidR="000F4FB8">
              <w:rPr>
                <w:rFonts w:cs="Arial"/>
                <w:b/>
                <w:bCs/>
                <w:color w:val="F9F9F9" w:themeColor="background1"/>
                <w:sz w:val="20"/>
                <w:szCs w:val="20"/>
                <w:lang w:val="en-AU" w:eastAsia="en-AU"/>
              </w:rPr>
              <w:t>t</w:t>
            </w:r>
            <w:r w:rsidRPr="008D1918">
              <w:rPr>
                <w:rFonts w:cs="Arial"/>
                <w:b/>
                <w:bCs/>
                <w:color w:val="F9F9F9" w:themeColor="background1"/>
                <w:sz w:val="20"/>
                <w:szCs w:val="20"/>
                <w:lang w:val="en-AU" w:eastAsia="en-AU"/>
              </w:rPr>
              <w:t>herapist</w:t>
            </w:r>
          </w:p>
        </w:tc>
        <w:tc>
          <w:tcPr>
            <w:tcW w:w="1920"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hideMark/>
          </w:tcPr>
          <w:p w:rsidRPr="008D1918" w:rsidR="000E3523" w:rsidP="003605D9" w:rsidRDefault="000E3523" w14:paraId="7FA424B0" w14:textId="53156D09">
            <w:pPr>
              <w:spacing w:before="60" w:after="60"/>
              <w:jc w:val="center"/>
              <w:textAlignment w:val="baseline"/>
              <w:rPr>
                <w:rFonts w:ascii="Times New Roman" w:hAnsi="Times New Roman"/>
                <w:b/>
                <w:bCs/>
                <w:color w:val="F9F9F9"/>
                <w:lang w:val="en-AU" w:eastAsia="en-AU"/>
              </w:rPr>
            </w:pPr>
            <w:r w:rsidRPr="008D1918">
              <w:rPr>
                <w:rFonts w:cs="Arial"/>
                <w:b/>
                <w:bCs/>
                <w:color w:val="F9F9F9" w:themeColor="background1"/>
                <w:sz w:val="20"/>
                <w:szCs w:val="20"/>
                <w:lang w:val="en-AU" w:eastAsia="en-AU"/>
              </w:rPr>
              <w:t xml:space="preserve">Total </w:t>
            </w:r>
            <w:r w:rsidRPr="008D1918" w:rsidR="000F4FB8">
              <w:rPr>
                <w:rFonts w:cs="Arial"/>
                <w:b/>
                <w:bCs/>
                <w:color w:val="F9F9F9" w:themeColor="background1"/>
                <w:sz w:val="20"/>
                <w:szCs w:val="20"/>
                <w:lang w:val="en-AU" w:eastAsia="en-AU"/>
              </w:rPr>
              <w:t>p</w:t>
            </w:r>
            <w:r w:rsidRPr="008D1918">
              <w:rPr>
                <w:rFonts w:cs="Arial"/>
                <w:b/>
                <w:bCs/>
                <w:color w:val="F9F9F9" w:themeColor="background1"/>
                <w:sz w:val="20"/>
                <w:szCs w:val="20"/>
                <w:lang w:val="en-AU" w:eastAsia="en-AU"/>
              </w:rPr>
              <w:t>ayments (million)</w:t>
            </w:r>
          </w:p>
        </w:tc>
        <w:tc>
          <w:tcPr>
            <w:tcW w:w="1920"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hideMark/>
          </w:tcPr>
          <w:p w:rsidRPr="008D1918" w:rsidR="000E3523" w:rsidP="003605D9" w:rsidRDefault="000E3523" w14:paraId="57207A0F" w14:textId="47CB0897">
            <w:pPr>
              <w:spacing w:before="60" w:after="60"/>
              <w:jc w:val="center"/>
              <w:textAlignment w:val="baseline"/>
              <w:rPr>
                <w:rFonts w:ascii="Times New Roman" w:hAnsi="Times New Roman"/>
                <w:b/>
                <w:bCs/>
                <w:color w:val="F9F9F9"/>
                <w:lang w:val="en-AU" w:eastAsia="en-AU"/>
              </w:rPr>
            </w:pPr>
            <w:r w:rsidRPr="008D1918">
              <w:rPr>
                <w:rFonts w:cs="Arial"/>
                <w:b/>
                <w:bCs/>
                <w:color w:val="F9F9F9" w:themeColor="background1"/>
                <w:sz w:val="20"/>
                <w:szCs w:val="20"/>
                <w:lang w:val="en-AU" w:eastAsia="en-AU"/>
              </w:rPr>
              <w:t xml:space="preserve">Number of </w:t>
            </w:r>
            <w:r w:rsidRPr="008D1918" w:rsidR="000F4FB8">
              <w:rPr>
                <w:rFonts w:cs="Arial"/>
                <w:b/>
                <w:bCs/>
                <w:color w:val="F9F9F9" w:themeColor="background1"/>
                <w:sz w:val="20"/>
                <w:szCs w:val="20"/>
                <w:lang w:val="en-AU" w:eastAsia="en-AU"/>
              </w:rPr>
              <w:t>p</w:t>
            </w:r>
            <w:r w:rsidRPr="008D1918">
              <w:rPr>
                <w:rFonts w:cs="Arial"/>
                <w:b/>
                <w:bCs/>
                <w:color w:val="F9F9F9" w:themeColor="background1"/>
                <w:sz w:val="20"/>
                <w:szCs w:val="20"/>
                <w:lang w:val="en-AU" w:eastAsia="en-AU"/>
              </w:rPr>
              <w:t>articipants</w:t>
            </w:r>
          </w:p>
        </w:tc>
        <w:tc>
          <w:tcPr>
            <w:tcW w:w="1920"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hideMark/>
          </w:tcPr>
          <w:p w:rsidRPr="008D1918" w:rsidR="000E3523" w:rsidP="003605D9" w:rsidRDefault="000E3523" w14:paraId="13F770B0" w14:textId="4495F454">
            <w:pPr>
              <w:spacing w:before="60" w:after="60"/>
              <w:jc w:val="center"/>
              <w:textAlignment w:val="baseline"/>
              <w:rPr>
                <w:rFonts w:ascii="Times New Roman" w:hAnsi="Times New Roman"/>
                <w:b/>
                <w:bCs/>
                <w:color w:val="F9F9F9"/>
                <w:lang w:val="en-AU" w:eastAsia="en-AU"/>
              </w:rPr>
            </w:pPr>
            <w:r w:rsidRPr="008D1918">
              <w:rPr>
                <w:rFonts w:cs="Arial"/>
                <w:b/>
                <w:bCs/>
                <w:color w:val="F9F9F9" w:themeColor="background1"/>
                <w:sz w:val="20"/>
                <w:szCs w:val="20"/>
                <w:lang w:val="en-AU" w:eastAsia="en-AU"/>
              </w:rPr>
              <w:t xml:space="preserve">Number of </w:t>
            </w:r>
            <w:r w:rsidRPr="008D1918" w:rsidR="000F4FB8">
              <w:rPr>
                <w:rFonts w:cs="Arial"/>
                <w:b/>
                <w:bCs/>
                <w:color w:val="F9F9F9" w:themeColor="background1"/>
                <w:sz w:val="20"/>
                <w:szCs w:val="20"/>
                <w:lang w:val="en-AU" w:eastAsia="en-AU"/>
              </w:rPr>
              <w:t>p</w:t>
            </w:r>
            <w:r w:rsidRPr="008D1918">
              <w:rPr>
                <w:rFonts w:cs="Arial"/>
                <w:b/>
                <w:bCs/>
                <w:color w:val="F9F9F9" w:themeColor="background1"/>
                <w:sz w:val="20"/>
                <w:szCs w:val="20"/>
                <w:lang w:val="en-AU" w:eastAsia="en-AU"/>
              </w:rPr>
              <w:t>roviders</w:t>
            </w:r>
          </w:p>
        </w:tc>
      </w:tr>
      <w:tr w:rsidRPr="008D1918" w:rsidR="00762DF8" w:rsidTr="003605D9" w14:paraId="7970AD97"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2F51341B" w14:textId="0D98FE34">
            <w:pPr>
              <w:spacing w:before="60" w:after="60"/>
              <w:textAlignment w:val="baseline"/>
              <w:rPr>
                <w:rFonts w:ascii="Times New Roman" w:hAnsi="Times New Roman"/>
                <w:lang w:val="en-AU" w:eastAsia="en-AU"/>
              </w:rPr>
            </w:pPr>
            <w:r w:rsidRPr="008D1918">
              <w:rPr>
                <w:rFonts w:cs="Arial"/>
                <w:sz w:val="20"/>
                <w:szCs w:val="20"/>
                <w:lang w:val="en-AU" w:eastAsia="en-AU"/>
              </w:rPr>
              <w:t>Early Childhood</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5948B2A5"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$592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54FA3EAE"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141,068 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1F4371C7"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17,758 </w:t>
            </w:r>
          </w:p>
        </w:tc>
      </w:tr>
      <w:tr w:rsidRPr="008D1918" w:rsidR="004D466F" w:rsidTr="003605D9" w14:paraId="6A8A7BED"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72C072F0" w14:textId="1800BCFF">
            <w:pPr>
              <w:spacing w:before="60" w:after="60"/>
              <w:textAlignment w:val="baseline"/>
              <w:rPr>
                <w:rFonts w:ascii="Times New Roman" w:hAnsi="Times New Roman"/>
                <w:lang w:val="en-AU" w:eastAsia="en-AU"/>
              </w:rPr>
            </w:pPr>
            <w:r w:rsidRPr="008D1918">
              <w:rPr>
                <w:rFonts w:cs="Arial"/>
                <w:sz w:val="20"/>
                <w:szCs w:val="20"/>
                <w:lang w:val="en-AU" w:eastAsia="en-AU"/>
              </w:rPr>
              <w:t>Occupational Therapist</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5C064F68"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$554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79212A1C"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267,211 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08597281"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9,222 </w:t>
            </w:r>
          </w:p>
        </w:tc>
      </w:tr>
      <w:tr w:rsidRPr="008D1918" w:rsidR="00762DF8" w:rsidTr="003605D9" w14:paraId="2CC32793"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5DC134B9" w14:textId="2F638562">
            <w:pPr>
              <w:spacing w:before="60" w:after="60"/>
              <w:textAlignment w:val="baseline"/>
              <w:rPr>
                <w:rFonts w:ascii="Times New Roman" w:hAnsi="Times New Roman"/>
                <w:lang w:val="en-AU" w:eastAsia="en-AU"/>
              </w:rPr>
            </w:pPr>
            <w:r w:rsidRPr="008D1918">
              <w:rPr>
                <w:rFonts w:cs="Arial"/>
                <w:sz w:val="20"/>
                <w:szCs w:val="20"/>
                <w:lang w:val="en-AU" w:eastAsia="en-AU"/>
              </w:rPr>
              <w:t>Behavioural Therapist</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58108030"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$497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0C128942"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76,888 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3E2857F5"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1,955 </w:t>
            </w:r>
          </w:p>
        </w:tc>
      </w:tr>
      <w:tr w:rsidRPr="008D1918" w:rsidR="004D466F" w:rsidTr="003605D9" w14:paraId="284C262E"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55D1F683" w14:textId="1CACE1EA">
            <w:pPr>
              <w:spacing w:before="60" w:after="60"/>
              <w:textAlignment w:val="baseline"/>
              <w:rPr>
                <w:rFonts w:ascii="Times New Roman" w:hAnsi="Times New Roman"/>
                <w:lang w:val="en-AU" w:eastAsia="en-AU"/>
              </w:rPr>
            </w:pPr>
            <w:r w:rsidRPr="008D1918">
              <w:rPr>
                <w:rFonts w:cs="Arial"/>
                <w:sz w:val="20"/>
                <w:szCs w:val="20"/>
                <w:lang w:val="en-AU" w:eastAsia="en-AU"/>
              </w:rPr>
              <w:t>Speech Pathologist</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72EADDB2"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$234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3747FB43"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133,587 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5F7F0E15"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6,169 </w:t>
            </w:r>
          </w:p>
        </w:tc>
      </w:tr>
      <w:tr w:rsidRPr="008D1918" w:rsidR="00762DF8" w:rsidTr="003605D9" w14:paraId="2C343D3C"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0C61716E" w14:textId="75ECE8D3">
            <w:pPr>
              <w:spacing w:before="60" w:after="60"/>
              <w:textAlignment w:val="baseline"/>
              <w:rPr>
                <w:rFonts w:ascii="Times New Roman" w:hAnsi="Times New Roman"/>
                <w:lang w:val="en-AU" w:eastAsia="en-AU"/>
              </w:rPr>
            </w:pPr>
            <w:r w:rsidRPr="008D1918">
              <w:rPr>
                <w:rFonts w:cs="Arial"/>
                <w:sz w:val="20"/>
                <w:szCs w:val="20"/>
                <w:lang w:val="en-AU" w:eastAsia="en-AU"/>
              </w:rPr>
              <w:t>Physiotherapist</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11493DB7"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$211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41D14429"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99,986 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1430B8F5"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8,968 </w:t>
            </w:r>
          </w:p>
        </w:tc>
      </w:tr>
      <w:tr w:rsidRPr="008D1918" w:rsidR="004D466F" w:rsidTr="003605D9" w14:paraId="377CD330"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6B1E0368" w14:textId="00C73946">
            <w:pPr>
              <w:spacing w:before="60" w:after="60"/>
              <w:textAlignment w:val="baseline"/>
              <w:rPr>
                <w:rFonts w:ascii="Times New Roman" w:hAnsi="Times New Roman"/>
                <w:lang w:val="en-AU" w:eastAsia="en-AU"/>
              </w:rPr>
            </w:pPr>
            <w:r w:rsidRPr="008D1918">
              <w:rPr>
                <w:rFonts w:cs="Arial"/>
                <w:sz w:val="20"/>
                <w:szCs w:val="20"/>
                <w:lang w:val="en-AU" w:eastAsia="en-AU"/>
              </w:rPr>
              <w:t>Psychologist</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79759A19"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$205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2FA5B1E3"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111,413 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02A60E3C"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13,312 </w:t>
            </w:r>
          </w:p>
        </w:tc>
      </w:tr>
      <w:tr w:rsidRPr="008D1918" w:rsidR="00762DF8" w:rsidTr="003605D9" w14:paraId="01D39543"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4ABEA58A" w14:textId="1DAC946F">
            <w:pPr>
              <w:spacing w:before="60" w:after="60"/>
              <w:textAlignment w:val="baseline"/>
              <w:rPr>
                <w:rFonts w:ascii="Times New Roman" w:hAnsi="Times New Roman"/>
                <w:lang w:val="en-AU" w:eastAsia="en-AU"/>
              </w:rPr>
            </w:pPr>
            <w:r w:rsidRPr="008D1918">
              <w:rPr>
                <w:rFonts w:cs="Arial"/>
                <w:sz w:val="20"/>
                <w:szCs w:val="20"/>
                <w:lang w:val="en-AU" w:eastAsia="en-AU"/>
              </w:rPr>
              <w:t>Exercise Physiologist</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0EE18C75"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$86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7DD61880"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42,604 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1976E8F4"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3,997 </w:t>
            </w:r>
          </w:p>
        </w:tc>
      </w:tr>
      <w:tr w:rsidRPr="008D1918" w:rsidR="004D466F" w:rsidTr="003605D9" w14:paraId="02AB93CD"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2D11DCCB" w14:textId="0453CB58">
            <w:pPr>
              <w:spacing w:before="60" w:after="60"/>
              <w:textAlignment w:val="baseline"/>
              <w:rPr>
                <w:rFonts w:ascii="Times New Roman" w:hAnsi="Times New Roman"/>
                <w:lang w:val="en-AU" w:eastAsia="en-AU"/>
              </w:rPr>
            </w:pPr>
            <w:r w:rsidRPr="008D1918">
              <w:rPr>
                <w:rFonts w:cs="Arial"/>
                <w:sz w:val="20"/>
                <w:szCs w:val="20"/>
                <w:lang w:val="en-AU" w:eastAsia="en-AU"/>
              </w:rPr>
              <w:t>Other Professional</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21502D18"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$77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1BDEB7EE"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54,899 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4A42E081"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13,663 </w:t>
            </w:r>
          </w:p>
        </w:tc>
      </w:tr>
      <w:tr w:rsidRPr="008D1918" w:rsidR="00762DF8" w:rsidTr="003605D9" w14:paraId="71242287"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0B51D846" w14:textId="0A1936B1">
            <w:pPr>
              <w:spacing w:before="60" w:after="60"/>
              <w:textAlignment w:val="baseline"/>
              <w:rPr>
                <w:rFonts w:ascii="Times New Roman" w:hAnsi="Times New Roman"/>
                <w:lang w:val="en-AU" w:eastAsia="en-AU"/>
              </w:rPr>
            </w:pPr>
            <w:r w:rsidRPr="008D1918">
              <w:rPr>
                <w:rFonts w:cs="Arial"/>
                <w:sz w:val="20"/>
                <w:szCs w:val="20"/>
                <w:lang w:val="en-AU" w:eastAsia="en-AU"/>
              </w:rPr>
              <w:t>Therapy Assistant</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5DE29CC5"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$43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59A509E5"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42,008 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2B798D07"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4,385 </w:t>
            </w:r>
          </w:p>
        </w:tc>
      </w:tr>
      <w:tr w:rsidRPr="008D1918" w:rsidR="004D466F" w:rsidTr="003605D9" w14:paraId="3A3BF4CD"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124D7ED8" w14:textId="145E8B78">
            <w:pPr>
              <w:spacing w:before="60" w:after="60"/>
              <w:textAlignment w:val="baseline"/>
              <w:rPr>
                <w:rFonts w:ascii="Times New Roman" w:hAnsi="Times New Roman"/>
                <w:lang w:val="en-AU" w:eastAsia="en-AU"/>
              </w:rPr>
            </w:pPr>
            <w:r w:rsidRPr="008D1918">
              <w:rPr>
                <w:rFonts w:cs="Arial"/>
                <w:sz w:val="20"/>
                <w:szCs w:val="20"/>
                <w:lang w:val="en-AU" w:eastAsia="en-AU"/>
              </w:rPr>
              <w:t>Social Worker</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4207EA3A"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$28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44B19108"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16,312 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6B15B133"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2,667 </w:t>
            </w:r>
          </w:p>
        </w:tc>
      </w:tr>
      <w:tr w:rsidRPr="008D1918" w:rsidR="00762DF8" w:rsidTr="003605D9" w14:paraId="2CDDAA29"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292B3F4E" w14:textId="63D8EF3B">
            <w:pPr>
              <w:spacing w:before="60" w:after="60"/>
              <w:textAlignment w:val="baseline"/>
              <w:rPr>
                <w:rFonts w:ascii="Times New Roman" w:hAnsi="Times New Roman"/>
                <w:lang w:val="en-AU" w:eastAsia="en-AU"/>
              </w:rPr>
            </w:pPr>
            <w:r w:rsidRPr="008D1918">
              <w:rPr>
                <w:rFonts w:cs="Arial"/>
                <w:sz w:val="20"/>
                <w:szCs w:val="20"/>
                <w:lang w:val="en-AU" w:eastAsia="en-AU"/>
              </w:rPr>
              <w:t>Counsellor</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7B285D36"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$27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568CE491"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18,745 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76296391"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4,235 </w:t>
            </w:r>
          </w:p>
        </w:tc>
      </w:tr>
      <w:tr w:rsidRPr="008D1918" w:rsidR="004D466F" w:rsidTr="003605D9" w14:paraId="1C06D2D1"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4ED5C3BB" w14:textId="3B41BC13">
            <w:pPr>
              <w:spacing w:before="60" w:after="60"/>
              <w:textAlignment w:val="baseline"/>
              <w:rPr>
                <w:rFonts w:ascii="Times New Roman" w:hAnsi="Times New Roman"/>
                <w:lang w:val="en-AU" w:eastAsia="en-AU"/>
              </w:rPr>
            </w:pPr>
            <w:r w:rsidRPr="008D1918">
              <w:rPr>
                <w:rFonts w:cs="Arial"/>
                <w:sz w:val="20"/>
                <w:szCs w:val="20"/>
                <w:lang w:val="en-AU" w:eastAsia="en-AU"/>
              </w:rPr>
              <w:t>Dietitian</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79C2B8CB"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$20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3E38381C"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23,429 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0DCD6776"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1,833 </w:t>
            </w:r>
          </w:p>
        </w:tc>
      </w:tr>
      <w:tr w:rsidRPr="008D1918" w:rsidR="00762DF8" w:rsidTr="003605D9" w14:paraId="5D6DC3A5"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4CD25133" w14:textId="4A87151C">
            <w:pPr>
              <w:spacing w:before="60" w:after="60"/>
              <w:textAlignment w:val="baseline"/>
              <w:rPr>
                <w:rFonts w:ascii="Times New Roman" w:hAnsi="Times New Roman"/>
                <w:lang w:val="en-AU" w:eastAsia="en-AU"/>
              </w:rPr>
            </w:pPr>
            <w:r w:rsidRPr="008D1918">
              <w:rPr>
                <w:rFonts w:cs="Arial"/>
                <w:sz w:val="20"/>
                <w:szCs w:val="20"/>
                <w:lang w:val="en-AU" w:eastAsia="en-AU"/>
              </w:rPr>
              <w:t>Podiatrist</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3B81F0FD"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$14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0306DD20"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34,165 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395DC57B"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2,671 </w:t>
            </w:r>
          </w:p>
        </w:tc>
      </w:tr>
      <w:tr w:rsidRPr="008D1918" w:rsidR="004D466F" w:rsidTr="003605D9" w14:paraId="45219388"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56F7781E" w14:textId="00940B6D">
            <w:pPr>
              <w:spacing w:before="60" w:after="60"/>
              <w:textAlignment w:val="baseline"/>
              <w:rPr>
                <w:rFonts w:ascii="Times New Roman" w:hAnsi="Times New Roman"/>
                <w:lang w:val="en-AU" w:eastAsia="en-AU"/>
              </w:rPr>
            </w:pPr>
            <w:r w:rsidRPr="008D1918">
              <w:rPr>
                <w:rFonts w:cs="Arial"/>
                <w:sz w:val="20"/>
                <w:szCs w:val="20"/>
                <w:lang w:val="en-AU" w:eastAsia="en-AU"/>
              </w:rPr>
              <w:t>Miscellaneous</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6EC7F54E"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$9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081AAC72"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3,708 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025655AE"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2,281 </w:t>
            </w:r>
          </w:p>
        </w:tc>
      </w:tr>
      <w:tr w:rsidRPr="008D1918" w:rsidR="00762DF8" w:rsidTr="003605D9" w14:paraId="1F595370"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34259F67" w14:textId="7F587BD8">
            <w:pPr>
              <w:spacing w:before="60" w:after="60"/>
              <w:textAlignment w:val="baseline"/>
              <w:rPr>
                <w:rFonts w:ascii="Times New Roman" w:hAnsi="Times New Roman"/>
                <w:lang w:val="en-AU" w:eastAsia="en-AU"/>
              </w:rPr>
            </w:pPr>
            <w:r w:rsidRPr="008D1918">
              <w:rPr>
                <w:rFonts w:cs="Arial"/>
                <w:sz w:val="20"/>
                <w:szCs w:val="20"/>
                <w:lang w:val="en-AU" w:eastAsia="en-AU"/>
              </w:rPr>
              <w:t>Development Educator</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2260F87A"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$8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7D2933C9"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4,057 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30B4B38F"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435 </w:t>
            </w:r>
          </w:p>
        </w:tc>
      </w:tr>
      <w:tr w:rsidRPr="008D1918" w:rsidR="004D466F" w:rsidTr="003605D9" w14:paraId="58F67249"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40E2A509" w14:textId="2AF11FAA">
            <w:pPr>
              <w:spacing w:before="60" w:after="60"/>
              <w:textAlignment w:val="baseline"/>
              <w:rPr>
                <w:rFonts w:ascii="Times New Roman" w:hAnsi="Times New Roman"/>
                <w:lang w:val="en-AU" w:eastAsia="en-AU"/>
              </w:rPr>
            </w:pPr>
            <w:r w:rsidRPr="008D1918">
              <w:rPr>
                <w:rFonts w:cs="Arial"/>
                <w:sz w:val="20"/>
                <w:szCs w:val="20"/>
                <w:lang w:val="en-AU" w:eastAsia="en-AU"/>
              </w:rPr>
              <w:t>Music Therapist</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51E230B2"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$7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6D73021D"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4,303 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7025107D"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735 </w:t>
            </w:r>
          </w:p>
        </w:tc>
      </w:tr>
      <w:tr w:rsidRPr="008D1918" w:rsidR="00762DF8" w:rsidTr="003605D9" w14:paraId="7B2CCE8E"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018B4380" w14:textId="5143A3D6">
            <w:pPr>
              <w:spacing w:before="60" w:after="60"/>
              <w:textAlignment w:val="baseline"/>
              <w:rPr>
                <w:rFonts w:ascii="Times New Roman" w:hAnsi="Times New Roman"/>
                <w:lang w:val="en-AU" w:eastAsia="en-AU"/>
              </w:rPr>
            </w:pPr>
            <w:r w:rsidRPr="008D1918">
              <w:rPr>
                <w:rFonts w:cs="Arial"/>
                <w:sz w:val="20"/>
                <w:szCs w:val="20"/>
                <w:lang w:val="en-AU" w:eastAsia="en-AU"/>
              </w:rPr>
              <w:t>Art Therapist</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56A924F8"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$5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31FC2306"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3,146 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30D875D2"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828 </w:t>
            </w:r>
          </w:p>
        </w:tc>
      </w:tr>
      <w:tr w:rsidRPr="008D1918" w:rsidR="004D466F" w:rsidTr="003605D9" w14:paraId="76FD419C"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00FD128E" w14:textId="02675565">
            <w:pPr>
              <w:spacing w:before="60" w:after="60"/>
              <w:textAlignment w:val="baseline"/>
              <w:rPr>
                <w:rFonts w:ascii="Times New Roman" w:hAnsi="Times New Roman"/>
                <w:lang w:val="en-AU" w:eastAsia="en-AU"/>
              </w:rPr>
            </w:pPr>
            <w:r w:rsidRPr="008D1918">
              <w:rPr>
                <w:rFonts w:cs="Arial"/>
                <w:sz w:val="20"/>
                <w:szCs w:val="20"/>
                <w:lang w:val="en-AU" w:eastAsia="en-AU"/>
              </w:rPr>
              <w:t>Rehabilitation Counsellor</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07BD7388"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$0.8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0A05E6C0"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714 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1F721786"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285 </w:t>
            </w:r>
          </w:p>
        </w:tc>
      </w:tr>
      <w:tr w:rsidRPr="008D1918" w:rsidR="00762DF8" w:rsidTr="003605D9" w14:paraId="225100B3"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6CCB02A1" w14:textId="5CC4BBD9">
            <w:pPr>
              <w:spacing w:before="60" w:after="60"/>
              <w:textAlignment w:val="baseline"/>
              <w:rPr>
                <w:rFonts w:ascii="Times New Roman" w:hAnsi="Times New Roman"/>
                <w:lang w:val="en-AU" w:eastAsia="en-AU"/>
              </w:rPr>
            </w:pPr>
            <w:r w:rsidRPr="008D1918">
              <w:rPr>
                <w:rFonts w:cs="Arial"/>
                <w:sz w:val="20"/>
                <w:szCs w:val="20"/>
                <w:lang w:val="en-AU" w:eastAsia="en-AU"/>
              </w:rPr>
              <w:t>Orthoptist</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4330D3F2"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$0.7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433FD5B0"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1,142 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02F59490"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230 </w:t>
            </w:r>
          </w:p>
        </w:tc>
      </w:tr>
      <w:tr w:rsidRPr="008D1918" w:rsidR="004D466F" w:rsidTr="003605D9" w14:paraId="0DBDB71D"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1894A933" w14:textId="0B948BD2">
            <w:pPr>
              <w:spacing w:before="60" w:after="60"/>
              <w:textAlignment w:val="baseline"/>
              <w:rPr>
                <w:rFonts w:ascii="Times New Roman" w:hAnsi="Times New Roman"/>
                <w:lang w:val="en-AU" w:eastAsia="en-AU"/>
              </w:rPr>
            </w:pPr>
            <w:r w:rsidRPr="008D1918">
              <w:rPr>
                <w:rFonts w:cs="Arial"/>
                <w:sz w:val="20"/>
                <w:szCs w:val="20"/>
                <w:lang w:val="en-AU" w:eastAsia="en-AU"/>
              </w:rPr>
              <w:t>Audiologist</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1A2BCFAA"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$0.5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1DCA60D6" w14:textId="77777777">
            <w:pPr>
              <w:spacing w:before="60" w:after="60"/>
              <w:ind w:right="390"/>
              <w:jc w:val="right"/>
              <w:textAlignment w:val="baseline"/>
              <w:rPr>
                <w:rFonts w:ascii="Times New Roman" w:hAnsi="Times New Roman"/>
                <w:lang w:val="en-AU" w:eastAsia="en-AU"/>
              </w:rPr>
            </w:pPr>
            <w:r w:rsidRPr="008D1918">
              <w:rPr>
                <w:rFonts w:cs="Arial"/>
                <w:sz w:val="20"/>
                <w:szCs w:val="20"/>
                <w:lang w:val="en-AU" w:eastAsia="en-AU"/>
              </w:rPr>
              <w:t>1,314 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vAlign w:val="center"/>
            <w:hideMark/>
          </w:tcPr>
          <w:p w:rsidRPr="008D1918" w:rsidR="000E3523" w:rsidP="003605D9" w:rsidRDefault="000E3523" w14:paraId="77F1AE6E" w14:textId="77777777">
            <w:pPr>
              <w:spacing w:before="60" w:after="60"/>
              <w:ind w:right="450"/>
              <w:jc w:val="right"/>
              <w:textAlignment w:val="baseline"/>
              <w:rPr>
                <w:rFonts w:ascii="Times New Roman" w:hAnsi="Times New Roman"/>
                <w:lang w:val="en-AU" w:eastAsia="en-AU"/>
              </w:rPr>
            </w:pPr>
            <w:r w:rsidRPr="008D1918">
              <w:rPr>
                <w:rFonts w:cs="Arial"/>
                <w:sz w:val="20"/>
                <w:szCs w:val="20"/>
                <w:lang w:val="en-AU" w:eastAsia="en-AU"/>
              </w:rPr>
              <w:t>159 </w:t>
            </w:r>
          </w:p>
        </w:tc>
      </w:tr>
      <w:tr w:rsidRPr="008D1918" w:rsidR="00762DF8" w:rsidTr="003605D9" w14:paraId="585AD515" w14:textId="77777777">
        <w:trPr>
          <w:trHeight w:val="15"/>
        </w:trPr>
        <w:tc>
          <w:tcPr>
            <w:tcW w:w="3105"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42267E78" w14:textId="34FBED91">
            <w:pPr>
              <w:spacing w:before="60" w:after="60"/>
              <w:textAlignment w:val="baseline"/>
              <w:rPr>
                <w:rFonts w:ascii="Times New Roman" w:hAnsi="Times New Roman"/>
                <w:lang w:val="en-AU" w:eastAsia="en-AU"/>
              </w:rPr>
            </w:pPr>
            <w:r w:rsidRPr="008D1918">
              <w:rPr>
                <w:rFonts w:cs="Arial"/>
                <w:b/>
                <w:bCs/>
                <w:sz w:val="20"/>
                <w:szCs w:val="20"/>
                <w:lang w:val="en-AU" w:eastAsia="en-AU"/>
              </w:rPr>
              <w:t>Total</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59CE9E81" w14:textId="77777777">
            <w:pPr>
              <w:spacing w:before="60" w:after="60"/>
              <w:ind w:right="450"/>
              <w:jc w:val="right"/>
              <w:textAlignment w:val="baseline"/>
              <w:rPr>
                <w:rFonts w:ascii="Times New Roman" w:hAnsi="Times New Roman"/>
                <w:lang w:val="en-AU" w:eastAsia="en-AU"/>
              </w:rPr>
            </w:pPr>
            <w:r w:rsidRPr="008D1918">
              <w:rPr>
                <w:rFonts w:cs="Arial"/>
                <w:b/>
                <w:bCs/>
                <w:sz w:val="20"/>
                <w:szCs w:val="20"/>
                <w:lang w:val="en-AU" w:eastAsia="en-AU"/>
              </w:rPr>
              <w:t>$2,666</w:t>
            </w:r>
            <w:r w:rsidRPr="008D1918">
              <w:rPr>
                <w:rFonts w:cs="Arial"/>
                <w:sz w:val="20"/>
                <w:szCs w:val="20"/>
                <w:lang w:val="en-AU" w:eastAsia="en-AU"/>
              </w:rPr>
              <w:t>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66A39DB1" w14:textId="77777777">
            <w:pPr>
              <w:spacing w:before="60" w:after="60"/>
              <w:ind w:right="390"/>
              <w:jc w:val="right"/>
              <w:textAlignment w:val="baseline"/>
              <w:rPr>
                <w:rFonts w:ascii="Times New Roman" w:hAnsi="Times New Roman"/>
                <w:lang w:val="en-AU" w:eastAsia="en-AU"/>
              </w:rPr>
            </w:pPr>
            <w:r w:rsidRPr="008D1918">
              <w:rPr>
                <w:rFonts w:cs="Arial"/>
                <w:b/>
                <w:bCs/>
                <w:sz w:val="20"/>
                <w:szCs w:val="20"/>
                <w:lang w:val="en-AU" w:eastAsia="en-AU"/>
              </w:rPr>
              <w:t>465,602</w:t>
            </w:r>
            <w:r w:rsidRPr="008D1918">
              <w:rPr>
                <w:rFonts w:cs="Arial"/>
                <w:sz w:val="20"/>
                <w:szCs w:val="20"/>
                <w:lang w:val="en-AU" w:eastAsia="en-AU"/>
              </w:rPr>
              <w:t> </w:t>
            </w:r>
          </w:p>
        </w:tc>
        <w:tc>
          <w:tcPr>
            <w:tcW w:w="192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vAlign w:val="center"/>
            <w:hideMark/>
          </w:tcPr>
          <w:p w:rsidRPr="008D1918" w:rsidR="000E3523" w:rsidP="003605D9" w:rsidRDefault="000E3523" w14:paraId="2DE57F8B" w14:textId="77777777">
            <w:pPr>
              <w:spacing w:before="60" w:after="60"/>
              <w:ind w:right="450"/>
              <w:jc w:val="right"/>
              <w:textAlignment w:val="baseline"/>
              <w:rPr>
                <w:rFonts w:ascii="Times New Roman" w:hAnsi="Times New Roman"/>
                <w:lang w:val="en-AU" w:eastAsia="en-AU"/>
              </w:rPr>
            </w:pPr>
            <w:r w:rsidRPr="008D1918">
              <w:rPr>
                <w:rFonts w:cs="Arial"/>
                <w:b/>
                <w:bCs/>
                <w:sz w:val="20"/>
                <w:szCs w:val="20"/>
                <w:lang w:val="en-AU" w:eastAsia="en-AU"/>
              </w:rPr>
              <w:t>53,205</w:t>
            </w:r>
            <w:r w:rsidRPr="008D1918">
              <w:rPr>
                <w:rFonts w:cs="Arial"/>
                <w:sz w:val="20"/>
                <w:szCs w:val="20"/>
                <w:lang w:val="en-AU" w:eastAsia="en-AU"/>
              </w:rPr>
              <w:t> </w:t>
            </w:r>
          </w:p>
        </w:tc>
      </w:tr>
    </w:tbl>
    <w:p w:rsidRPr="008D1918" w:rsidR="000E3523" w:rsidRDefault="000E3523" w14:paraId="2FAD5B73" w14:textId="77777777">
      <w:pPr>
        <w:spacing w:before="120" w:after="60" w:line="240" w:lineRule="atLeast"/>
        <w:rPr>
          <w:b/>
          <w:sz w:val="20"/>
          <w:szCs w:val="20"/>
          <w:lang w:val="en-AU"/>
        </w:rPr>
      </w:pPr>
      <w:r w:rsidRPr="008D1918">
        <w:rPr>
          <w:rFonts w:cs="Arial"/>
          <w:b/>
          <w:sz w:val="20"/>
          <w:szCs w:val="20"/>
          <w:lang w:val="en-AU" w:eastAsia="en-AU"/>
        </w:rPr>
        <w:t>Source: NDIS internal administrative data</w:t>
      </w:r>
      <w:r w:rsidRPr="008D1918">
        <w:rPr>
          <w:b/>
          <w:sz w:val="20"/>
          <w:szCs w:val="20"/>
          <w:lang w:val="en-AU"/>
        </w:rPr>
        <w:t> </w:t>
      </w:r>
    </w:p>
    <w:p w:rsidRPr="008D1918" w:rsidR="000E3523" w:rsidP="002B66D6" w:rsidRDefault="000E3523" w14:paraId="3A482C6B" w14:textId="39861F92">
      <w:pPr>
        <w:spacing w:before="120" w:after="360" w:line="240" w:lineRule="atLeast"/>
        <w:rPr>
          <w:rFonts w:eastAsia="DengXian" w:cs="Calibri"/>
          <w:sz w:val="20"/>
          <w:szCs w:val="20"/>
          <w:lang w:val="en-AU"/>
        </w:rPr>
      </w:pPr>
      <w:r w:rsidRPr="008D1918">
        <w:rPr>
          <w:rFonts w:cs="Arial"/>
          <w:sz w:val="20"/>
          <w:szCs w:val="20"/>
          <w:lang w:val="en-AU" w:eastAsia="en-AU"/>
        </w:rPr>
        <w:t>Note: The total for both the number of participants and providers represents unique counts within the July to December 2025 period. ‘Other Professional’ refers to a diverse group of therapy providers offering services such as assessments, recommendations, and group therapies, which may encompass a variety of therapy disciplines not individually listed. Total payments also</w:t>
      </w:r>
      <w:r w:rsidRPr="008D1918" w:rsidDel="00404AA3">
        <w:rPr>
          <w:rFonts w:cs="Arial"/>
          <w:sz w:val="20"/>
          <w:szCs w:val="20"/>
          <w:lang w:val="en-AU" w:eastAsia="en-AU"/>
        </w:rPr>
        <w:t xml:space="preserve"> </w:t>
      </w:r>
      <w:r w:rsidRPr="008D1918" w:rsidR="00D03C3D">
        <w:rPr>
          <w:rFonts w:cs="Arial"/>
          <w:sz w:val="20"/>
          <w:szCs w:val="20"/>
          <w:lang w:val="en-AU" w:eastAsia="en-AU"/>
        </w:rPr>
        <w:t>include</w:t>
      </w:r>
      <w:r w:rsidRPr="008D1918">
        <w:rPr>
          <w:rFonts w:cs="Arial"/>
          <w:sz w:val="20"/>
          <w:szCs w:val="20"/>
          <w:lang w:val="en-AU" w:eastAsia="en-AU"/>
        </w:rPr>
        <w:t xml:space="preserve"> therapy-related travel payments, which amounted to $49 million and claimed by 14,977 providers from 226,966 participants.</w:t>
      </w:r>
    </w:p>
    <w:p w:rsidRPr="008D1918" w:rsidR="000E3523" w:rsidP="00142C3F" w:rsidRDefault="000E3523" w14:paraId="1D97FAF2" w14:textId="45413827">
      <w:pPr>
        <w:pStyle w:val="Caption"/>
        <w:rPr>
          <w:color w:val="6B2876" w:themeColor="accent5"/>
        </w:rPr>
      </w:pPr>
      <w:bookmarkStart w:name="_Ref195540685" w:id="891"/>
      <w:r w:rsidRPr="008D1918">
        <w:t xml:space="preserve">Figure </w:t>
      </w:r>
      <w:bookmarkEnd w:id="891"/>
      <w:r w:rsidRPr="008D1918" w:rsidR="00142C3F">
        <w:fldChar w:fldCharType="begin"/>
      </w:r>
      <w:r w:rsidRPr="008D1918" w:rsidR="00142C3F">
        <w:instrText xml:space="preserve"> SEQ Figure \* ARABIC </w:instrText>
      </w:r>
      <w:r w:rsidRPr="008D1918" w:rsidR="00142C3F">
        <w:fldChar w:fldCharType="separate"/>
      </w:r>
      <w:r w:rsidR="008F56A2">
        <w:rPr>
          <w:noProof/>
        </w:rPr>
        <w:t>11</w:t>
      </w:r>
      <w:r w:rsidRPr="008D1918" w:rsidR="00142C3F">
        <w:fldChar w:fldCharType="end"/>
      </w:r>
      <w:r w:rsidRPr="008D1918">
        <w:rPr>
          <w:color w:val="6B2876" w:themeColor="accent5"/>
        </w:rPr>
        <w:t xml:space="preserve">: Largest </w:t>
      </w:r>
      <w:r w:rsidRPr="008D1918" w:rsidR="00E8604E">
        <w:rPr>
          <w:color w:val="6B2876" w:themeColor="accent5"/>
        </w:rPr>
        <w:t xml:space="preserve">10 </w:t>
      </w:r>
      <w:r w:rsidRPr="008D1918">
        <w:rPr>
          <w:color w:val="6B2876" w:themeColor="accent5"/>
        </w:rPr>
        <w:t>therapy types based on total NDIS payments, January 2023 to December 2025</w:t>
      </w:r>
    </w:p>
    <w:p w:rsidRPr="008D1918" w:rsidR="000E3523" w:rsidP="007A6B8B" w:rsidRDefault="00343794" w14:paraId="6A82E15D" w14:textId="6C7AF432">
      <w:pPr>
        <w:keepNext/>
        <w:spacing w:before="360" w:after="360" w:line="240" w:lineRule="auto"/>
        <w:rPr>
          <w:rFonts w:eastAsia="DengXian" w:cs="Cordia New"/>
          <w:iCs/>
          <w:color w:val="6B2876" w:themeColor="accent5"/>
          <w:lang w:val="en-AU"/>
        </w:rPr>
      </w:pPr>
      <w:r w:rsidRPr="008D1918">
        <w:rPr>
          <w:rFonts w:eastAsia="DengXian" w:cs="Cordia New"/>
          <w:iCs/>
          <w:noProof/>
          <w:color w:val="6B2876" w:themeColor="accent5"/>
          <w:lang w:val="en-AU"/>
        </w:rPr>
        <w:drawing>
          <wp:inline distT="0" distB="0" distL="0" distR="0" wp14:anchorId="2E6E5E53" wp14:editId="12ED77BC">
            <wp:extent cx="5796000" cy="3277706"/>
            <wp:effectExtent l="0" t="0" r="0" b="0"/>
            <wp:docPr id="1715645240" name="Picture 15" descr="Figure 11: A stacked bar graph showing the largest ten therapy types based on total NDIS payments, from January 2023 to December 2025.&#10;The graph shows the high degree of concentration in therapy expenditure, showing that a small number of therapy types have consistently accounted for the majority of total NDIS therapy payments over time - Early childhood, OT, Behavioural Therapy, Speech Pathology and Physio. This concentration has remained stable despite growth in overall expenditure.&#10;Source: NDIS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45240" name="Picture 15" descr="Figure 11: A stacked bar graph showing the largest ten therapy types based on total NDIS payments, from January 2023 to December 2025.&#10;The graph shows the high degree of concentration in therapy expenditure, showing that a small number of therapy types have consistently accounted for the majority of total NDIS therapy payments over time - Early childhood, OT, Behavioural Therapy, Speech Pathology and Physio. This concentration has remained stable despite growth in overall expenditure.&#10;Source: NDIS internal data"/>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796000" cy="3277706"/>
                    </a:xfrm>
                    <a:prstGeom prst="rect">
                      <a:avLst/>
                    </a:prstGeom>
                    <a:noFill/>
                  </pic:spPr>
                </pic:pic>
              </a:graphicData>
            </a:graphic>
          </wp:inline>
        </w:drawing>
      </w:r>
    </w:p>
    <w:p w:rsidRPr="008D1918" w:rsidR="000E3523" w:rsidP="00041468" w:rsidRDefault="000E3523" w14:paraId="12D3DD68" w14:textId="46DB6D6B">
      <w:pPr>
        <w:pStyle w:val="StyleStyle112pt"/>
      </w:pPr>
      <w:bookmarkStart w:name="_Toc223428428" w:id="892"/>
      <w:bookmarkStart w:name="_Toc223445887" w:id="893"/>
      <w:bookmarkStart w:name="_Toc223539677" w:id="894"/>
      <w:bookmarkStart w:name="_Toc223539894" w:id="895"/>
      <w:bookmarkStart w:name="_Toc223540362" w:id="896"/>
      <w:bookmarkStart w:name="_Toc223540578" w:id="897"/>
      <w:bookmarkStart w:name="_Toc223542114" w:id="898"/>
      <w:bookmarkStart w:name="_Toc223604300" w:id="899"/>
      <w:bookmarkStart w:name="_Toc223604511" w:id="900"/>
      <w:bookmarkStart w:name="_Toc223604731" w:id="901"/>
      <w:bookmarkStart w:name="_Toc223618593" w:id="902"/>
      <w:bookmarkStart w:name="_Toc223702830" w:id="903"/>
      <w:bookmarkStart w:name="_Toc227318728" w:id="904"/>
      <w:bookmarkStart w:name="_Toc227337096" w:id="905"/>
      <w:r w:rsidRPr="008D1918">
        <w:t>Provider growth and registration trends</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rsidRPr="008D1918" w:rsidR="000E3523" w:rsidRDefault="000E3523" w14:paraId="64E18B70" w14:textId="70267CEB">
      <w:pPr>
        <w:rPr>
          <w:lang w:val="en-AU"/>
        </w:rPr>
      </w:pPr>
      <w:r w:rsidRPr="008D1918">
        <w:rPr>
          <w:lang w:val="en-AU"/>
        </w:rPr>
        <w:t xml:space="preserve">The therapy provider market continues to be dominated by unregistered providers. In the </w:t>
      </w:r>
      <w:r w:rsidRPr="008D1918" w:rsidR="00382ED7">
        <w:rPr>
          <w:lang w:val="en-AU"/>
        </w:rPr>
        <w:t>6</w:t>
      </w:r>
      <w:r w:rsidRPr="008D1918">
        <w:rPr>
          <w:lang w:val="en-AU"/>
        </w:rPr>
        <w:t xml:space="preserve"> months to December 2025, unregistered providers represented approximately 87% of all therapy providers</w:t>
      </w:r>
      <w:r w:rsidRPr="008D1918" w:rsidR="002C5525">
        <w:rPr>
          <w:lang w:val="en-AU"/>
        </w:rPr>
        <w:t xml:space="preserve">. This </w:t>
      </w:r>
      <w:r w:rsidRPr="008D1918">
        <w:rPr>
          <w:lang w:val="en-AU"/>
        </w:rPr>
        <w:t>percentage has remained broadly stable since 2023 (</w:t>
      </w:r>
      <w:r w:rsidRPr="008D1918" w:rsidR="00584ACD">
        <w:rPr>
          <w:lang w:val="en-AU"/>
        </w:rPr>
        <w:fldChar w:fldCharType="begin"/>
      </w:r>
      <w:r w:rsidRPr="008D1918" w:rsidR="00584ACD">
        <w:rPr>
          <w:lang w:val="en-AU"/>
        </w:rPr>
        <w:instrText xml:space="preserve"> REF _Ref223624293 \h </w:instrText>
      </w:r>
      <w:r w:rsidR="008D1918">
        <w:rPr>
          <w:lang w:val="en-AU"/>
        </w:rPr>
        <w:instrText xml:space="preserve"> \* MERGEFORMAT </w:instrText>
      </w:r>
      <w:r w:rsidRPr="008D1918" w:rsidR="00584ACD">
        <w:rPr>
          <w:lang w:val="en-AU"/>
        </w:rPr>
      </w:r>
      <w:r w:rsidRPr="008D1918" w:rsidR="00584ACD">
        <w:rPr>
          <w:lang w:val="en-AU"/>
        </w:rPr>
        <w:fldChar w:fldCharType="separate"/>
      </w:r>
      <w:r w:rsidRPr="008D1918" w:rsidR="008F56A2">
        <w:t xml:space="preserve">Figure </w:t>
      </w:r>
      <w:r w:rsidR="008F56A2">
        <w:rPr>
          <w:noProof/>
        </w:rPr>
        <w:t>12</w:t>
      </w:r>
      <w:r w:rsidRPr="008D1918" w:rsidR="00584ACD">
        <w:rPr>
          <w:lang w:val="en-AU"/>
        </w:rPr>
        <w:fldChar w:fldCharType="end"/>
      </w:r>
      <w:r w:rsidRPr="008D1918">
        <w:rPr>
          <w:lang w:val="en-AU"/>
        </w:rPr>
        <w:t>). Unregistered providers accounted for approximately 40% of total therapy payments, while registered providers, at 13% of provider count, delivered approximately 60% of total payments (</w:t>
      </w:r>
      <w:r w:rsidRPr="008D1918" w:rsidR="00B912CE">
        <w:rPr>
          <w:lang w:val="en-AU"/>
        </w:rPr>
        <w:fldChar w:fldCharType="begin"/>
      </w:r>
      <w:r w:rsidRPr="008D1918" w:rsidR="00B912CE">
        <w:rPr>
          <w:lang w:val="en-AU"/>
        </w:rPr>
        <w:instrText xml:space="preserve"> REF _Ref223686930 \h </w:instrText>
      </w:r>
      <w:r w:rsidRPr="008D1918" w:rsidR="00762DF8">
        <w:rPr>
          <w:lang w:val="en-AU"/>
        </w:rPr>
        <w:instrText xml:space="preserve"> \* MERGEFORMAT </w:instrText>
      </w:r>
      <w:r w:rsidRPr="008D1918" w:rsidR="00B912CE">
        <w:rPr>
          <w:lang w:val="en-AU"/>
        </w:rPr>
      </w:r>
      <w:r w:rsidRPr="008D1918" w:rsidR="00B912CE">
        <w:rPr>
          <w:lang w:val="en-AU"/>
        </w:rPr>
        <w:fldChar w:fldCharType="separate"/>
      </w:r>
      <w:r w:rsidRPr="008F56A2" w:rsidR="008F56A2">
        <w:rPr>
          <w:lang w:val="en-AU"/>
        </w:rPr>
        <w:t>Table</w:t>
      </w:r>
      <w:r w:rsidRPr="008D1918" w:rsidR="008F56A2">
        <w:t xml:space="preserve"> </w:t>
      </w:r>
      <w:r w:rsidR="008F56A2">
        <w:rPr>
          <w:noProof/>
        </w:rPr>
        <w:t>13</w:t>
      </w:r>
      <w:r w:rsidRPr="008D1918" w:rsidR="00B912CE">
        <w:rPr>
          <w:lang w:val="en-AU"/>
        </w:rPr>
        <w:fldChar w:fldCharType="end"/>
      </w:r>
      <w:r w:rsidR="00861781">
        <w:rPr>
          <w:lang w:val="en-AU"/>
        </w:rPr>
        <w:t>,</w:t>
      </w:r>
      <w:r w:rsidRPr="008D1918" w:rsidR="00584ACD">
        <w:rPr>
          <w:lang w:val="en-AU"/>
        </w:rPr>
        <w:t xml:space="preserve"> </w:t>
      </w:r>
      <w:r w:rsidRPr="008D1918" w:rsidR="00EF0F92">
        <w:rPr>
          <w:lang w:val="en-AU"/>
        </w:rPr>
        <w:fldChar w:fldCharType="begin"/>
      </w:r>
      <w:r w:rsidRPr="008D1918" w:rsidR="00EF0F92">
        <w:rPr>
          <w:lang w:val="en-AU"/>
        </w:rPr>
        <w:instrText xml:space="preserve"> REF _Ref223687015 \h  \* MERGEFORMAT </w:instrText>
      </w:r>
      <w:r w:rsidRPr="008D1918" w:rsidR="00EF0F92">
        <w:rPr>
          <w:lang w:val="en-AU"/>
        </w:rPr>
      </w:r>
      <w:r w:rsidRPr="008D1918" w:rsidR="00EF0F92">
        <w:rPr>
          <w:lang w:val="en-AU"/>
        </w:rPr>
        <w:fldChar w:fldCharType="separate"/>
      </w:r>
      <w:r w:rsidRPr="008D1918" w:rsidR="008F56A2">
        <w:t xml:space="preserve">Table </w:t>
      </w:r>
      <w:r w:rsidR="008F56A2">
        <w:rPr>
          <w:noProof/>
        </w:rPr>
        <w:t>14</w:t>
      </w:r>
      <w:r w:rsidRPr="008D1918" w:rsidR="00EF0F92">
        <w:rPr>
          <w:lang w:val="en-AU"/>
        </w:rPr>
        <w:fldChar w:fldCharType="end"/>
      </w:r>
      <w:r w:rsidR="00861781">
        <w:rPr>
          <w:lang w:val="en-AU"/>
        </w:rPr>
        <w:t xml:space="preserve"> and</w:t>
      </w:r>
      <w:r w:rsidRPr="008D1918">
        <w:rPr>
          <w:lang w:val="en-AU"/>
        </w:rPr>
        <w:t xml:space="preserve"> </w:t>
      </w:r>
      <w:r w:rsidRPr="008D1918" w:rsidR="00142C3F">
        <w:rPr>
          <w:lang w:val="en-AU"/>
        </w:rPr>
        <w:fldChar w:fldCharType="begin"/>
      </w:r>
      <w:r w:rsidRPr="008D1918" w:rsidR="00142C3F">
        <w:rPr>
          <w:lang w:val="en-AU"/>
        </w:rPr>
        <w:instrText xml:space="preserve"> REF _Ref223624293 \h </w:instrText>
      </w:r>
      <w:r w:rsidRPr="008D1918" w:rsidR="00762DF8">
        <w:rPr>
          <w:lang w:val="en-AU"/>
        </w:rPr>
        <w:instrText xml:space="preserve"> \* MERGEFORMAT </w:instrText>
      </w:r>
      <w:r w:rsidRPr="008D1918" w:rsidR="00142C3F">
        <w:rPr>
          <w:lang w:val="en-AU"/>
        </w:rPr>
      </w:r>
      <w:r w:rsidRPr="008D1918" w:rsidR="00142C3F">
        <w:rPr>
          <w:lang w:val="en-AU"/>
        </w:rPr>
        <w:fldChar w:fldCharType="separate"/>
      </w:r>
      <w:r w:rsidRPr="008F56A2" w:rsidR="008F56A2">
        <w:rPr>
          <w:lang w:val="en-AU"/>
        </w:rPr>
        <w:t>Figure</w:t>
      </w:r>
      <w:r w:rsidRPr="008D1918" w:rsidR="008F56A2">
        <w:t xml:space="preserve"> </w:t>
      </w:r>
      <w:r w:rsidR="008F56A2">
        <w:rPr>
          <w:noProof/>
        </w:rPr>
        <w:t>12</w:t>
      </w:r>
      <w:r w:rsidRPr="008D1918" w:rsidR="00142C3F">
        <w:rPr>
          <w:lang w:val="en-AU"/>
        </w:rPr>
        <w:fldChar w:fldCharType="end"/>
      </w:r>
      <w:r w:rsidRPr="008D1918">
        <w:rPr>
          <w:lang w:val="en-AU"/>
        </w:rPr>
        <w:t>).</w:t>
      </w:r>
    </w:p>
    <w:p w:rsidRPr="008D1918" w:rsidR="000E3523" w:rsidRDefault="00DD29A8" w14:paraId="3BAF2B6B" w14:textId="27B06E01">
      <w:pPr>
        <w:rPr>
          <w:lang w:val="en-AU"/>
        </w:rPr>
      </w:pPr>
      <w:r w:rsidRPr="008D1918">
        <w:rPr>
          <w:lang w:val="en-AU"/>
        </w:rPr>
        <w:t>While</w:t>
      </w:r>
      <w:r w:rsidRPr="008D1918" w:rsidR="000E3523">
        <w:rPr>
          <w:lang w:val="en-AU"/>
        </w:rPr>
        <w:t xml:space="preserve"> the number of therapy providers declined over the period, </w:t>
      </w:r>
      <w:r w:rsidRPr="008D1918" w:rsidR="008E6FB2">
        <w:rPr>
          <w:lang w:val="en-AU"/>
        </w:rPr>
        <w:t>trends are</w:t>
      </w:r>
      <w:r w:rsidRPr="008D1918" w:rsidR="000E3523">
        <w:rPr>
          <w:lang w:val="en-AU"/>
        </w:rPr>
        <w:t xml:space="preserve"> different </w:t>
      </w:r>
      <w:r w:rsidRPr="008D1918" w:rsidR="008E6FB2">
        <w:rPr>
          <w:lang w:val="en-AU"/>
        </w:rPr>
        <w:t>amongst</w:t>
      </w:r>
      <w:r w:rsidRPr="008D1918" w:rsidR="000E3523">
        <w:rPr>
          <w:lang w:val="en-AU"/>
        </w:rPr>
        <w:t xml:space="preserve"> registered and unregistered providers. The number of registered providers increased slightly by 0.5%, from 7,237 to 7,274, while the number of unregistered providers declined by 4.9%, from 48,709 to 46,330 (</w:t>
      </w:r>
      <w:r w:rsidRPr="008D1918" w:rsidR="00B912CE">
        <w:rPr>
          <w:lang w:val="en-AU"/>
        </w:rPr>
        <w:fldChar w:fldCharType="begin"/>
      </w:r>
      <w:r w:rsidRPr="008D1918" w:rsidR="00B912CE">
        <w:rPr>
          <w:lang w:val="en-AU"/>
        </w:rPr>
        <w:instrText xml:space="preserve"> REF _Ref223686930 \h </w:instrText>
      </w:r>
      <w:r w:rsidRPr="008D1918" w:rsidR="00762DF8">
        <w:rPr>
          <w:lang w:val="en-AU"/>
        </w:rPr>
        <w:instrText xml:space="preserve"> \* MERGEFORMAT </w:instrText>
      </w:r>
      <w:r w:rsidRPr="008D1918" w:rsidR="00B912CE">
        <w:rPr>
          <w:lang w:val="en-AU"/>
        </w:rPr>
      </w:r>
      <w:r w:rsidRPr="008D1918" w:rsidR="00B912CE">
        <w:rPr>
          <w:lang w:val="en-AU"/>
        </w:rPr>
        <w:fldChar w:fldCharType="separate"/>
      </w:r>
      <w:r w:rsidRPr="008F56A2" w:rsidR="008F56A2">
        <w:rPr>
          <w:lang w:val="en-AU"/>
        </w:rPr>
        <w:t>Table</w:t>
      </w:r>
      <w:r w:rsidRPr="008D1918" w:rsidR="008F56A2">
        <w:t xml:space="preserve"> </w:t>
      </w:r>
      <w:r w:rsidR="008F56A2">
        <w:rPr>
          <w:noProof/>
        </w:rPr>
        <w:t>13</w:t>
      </w:r>
      <w:r w:rsidRPr="008D1918" w:rsidR="00B912CE">
        <w:rPr>
          <w:lang w:val="en-AU"/>
        </w:rPr>
        <w:fldChar w:fldCharType="end"/>
      </w:r>
      <w:r w:rsidRPr="008D1918" w:rsidR="00EF0F92">
        <w:rPr>
          <w:lang w:val="en-AU"/>
        </w:rPr>
        <w:t xml:space="preserve"> </w:t>
      </w:r>
      <w:r w:rsidRPr="008D1918" w:rsidR="000E3523">
        <w:rPr>
          <w:lang w:val="en-AU"/>
        </w:rPr>
        <w:t>and</w:t>
      </w:r>
      <w:r w:rsidRPr="008D1918" w:rsidR="004C23A3">
        <w:rPr>
          <w:lang w:val="en-AU"/>
        </w:rPr>
        <w:t xml:space="preserve"> </w:t>
      </w:r>
      <w:r w:rsidRPr="008D1918" w:rsidDel="00EF0F92" w:rsidR="00B912CE">
        <w:rPr>
          <w:lang w:val="en-AU"/>
        </w:rPr>
        <w:fldChar w:fldCharType="begin"/>
      </w:r>
      <w:r w:rsidRPr="008D1918" w:rsidDel="00EF0F92" w:rsidR="00B912CE">
        <w:rPr>
          <w:lang w:val="en-AU"/>
        </w:rPr>
        <w:instrText xml:space="preserve"> REF _Ref223687015 \h </w:instrText>
      </w:r>
      <w:r w:rsidRPr="008D1918" w:rsidDel="00EF0F92" w:rsidR="00762DF8">
        <w:rPr>
          <w:lang w:val="en-AU"/>
        </w:rPr>
        <w:instrText xml:space="preserve"> \* MERGEFORMAT </w:instrText>
      </w:r>
      <w:r w:rsidRPr="008D1918" w:rsidDel="00EF0F92" w:rsidR="00B912CE">
        <w:rPr>
          <w:lang w:val="en-AU"/>
        </w:rPr>
      </w:r>
      <w:r w:rsidRPr="008D1918" w:rsidDel="00EF0F92" w:rsidR="00B912CE">
        <w:rPr>
          <w:lang w:val="en-AU"/>
        </w:rPr>
        <w:fldChar w:fldCharType="separate"/>
      </w:r>
      <w:r w:rsidRPr="008F56A2" w:rsidR="008F56A2">
        <w:rPr>
          <w:lang w:val="en-AU"/>
        </w:rPr>
        <w:t>Table</w:t>
      </w:r>
      <w:r w:rsidRPr="008D1918" w:rsidR="008F56A2">
        <w:t xml:space="preserve"> </w:t>
      </w:r>
      <w:r w:rsidR="008F56A2">
        <w:rPr>
          <w:noProof/>
        </w:rPr>
        <w:t>14</w:t>
      </w:r>
      <w:r w:rsidRPr="008D1918" w:rsidDel="00EF0F92" w:rsidR="00B912CE">
        <w:rPr>
          <w:lang w:val="en-AU"/>
        </w:rPr>
        <w:fldChar w:fldCharType="end"/>
      </w:r>
      <w:r w:rsidRPr="008D1918" w:rsidR="000E3523">
        <w:rPr>
          <w:lang w:val="en-AU"/>
        </w:rPr>
        <w:t xml:space="preserve">). These movements reinforce the </w:t>
      </w:r>
      <w:r w:rsidRPr="008D1918" w:rsidR="000734B1">
        <w:rPr>
          <w:lang w:val="en-AU"/>
        </w:rPr>
        <w:t>dominance of</w:t>
      </w:r>
      <w:r w:rsidRPr="008D1918" w:rsidR="000E3523">
        <w:rPr>
          <w:lang w:val="en-AU"/>
        </w:rPr>
        <w:t xml:space="preserve"> registered providers </w:t>
      </w:r>
      <w:r w:rsidRPr="008D1918" w:rsidR="000734B1">
        <w:rPr>
          <w:lang w:val="en-AU"/>
        </w:rPr>
        <w:t xml:space="preserve">in the market that </w:t>
      </w:r>
      <w:r w:rsidRPr="008D1918" w:rsidR="000E3523">
        <w:rPr>
          <w:lang w:val="en-AU"/>
        </w:rPr>
        <w:t>continu</w:t>
      </w:r>
      <w:r w:rsidRPr="008D1918" w:rsidR="000734B1">
        <w:rPr>
          <w:lang w:val="en-AU"/>
        </w:rPr>
        <w:t>e</w:t>
      </w:r>
      <w:r w:rsidRPr="008D1918" w:rsidR="000E3523">
        <w:rPr>
          <w:lang w:val="en-AU"/>
        </w:rPr>
        <w:t xml:space="preserve"> to deliver a disproportionate share of total therapy payments relative to their share of provider numbers.</w:t>
      </w:r>
    </w:p>
    <w:p w:rsidRPr="008D1918" w:rsidR="000E3523" w:rsidRDefault="000E3523" w14:paraId="4A2178A5" w14:textId="6F31F63D">
      <w:pPr>
        <w:rPr>
          <w:lang w:val="en-AU"/>
        </w:rPr>
      </w:pPr>
      <w:r w:rsidRPr="008D1918">
        <w:rPr>
          <w:lang w:val="en-AU"/>
        </w:rPr>
        <w:t xml:space="preserve">This gap between provider numbers and payment share reflects the different scale at which registered and unregistered therapy providers operate. In the </w:t>
      </w:r>
      <w:r w:rsidRPr="008D1918" w:rsidR="00E12901">
        <w:rPr>
          <w:lang w:val="en-AU"/>
        </w:rPr>
        <w:t>6</w:t>
      </w:r>
      <w:r w:rsidRPr="008D1918">
        <w:rPr>
          <w:lang w:val="en-AU"/>
        </w:rPr>
        <w:t xml:space="preserve"> months to December 2025, the average claim per registered therapy provider was $225,100 compared to $22,000 for unregistered providers (</w:t>
      </w:r>
      <w:r w:rsidRPr="008D1918" w:rsidR="00CA1B32">
        <w:rPr>
          <w:lang w:val="en-AU"/>
        </w:rPr>
        <w:fldChar w:fldCharType="begin"/>
      </w:r>
      <w:r w:rsidRPr="008D1918" w:rsidR="00CA1B32">
        <w:rPr>
          <w:lang w:val="en-AU"/>
        </w:rPr>
        <w:instrText xml:space="preserve"> REF _Ref223686930 \h </w:instrText>
      </w:r>
      <w:r w:rsidRPr="008D1918" w:rsidR="00762DF8">
        <w:rPr>
          <w:lang w:val="en-AU"/>
        </w:rPr>
        <w:instrText xml:space="preserve"> \* MERGEFORMAT </w:instrText>
      </w:r>
      <w:r w:rsidRPr="008D1918" w:rsidR="00CA1B32">
        <w:rPr>
          <w:lang w:val="en-AU"/>
        </w:rPr>
      </w:r>
      <w:r w:rsidRPr="008D1918" w:rsidR="00CA1B32">
        <w:rPr>
          <w:lang w:val="en-AU"/>
        </w:rPr>
        <w:fldChar w:fldCharType="separate"/>
      </w:r>
      <w:r w:rsidRPr="008F56A2" w:rsidR="008F56A2">
        <w:rPr>
          <w:lang w:val="en-AU"/>
        </w:rPr>
        <w:t>Table</w:t>
      </w:r>
      <w:r w:rsidRPr="008D1918" w:rsidR="008F56A2">
        <w:t xml:space="preserve"> </w:t>
      </w:r>
      <w:r w:rsidR="008F56A2">
        <w:rPr>
          <w:noProof/>
        </w:rPr>
        <w:t>13</w:t>
      </w:r>
      <w:r w:rsidRPr="008D1918" w:rsidR="00CA1B32">
        <w:rPr>
          <w:lang w:val="en-AU"/>
        </w:rPr>
        <w:fldChar w:fldCharType="end"/>
      </w:r>
      <w:r w:rsidRPr="008D1918" w:rsidR="00EF0F92">
        <w:rPr>
          <w:lang w:val="en-AU"/>
        </w:rPr>
        <w:t xml:space="preserve"> </w:t>
      </w:r>
      <w:r w:rsidRPr="008D1918">
        <w:rPr>
          <w:lang w:val="en-AU"/>
        </w:rPr>
        <w:t xml:space="preserve">and </w:t>
      </w:r>
      <w:r w:rsidRPr="008D1918" w:rsidDel="00EF0F92" w:rsidR="00B912CE">
        <w:rPr>
          <w:lang w:val="en-AU"/>
        </w:rPr>
        <w:fldChar w:fldCharType="begin"/>
      </w:r>
      <w:r w:rsidRPr="008D1918" w:rsidDel="00EF0F92" w:rsidR="00B912CE">
        <w:rPr>
          <w:lang w:val="en-AU"/>
        </w:rPr>
        <w:instrText xml:space="preserve"> REF _Ref223687015 \h </w:instrText>
      </w:r>
      <w:r w:rsidRPr="008D1918" w:rsidDel="00EF0F92" w:rsidR="00762DF8">
        <w:rPr>
          <w:lang w:val="en-AU"/>
        </w:rPr>
        <w:instrText xml:space="preserve"> \* MERGEFORMAT </w:instrText>
      </w:r>
      <w:r w:rsidRPr="008D1918" w:rsidDel="00EF0F92" w:rsidR="00B912CE">
        <w:rPr>
          <w:lang w:val="en-AU"/>
        </w:rPr>
      </w:r>
      <w:r w:rsidRPr="008D1918" w:rsidDel="00EF0F92" w:rsidR="00B912CE">
        <w:rPr>
          <w:lang w:val="en-AU"/>
        </w:rPr>
        <w:fldChar w:fldCharType="separate"/>
      </w:r>
      <w:r w:rsidRPr="008F56A2" w:rsidR="008F56A2">
        <w:rPr>
          <w:lang w:val="en-AU"/>
        </w:rPr>
        <w:t>Table</w:t>
      </w:r>
      <w:r w:rsidRPr="008D1918" w:rsidR="008F56A2">
        <w:t xml:space="preserve"> </w:t>
      </w:r>
      <w:r w:rsidR="008F56A2">
        <w:rPr>
          <w:noProof/>
        </w:rPr>
        <w:t>14</w:t>
      </w:r>
      <w:r w:rsidRPr="008D1918" w:rsidDel="00EF0F92" w:rsidR="00B912CE">
        <w:rPr>
          <w:lang w:val="en-AU"/>
        </w:rPr>
        <w:fldChar w:fldCharType="end"/>
      </w:r>
      <w:r w:rsidRPr="008D1918">
        <w:rPr>
          <w:lang w:val="en-AU"/>
        </w:rPr>
        <w:t>), a ratio of more than 10:1.</w:t>
      </w:r>
    </w:p>
    <w:p w:rsidRPr="008D1918" w:rsidR="000E3523" w:rsidP="00CA1B32" w:rsidRDefault="00CA1B32" w14:paraId="011E2471" w14:textId="490DBCF3">
      <w:pPr>
        <w:pStyle w:val="Caption"/>
        <w:rPr>
          <w:rFonts w:cs="Arial"/>
          <w:i w:val="0"/>
          <w:color w:val="6B2876" w:themeColor="accent5"/>
          <w:lang w:eastAsia="en-AU"/>
        </w:rPr>
      </w:pPr>
      <w:bookmarkStart w:name="_Ref223686930" w:id="906"/>
      <w:r w:rsidRPr="008D1918">
        <w:t xml:space="preserve">Table </w:t>
      </w:r>
      <w:r>
        <w:fldChar w:fldCharType="begin"/>
      </w:r>
      <w:r>
        <w:instrText>SEQ Table \* ARABIC</w:instrText>
      </w:r>
      <w:r>
        <w:fldChar w:fldCharType="separate"/>
      </w:r>
      <w:r w:rsidR="008F56A2">
        <w:rPr>
          <w:noProof/>
        </w:rPr>
        <w:t>13</w:t>
      </w:r>
      <w:r>
        <w:fldChar w:fldCharType="end"/>
      </w:r>
      <w:bookmarkEnd w:id="906"/>
      <w:r w:rsidRPr="008D1918" w:rsidR="000E3523">
        <w:rPr>
          <w:rFonts w:cs="Arial"/>
          <w:color w:val="6B2876" w:themeColor="accent5"/>
          <w:lang w:eastAsia="en-AU"/>
        </w:rPr>
        <w:t xml:space="preserve">: Therapy supports </w:t>
      </w:r>
      <w:r w:rsidRPr="008D1918" w:rsidR="001A0CEC">
        <w:rPr>
          <w:rFonts w:cs="Arial"/>
          <w:color w:val="6B2876" w:themeColor="accent5"/>
          <w:lang w:eastAsia="en-AU"/>
        </w:rPr>
        <w:t>S</w:t>
      </w:r>
      <w:r w:rsidRPr="008D1918" w:rsidR="000E3523">
        <w:rPr>
          <w:rFonts w:cs="Arial"/>
          <w:color w:val="6B2876" w:themeColor="accent5"/>
          <w:lang w:eastAsia="en-AU"/>
        </w:rPr>
        <w:t>cheme statistics – registered providers</w:t>
      </w:r>
      <w:r w:rsidRPr="008D1918" w:rsidR="00EF0F92">
        <w:rPr>
          <w:rFonts w:cs="Arial"/>
          <w:color w:val="6B2876" w:themeColor="accent5"/>
          <w:lang w:eastAsia="en-AU"/>
        </w:rPr>
        <w:t>,</w:t>
      </w:r>
      <w:r w:rsidRPr="008D1918" w:rsidR="00381F9D">
        <w:rPr>
          <w:rFonts w:cs="Arial"/>
          <w:color w:val="6B2876" w:themeColor="accent5"/>
          <w:lang w:eastAsia="en-AU"/>
        </w:rPr>
        <w:t xml:space="preserve"> July 2024 to December 2025</w:t>
      </w:r>
    </w:p>
    <w:tbl>
      <w:tblPr>
        <w:tblStyle w:val="GridTable4-Accent121"/>
        <w:tblW w:w="0" w:type="auto"/>
        <w:tblInd w:w="5" w:type="dxa"/>
        <w:tblLook w:val="04A0" w:firstRow="1" w:lastRow="0" w:firstColumn="1" w:lastColumn="0" w:noHBand="0" w:noVBand="1"/>
      </w:tblPr>
      <w:tblGrid>
        <w:gridCol w:w="3625"/>
        <w:gridCol w:w="1984"/>
        <w:gridCol w:w="1984"/>
        <w:gridCol w:w="1418"/>
      </w:tblGrid>
      <w:tr w:rsidRPr="008D1918" w:rsidR="00A238C6" w:rsidTr="0030446C" w14:paraId="25DDDD62" w14:textId="77777777">
        <w:trPr>
          <w:cnfStyle w:val="100000000000" w:firstRow="1" w:lastRow="0" w:firstColumn="0" w:lastColumn="0" w:oddVBand="0" w:evenVBand="0" w:oddHBand="0" w:evenHBand="0" w:firstRowFirstColumn="0" w:firstRowLastColumn="0" w:lastRowFirstColumn="0" w:lastRowLastColumn="0"/>
          <w:trHeight w:val="645"/>
          <w:tblHeader/>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7561ED" w:rsidRDefault="000E3523" w14:paraId="7C68B600" w14:textId="77777777">
            <w:pPr>
              <w:keepNext/>
              <w:spacing w:before="60" w:after="60"/>
              <w:rPr>
                <w:rFonts w:cs="Arial"/>
                <w:b w:val="0"/>
                <w:sz w:val="20"/>
                <w:szCs w:val="20"/>
                <w:lang w:val="en-AU" w:eastAsia="en-AU"/>
              </w:rPr>
            </w:pPr>
            <w:r w:rsidRPr="008D1918">
              <w:rPr>
                <w:rFonts w:cs="Arial"/>
                <w:sz w:val="20"/>
                <w:szCs w:val="20"/>
                <w:lang w:val="en-AU" w:eastAsia="en-AU"/>
              </w:rPr>
              <w:t>Registered providers</w:t>
            </w:r>
          </w:p>
        </w:tc>
        <w:tc>
          <w:tcPr>
            <w:tcW w:w="1985" w:type="dxa"/>
            <w:vAlign w:val="center"/>
            <w:hideMark/>
          </w:tcPr>
          <w:p w:rsidRPr="008D1918" w:rsidR="000E3523" w:rsidP="007561ED" w:rsidRDefault="000E3523" w14:paraId="581B0B9F"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2024</w:t>
            </w:r>
          </w:p>
        </w:tc>
        <w:tc>
          <w:tcPr>
            <w:tcW w:w="1985" w:type="dxa"/>
            <w:vAlign w:val="center"/>
            <w:hideMark/>
          </w:tcPr>
          <w:p w:rsidRPr="008D1918" w:rsidR="000E3523" w:rsidP="007561ED" w:rsidRDefault="000E3523" w14:paraId="2099AE40"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2025</w:t>
            </w:r>
          </w:p>
        </w:tc>
        <w:tc>
          <w:tcPr>
            <w:tcW w:w="1418" w:type="dxa"/>
            <w:vAlign w:val="center"/>
            <w:hideMark/>
          </w:tcPr>
          <w:p w:rsidRPr="008D1918" w:rsidR="000E3523" w:rsidP="007561ED" w:rsidRDefault="000E3523" w14:paraId="42BE9EC6" w14:textId="77F767E8">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 xml:space="preserve">Percentage </w:t>
            </w:r>
            <w:r w:rsidRPr="008D1918" w:rsidR="007561ED">
              <w:rPr>
                <w:rFonts w:cs="Arial"/>
                <w:sz w:val="20"/>
                <w:szCs w:val="20"/>
                <w:lang w:val="en-AU" w:eastAsia="en-AU"/>
              </w:rPr>
              <w:t>c</w:t>
            </w:r>
            <w:r w:rsidRPr="008D1918">
              <w:rPr>
                <w:rFonts w:cs="Arial"/>
                <w:sz w:val="20"/>
                <w:szCs w:val="20"/>
                <w:lang w:val="en-AU" w:eastAsia="en-AU"/>
              </w:rPr>
              <w:t>hange</w:t>
            </w:r>
          </w:p>
        </w:tc>
      </w:tr>
      <w:tr w:rsidRPr="008D1918" w:rsidR="00A238C6" w:rsidTr="0030446C" w14:paraId="5D27B858"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6D1277" w:rsidRDefault="000E3523" w14:paraId="4B82CF12" w14:textId="77777777">
            <w:pPr>
              <w:keepNext/>
              <w:spacing w:before="60" w:after="60"/>
              <w:rPr>
                <w:rFonts w:cs="Arial"/>
                <w:sz w:val="20"/>
                <w:szCs w:val="20"/>
                <w:lang w:val="en-AU" w:eastAsia="en-AU"/>
              </w:rPr>
            </w:pPr>
            <w:r w:rsidRPr="008D1918">
              <w:rPr>
                <w:rFonts w:cs="Arial"/>
                <w:sz w:val="20"/>
                <w:szCs w:val="20"/>
                <w:lang w:val="en-AU" w:eastAsia="en-AU"/>
              </w:rPr>
              <w:t>Number of NDIS participants</w:t>
            </w:r>
          </w:p>
        </w:tc>
        <w:tc>
          <w:tcPr>
            <w:tcW w:w="1985" w:type="dxa"/>
            <w:vAlign w:val="center"/>
            <w:hideMark/>
          </w:tcPr>
          <w:p w:rsidRPr="008D1918" w:rsidR="000E3523" w:rsidP="006D1277" w:rsidRDefault="000E3523" w14:paraId="744EB08A"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307,193</w:t>
            </w:r>
          </w:p>
        </w:tc>
        <w:tc>
          <w:tcPr>
            <w:tcW w:w="1985" w:type="dxa"/>
            <w:vAlign w:val="center"/>
            <w:hideMark/>
          </w:tcPr>
          <w:p w:rsidRPr="008D1918" w:rsidR="000E3523" w:rsidP="006D1277" w:rsidRDefault="000E3523" w14:paraId="09D79785"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337,008</w:t>
            </w:r>
          </w:p>
        </w:tc>
        <w:tc>
          <w:tcPr>
            <w:tcW w:w="1418" w:type="dxa"/>
            <w:vAlign w:val="center"/>
            <w:hideMark/>
          </w:tcPr>
          <w:p w:rsidRPr="008D1918" w:rsidR="000E3523" w:rsidP="006D1277" w:rsidRDefault="000E3523" w14:paraId="2EDC86AF"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+9.7%</w:t>
            </w:r>
          </w:p>
        </w:tc>
      </w:tr>
      <w:tr w:rsidRPr="008D1918" w:rsidR="00236CDB" w:rsidTr="0030446C" w14:paraId="74EA3C75" w14:textId="77777777">
        <w:trPr>
          <w:trHeight w:val="315"/>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6D1277" w:rsidRDefault="000E3523" w14:paraId="57D800D4" w14:textId="77777777">
            <w:pPr>
              <w:keepNext/>
              <w:spacing w:before="60" w:after="60"/>
              <w:rPr>
                <w:rFonts w:cs="Arial"/>
                <w:color w:val="000000"/>
                <w:sz w:val="20"/>
                <w:szCs w:val="20"/>
                <w:lang w:val="en-AU" w:eastAsia="en-AU"/>
              </w:rPr>
            </w:pPr>
            <w:r w:rsidRPr="008D1918">
              <w:rPr>
                <w:rFonts w:cs="Arial"/>
                <w:color w:val="000000"/>
                <w:sz w:val="20"/>
                <w:szCs w:val="20"/>
                <w:lang w:val="en-AU" w:eastAsia="en-AU"/>
              </w:rPr>
              <w:t>Number of active providers</w:t>
            </w:r>
          </w:p>
        </w:tc>
        <w:tc>
          <w:tcPr>
            <w:tcW w:w="1985" w:type="dxa"/>
            <w:vAlign w:val="center"/>
            <w:hideMark/>
          </w:tcPr>
          <w:p w:rsidRPr="008D1918" w:rsidR="000E3523" w:rsidP="006D1277" w:rsidRDefault="000E3523" w14:paraId="14A49E55"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7,237</w:t>
            </w:r>
          </w:p>
        </w:tc>
        <w:tc>
          <w:tcPr>
            <w:tcW w:w="1985" w:type="dxa"/>
            <w:vAlign w:val="center"/>
            <w:hideMark/>
          </w:tcPr>
          <w:p w:rsidRPr="008D1918" w:rsidR="000E3523" w:rsidP="006D1277" w:rsidRDefault="000E3523" w14:paraId="0A5AEA24"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7,274</w:t>
            </w:r>
          </w:p>
        </w:tc>
        <w:tc>
          <w:tcPr>
            <w:tcW w:w="1418" w:type="dxa"/>
            <w:vAlign w:val="center"/>
            <w:hideMark/>
          </w:tcPr>
          <w:p w:rsidRPr="008D1918" w:rsidR="000E3523" w:rsidP="006D1277" w:rsidRDefault="000E3523" w14:paraId="5CD51096"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+0.5%</w:t>
            </w:r>
          </w:p>
        </w:tc>
      </w:tr>
      <w:tr w:rsidRPr="008D1918" w:rsidR="00A238C6" w:rsidTr="0030446C" w14:paraId="6439EB4F"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6D1277" w:rsidRDefault="000E3523" w14:paraId="591E38E8" w14:textId="77777777">
            <w:pPr>
              <w:keepNext/>
              <w:spacing w:before="60" w:after="60"/>
              <w:rPr>
                <w:rFonts w:cs="Arial"/>
                <w:sz w:val="20"/>
                <w:szCs w:val="20"/>
                <w:lang w:val="en-AU" w:eastAsia="en-AU"/>
              </w:rPr>
            </w:pPr>
            <w:r w:rsidRPr="008D1918">
              <w:rPr>
                <w:rFonts w:cs="Arial"/>
                <w:sz w:val="20"/>
                <w:szCs w:val="20"/>
                <w:lang w:val="en-AU" w:eastAsia="en-AU"/>
              </w:rPr>
              <w:t>Total amount claimed by active providers of Therapy supports</w:t>
            </w:r>
          </w:p>
        </w:tc>
        <w:tc>
          <w:tcPr>
            <w:tcW w:w="1985" w:type="dxa"/>
            <w:vAlign w:val="center"/>
            <w:hideMark/>
          </w:tcPr>
          <w:p w:rsidRPr="008D1918" w:rsidR="000E3523" w:rsidP="006D1277" w:rsidRDefault="000E3523" w14:paraId="777A0567"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$1.5 billion</w:t>
            </w:r>
          </w:p>
        </w:tc>
        <w:tc>
          <w:tcPr>
            <w:tcW w:w="1985" w:type="dxa"/>
            <w:vAlign w:val="center"/>
            <w:hideMark/>
          </w:tcPr>
          <w:p w:rsidRPr="008D1918" w:rsidR="000E3523" w:rsidP="006D1277" w:rsidRDefault="000E3523" w14:paraId="1F2E3A8E"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$1.6 billion</w:t>
            </w:r>
          </w:p>
        </w:tc>
        <w:tc>
          <w:tcPr>
            <w:tcW w:w="1418" w:type="dxa"/>
            <w:vAlign w:val="center"/>
            <w:hideMark/>
          </w:tcPr>
          <w:p w:rsidRPr="008D1918" w:rsidR="000E3523" w:rsidP="006D1277" w:rsidRDefault="000E3523" w14:paraId="4B89100F"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+9.5%</w:t>
            </w:r>
          </w:p>
        </w:tc>
      </w:tr>
      <w:tr w:rsidRPr="008D1918" w:rsidR="00236CDB" w:rsidTr="0030446C" w14:paraId="2B6054FD" w14:textId="77777777">
        <w:trPr>
          <w:trHeight w:val="615"/>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6D1277" w:rsidRDefault="000E3523" w14:paraId="1D052A11" w14:textId="77777777">
            <w:pPr>
              <w:keepNext/>
              <w:spacing w:before="60" w:after="60"/>
              <w:rPr>
                <w:rFonts w:cs="Arial"/>
                <w:color w:val="000000"/>
                <w:sz w:val="20"/>
                <w:szCs w:val="20"/>
                <w:lang w:val="en-AU" w:eastAsia="en-AU"/>
              </w:rPr>
            </w:pPr>
            <w:r w:rsidRPr="008D1918">
              <w:rPr>
                <w:rFonts w:cs="Arial"/>
                <w:color w:val="000000"/>
                <w:sz w:val="20"/>
                <w:szCs w:val="20"/>
                <w:lang w:val="en-AU" w:eastAsia="en-AU"/>
              </w:rPr>
              <w:t>Average amount claimed by all active providers of Therapy supports</w:t>
            </w:r>
          </w:p>
        </w:tc>
        <w:tc>
          <w:tcPr>
            <w:tcW w:w="1985" w:type="dxa"/>
            <w:vAlign w:val="center"/>
            <w:hideMark/>
          </w:tcPr>
          <w:p w:rsidRPr="008D1918" w:rsidR="000E3523" w:rsidP="006D1277" w:rsidRDefault="000E3523" w14:paraId="6A2B8505"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$206,700</w:t>
            </w:r>
          </w:p>
        </w:tc>
        <w:tc>
          <w:tcPr>
            <w:tcW w:w="1985" w:type="dxa"/>
            <w:vAlign w:val="center"/>
            <w:hideMark/>
          </w:tcPr>
          <w:p w:rsidRPr="008D1918" w:rsidR="000E3523" w:rsidP="006D1277" w:rsidRDefault="000E3523" w14:paraId="229B0F86"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$225,100</w:t>
            </w:r>
          </w:p>
        </w:tc>
        <w:tc>
          <w:tcPr>
            <w:tcW w:w="1418" w:type="dxa"/>
            <w:vAlign w:val="center"/>
            <w:hideMark/>
          </w:tcPr>
          <w:p w:rsidRPr="008D1918" w:rsidR="000E3523" w:rsidP="006D1277" w:rsidRDefault="000E3523" w14:paraId="31AF4113"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+8.9%</w:t>
            </w:r>
          </w:p>
        </w:tc>
      </w:tr>
    </w:tbl>
    <w:p w:rsidRPr="008D1918" w:rsidR="000E3523" w:rsidRDefault="000E3523" w14:paraId="29A934A5" w14:textId="77777777">
      <w:pPr>
        <w:spacing w:before="120" w:after="360" w:line="240" w:lineRule="atLeast"/>
        <w:rPr>
          <w:rFonts w:cs="Calibri" w:eastAsiaTheme="minorEastAsia"/>
          <w:b/>
          <w:sz w:val="20"/>
          <w:szCs w:val="20"/>
          <w:lang w:val="en-AU"/>
        </w:rPr>
      </w:pPr>
      <w:r w:rsidRPr="008D1918">
        <w:rPr>
          <w:rFonts w:cs="Calibri" w:eastAsiaTheme="minorEastAsia"/>
          <w:b/>
          <w:sz w:val="20"/>
          <w:szCs w:val="20"/>
          <w:lang w:val="en-AU"/>
        </w:rPr>
        <w:t>Source: NDIS internal administrative data  </w:t>
      </w:r>
    </w:p>
    <w:p w:rsidRPr="008D1918" w:rsidR="000E3523" w:rsidP="00B912CE" w:rsidRDefault="00B912CE" w14:paraId="5B556366" w14:textId="7684E75B">
      <w:pPr>
        <w:pStyle w:val="Caption"/>
        <w:rPr>
          <w:rFonts w:cs="Arial"/>
          <w:i w:val="0"/>
          <w:color w:val="6B2876" w:themeColor="accent5"/>
          <w:lang w:eastAsia="en-AU"/>
        </w:rPr>
      </w:pPr>
      <w:bookmarkStart w:name="_Ref223687015" w:id="907"/>
      <w:r w:rsidRPr="008D1918">
        <w:t xml:space="preserve">Table </w:t>
      </w:r>
      <w:r>
        <w:fldChar w:fldCharType="begin"/>
      </w:r>
      <w:r>
        <w:instrText>SEQ Table \* ARABIC</w:instrText>
      </w:r>
      <w:r>
        <w:fldChar w:fldCharType="separate"/>
      </w:r>
      <w:r w:rsidR="008F56A2">
        <w:rPr>
          <w:noProof/>
        </w:rPr>
        <w:t>14</w:t>
      </w:r>
      <w:r>
        <w:fldChar w:fldCharType="end"/>
      </w:r>
      <w:bookmarkEnd w:id="907"/>
      <w:r w:rsidRPr="008D1918" w:rsidR="000E3523">
        <w:rPr>
          <w:rFonts w:cs="Arial"/>
          <w:color w:val="6B2876" w:themeColor="accent5"/>
          <w:lang w:eastAsia="en-AU"/>
        </w:rPr>
        <w:t xml:space="preserve">: Therapy supports </w:t>
      </w:r>
      <w:r w:rsidRPr="008D1918" w:rsidR="001A0CEC">
        <w:rPr>
          <w:rFonts w:cs="Arial"/>
          <w:color w:val="6B2876" w:themeColor="accent5"/>
          <w:lang w:eastAsia="en-AU"/>
        </w:rPr>
        <w:t>S</w:t>
      </w:r>
      <w:r w:rsidRPr="008D1918" w:rsidR="000E3523">
        <w:rPr>
          <w:rFonts w:cs="Arial"/>
          <w:color w:val="6B2876" w:themeColor="accent5"/>
          <w:lang w:eastAsia="en-AU"/>
        </w:rPr>
        <w:t>cheme statistics – unregistered providers</w:t>
      </w:r>
      <w:r w:rsidRPr="008D1918" w:rsidR="001A0CEC">
        <w:rPr>
          <w:rFonts w:cs="Arial"/>
          <w:color w:val="6B2876" w:themeColor="accent5"/>
          <w:lang w:eastAsia="en-AU"/>
        </w:rPr>
        <w:t>,</w:t>
      </w:r>
      <w:r w:rsidRPr="008D1918" w:rsidR="00381F9D">
        <w:rPr>
          <w:rFonts w:cs="Arial"/>
          <w:color w:val="6B2876" w:themeColor="accent5"/>
          <w:lang w:eastAsia="en-AU"/>
        </w:rPr>
        <w:t xml:space="preserve"> July 2024 to December 2025</w:t>
      </w:r>
    </w:p>
    <w:tbl>
      <w:tblPr>
        <w:tblStyle w:val="GridTable4-Accent121"/>
        <w:tblW w:w="0" w:type="auto"/>
        <w:tblInd w:w="5" w:type="dxa"/>
        <w:tblLayout w:type="fixed"/>
        <w:tblLook w:val="04A0" w:firstRow="1" w:lastRow="0" w:firstColumn="1" w:lastColumn="0" w:noHBand="0" w:noVBand="1"/>
      </w:tblPr>
      <w:tblGrid>
        <w:gridCol w:w="3629"/>
        <w:gridCol w:w="1988"/>
        <w:gridCol w:w="1988"/>
        <w:gridCol w:w="1418"/>
      </w:tblGrid>
      <w:tr w:rsidRPr="008D1918" w:rsidR="00A238C6" w:rsidTr="007561ED" w14:paraId="63020C7F" w14:textId="77777777">
        <w:trPr>
          <w:cnfStyle w:val="100000000000" w:firstRow="1" w:lastRow="0" w:firstColumn="0" w:lastColumn="0" w:oddVBand="0" w:evenVBand="0" w:oddHBand="0" w:evenHBand="0" w:firstRowFirstColumn="0" w:firstRowLastColumn="0" w:lastRowFirstColumn="0" w:lastRowLastColumn="0"/>
          <w:trHeight w:val="645"/>
          <w:tblHeader/>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7561ED" w:rsidRDefault="000E3523" w14:paraId="75D32880" w14:textId="77777777">
            <w:pPr>
              <w:spacing w:before="60" w:after="60"/>
              <w:rPr>
                <w:rFonts w:cs="Arial"/>
                <w:b w:val="0"/>
                <w:sz w:val="20"/>
                <w:szCs w:val="20"/>
                <w:lang w:val="en-AU" w:eastAsia="en-AU"/>
              </w:rPr>
            </w:pPr>
            <w:r w:rsidRPr="008D1918">
              <w:rPr>
                <w:rFonts w:cs="Arial"/>
                <w:sz w:val="20"/>
                <w:szCs w:val="20"/>
                <w:lang w:val="en-AU" w:eastAsia="en-AU"/>
              </w:rPr>
              <w:t>Unregistered providers</w:t>
            </w:r>
          </w:p>
        </w:tc>
        <w:tc>
          <w:tcPr>
            <w:tcW w:w="1988" w:type="dxa"/>
            <w:vAlign w:val="center"/>
            <w:hideMark/>
          </w:tcPr>
          <w:p w:rsidRPr="008D1918" w:rsidR="000E3523" w:rsidP="007561ED" w:rsidRDefault="000E3523" w14:paraId="40C5BEA5"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2024</w:t>
            </w:r>
          </w:p>
        </w:tc>
        <w:tc>
          <w:tcPr>
            <w:tcW w:w="1988" w:type="dxa"/>
            <w:vAlign w:val="center"/>
            <w:hideMark/>
          </w:tcPr>
          <w:p w:rsidRPr="008D1918" w:rsidR="000E3523" w:rsidP="007561ED" w:rsidRDefault="000E3523" w14:paraId="7D2F9B6D"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2025</w:t>
            </w:r>
          </w:p>
        </w:tc>
        <w:tc>
          <w:tcPr>
            <w:tcW w:w="1418" w:type="dxa"/>
            <w:vAlign w:val="center"/>
            <w:hideMark/>
          </w:tcPr>
          <w:p w:rsidRPr="008D1918" w:rsidR="000E3523" w:rsidP="007561ED" w:rsidRDefault="000E3523" w14:paraId="266A9C7C" w14:textId="50EC4A6A">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 xml:space="preserve">Percentage </w:t>
            </w:r>
            <w:r w:rsidRPr="008D1918" w:rsidR="007561ED">
              <w:rPr>
                <w:rFonts w:cs="Arial"/>
                <w:sz w:val="20"/>
                <w:szCs w:val="20"/>
                <w:lang w:val="en-AU" w:eastAsia="en-AU"/>
              </w:rPr>
              <w:t>c</w:t>
            </w:r>
            <w:r w:rsidRPr="008D1918">
              <w:rPr>
                <w:rFonts w:cs="Arial"/>
                <w:sz w:val="20"/>
                <w:szCs w:val="20"/>
                <w:lang w:val="en-AU" w:eastAsia="en-AU"/>
              </w:rPr>
              <w:t>hange</w:t>
            </w:r>
          </w:p>
        </w:tc>
      </w:tr>
      <w:tr w:rsidRPr="008D1918" w:rsidR="00A238C6" w:rsidTr="006D1277" w14:paraId="2EA55F1F"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6D1277" w:rsidRDefault="000E3523" w14:paraId="60A660F7" w14:textId="77777777">
            <w:pPr>
              <w:spacing w:before="60" w:after="60"/>
              <w:rPr>
                <w:rFonts w:cs="Arial"/>
                <w:sz w:val="20"/>
                <w:szCs w:val="20"/>
                <w:lang w:val="en-AU" w:eastAsia="en-AU"/>
              </w:rPr>
            </w:pPr>
            <w:r w:rsidRPr="008D1918">
              <w:rPr>
                <w:rFonts w:cs="Arial"/>
                <w:sz w:val="20"/>
                <w:szCs w:val="20"/>
                <w:lang w:val="en-AU" w:eastAsia="en-AU"/>
              </w:rPr>
              <w:t>Number of NDIS participants</w:t>
            </w:r>
          </w:p>
        </w:tc>
        <w:tc>
          <w:tcPr>
            <w:tcW w:w="1988" w:type="dxa"/>
            <w:vAlign w:val="center"/>
            <w:hideMark/>
          </w:tcPr>
          <w:p w:rsidRPr="008D1918" w:rsidR="000E3523" w:rsidP="006D1277" w:rsidRDefault="000E3523" w14:paraId="69E2D518"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255,389</w:t>
            </w:r>
          </w:p>
        </w:tc>
        <w:tc>
          <w:tcPr>
            <w:tcW w:w="1988" w:type="dxa"/>
            <w:vAlign w:val="center"/>
            <w:hideMark/>
          </w:tcPr>
          <w:p w:rsidRPr="008D1918" w:rsidR="000E3523" w:rsidP="006D1277" w:rsidRDefault="000E3523" w14:paraId="3E15F31A"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290,644</w:t>
            </w:r>
          </w:p>
        </w:tc>
        <w:tc>
          <w:tcPr>
            <w:tcW w:w="1418" w:type="dxa"/>
            <w:vAlign w:val="center"/>
            <w:hideMark/>
          </w:tcPr>
          <w:p w:rsidRPr="008D1918" w:rsidR="000E3523" w:rsidP="006D1277" w:rsidRDefault="000E3523" w14:paraId="6B1C102C"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+13.8%</w:t>
            </w:r>
          </w:p>
        </w:tc>
      </w:tr>
      <w:tr w:rsidRPr="008D1918" w:rsidR="000E3523" w:rsidTr="006D1277" w14:paraId="5A8CB880" w14:textId="77777777">
        <w:trPr>
          <w:trHeight w:val="315"/>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6D1277" w:rsidRDefault="000E3523" w14:paraId="193EFAE9" w14:textId="77777777">
            <w:pPr>
              <w:spacing w:before="60" w:after="60"/>
              <w:rPr>
                <w:rFonts w:cs="Arial"/>
                <w:color w:val="000000"/>
                <w:sz w:val="20"/>
                <w:szCs w:val="20"/>
                <w:lang w:val="en-AU" w:eastAsia="en-AU"/>
              </w:rPr>
            </w:pPr>
            <w:r w:rsidRPr="008D1918">
              <w:rPr>
                <w:rFonts w:cs="Arial"/>
                <w:color w:val="000000"/>
                <w:sz w:val="20"/>
                <w:szCs w:val="20"/>
                <w:lang w:val="en-AU" w:eastAsia="en-AU"/>
              </w:rPr>
              <w:t>Number of active providers</w:t>
            </w:r>
          </w:p>
        </w:tc>
        <w:tc>
          <w:tcPr>
            <w:tcW w:w="1988" w:type="dxa"/>
            <w:vAlign w:val="center"/>
            <w:hideMark/>
          </w:tcPr>
          <w:p w:rsidRPr="008D1918" w:rsidR="000E3523" w:rsidP="006D1277" w:rsidRDefault="000E3523" w14:paraId="202C7D89"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48,709</w:t>
            </w:r>
          </w:p>
        </w:tc>
        <w:tc>
          <w:tcPr>
            <w:tcW w:w="1988" w:type="dxa"/>
            <w:vAlign w:val="center"/>
            <w:hideMark/>
          </w:tcPr>
          <w:p w:rsidRPr="008D1918" w:rsidR="000E3523" w:rsidP="006D1277" w:rsidRDefault="000E3523" w14:paraId="65D8AFC8"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46,330</w:t>
            </w:r>
          </w:p>
        </w:tc>
        <w:tc>
          <w:tcPr>
            <w:tcW w:w="1418" w:type="dxa"/>
            <w:vAlign w:val="center"/>
            <w:hideMark/>
          </w:tcPr>
          <w:p w:rsidRPr="008D1918" w:rsidR="000E3523" w:rsidP="006D1277" w:rsidRDefault="000E3523" w14:paraId="44DC82A4"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-4.9%</w:t>
            </w:r>
          </w:p>
        </w:tc>
      </w:tr>
      <w:tr w:rsidRPr="008D1918" w:rsidR="00A238C6" w:rsidTr="006D1277" w14:paraId="6D531DCE"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6D1277" w:rsidRDefault="000E3523" w14:paraId="638EE80E" w14:textId="77777777">
            <w:pPr>
              <w:spacing w:before="60" w:after="60"/>
              <w:rPr>
                <w:rFonts w:cs="Arial"/>
                <w:sz w:val="20"/>
                <w:szCs w:val="20"/>
                <w:lang w:val="en-AU" w:eastAsia="en-AU"/>
              </w:rPr>
            </w:pPr>
            <w:r w:rsidRPr="008D1918">
              <w:rPr>
                <w:rFonts w:cs="Arial"/>
                <w:sz w:val="20"/>
                <w:szCs w:val="20"/>
                <w:lang w:val="en-AU" w:eastAsia="en-AU"/>
              </w:rPr>
              <w:t>Total amount claimed by active providers of Therapy supports</w:t>
            </w:r>
          </w:p>
        </w:tc>
        <w:tc>
          <w:tcPr>
            <w:tcW w:w="1988" w:type="dxa"/>
            <w:vAlign w:val="center"/>
            <w:hideMark/>
          </w:tcPr>
          <w:p w:rsidRPr="008D1918" w:rsidR="000E3523" w:rsidP="006D1277" w:rsidRDefault="000E3523" w14:paraId="7C694DF4"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$0.9 billion</w:t>
            </w:r>
          </w:p>
        </w:tc>
        <w:tc>
          <w:tcPr>
            <w:tcW w:w="1988" w:type="dxa"/>
            <w:vAlign w:val="center"/>
            <w:hideMark/>
          </w:tcPr>
          <w:p w:rsidRPr="008D1918" w:rsidR="000E3523" w:rsidP="006D1277" w:rsidRDefault="000E3523" w14:paraId="6EE086EB"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$1.0 billion</w:t>
            </w:r>
          </w:p>
        </w:tc>
        <w:tc>
          <w:tcPr>
            <w:tcW w:w="1418" w:type="dxa"/>
            <w:vAlign w:val="center"/>
            <w:hideMark/>
          </w:tcPr>
          <w:p w:rsidRPr="008D1918" w:rsidR="000E3523" w:rsidP="006D1277" w:rsidRDefault="000E3523" w14:paraId="36A4DA2F"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+12.0%</w:t>
            </w:r>
          </w:p>
        </w:tc>
      </w:tr>
      <w:tr w:rsidRPr="008D1918" w:rsidR="000E3523" w:rsidTr="006D1277" w14:paraId="2080AF83" w14:textId="77777777">
        <w:trPr>
          <w:trHeight w:val="615"/>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0E3523" w:rsidP="006D1277" w:rsidRDefault="000E3523" w14:paraId="28AB54C9" w14:textId="77777777">
            <w:pPr>
              <w:spacing w:before="60" w:after="60"/>
              <w:rPr>
                <w:rFonts w:cs="Arial"/>
                <w:color w:val="000000"/>
                <w:sz w:val="20"/>
                <w:szCs w:val="20"/>
                <w:lang w:val="en-AU" w:eastAsia="en-AU"/>
              </w:rPr>
            </w:pPr>
            <w:r w:rsidRPr="008D1918">
              <w:rPr>
                <w:rFonts w:cs="Arial"/>
                <w:color w:val="000000"/>
                <w:sz w:val="20"/>
                <w:szCs w:val="20"/>
                <w:lang w:val="en-AU" w:eastAsia="en-AU"/>
              </w:rPr>
              <w:t>Average amount claimed by all active providers of Therapy supports</w:t>
            </w:r>
          </w:p>
        </w:tc>
        <w:tc>
          <w:tcPr>
            <w:tcW w:w="1988" w:type="dxa"/>
            <w:vAlign w:val="center"/>
            <w:hideMark/>
          </w:tcPr>
          <w:p w:rsidRPr="008D1918" w:rsidR="000E3523" w:rsidP="006D1277" w:rsidRDefault="000E3523" w14:paraId="4FE05AB1"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$18,600</w:t>
            </w:r>
          </w:p>
        </w:tc>
        <w:tc>
          <w:tcPr>
            <w:tcW w:w="1988" w:type="dxa"/>
            <w:vAlign w:val="center"/>
            <w:hideMark/>
          </w:tcPr>
          <w:p w:rsidRPr="008D1918" w:rsidR="000E3523" w:rsidP="006D1277" w:rsidRDefault="000E3523" w14:paraId="6D041090"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$22,000</w:t>
            </w:r>
          </w:p>
        </w:tc>
        <w:tc>
          <w:tcPr>
            <w:tcW w:w="1418" w:type="dxa"/>
            <w:vAlign w:val="center"/>
            <w:hideMark/>
          </w:tcPr>
          <w:p w:rsidRPr="008D1918" w:rsidR="000E3523" w:rsidP="006D1277" w:rsidRDefault="000E3523" w14:paraId="4FFC6377"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+18.3%</w:t>
            </w:r>
          </w:p>
        </w:tc>
      </w:tr>
    </w:tbl>
    <w:p w:rsidRPr="008D1918" w:rsidR="000E3523" w:rsidRDefault="000E3523" w14:paraId="03DA01EB" w14:textId="77777777">
      <w:pPr>
        <w:spacing w:before="120" w:after="60" w:line="240" w:lineRule="atLeast"/>
        <w:rPr>
          <w:rFonts w:cs="Calibri" w:eastAsiaTheme="minorEastAsia"/>
          <w:b/>
          <w:sz w:val="20"/>
          <w:szCs w:val="20"/>
          <w:lang w:val="en-AU"/>
        </w:rPr>
      </w:pPr>
      <w:r w:rsidRPr="008D1918">
        <w:rPr>
          <w:rFonts w:cs="Calibri" w:eastAsiaTheme="minorEastAsia"/>
          <w:b/>
          <w:sz w:val="20"/>
          <w:szCs w:val="20"/>
          <w:lang w:val="en-AU"/>
        </w:rPr>
        <w:t>Source: NDIS internal administrative data </w:t>
      </w:r>
    </w:p>
    <w:p w:rsidRPr="008D1918" w:rsidR="000E3523" w:rsidP="002B66D6" w:rsidRDefault="000E3523" w14:paraId="52D40380" w14:textId="57DCD611">
      <w:pPr>
        <w:spacing w:before="120" w:after="360" w:line="240" w:lineRule="atLeast"/>
        <w:rPr>
          <w:rFonts w:eastAsia="DengXian" w:cs="Calibri"/>
          <w:sz w:val="20"/>
          <w:szCs w:val="20"/>
          <w:lang w:val="en-AU"/>
        </w:rPr>
      </w:pPr>
      <w:r w:rsidRPr="008D1918">
        <w:rPr>
          <w:rFonts w:cs="Arial"/>
          <w:sz w:val="20"/>
          <w:szCs w:val="20"/>
          <w:lang w:val="en-AU" w:eastAsia="en-AU"/>
        </w:rPr>
        <w:t xml:space="preserve">Note: The totals for registered and unregistered providers may not match the overall provider count due to </w:t>
      </w:r>
      <w:r w:rsidRPr="008D1918" w:rsidR="00AE24CC">
        <w:rPr>
          <w:rFonts w:cs="Arial"/>
          <w:sz w:val="20"/>
          <w:szCs w:val="20"/>
          <w:lang w:val="en-AU" w:eastAsia="en-AU"/>
        </w:rPr>
        <w:t xml:space="preserve">2 </w:t>
      </w:r>
      <w:r w:rsidRPr="008D1918">
        <w:rPr>
          <w:rFonts w:cs="Arial"/>
          <w:sz w:val="20"/>
          <w:szCs w:val="20"/>
          <w:lang w:val="en-AU" w:eastAsia="en-AU"/>
        </w:rPr>
        <w:t>factors: 1) Provider registration status may change during the period and are counted towards both categories, 2) A small fraction of providers with unspecified registration status are included in the total count but not detailed in the table.</w:t>
      </w:r>
    </w:p>
    <w:p w:rsidRPr="008D1918" w:rsidR="000E3523" w:rsidP="00142C3F" w:rsidRDefault="000E3523" w14:paraId="2A9721E3" w14:textId="0B7F1D7F">
      <w:pPr>
        <w:pStyle w:val="Caption"/>
        <w:rPr>
          <w:rFonts w:eastAsia="DengXian" w:cs="Cordia New"/>
          <w:i w:val="0"/>
          <w:color w:val="6B2876" w:themeColor="accent5"/>
        </w:rPr>
      </w:pPr>
      <w:bookmarkStart w:name="_Ref195540694" w:id="908"/>
      <w:bookmarkStart w:name="_Ref223624293" w:id="909"/>
      <w:r w:rsidRPr="008D1918">
        <w:t>Figure</w:t>
      </w:r>
      <w:bookmarkEnd w:id="908"/>
      <w:r w:rsidRPr="008D1918" w:rsidR="00142C3F">
        <w:t xml:space="preserve"> </w:t>
      </w:r>
      <w:r>
        <w:fldChar w:fldCharType="begin"/>
      </w:r>
      <w:r>
        <w:instrText>SEQ Figure \* ARABIC</w:instrText>
      </w:r>
      <w:r>
        <w:fldChar w:fldCharType="separate"/>
      </w:r>
      <w:r w:rsidR="008F56A2">
        <w:rPr>
          <w:noProof/>
        </w:rPr>
        <w:t>12</w:t>
      </w:r>
      <w:r>
        <w:fldChar w:fldCharType="end"/>
      </w:r>
      <w:bookmarkEnd w:id="909"/>
      <w:r w:rsidRPr="008D1918">
        <w:rPr>
          <w:color w:val="6B2876" w:themeColor="accent5"/>
        </w:rPr>
        <w:t>: Total payments for therapy support items by provider registration status, January 2023 to December 2025</w:t>
      </w:r>
    </w:p>
    <w:p w:rsidRPr="008D1918" w:rsidR="00064FFF" w:rsidRDefault="00064FFF" w14:paraId="4AAE988D" w14:textId="7366751A">
      <w:pPr>
        <w:spacing w:after="360"/>
        <w:jc w:val="center"/>
        <w:rPr>
          <w:lang w:val="en-AU"/>
        </w:rPr>
      </w:pPr>
      <w:r w:rsidRPr="008D1918">
        <w:rPr>
          <w:noProof/>
          <w:lang w:val="en-AU"/>
        </w:rPr>
        <w:drawing>
          <wp:inline distT="0" distB="0" distL="0" distR="0" wp14:anchorId="7618BA66" wp14:editId="35C02472">
            <wp:extent cx="5680800" cy="3290400"/>
            <wp:effectExtent l="0" t="0" r="0" b="5715"/>
            <wp:docPr id="6374878" name="Picture 2" descr="Figure 12: A stacked bar graph showing total payments for therapy support items by provider registration status, from January 2023 to December 2025.&#10;This graph shows that payments to registered therapy providers have decreased from 68% to 61% over the period, and payments to unregistered providers have increased from 31 to 38%. There are 1% of payments made to providers with unknown registration, which is consistent over the period. Source: NDIS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878" name="Picture 2" descr="Figure 12: A stacked bar graph showing total payments for therapy support items by provider registration status, from January 2023 to December 2025.&#10;This graph shows that payments to registered therapy providers have decreased from 68% to 61% over the period, and payments to unregistered providers have increased from 31 to 38%. There are 1% of payments made to providers with unknown registration, which is consistent over the period. Source: NDIS internal dat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D74DC9" w:rsidRDefault="00D74DC9" w14:paraId="3882A866" w14:textId="56B9CC50">
      <w:pPr>
        <w:rPr>
          <w:rFonts w:cs="Arial"/>
          <w:sz w:val="20"/>
          <w:szCs w:val="20"/>
          <w:lang w:val="en-AU" w:eastAsia="en-AU"/>
        </w:rPr>
      </w:pPr>
      <w:r w:rsidRPr="008D1918">
        <w:rPr>
          <w:rFonts w:cs="Arial"/>
          <w:sz w:val="20"/>
          <w:szCs w:val="20"/>
          <w:lang w:val="en-AU" w:eastAsia="en-AU"/>
        </w:rPr>
        <w:t>Note: Numbers may not add to 100% due to rounding.</w:t>
      </w:r>
    </w:p>
    <w:p w:rsidRPr="008D1918" w:rsidR="000E3523" w:rsidRDefault="00887865" w14:paraId="12E27378" w14:textId="69EF4081">
      <w:pPr>
        <w:rPr>
          <w:lang w:val="en-AU"/>
        </w:rPr>
      </w:pPr>
      <w:r w:rsidRPr="008D1918">
        <w:rPr>
          <w:lang w:val="en-AU"/>
        </w:rPr>
        <w:t>From January 2023 to mid-2024, both provider numbers and participant demand grew, though participant growth outpaced provider growth throughout</w:t>
      </w:r>
      <w:r w:rsidRPr="008D1918" w:rsidR="001E6133">
        <w:rPr>
          <w:lang w:val="en-AU"/>
        </w:rPr>
        <w:t xml:space="preserve"> this period</w:t>
      </w:r>
      <w:r w:rsidRPr="008D1918">
        <w:rPr>
          <w:lang w:val="en-AU"/>
        </w:rPr>
        <w:t>. From mid-2024, the pattern shifted</w:t>
      </w:r>
      <w:r w:rsidRPr="008D1918" w:rsidR="001E6133">
        <w:rPr>
          <w:lang w:val="en-AU"/>
        </w:rPr>
        <w:t>:</w:t>
      </w:r>
      <w:r w:rsidRPr="008D1918">
        <w:rPr>
          <w:lang w:val="en-AU"/>
        </w:rPr>
        <w:t xml:space="preserve"> active provider numbers peaked at 55,366 in the July-December 2024 period and declined to 53,205 by December 2025, a fall of 3.9</w:t>
      </w:r>
      <w:r w:rsidRPr="008D1918" w:rsidR="002E6F42">
        <w:rPr>
          <w:lang w:val="en-AU"/>
        </w:rPr>
        <w:t>%</w:t>
      </w:r>
      <w:r w:rsidRPr="008D1918">
        <w:rPr>
          <w:lang w:val="en-AU"/>
        </w:rPr>
        <w:t xml:space="preserve">, while participant numbers continued to </w:t>
      </w:r>
      <w:r w:rsidRPr="008D1918" w:rsidR="005342B9">
        <w:rPr>
          <w:lang w:val="en-AU"/>
        </w:rPr>
        <w:t>rise</w:t>
      </w:r>
      <w:r w:rsidRPr="008D1918">
        <w:rPr>
          <w:lang w:val="en-AU"/>
        </w:rPr>
        <w:t>, reaching 465,602 by December 2025, up 12.8</w:t>
      </w:r>
      <w:r w:rsidRPr="008D1918" w:rsidR="002E6F42">
        <w:rPr>
          <w:lang w:val="en-AU"/>
        </w:rPr>
        <w:t>%</w:t>
      </w:r>
      <w:r w:rsidRPr="008D1918">
        <w:rPr>
          <w:lang w:val="en-AU"/>
        </w:rPr>
        <w:t xml:space="preserve"> on the same period in 2024</w:t>
      </w:r>
      <w:r w:rsidRPr="008D1918" w:rsidR="000E3523">
        <w:rPr>
          <w:lang w:val="en-AU"/>
        </w:rPr>
        <w:t xml:space="preserve"> </w:t>
      </w:r>
      <w:r w:rsidRPr="008D1918" w:rsidR="009D5661">
        <w:rPr>
          <w:lang w:val="en-AU"/>
        </w:rPr>
        <w:t>(</w:t>
      </w:r>
      <w:r w:rsidRPr="008D1918" w:rsidR="002F219E">
        <w:rPr>
          <w:lang w:val="en-AU"/>
        </w:rPr>
        <w:fldChar w:fldCharType="begin"/>
      </w:r>
      <w:r w:rsidRPr="008D1918" w:rsidR="002F219E">
        <w:rPr>
          <w:lang w:val="en-AU"/>
        </w:rPr>
        <w:instrText xml:space="preserve"> REF _Ref223624348 \h </w:instrText>
      </w:r>
      <w:r w:rsidRPr="008D1918" w:rsidR="00762DF8">
        <w:rPr>
          <w:lang w:val="en-AU"/>
        </w:rPr>
        <w:instrText xml:space="preserve"> \* MERGEFORMAT </w:instrText>
      </w:r>
      <w:r w:rsidRPr="008D1918" w:rsidR="002F219E">
        <w:rPr>
          <w:lang w:val="en-AU"/>
        </w:rPr>
      </w:r>
      <w:r w:rsidRPr="008D1918" w:rsidR="002F219E">
        <w:rPr>
          <w:lang w:val="en-AU"/>
        </w:rPr>
        <w:fldChar w:fldCharType="separate"/>
      </w:r>
      <w:r w:rsidRPr="008F56A2" w:rsidR="008F56A2">
        <w:rPr>
          <w:lang w:val="en-AU"/>
        </w:rPr>
        <w:t>Figure</w:t>
      </w:r>
      <w:r w:rsidRPr="008D1918" w:rsidR="008F56A2">
        <w:t xml:space="preserve"> </w:t>
      </w:r>
      <w:r w:rsidR="008F56A2">
        <w:rPr>
          <w:noProof/>
        </w:rPr>
        <w:t>13</w:t>
      </w:r>
      <w:r w:rsidRPr="008D1918" w:rsidR="002F219E">
        <w:rPr>
          <w:lang w:val="en-AU"/>
        </w:rPr>
        <w:fldChar w:fldCharType="end"/>
      </w:r>
      <w:r w:rsidRPr="008D1918" w:rsidR="009D5661">
        <w:rPr>
          <w:lang w:val="en-AU"/>
        </w:rPr>
        <w:t>)</w:t>
      </w:r>
      <w:r w:rsidRPr="008D1918" w:rsidR="000E3523">
        <w:rPr>
          <w:lang w:val="en-AU"/>
        </w:rPr>
        <w:t>.</w:t>
      </w:r>
    </w:p>
    <w:p w:rsidRPr="008D1918" w:rsidR="00887865" w:rsidRDefault="00887865" w14:paraId="6CC69F07" w14:textId="0A809EC8">
      <w:pPr>
        <w:rPr>
          <w:lang w:val="en-AU"/>
        </w:rPr>
      </w:pPr>
      <w:r w:rsidRPr="008D1918">
        <w:rPr>
          <w:lang w:val="en-AU"/>
        </w:rPr>
        <w:t>The decline in active providers is driven entirely by the unregistered segment, where provider numbers fell 4.9</w:t>
      </w:r>
      <w:r w:rsidRPr="008D1918" w:rsidR="002E6F42">
        <w:rPr>
          <w:lang w:val="en-AU"/>
        </w:rPr>
        <w:t>%</w:t>
      </w:r>
      <w:r w:rsidRPr="008D1918">
        <w:rPr>
          <w:lang w:val="en-AU"/>
        </w:rPr>
        <w:t xml:space="preserve"> (from 48,709 to 46,330), while registered provider numbers were broadly stable (up 0.5</w:t>
      </w:r>
      <w:r w:rsidRPr="008D1918" w:rsidR="002E6F42">
        <w:rPr>
          <w:lang w:val="en-AU"/>
        </w:rPr>
        <w:t>%</w:t>
      </w:r>
      <w:r w:rsidRPr="008D1918">
        <w:rPr>
          <w:lang w:val="en-AU"/>
        </w:rPr>
        <w:t xml:space="preserve"> from 7,237 to 7,247). This suggests the overall contraction reflects churn and exit among smaller, unregistered providers</w:t>
      </w:r>
      <w:r w:rsidR="00014A4A">
        <w:rPr>
          <w:lang w:val="en-AU"/>
        </w:rPr>
        <w:t>,</w:t>
      </w:r>
      <w:r w:rsidRPr="008D1918">
        <w:rPr>
          <w:lang w:val="en-AU"/>
        </w:rPr>
        <w:t xml:space="preserve"> rather than a broad market withdrawal. </w:t>
      </w:r>
    </w:p>
    <w:p w:rsidRPr="008D1918" w:rsidR="00887865" w:rsidRDefault="00887865" w14:paraId="415B7417" w14:textId="3EB23E03">
      <w:pPr>
        <w:rPr>
          <w:lang w:val="en-AU"/>
        </w:rPr>
      </w:pPr>
      <w:r w:rsidRPr="008D1918">
        <w:rPr>
          <w:lang w:val="en-AU"/>
        </w:rPr>
        <w:t xml:space="preserve">Taken together, growing participant demand and </w:t>
      </w:r>
      <w:r w:rsidR="00B036F5">
        <w:rPr>
          <w:lang w:val="en-AU"/>
        </w:rPr>
        <w:t xml:space="preserve">a </w:t>
      </w:r>
      <w:r w:rsidRPr="008D1918">
        <w:rPr>
          <w:lang w:val="en-AU"/>
        </w:rPr>
        <w:t>contracting unregistered provider base means an increasing share of therapy demand is being absorbed by a stable registered provider cohort</w:t>
      </w:r>
      <w:r w:rsidR="0046524E">
        <w:rPr>
          <w:lang w:val="en-AU"/>
        </w:rPr>
        <w:t>. This is</w:t>
      </w:r>
      <w:r w:rsidRPr="008D1918">
        <w:rPr>
          <w:lang w:val="en-AU"/>
        </w:rPr>
        <w:t xml:space="preserve"> a trend with implications for both access and the distribution of pricing pressure across the market. </w:t>
      </w:r>
    </w:p>
    <w:p w:rsidRPr="008D1918" w:rsidR="000E3523" w:rsidP="002F219E" w:rsidRDefault="000E3523" w14:paraId="14747733" w14:textId="5B62A395">
      <w:pPr>
        <w:pStyle w:val="Caption"/>
        <w:rPr>
          <w:i w:val="0"/>
          <w:color w:val="6B2876" w:themeColor="accent5"/>
        </w:rPr>
      </w:pPr>
      <w:bookmarkStart w:name="_Ref223624348" w:id="910"/>
      <w:r w:rsidRPr="008D1918">
        <w:t xml:space="preserve">Figure </w:t>
      </w:r>
      <w:r>
        <w:fldChar w:fldCharType="begin"/>
      </w:r>
      <w:r>
        <w:instrText>SEQ Figure \* ARABIC</w:instrText>
      </w:r>
      <w:r>
        <w:fldChar w:fldCharType="separate"/>
      </w:r>
      <w:r w:rsidR="008F56A2">
        <w:rPr>
          <w:noProof/>
        </w:rPr>
        <w:t>13</w:t>
      </w:r>
      <w:r>
        <w:fldChar w:fldCharType="end"/>
      </w:r>
      <w:bookmarkEnd w:id="910"/>
      <w:r w:rsidRPr="008D1918">
        <w:rPr>
          <w:color w:val="6B2876" w:themeColor="accent5"/>
        </w:rPr>
        <w:t>: Number of participants and providers claiming therapy supports, January 2023 to December 2025</w:t>
      </w:r>
    </w:p>
    <w:p w:rsidRPr="008D1918" w:rsidR="00064FFF" w:rsidRDefault="00064FFF" w14:paraId="3B798E01" w14:textId="036AE6A1">
      <w:pPr>
        <w:spacing w:after="360"/>
        <w:rPr>
          <w:lang w:val="en-AU"/>
        </w:rPr>
      </w:pPr>
      <w:r w:rsidRPr="008D1918">
        <w:rPr>
          <w:noProof/>
          <w:lang w:val="en-AU"/>
        </w:rPr>
        <w:drawing>
          <wp:inline distT="0" distB="0" distL="0" distR="0" wp14:anchorId="3EBDDE71" wp14:editId="093AF8EE">
            <wp:extent cx="5680800" cy="3290400"/>
            <wp:effectExtent l="0" t="0" r="0" b="5715"/>
            <wp:docPr id="2030747339" name="Picture 3" descr="Figure 13: A bar and line graph showing the number of participants and providers claiming therapy supports, from January 2023 to December 2025.&#10;The graph shows that participants receiving therapy supports has increased from 351,488 to 465,602 over the period, providers have remained relatively more stable increasing from 49,500 to 53,205.&#10;&#10;Source: NDIS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47339" name="Picture 3" descr="Figure 13: A bar and line graph showing the number of participants and providers claiming therapy supports, from January 2023 to December 2025.&#10;The graph shows that participants receiving therapy supports has increased from 351,488 to 465,602 over the period, providers have remained relatively more stable increasing from 49,500 to 53,205.&#10;&#10;Source: NDIS internal dat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0E3523" w:rsidP="00041468" w:rsidRDefault="000E3523" w14:paraId="4B7137AA" w14:textId="43CD36AF">
      <w:pPr>
        <w:pStyle w:val="StyleStyle112pt"/>
      </w:pPr>
      <w:bookmarkStart w:name="_Toc223428429" w:id="911"/>
      <w:bookmarkStart w:name="_Toc223445888" w:id="912"/>
      <w:bookmarkStart w:name="_Toc223539678" w:id="913"/>
      <w:bookmarkStart w:name="_Toc223539895" w:id="914"/>
      <w:bookmarkStart w:name="_Toc223540363" w:id="915"/>
      <w:bookmarkStart w:name="_Toc223540579" w:id="916"/>
      <w:bookmarkStart w:name="_Toc223542115" w:id="917"/>
      <w:bookmarkStart w:name="_Toc223604301" w:id="918"/>
      <w:bookmarkStart w:name="_Toc223604512" w:id="919"/>
      <w:bookmarkStart w:name="_Toc223604732" w:id="920"/>
      <w:bookmarkStart w:name="_Toc223618594" w:id="921"/>
      <w:bookmarkStart w:name="_Toc223702831" w:id="922"/>
      <w:bookmarkStart w:name="_Toc227318729" w:id="923"/>
      <w:bookmarkStart w:name="_Toc227337097" w:id="924"/>
      <w:r w:rsidRPr="008D1918">
        <w:t>Business structure – most supports are provided by companies</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rsidRPr="008D1918" w:rsidR="000E3523" w:rsidRDefault="000E3523" w14:paraId="5171496D" w14:textId="1264B41A">
      <w:pPr>
        <w:rPr>
          <w:lang w:val="en-AU"/>
        </w:rPr>
      </w:pPr>
      <w:r w:rsidRPr="008D1918">
        <w:rPr>
          <w:lang w:val="en-AU"/>
        </w:rPr>
        <w:t xml:space="preserve">The therapy market has produced a diversity of provider types that reflect the range of participant needs across the Scheme. As at December 2025, companies accounted for approximately 33% of therapy providers and delivered </w:t>
      </w:r>
      <w:r w:rsidRPr="008D1918" w:rsidR="0097533A">
        <w:rPr>
          <w:lang w:val="en-AU"/>
        </w:rPr>
        <w:t xml:space="preserve">more than </w:t>
      </w:r>
      <w:r w:rsidRPr="008D1918">
        <w:rPr>
          <w:lang w:val="en-AU"/>
        </w:rPr>
        <w:t>70% of total therapy payments, while also supporting the largest number of participants (</w:t>
      </w:r>
      <w:r w:rsidRPr="008D1918" w:rsidR="005736D2">
        <w:rPr>
          <w:lang w:val="en-AU"/>
        </w:rPr>
        <w:fldChar w:fldCharType="begin"/>
      </w:r>
      <w:r w:rsidRPr="008D1918" w:rsidR="005736D2">
        <w:rPr>
          <w:lang w:val="en-AU"/>
        </w:rPr>
        <w:instrText xml:space="preserve"> REF _Ref223689907 \h </w:instrText>
      </w:r>
      <w:r w:rsidRPr="008D1918" w:rsidR="00762DF8">
        <w:rPr>
          <w:lang w:val="en-AU"/>
        </w:rPr>
        <w:instrText xml:space="preserve"> \* MERGEFORMAT </w:instrText>
      </w:r>
      <w:r w:rsidRPr="008D1918" w:rsidR="005736D2">
        <w:rPr>
          <w:lang w:val="en-AU"/>
        </w:rPr>
      </w:r>
      <w:r w:rsidRPr="008D1918" w:rsidR="005736D2">
        <w:rPr>
          <w:lang w:val="en-AU"/>
        </w:rPr>
        <w:fldChar w:fldCharType="separate"/>
      </w:r>
      <w:r w:rsidRPr="008F56A2" w:rsidR="008F56A2">
        <w:rPr>
          <w:lang w:val="en-AU"/>
        </w:rPr>
        <w:t>Table</w:t>
      </w:r>
      <w:r w:rsidRPr="008D1918" w:rsidR="008F56A2">
        <w:t xml:space="preserve"> </w:t>
      </w:r>
      <w:r w:rsidR="008F56A2">
        <w:rPr>
          <w:noProof/>
        </w:rPr>
        <w:t>15</w:t>
      </w:r>
      <w:r w:rsidRPr="008D1918" w:rsidR="005736D2">
        <w:rPr>
          <w:lang w:val="en-AU"/>
        </w:rPr>
        <w:fldChar w:fldCharType="end"/>
      </w:r>
      <w:r w:rsidRPr="008D1918">
        <w:rPr>
          <w:lang w:val="en-AU"/>
        </w:rPr>
        <w:t xml:space="preserve">, </w:t>
      </w:r>
      <w:r w:rsidRPr="008D1918" w:rsidR="005736D2">
        <w:rPr>
          <w:lang w:val="en-AU"/>
        </w:rPr>
        <w:fldChar w:fldCharType="begin"/>
      </w:r>
      <w:r w:rsidRPr="008D1918" w:rsidR="005736D2">
        <w:rPr>
          <w:lang w:val="en-AU"/>
        </w:rPr>
        <w:instrText xml:space="preserve"> REF _Ref223689945 \h </w:instrText>
      </w:r>
      <w:r w:rsidRPr="008D1918" w:rsidR="00762DF8">
        <w:rPr>
          <w:lang w:val="en-AU"/>
        </w:rPr>
        <w:instrText xml:space="preserve"> \* MERGEFORMAT </w:instrText>
      </w:r>
      <w:r w:rsidRPr="008D1918" w:rsidR="005736D2">
        <w:rPr>
          <w:lang w:val="en-AU"/>
        </w:rPr>
      </w:r>
      <w:r w:rsidRPr="008D1918" w:rsidR="005736D2">
        <w:rPr>
          <w:lang w:val="en-AU"/>
        </w:rPr>
        <w:fldChar w:fldCharType="separate"/>
      </w:r>
      <w:r w:rsidRPr="008F56A2" w:rsidR="008F56A2">
        <w:rPr>
          <w:lang w:val="en-AU"/>
        </w:rPr>
        <w:t>Table</w:t>
      </w:r>
      <w:r w:rsidRPr="008D1918" w:rsidR="008F56A2">
        <w:t xml:space="preserve"> </w:t>
      </w:r>
      <w:r w:rsidR="008F56A2">
        <w:rPr>
          <w:noProof/>
        </w:rPr>
        <w:t>16</w:t>
      </w:r>
      <w:r w:rsidRPr="008D1918" w:rsidR="005736D2">
        <w:rPr>
          <w:lang w:val="en-AU"/>
        </w:rPr>
        <w:fldChar w:fldCharType="end"/>
      </w:r>
      <w:r w:rsidRPr="008D1918">
        <w:rPr>
          <w:lang w:val="en-AU"/>
        </w:rPr>
        <w:t xml:space="preserve"> and </w:t>
      </w:r>
      <w:r w:rsidRPr="008D1918" w:rsidR="005736D2">
        <w:rPr>
          <w:lang w:val="en-AU"/>
        </w:rPr>
        <w:fldChar w:fldCharType="begin"/>
      </w:r>
      <w:r w:rsidRPr="008D1918" w:rsidR="005736D2">
        <w:rPr>
          <w:lang w:val="en-AU"/>
        </w:rPr>
        <w:instrText xml:space="preserve"> REF _Ref223689987 \h </w:instrText>
      </w:r>
      <w:r w:rsidRPr="008D1918" w:rsidR="00762DF8">
        <w:rPr>
          <w:lang w:val="en-AU"/>
        </w:rPr>
        <w:instrText xml:space="preserve"> \* MERGEFORMAT </w:instrText>
      </w:r>
      <w:r w:rsidRPr="008D1918" w:rsidR="005736D2">
        <w:rPr>
          <w:lang w:val="en-AU"/>
        </w:rPr>
      </w:r>
      <w:r w:rsidRPr="008D1918" w:rsidR="005736D2">
        <w:rPr>
          <w:lang w:val="en-AU"/>
        </w:rPr>
        <w:fldChar w:fldCharType="separate"/>
      </w:r>
      <w:r w:rsidRPr="008F56A2" w:rsidR="008F56A2">
        <w:rPr>
          <w:lang w:val="en-AU"/>
        </w:rPr>
        <w:t>Table</w:t>
      </w:r>
      <w:r w:rsidRPr="008D1918" w:rsidR="008F56A2">
        <w:t xml:space="preserve"> </w:t>
      </w:r>
      <w:r w:rsidR="008F56A2">
        <w:rPr>
          <w:noProof/>
        </w:rPr>
        <w:t>17</w:t>
      </w:r>
      <w:r w:rsidRPr="008D1918" w:rsidR="005736D2">
        <w:rPr>
          <w:lang w:val="en-AU"/>
        </w:rPr>
        <w:fldChar w:fldCharType="end"/>
      </w:r>
      <w:r w:rsidRPr="008D1918">
        <w:rPr>
          <w:lang w:val="en-AU"/>
        </w:rPr>
        <w:t xml:space="preserve">). Sole traders represented approximately 56% of providers </w:t>
      </w:r>
      <w:r w:rsidRPr="008D1918">
        <w:rPr>
          <w:rFonts w:eastAsia="Segoe UI"/>
          <w:lang w:val="en-AU"/>
        </w:rPr>
        <w:t>but accounted for a substantially smaller share of total payments ($421 million)</w:t>
      </w:r>
      <w:r w:rsidRPr="008D1918">
        <w:rPr>
          <w:lang w:val="en-AU"/>
        </w:rPr>
        <w:t xml:space="preserve"> (</w:t>
      </w:r>
      <w:r w:rsidRPr="008D1918" w:rsidR="005736D2">
        <w:rPr>
          <w:lang w:val="en-AU"/>
        </w:rPr>
        <w:fldChar w:fldCharType="begin"/>
      </w:r>
      <w:r w:rsidRPr="008D1918" w:rsidR="005736D2">
        <w:rPr>
          <w:lang w:val="en-AU"/>
        </w:rPr>
        <w:instrText xml:space="preserve"> REF _Ref223689907 \h  \* MERGEFORMAT </w:instrText>
      </w:r>
      <w:r w:rsidRPr="008D1918" w:rsidR="005736D2">
        <w:rPr>
          <w:lang w:val="en-AU"/>
        </w:rPr>
      </w:r>
      <w:r w:rsidRPr="008D1918" w:rsidR="005736D2">
        <w:rPr>
          <w:lang w:val="en-AU"/>
        </w:rPr>
        <w:fldChar w:fldCharType="separate"/>
      </w:r>
      <w:r w:rsidRPr="008F56A2" w:rsidR="008F56A2">
        <w:rPr>
          <w:lang w:val="en-AU"/>
        </w:rPr>
        <w:t>Table</w:t>
      </w:r>
      <w:r w:rsidRPr="008D1918" w:rsidR="008F56A2">
        <w:t xml:space="preserve"> </w:t>
      </w:r>
      <w:r w:rsidR="008F56A2">
        <w:rPr>
          <w:noProof/>
        </w:rPr>
        <w:t>15</w:t>
      </w:r>
      <w:r w:rsidRPr="008D1918" w:rsidR="005736D2">
        <w:rPr>
          <w:lang w:val="en-AU"/>
        </w:rPr>
        <w:fldChar w:fldCharType="end"/>
      </w:r>
      <w:r w:rsidRPr="008D1918">
        <w:rPr>
          <w:lang w:val="en-AU"/>
        </w:rPr>
        <w:t xml:space="preserve">, </w:t>
      </w:r>
      <w:r w:rsidRPr="008D1918" w:rsidR="005736D2">
        <w:rPr>
          <w:lang w:val="en-AU"/>
        </w:rPr>
        <w:fldChar w:fldCharType="begin"/>
      </w:r>
      <w:r w:rsidRPr="008D1918" w:rsidR="005736D2">
        <w:rPr>
          <w:lang w:val="en-AU"/>
        </w:rPr>
        <w:instrText xml:space="preserve"> REF _Ref223689945 \h  \* MERGEFORMAT </w:instrText>
      </w:r>
      <w:r w:rsidRPr="008D1918" w:rsidR="005736D2">
        <w:rPr>
          <w:lang w:val="en-AU"/>
        </w:rPr>
      </w:r>
      <w:r w:rsidRPr="008D1918" w:rsidR="005736D2">
        <w:rPr>
          <w:lang w:val="en-AU"/>
        </w:rPr>
        <w:fldChar w:fldCharType="separate"/>
      </w:r>
      <w:r w:rsidRPr="008F56A2" w:rsidR="008F56A2">
        <w:rPr>
          <w:lang w:val="en-AU"/>
        </w:rPr>
        <w:t>Table</w:t>
      </w:r>
      <w:r w:rsidRPr="008D1918" w:rsidR="008F56A2">
        <w:t xml:space="preserve"> </w:t>
      </w:r>
      <w:r w:rsidR="008F56A2">
        <w:rPr>
          <w:noProof/>
        </w:rPr>
        <w:t>16</w:t>
      </w:r>
      <w:r w:rsidRPr="008D1918" w:rsidR="005736D2">
        <w:rPr>
          <w:lang w:val="en-AU"/>
        </w:rPr>
        <w:fldChar w:fldCharType="end"/>
      </w:r>
      <w:r w:rsidRPr="008D1918">
        <w:rPr>
          <w:lang w:val="en-AU"/>
        </w:rPr>
        <w:t xml:space="preserve"> and </w:t>
      </w:r>
      <w:r w:rsidRPr="008D1918" w:rsidR="005736D2">
        <w:rPr>
          <w:lang w:val="en-AU"/>
        </w:rPr>
        <w:fldChar w:fldCharType="begin"/>
      </w:r>
      <w:r w:rsidRPr="008D1918" w:rsidR="005736D2">
        <w:rPr>
          <w:lang w:val="en-AU"/>
        </w:rPr>
        <w:instrText xml:space="preserve"> REF _Ref223689987 \h  \* MERGEFORMAT </w:instrText>
      </w:r>
      <w:r w:rsidRPr="008D1918" w:rsidR="005736D2">
        <w:rPr>
          <w:lang w:val="en-AU"/>
        </w:rPr>
      </w:r>
      <w:r w:rsidRPr="008D1918" w:rsidR="005736D2">
        <w:rPr>
          <w:lang w:val="en-AU"/>
        </w:rPr>
        <w:fldChar w:fldCharType="separate"/>
      </w:r>
      <w:r w:rsidRPr="008F56A2" w:rsidR="008F56A2">
        <w:rPr>
          <w:lang w:val="en-AU"/>
        </w:rPr>
        <w:t>Table</w:t>
      </w:r>
      <w:r w:rsidRPr="008D1918" w:rsidR="008F56A2">
        <w:t xml:space="preserve"> </w:t>
      </w:r>
      <w:r w:rsidR="008F56A2">
        <w:rPr>
          <w:noProof/>
        </w:rPr>
        <w:t>17</w:t>
      </w:r>
      <w:r w:rsidRPr="008D1918" w:rsidR="005736D2">
        <w:rPr>
          <w:lang w:val="en-AU"/>
        </w:rPr>
        <w:fldChar w:fldCharType="end"/>
      </w:r>
      <w:r w:rsidRPr="008D1918">
        <w:rPr>
          <w:lang w:val="en-AU"/>
        </w:rPr>
        <w:t>). This distribution reflects the range of service delivery models present in the therapy market. Larger providers tend to operate at scale across broader participant cohorts, while sole traders typically deliver therapy to smaller numbers of participants, often alongside private or Medicare caseloads.</w:t>
      </w:r>
    </w:p>
    <w:p w:rsidRPr="008D1918" w:rsidR="000E3523" w:rsidP="005736D2" w:rsidRDefault="005736D2" w14:paraId="021ABE2E" w14:textId="50D20B5F">
      <w:pPr>
        <w:pStyle w:val="Caption"/>
        <w:rPr>
          <w:rFonts w:cs="Arial"/>
          <w:i w:val="0"/>
          <w:color w:val="6B2876" w:themeColor="accent5"/>
          <w:lang w:eastAsia="en-AU"/>
        </w:rPr>
      </w:pPr>
      <w:bookmarkStart w:name="_Ref223689907" w:id="925"/>
      <w:r w:rsidRPr="008D1918">
        <w:t xml:space="preserve">Table </w:t>
      </w:r>
      <w:r>
        <w:fldChar w:fldCharType="begin"/>
      </w:r>
      <w:r>
        <w:instrText>SEQ Table \* ARABIC</w:instrText>
      </w:r>
      <w:r>
        <w:fldChar w:fldCharType="separate"/>
      </w:r>
      <w:r w:rsidR="008F56A2">
        <w:rPr>
          <w:noProof/>
        </w:rPr>
        <w:t>15</w:t>
      </w:r>
      <w:r>
        <w:fldChar w:fldCharType="end"/>
      </w:r>
      <w:bookmarkEnd w:id="925"/>
      <w:r w:rsidRPr="008D1918" w:rsidR="000E3523">
        <w:rPr>
          <w:rFonts w:cs="Arial"/>
          <w:color w:val="6B2876" w:themeColor="accent5"/>
          <w:lang w:eastAsia="en-AU"/>
        </w:rPr>
        <w:t xml:space="preserve">: Therapy supports </w:t>
      </w:r>
      <w:r w:rsidRPr="008D1918" w:rsidR="00711949">
        <w:rPr>
          <w:rFonts w:cs="Arial"/>
          <w:color w:val="6B2876" w:themeColor="accent5"/>
          <w:lang w:eastAsia="en-AU"/>
        </w:rPr>
        <w:t>S</w:t>
      </w:r>
      <w:r w:rsidRPr="008D1918" w:rsidR="000E3523">
        <w:rPr>
          <w:rFonts w:cs="Arial"/>
          <w:color w:val="6B2876" w:themeColor="accent5"/>
          <w:lang w:eastAsia="en-AU"/>
        </w:rPr>
        <w:t>cheme statistics by legal entity type, July to December 2025 </w:t>
      </w:r>
    </w:p>
    <w:tbl>
      <w:tblPr>
        <w:tblStyle w:val="GridTable4-Accent121"/>
        <w:tblW w:w="0" w:type="dxa"/>
        <w:tblInd w:w="-12" w:type="dxa"/>
        <w:tblLook w:val="04A0" w:firstRow="1" w:lastRow="0" w:firstColumn="1" w:lastColumn="0" w:noHBand="0" w:noVBand="1"/>
        <w:tblCaption w:val="Price limits for Support Coordination Supports"/>
      </w:tblPr>
      <w:tblGrid>
        <w:gridCol w:w="2835"/>
        <w:gridCol w:w="1141"/>
        <w:gridCol w:w="1410"/>
        <w:gridCol w:w="1410"/>
        <w:gridCol w:w="1065"/>
        <w:gridCol w:w="1065"/>
      </w:tblGrid>
      <w:tr w:rsidRPr="008D1918" w:rsidR="00A238C6" w:rsidTr="0030446C" w14:paraId="3B189D51" w14:textId="77777777">
        <w:trPr>
          <w:cnfStyle w:val="100000000000" w:firstRow="1" w:lastRow="0" w:firstColumn="0" w:lastColumn="0" w:oddVBand="0" w:evenVBand="0" w:oddHBand="0" w:evenHBand="0" w:firstRowFirstColumn="0" w:firstRowLastColumn="0" w:lastRowFirstColumn="0" w:lastRowLastColumn="0"/>
          <w:trHeight w:val="555"/>
          <w:tblHeader/>
        </w:trPr>
        <w:tc>
          <w:tcPr>
            <w:cnfStyle w:val="001000000000" w:firstRow="0" w:lastRow="0" w:firstColumn="1" w:lastColumn="0" w:oddVBand="0" w:evenVBand="0" w:oddHBand="0" w:evenHBand="0" w:firstRowFirstColumn="0" w:firstRowLastColumn="0" w:lastRowFirstColumn="0" w:lastRowLastColumn="0"/>
            <w:tcW w:w="2835" w:type="dxa"/>
            <w:vAlign w:val="center"/>
            <w:hideMark/>
          </w:tcPr>
          <w:p w:rsidRPr="008D1918" w:rsidR="000E3523" w:rsidP="00572B48" w:rsidRDefault="000E3523" w14:paraId="56FEAD8C" w14:textId="243F5818">
            <w:pPr>
              <w:keepNext/>
              <w:spacing w:before="60" w:after="60"/>
              <w:rPr>
                <w:rFonts w:cs="Calibri" w:eastAsiaTheme="minorEastAsia"/>
                <w:b w:val="0"/>
                <w:sz w:val="20"/>
                <w:szCs w:val="20"/>
                <w:lang w:val="en-AU"/>
              </w:rPr>
            </w:pPr>
            <w:r w:rsidRPr="008D1918">
              <w:rPr>
                <w:rFonts w:cs="Calibri" w:eastAsiaTheme="minorEastAsia"/>
                <w:sz w:val="20"/>
                <w:szCs w:val="20"/>
                <w:lang w:val="en-AU"/>
              </w:rPr>
              <w:t>Statistics</w:t>
            </w:r>
          </w:p>
        </w:tc>
        <w:tc>
          <w:tcPr>
            <w:tcW w:w="1125" w:type="dxa"/>
            <w:vAlign w:val="center"/>
            <w:hideMark/>
          </w:tcPr>
          <w:p w:rsidRPr="008D1918" w:rsidR="000E3523" w:rsidP="00572B48" w:rsidRDefault="000E3523" w14:paraId="0354AE9B" w14:textId="42D68CAE">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eastAsiaTheme="minorEastAsia"/>
                <w:b w:val="0"/>
                <w:sz w:val="20"/>
                <w:szCs w:val="20"/>
                <w:lang w:val="en-AU"/>
              </w:rPr>
            </w:pPr>
            <w:r w:rsidRPr="008D1918">
              <w:rPr>
                <w:rFonts w:cs="Calibri" w:eastAsiaTheme="minorEastAsia"/>
                <w:sz w:val="20"/>
                <w:szCs w:val="20"/>
                <w:lang w:val="en-AU"/>
              </w:rPr>
              <w:t>Company</w:t>
            </w:r>
          </w:p>
        </w:tc>
        <w:tc>
          <w:tcPr>
            <w:tcW w:w="1410" w:type="dxa"/>
            <w:vAlign w:val="center"/>
            <w:hideMark/>
          </w:tcPr>
          <w:p w:rsidRPr="008D1918" w:rsidR="000E3523" w:rsidP="00572B48" w:rsidRDefault="000E3523" w14:paraId="62BB1326" w14:textId="0C1709B6">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eastAsiaTheme="minorEastAsia"/>
                <w:b w:val="0"/>
                <w:sz w:val="20"/>
                <w:szCs w:val="20"/>
                <w:lang w:val="en-AU"/>
              </w:rPr>
            </w:pPr>
            <w:r w:rsidRPr="008D1918">
              <w:rPr>
                <w:rFonts w:cs="Calibri" w:eastAsiaTheme="minorEastAsia"/>
                <w:sz w:val="20"/>
                <w:szCs w:val="20"/>
                <w:lang w:val="en-AU"/>
              </w:rPr>
              <w:t xml:space="preserve">Government </w:t>
            </w:r>
            <w:r w:rsidRPr="008D1918" w:rsidR="00572B48">
              <w:rPr>
                <w:rFonts w:cs="Calibri" w:eastAsiaTheme="minorEastAsia"/>
                <w:sz w:val="20"/>
                <w:szCs w:val="20"/>
                <w:lang w:val="en-AU"/>
              </w:rPr>
              <w:t>e</w:t>
            </w:r>
            <w:r w:rsidRPr="008D1918">
              <w:rPr>
                <w:rFonts w:cs="Calibri" w:eastAsiaTheme="minorEastAsia"/>
                <w:sz w:val="20"/>
                <w:szCs w:val="20"/>
                <w:lang w:val="en-AU"/>
              </w:rPr>
              <w:t>ntity</w:t>
            </w:r>
          </w:p>
        </w:tc>
        <w:tc>
          <w:tcPr>
            <w:tcW w:w="1410" w:type="dxa"/>
            <w:vAlign w:val="center"/>
            <w:hideMark/>
          </w:tcPr>
          <w:p w:rsidRPr="008D1918" w:rsidR="000E3523" w:rsidP="00572B48" w:rsidRDefault="000E3523" w14:paraId="3DDA8468" w14:textId="2C3F5AE1">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eastAsiaTheme="minorEastAsia"/>
                <w:b w:val="0"/>
                <w:sz w:val="20"/>
                <w:szCs w:val="20"/>
                <w:lang w:val="en-AU"/>
              </w:rPr>
            </w:pPr>
            <w:r w:rsidRPr="008D1918">
              <w:rPr>
                <w:rFonts w:cs="Calibri" w:eastAsiaTheme="minorEastAsia"/>
                <w:sz w:val="20"/>
                <w:szCs w:val="20"/>
                <w:lang w:val="en-AU"/>
              </w:rPr>
              <w:t>Partnership (</w:t>
            </w:r>
            <w:r w:rsidRPr="008D1918" w:rsidR="00572B48">
              <w:rPr>
                <w:rFonts w:cs="Calibri" w:eastAsiaTheme="minorEastAsia"/>
                <w:sz w:val="20"/>
                <w:szCs w:val="20"/>
                <w:lang w:val="en-AU"/>
              </w:rPr>
              <w:t>o</w:t>
            </w:r>
            <w:r w:rsidRPr="008D1918">
              <w:rPr>
                <w:rFonts w:cs="Calibri" w:eastAsiaTheme="minorEastAsia"/>
                <w:sz w:val="20"/>
                <w:szCs w:val="20"/>
                <w:lang w:val="en-AU"/>
              </w:rPr>
              <w:t>ther)</w:t>
            </w:r>
          </w:p>
        </w:tc>
        <w:tc>
          <w:tcPr>
            <w:tcW w:w="1065" w:type="dxa"/>
            <w:vAlign w:val="center"/>
            <w:hideMark/>
          </w:tcPr>
          <w:p w:rsidRPr="008D1918" w:rsidR="000E3523" w:rsidP="00572B48" w:rsidRDefault="000E3523" w14:paraId="03164DF8" w14:textId="70A9AA4F">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eastAsiaTheme="minorEastAsia"/>
                <w:b w:val="0"/>
                <w:sz w:val="20"/>
                <w:szCs w:val="20"/>
                <w:lang w:val="en-AU"/>
              </w:rPr>
            </w:pPr>
            <w:r w:rsidRPr="008D1918">
              <w:rPr>
                <w:rFonts w:cs="Calibri" w:eastAsiaTheme="minorEastAsia"/>
                <w:sz w:val="20"/>
                <w:szCs w:val="20"/>
                <w:lang w:val="en-AU"/>
              </w:rPr>
              <w:t xml:space="preserve">Trust / </w:t>
            </w:r>
            <w:r w:rsidRPr="008D1918" w:rsidR="00572B48">
              <w:rPr>
                <w:rFonts w:cs="Calibri" w:eastAsiaTheme="minorEastAsia"/>
                <w:sz w:val="20"/>
                <w:szCs w:val="20"/>
                <w:lang w:val="en-AU"/>
              </w:rPr>
              <w:t>s</w:t>
            </w:r>
            <w:r w:rsidRPr="008D1918">
              <w:rPr>
                <w:rFonts w:cs="Calibri" w:eastAsiaTheme="minorEastAsia"/>
                <w:sz w:val="20"/>
                <w:szCs w:val="20"/>
                <w:lang w:val="en-AU"/>
              </w:rPr>
              <w:t>uper</w:t>
            </w:r>
          </w:p>
        </w:tc>
        <w:tc>
          <w:tcPr>
            <w:tcW w:w="1065" w:type="dxa"/>
            <w:vAlign w:val="center"/>
            <w:hideMark/>
          </w:tcPr>
          <w:p w:rsidRPr="008D1918" w:rsidR="000E3523" w:rsidP="00572B48" w:rsidRDefault="000E3523" w14:paraId="09B9E1D0" w14:textId="3D85FDA1">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eastAsiaTheme="minorEastAsia"/>
                <w:b w:val="0"/>
                <w:sz w:val="20"/>
                <w:szCs w:val="20"/>
                <w:lang w:val="en-AU"/>
              </w:rPr>
            </w:pPr>
            <w:r w:rsidRPr="008D1918">
              <w:rPr>
                <w:rFonts w:cs="Calibri" w:eastAsiaTheme="minorEastAsia"/>
                <w:sz w:val="20"/>
                <w:szCs w:val="20"/>
                <w:lang w:val="en-AU"/>
              </w:rPr>
              <w:t xml:space="preserve">Sole </w:t>
            </w:r>
            <w:r w:rsidRPr="008D1918" w:rsidR="00572B48">
              <w:rPr>
                <w:rFonts w:cs="Calibri" w:eastAsiaTheme="minorEastAsia"/>
                <w:sz w:val="20"/>
                <w:szCs w:val="20"/>
                <w:lang w:val="en-AU"/>
              </w:rPr>
              <w:t>t</w:t>
            </w:r>
            <w:r w:rsidRPr="008D1918">
              <w:rPr>
                <w:rFonts w:cs="Calibri" w:eastAsiaTheme="minorEastAsia"/>
                <w:sz w:val="20"/>
                <w:szCs w:val="20"/>
                <w:lang w:val="en-AU"/>
              </w:rPr>
              <w:t>rader</w:t>
            </w:r>
          </w:p>
        </w:tc>
      </w:tr>
      <w:tr w:rsidRPr="008D1918" w:rsidR="00A238C6" w:rsidTr="0030446C" w14:paraId="35800A3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vAlign w:val="center"/>
            <w:hideMark/>
          </w:tcPr>
          <w:p w:rsidRPr="008D1918" w:rsidR="000E3523" w:rsidP="00E153AD" w:rsidRDefault="000E3523" w14:paraId="3A57F21A" w14:textId="3A73A932">
            <w:pPr>
              <w:keepNext/>
              <w:spacing w:before="60" w:after="60"/>
              <w:rPr>
                <w:rFonts w:cs="Calibri" w:eastAsiaTheme="minorEastAsia"/>
                <w:sz w:val="20"/>
                <w:szCs w:val="20"/>
                <w:lang w:val="en-AU"/>
              </w:rPr>
            </w:pPr>
            <w:r w:rsidRPr="008D1918">
              <w:rPr>
                <w:rFonts w:cs="Calibri" w:eastAsiaTheme="minorEastAsia"/>
                <w:sz w:val="20"/>
                <w:szCs w:val="20"/>
                <w:lang w:val="en-AU"/>
              </w:rPr>
              <w:t>Number of NDIS participants</w:t>
            </w:r>
          </w:p>
        </w:tc>
        <w:tc>
          <w:tcPr>
            <w:tcW w:w="1125" w:type="dxa"/>
            <w:vAlign w:val="center"/>
            <w:hideMark/>
          </w:tcPr>
          <w:p w:rsidRPr="008D1918" w:rsidR="000E3523" w:rsidP="00243ECF" w:rsidRDefault="000E3523" w14:paraId="5AEF9726" w14:textId="4ADBE9CC">
            <w:pPr>
              <w:keepNext/>
              <w:spacing w:before="60" w:after="60"/>
              <w:ind w:right="90"/>
              <w:jc w:val="right"/>
              <w:cnfStyle w:val="000000100000" w:firstRow="0" w:lastRow="0" w:firstColumn="0" w:lastColumn="0" w:oddVBand="0" w:evenVBand="0" w:oddHBand="1"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391,655</w:t>
            </w:r>
          </w:p>
        </w:tc>
        <w:tc>
          <w:tcPr>
            <w:tcW w:w="1410" w:type="dxa"/>
            <w:vAlign w:val="center"/>
            <w:hideMark/>
          </w:tcPr>
          <w:p w:rsidRPr="008D1918" w:rsidR="000E3523" w:rsidP="00243ECF" w:rsidRDefault="000E3523" w14:paraId="3486867D" w14:textId="7437890A">
            <w:pPr>
              <w:keepNext/>
              <w:spacing w:before="60" w:after="60"/>
              <w:ind w:right="90"/>
              <w:jc w:val="right"/>
              <w:cnfStyle w:val="000000100000" w:firstRow="0" w:lastRow="0" w:firstColumn="0" w:lastColumn="0" w:oddVBand="0" w:evenVBand="0" w:oddHBand="1"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4,506</w:t>
            </w:r>
          </w:p>
        </w:tc>
        <w:tc>
          <w:tcPr>
            <w:tcW w:w="1410" w:type="dxa"/>
            <w:vAlign w:val="center"/>
            <w:hideMark/>
          </w:tcPr>
          <w:p w:rsidRPr="008D1918" w:rsidR="000E3523" w:rsidP="00243ECF" w:rsidRDefault="000E3523" w14:paraId="27E242A7" w14:textId="11913255">
            <w:pPr>
              <w:keepNext/>
              <w:spacing w:before="60" w:after="60"/>
              <w:ind w:right="90"/>
              <w:jc w:val="right"/>
              <w:cnfStyle w:val="000000100000" w:firstRow="0" w:lastRow="0" w:firstColumn="0" w:lastColumn="0" w:oddVBand="0" w:evenVBand="0" w:oddHBand="1"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13,094</w:t>
            </w:r>
          </w:p>
        </w:tc>
        <w:tc>
          <w:tcPr>
            <w:tcW w:w="1065" w:type="dxa"/>
            <w:vAlign w:val="center"/>
            <w:hideMark/>
          </w:tcPr>
          <w:p w:rsidRPr="008D1918" w:rsidR="000E3523" w:rsidP="00243ECF" w:rsidRDefault="000E3523" w14:paraId="2E23C0F5" w14:textId="63F904F4">
            <w:pPr>
              <w:keepNext/>
              <w:spacing w:before="60" w:after="60"/>
              <w:ind w:right="90"/>
              <w:jc w:val="right"/>
              <w:cnfStyle w:val="000000100000" w:firstRow="0" w:lastRow="0" w:firstColumn="0" w:lastColumn="0" w:oddVBand="0" w:evenVBand="0" w:oddHBand="1"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104,979</w:t>
            </w:r>
          </w:p>
        </w:tc>
        <w:tc>
          <w:tcPr>
            <w:tcW w:w="1065" w:type="dxa"/>
            <w:vAlign w:val="center"/>
            <w:hideMark/>
          </w:tcPr>
          <w:p w:rsidRPr="008D1918" w:rsidR="000E3523" w:rsidP="00243ECF" w:rsidRDefault="000E3523" w14:paraId="2CAE4B00" w14:textId="633FE705">
            <w:pPr>
              <w:keepNext/>
              <w:spacing w:before="60" w:after="60"/>
              <w:ind w:right="90"/>
              <w:jc w:val="right"/>
              <w:cnfStyle w:val="000000100000" w:firstRow="0" w:lastRow="0" w:firstColumn="0" w:lastColumn="0" w:oddVBand="0" w:evenVBand="0" w:oddHBand="1"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157,004</w:t>
            </w:r>
          </w:p>
        </w:tc>
      </w:tr>
      <w:tr w:rsidRPr="008D1918" w:rsidR="008E0FBF" w:rsidTr="0030446C" w14:paraId="72AEB7E8"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vAlign w:val="center"/>
            <w:hideMark/>
          </w:tcPr>
          <w:p w:rsidRPr="008D1918" w:rsidR="000E3523" w:rsidP="00E153AD" w:rsidRDefault="000E3523" w14:paraId="0C153B00" w14:textId="65850091">
            <w:pPr>
              <w:keepNext/>
              <w:spacing w:before="60" w:after="60"/>
              <w:rPr>
                <w:rFonts w:cs="Calibri" w:eastAsiaTheme="minorEastAsia"/>
                <w:sz w:val="20"/>
                <w:szCs w:val="20"/>
                <w:lang w:val="en-AU"/>
              </w:rPr>
            </w:pPr>
            <w:r w:rsidRPr="008D1918">
              <w:rPr>
                <w:rFonts w:cs="Calibri" w:eastAsiaTheme="minorEastAsia"/>
                <w:sz w:val="20"/>
                <w:szCs w:val="20"/>
                <w:lang w:val="en-AU"/>
              </w:rPr>
              <w:t>Number of active providers</w:t>
            </w:r>
          </w:p>
        </w:tc>
        <w:tc>
          <w:tcPr>
            <w:tcW w:w="1125" w:type="dxa"/>
            <w:vAlign w:val="center"/>
            <w:hideMark/>
          </w:tcPr>
          <w:p w:rsidRPr="008D1918" w:rsidR="000E3523" w:rsidP="00243ECF" w:rsidRDefault="000E3523" w14:paraId="25852001" w14:textId="068C2E61">
            <w:pPr>
              <w:keepNext/>
              <w:spacing w:before="60" w:after="60"/>
              <w:ind w:right="90"/>
              <w:jc w:val="right"/>
              <w:cnfStyle w:val="000000000000" w:firstRow="0" w:lastRow="0" w:firstColumn="0" w:lastColumn="0" w:oddVBand="0" w:evenVBand="0" w:oddHBand="0"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17,535</w:t>
            </w:r>
          </w:p>
        </w:tc>
        <w:tc>
          <w:tcPr>
            <w:tcW w:w="1410" w:type="dxa"/>
            <w:vAlign w:val="center"/>
            <w:hideMark/>
          </w:tcPr>
          <w:p w:rsidRPr="008D1918" w:rsidR="000E3523" w:rsidP="00243ECF" w:rsidRDefault="000E3523" w14:paraId="7F299842" w14:textId="1331AFF2">
            <w:pPr>
              <w:keepNext/>
              <w:spacing w:before="60" w:after="60"/>
              <w:ind w:right="90"/>
              <w:jc w:val="right"/>
              <w:cnfStyle w:val="000000000000" w:firstRow="0" w:lastRow="0" w:firstColumn="0" w:lastColumn="0" w:oddVBand="0" w:evenVBand="0" w:oddHBand="0"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115</w:t>
            </w:r>
          </w:p>
        </w:tc>
        <w:tc>
          <w:tcPr>
            <w:tcW w:w="1410" w:type="dxa"/>
            <w:vAlign w:val="center"/>
            <w:hideMark/>
          </w:tcPr>
          <w:p w:rsidRPr="008D1918" w:rsidR="000E3523" w:rsidP="00243ECF" w:rsidRDefault="000E3523" w14:paraId="79C30A45" w14:textId="0A44975C">
            <w:pPr>
              <w:keepNext/>
              <w:spacing w:before="60" w:after="60"/>
              <w:ind w:right="90"/>
              <w:jc w:val="right"/>
              <w:cnfStyle w:val="000000000000" w:firstRow="0" w:lastRow="0" w:firstColumn="0" w:lastColumn="0" w:oddVBand="0" w:evenVBand="0" w:oddHBand="0"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969</w:t>
            </w:r>
          </w:p>
        </w:tc>
        <w:tc>
          <w:tcPr>
            <w:tcW w:w="1065" w:type="dxa"/>
            <w:vAlign w:val="center"/>
            <w:hideMark/>
          </w:tcPr>
          <w:p w:rsidRPr="008D1918" w:rsidR="000E3523" w:rsidP="00243ECF" w:rsidRDefault="000E3523" w14:paraId="4A6DE14B" w14:textId="75193AFD">
            <w:pPr>
              <w:keepNext/>
              <w:spacing w:before="60" w:after="60"/>
              <w:ind w:right="90"/>
              <w:jc w:val="right"/>
              <w:cnfStyle w:val="000000000000" w:firstRow="0" w:lastRow="0" w:firstColumn="0" w:lastColumn="0" w:oddVBand="0" w:evenVBand="0" w:oddHBand="0"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4,791</w:t>
            </w:r>
          </w:p>
        </w:tc>
        <w:tc>
          <w:tcPr>
            <w:tcW w:w="1065" w:type="dxa"/>
            <w:vAlign w:val="center"/>
            <w:hideMark/>
          </w:tcPr>
          <w:p w:rsidRPr="008D1918" w:rsidR="000E3523" w:rsidP="00243ECF" w:rsidRDefault="000E3523" w14:paraId="7468C732" w14:textId="258E979D">
            <w:pPr>
              <w:keepNext/>
              <w:spacing w:before="60" w:after="60"/>
              <w:ind w:right="90"/>
              <w:jc w:val="right"/>
              <w:cnfStyle w:val="000000000000" w:firstRow="0" w:lastRow="0" w:firstColumn="0" w:lastColumn="0" w:oddVBand="0" w:evenVBand="0" w:oddHBand="0"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29,796</w:t>
            </w:r>
          </w:p>
        </w:tc>
      </w:tr>
      <w:tr w:rsidRPr="008D1918" w:rsidR="00A238C6" w:rsidTr="0030446C" w14:paraId="5CB6143F"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vAlign w:val="center"/>
            <w:hideMark/>
          </w:tcPr>
          <w:p w:rsidRPr="008D1918" w:rsidR="000E3523" w:rsidP="00E153AD" w:rsidRDefault="000E3523" w14:paraId="33D22B1B" w14:textId="022EB9EF">
            <w:pPr>
              <w:keepNext/>
              <w:spacing w:before="60" w:after="60"/>
              <w:rPr>
                <w:rFonts w:cs="Calibri" w:eastAsiaTheme="minorEastAsia"/>
                <w:sz w:val="20"/>
                <w:szCs w:val="20"/>
                <w:lang w:val="en-AU"/>
              </w:rPr>
            </w:pPr>
            <w:r w:rsidRPr="008D1918">
              <w:rPr>
                <w:rFonts w:cs="Calibri" w:eastAsiaTheme="minorEastAsia"/>
                <w:sz w:val="20"/>
                <w:szCs w:val="20"/>
                <w:lang w:val="en-AU"/>
              </w:rPr>
              <w:t>Total amount claimed by active providers of Therapy supports</w:t>
            </w:r>
            <w:r w:rsidRPr="008D1918" w:rsidR="00C06822">
              <w:rPr>
                <w:rFonts w:cs="Calibri" w:eastAsiaTheme="minorEastAsia"/>
                <w:sz w:val="20"/>
                <w:szCs w:val="20"/>
                <w:lang w:val="en-AU"/>
              </w:rPr>
              <w:t xml:space="preserve"> </w:t>
            </w:r>
            <w:r w:rsidRPr="008D1918">
              <w:rPr>
                <w:rFonts w:cs="Calibri" w:eastAsiaTheme="minorEastAsia"/>
                <w:b/>
                <w:sz w:val="20"/>
                <w:szCs w:val="20"/>
                <w:lang w:val="en-AU"/>
              </w:rPr>
              <w:t>($ million)</w:t>
            </w:r>
          </w:p>
        </w:tc>
        <w:tc>
          <w:tcPr>
            <w:tcW w:w="1125" w:type="dxa"/>
            <w:vAlign w:val="center"/>
            <w:hideMark/>
          </w:tcPr>
          <w:p w:rsidRPr="008D1918" w:rsidR="000E3523" w:rsidP="00243ECF" w:rsidRDefault="000E3523" w14:paraId="20CC6CF9" w14:textId="71A5178A">
            <w:pPr>
              <w:keepNext/>
              <w:spacing w:before="60" w:after="60"/>
              <w:ind w:right="90"/>
              <w:jc w:val="right"/>
              <w:cnfStyle w:val="000000100000" w:firstRow="0" w:lastRow="0" w:firstColumn="0" w:lastColumn="0" w:oddVBand="0" w:evenVBand="0" w:oddHBand="1"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$1,912.6</w:t>
            </w:r>
          </w:p>
        </w:tc>
        <w:tc>
          <w:tcPr>
            <w:tcW w:w="1410" w:type="dxa"/>
            <w:vAlign w:val="center"/>
            <w:hideMark/>
          </w:tcPr>
          <w:p w:rsidRPr="008D1918" w:rsidR="000E3523" w:rsidP="00243ECF" w:rsidRDefault="000E3523" w14:paraId="5D7D4ED8" w14:textId="62D7FDD5">
            <w:pPr>
              <w:keepNext/>
              <w:spacing w:before="60" w:after="60"/>
              <w:ind w:right="90"/>
              <w:jc w:val="right"/>
              <w:cnfStyle w:val="000000100000" w:firstRow="0" w:lastRow="0" w:firstColumn="0" w:lastColumn="0" w:oddVBand="0" w:evenVBand="0" w:oddHBand="1"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$9.8</w:t>
            </w:r>
          </w:p>
        </w:tc>
        <w:tc>
          <w:tcPr>
            <w:tcW w:w="1410" w:type="dxa"/>
            <w:vAlign w:val="center"/>
            <w:hideMark/>
          </w:tcPr>
          <w:p w:rsidRPr="008D1918" w:rsidR="000E3523" w:rsidP="00243ECF" w:rsidRDefault="000E3523" w14:paraId="2B468BC3" w14:textId="046F6BE8">
            <w:pPr>
              <w:keepNext/>
              <w:spacing w:before="60" w:after="60"/>
              <w:ind w:right="90"/>
              <w:jc w:val="right"/>
              <w:cnfStyle w:val="000000100000" w:firstRow="0" w:lastRow="0" w:firstColumn="0" w:lastColumn="0" w:oddVBand="0" w:evenVBand="0" w:oddHBand="1"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$30.1</w:t>
            </w:r>
          </w:p>
        </w:tc>
        <w:tc>
          <w:tcPr>
            <w:tcW w:w="1065" w:type="dxa"/>
            <w:vAlign w:val="center"/>
            <w:hideMark/>
          </w:tcPr>
          <w:p w:rsidRPr="008D1918" w:rsidR="000E3523" w:rsidP="00243ECF" w:rsidRDefault="000E3523" w14:paraId="4C6C82C5" w14:textId="142F493C">
            <w:pPr>
              <w:keepNext/>
              <w:spacing w:before="60" w:after="60"/>
              <w:ind w:right="90"/>
              <w:jc w:val="right"/>
              <w:cnfStyle w:val="000000100000" w:firstRow="0" w:lastRow="0" w:firstColumn="0" w:lastColumn="0" w:oddVBand="0" w:evenVBand="0" w:oddHBand="1"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$281.2</w:t>
            </w:r>
          </w:p>
        </w:tc>
        <w:tc>
          <w:tcPr>
            <w:tcW w:w="1065" w:type="dxa"/>
            <w:vAlign w:val="center"/>
            <w:hideMark/>
          </w:tcPr>
          <w:p w:rsidRPr="008D1918" w:rsidR="000E3523" w:rsidP="00243ECF" w:rsidRDefault="000E3523" w14:paraId="79E18B9E" w14:textId="6A5B31FB">
            <w:pPr>
              <w:keepNext/>
              <w:spacing w:before="60" w:after="60"/>
              <w:ind w:right="90"/>
              <w:jc w:val="right"/>
              <w:cnfStyle w:val="000000100000" w:firstRow="0" w:lastRow="0" w:firstColumn="0" w:lastColumn="0" w:oddVBand="0" w:evenVBand="0" w:oddHBand="1"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$421.1</w:t>
            </w:r>
          </w:p>
        </w:tc>
      </w:tr>
      <w:tr w:rsidRPr="008D1918" w:rsidR="008E0FBF" w:rsidTr="0030446C" w14:paraId="4EE85457"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vAlign w:val="center"/>
            <w:hideMark/>
          </w:tcPr>
          <w:p w:rsidRPr="008D1918" w:rsidR="000E3523" w:rsidP="00E153AD" w:rsidRDefault="000E3523" w14:paraId="5033ABCC" w14:textId="559FC656">
            <w:pPr>
              <w:keepNext/>
              <w:spacing w:before="60" w:after="60"/>
              <w:rPr>
                <w:rFonts w:cs="Calibri" w:eastAsiaTheme="minorEastAsia"/>
                <w:sz w:val="20"/>
                <w:szCs w:val="20"/>
                <w:lang w:val="en-AU"/>
              </w:rPr>
            </w:pPr>
            <w:r w:rsidRPr="008D1918">
              <w:rPr>
                <w:rFonts w:cs="Calibri" w:eastAsiaTheme="minorEastAsia"/>
                <w:sz w:val="20"/>
                <w:szCs w:val="20"/>
                <w:lang w:val="en-AU"/>
              </w:rPr>
              <w:t>Average amount claimed by all active providers of Therapy supports</w:t>
            </w:r>
          </w:p>
        </w:tc>
        <w:tc>
          <w:tcPr>
            <w:tcW w:w="1125" w:type="dxa"/>
            <w:vAlign w:val="center"/>
            <w:hideMark/>
          </w:tcPr>
          <w:p w:rsidRPr="008D1918" w:rsidR="000E3523" w:rsidP="00243ECF" w:rsidRDefault="000E3523" w14:paraId="69529510" w14:textId="6D88BA24">
            <w:pPr>
              <w:keepNext/>
              <w:spacing w:before="60" w:after="60"/>
              <w:ind w:right="90"/>
              <w:jc w:val="right"/>
              <w:cnfStyle w:val="000000000000" w:firstRow="0" w:lastRow="0" w:firstColumn="0" w:lastColumn="0" w:oddVBand="0" w:evenVBand="0" w:oddHBand="0"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$109,100</w:t>
            </w:r>
          </w:p>
        </w:tc>
        <w:tc>
          <w:tcPr>
            <w:tcW w:w="1410" w:type="dxa"/>
            <w:vAlign w:val="center"/>
            <w:hideMark/>
          </w:tcPr>
          <w:p w:rsidRPr="008D1918" w:rsidR="000E3523" w:rsidP="00243ECF" w:rsidRDefault="000E3523" w14:paraId="202D6C7E" w14:textId="3159F34F">
            <w:pPr>
              <w:keepNext/>
              <w:spacing w:before="60" w:after="60"/>
              <w:ind w:right="90"/>
              <w:jc w:val="right"/>
              <w:cnfStyle w:val="000000000000" w:firstRow="0" w:lastRow="0" w:firstColumn="0" w:lastColumn="0" w:oddVBand="0" w:evenVBand="0" w:oddHBand="0"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$85,100</w:t>
            </w:r>
          </w:p>
        </w:tc>
        <w:tc>
          <w:tcPr>
            <w:tcW w:w="1410" w:type="dxa"/>
            <w:vAlign w:val="center"/>
            <w:hideMark/>
          </w:tcPr>
          <w:p w:rsidRPr="008D1918" w:rsidR="000E3523" w:rsidP="00243ECF" w:rsidRDefault="000E3523" w14:paraId="09A7E3E9" w14:textId="418B61B2">
            <w:pPr>
              <w:keepNext/>
              <w:spacing w:before="60" w:after="60"/>
              <w:ind w:right="90"/>
              <w:jc w:val="right"/>
              <w:cnfStyle w:val="000000000000" w:firstRow="0" w:lastRow="0" w:firstColumn="0" w:lastColumn="0" w:oddVBand="0" w:evenVBand="0" w:oddHBand="0"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$31,000</w:t>
            </w:r>
          </w:p>
        </w:tc>
        <w:tc>
          <w:tcPr>
            <w:tcW w:w="1065" w:type="dxa"/>
            <w:vAlign w:val="center"/>
            <w:hideMark/>
          </w:tcPr>
          <w:p w:rsidRPr="008D1918" w:rsidR="000E3523" w:rsidP="00243ECF" w:rsidRDefault="000E3523" w14:paraId="08DF15B9" w14:textId="1B2FCF45">
            <w:pPr>
              <w:keepNext/>
              <w:spacing w:before="60" w:after="60"/>
              <w:ind w:right="90"/>
              <w:jc w:val="right"/>
              <w:cnfStyle w:val="000000000000" w:firstRow="0" w:lastRow="0" w:firstColumn="0" w:lastColumn="0" w:oddVBand="0" w:evenVBand="0" w:oddHBand="0"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$58,700</w:t>
            </w:r>
          </w:p>
        </w:tc>
        <w:tc>
          <w:tcPr>
            <w:tcW w:w="1065" w:type="dxa"/>
            <w:vAlign w:val="center"/>
            <w:hideMark/>
          </w:tcPr>
          <w:p w:rsidRPr="008D1918" w:rsidR="000E3523" w:rsidP="00243ECF" w:rsidRDefault="000E3523" w14:paraId="715116E5" w14:textId="4799631E">
            <w:pPr>
              <w:keepNext/>
              <w:spacing w:before="60" w:after="60"/>
              <w:ind w:right="90"/>
              <w:jc w:val="right"/>
              <w:cnfStyle w:val="000000000000" w:firstRow="0" w:lastRow="0" w:firstColumn="0" w:lastColumn="0" w:oddVBand="0" w:evenVBand="0" w:oddHBand="0" w:evenHBand="0" w:firstRowFirstColumn="0" w:firstRowLastColumn="0" w:lastRowFirstColumn="0" w:lastRowLastColumn="0"/>
              <w:rPr>
                <w:rFonts w:cs="Calibri" w:eastAsiaTheme="minorEastAsia"/>
                <w:sz w:val="20"/>
                <w:szCs w:val="20"/>
                <w:lang w:val="en-AU"/>
              </w:rPr>
            </w:pPr>
            <w:r w:rsidRPr="008D1918">
              <w:rPr>
                <w:rFonts w:cs="Calibri" w:eastAsiaTheme="minorEastAsia"/>
                <w:sz w:val="20"/>
                <w:szCs w:val="20"/>
                <w:lang w:val="en-AU"/>
              </w:rPr>
              <w:t>$14,100</w:t>
            </w:r>
          </w:p>
        </w:tc>
      </w:tr>
    </w:tbl>
    <w:p w:rsidRPr="008D1918" w:rsidR="000E3523" w:rsidRDefault="000E3523" w14:paraId="41F85EE7" w14:textId="77777777">
      <w:pPr>
        <w:keepNext/>
        <w:spacing w:before="120" w:after="60" w:line="240" w:lineRule="atLeast"/>
        <w:rPr>
          <w:rFonts w:cs="Calibri" w:eastAsiaTheme="minorEastAsia"/>
          <w:b/>
          <w:sz w:val="20"/>
          <w:szCs w:val="20"/>
          <w:lang w:val="en-AU"/>
        </w:rPr>
      </w:pPr>
      <w:r w:rsidRPr="008D1918">
        <w:rPr>
          <w:rFonts w:cs="Calibri" w:eastAsiaTheme="minorEastAsia"/>
          <w:b/>
          <w:sz w:val="20"/>
          <w:szCs w:val="20"/>
          <w:lang w:val="en-AU"/>
        </w:rPr>
        <w:t>Source: NDIS internal administrative data</w:t>
      </w:r>
    </w:p>
    <w:p w:rsidRPr="008D1918" w:rsidR="000E3523" w:rsidP="002B66D6" w:rsidRDefault="000E3523" w14:paraId="705DA0D4" w14:textId="77777777">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Note: Providers with a missing legal entity type are excluded. Average revenue is rounded up to the nearest hundred.</w:t>
      </w:r>
    </w:p>
    <w:p w:rsidRPr="008D1918" w:rsidR="000E3523" w:rsidP="005736D2" w:rsidRDefault="005736D2" w14:paraId="52EFC7D8" w14:textId="70081C67">
      <w:pPr>
        <w:pStyle w:val="Caption"/>
        <w:rPr>
          <w:rFonts w:cs="Arial"/>
          <w:i w:val="0"/>
          <w:color w:val="6B2876" w:themeColor="accent5"/>
          <w:lang w:eastAsia="en-AU"/>
        </w:rPr>
      </w:pPr>
      <w:bookmarkStart w:name="_Ref223689945" w:id="926"/>
      <w:r w:rsidRPr="008D1918">
        <w:t xml:space="preserve">Table </w:t>
      </w:r>
      <w:r>
        <w:fldChar w:fldCharType="begin"/>
      </w:r>
      <w:r>
        <w:instrText>SEQ Table \* ARABIC</w:instrText>
      </w:r>
      <w:r>
        <w:fldChar w:fldCharType="separate"/>
      </w:r>
      <w:r w:rsidR="008F56A2">
        <w:rPr>
          <w:noProof/>
        </w:rPr>
        <w:t>16</w:t>
      </w:r>
      <w:r>
        <w:fldChar w:fldCharType="end"/>
      </w:r>
      <w:bookmarkEnd w:id="926"/>
      <w:r w:rsidRPr="008D1918" w:rsidR="000E3523">
        <w:rPr>
          <w:rFonts w:cs="Arial"/>
          <w:color w:val="6B2876" w:themeColor="accent5"/>
          <w:lang w:eastAsia="en-AU"/>
        </w:rPr>
        <w:t>: Number of providers of therapy supports by legal entity type, January 2023 to December 2025</w:t>
      </w:r>
    </w:p>
    <w:tbl>
      <w:tblPr>
        <w:tblStyle w:val="GridTable4-Accent121"/>
        <w:tblW w:w="0" w:type="dxa"/>
        <w:tblInd w:w="5" w:type="dxa"/>
        <w:tblLook w:val="04A0" w:firstRow="1" w:lastRow="0" w:firstColumn="1" w:lastColumn="0" w:noHBand="0" w:noVBand="1"/>
      </w:tblPr>
      <w:tblGrid>
        <w:gridCol w:w="2060"/>
        <w:gridCol w:w="1128"/>
        <w:gridCol w:w="1189"/>
        <w:gridCol w:w="1128"/>
        <w:gridCol w:w="1189"/>
        <w:gridCol w:w="1128"/>
        <w:gridCol w:w="1189"/>
      </w:tblGrid>
      <w:tr w:rsidRPr="008D1918" w:rsidR="00A41050" w:rsidTr="00572B48" w14:paraId="759EB88E" w14:textId="77777777">
        <w:trPr>
          <w:cnfStyle w:val="100000000000" w:firstRow="1" w:lastRow="0" w:firstColumn="0" w:lastColumn="0" w:oddVBand="0" w:evenVBand="0" w:oddHBand="0" w:evenHBand="0" w:firstRowFirstColumn="0" w:firstRowLastColumn="0" w:lastRowFirstColumn="0" w:lastRowLastColumn="0"/>
          <w:trHeight w:val="960"/>
          <w:tblHeader/>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Pr="008D1918" w:rsidR="000E3523" w:rsidP="00572B48" w:rsidRDefault="000E3523" w14:paraId="53D299C9" w14:textId="1C4959EF">
            <w:pPr>
              <w:spacing w:before="60" w:after="60"/>
              <w:rPr>
                <w:rFonts w:cs="Arial"/>
                <w:b w:val="0"/>
                <w:sz w:val="20"/>
                <w:szCs w:val="20"/>
                <w:lang w:val="en-AU" w:eastAsia="en-AU"/>
              </w:rPr>
            </w:pPr>
            <w:r w:rsidRPr="008D1918">
              <w:rPr>
                <w:rFonts w:cs="Arial"/>
                <w:sz w:val="20"/>
                <w:szCs w:val="20"/>
                <w:lang w:val="en-AU" w:eastAsia="en-AU"/>
              </w:rPr>
              <w:t xml:space="preserve">Legal </w:t>
            </w:r>
            <w:r w:rsidRPr="008D1918" w:rsidR="00BF1895">
              <w:rPr>
                <w:rFonts w:cs="Arial"/>
                <w:sz w:val="20"/>
                <w:szCs w:val="20"/>
                <w:lang w:val="en-AU" w:eastAsia="en-AU"/>
              </w:rPr>
              <w:t>e</w:t>
            </w:r>
            <w:r w:rsidRPr="008D1918">
              <w:rPr>
                <w:rFonts w:cs="Arial"/>
                <w:sz w:val="20"/>
                <w:szCs w:val="20"/>
                <w:lang w:val="en-AU" w:eastAsia="en-AU"/>
              </w:rPr>
              <w:t xml:space="preserve">ntity </w:t>
            </w:r>
            <w:r w:rsidRPr="008D1918" w:rsidR="00BF1895">
              <w:rPr>
                <w:rFonts w:cs="Arial"/>
                <w:sz w:val="20"/>
                <w:szCs w:val="20"/>
                <w:lang w:val="en-AU" w:eastAsia="en-AU"/>
              </w:rPr>
              <w:t>t</w:t>
            </w:r>
            <w:r w:rsidRPr="008D1918">
              <w:rPr>
                <w:rFonts w:cs="Arial"/>
                <w:sz w:val="20"/>
                <w:szCs w:val="20"/>
                <w:lang w:val="en-AU" w:eastAsia="en-AU"/>
              </w:rPr>
              <w:t>ype</w:t>
            </w:r>
          </w:p>
        </w:tc>
        <w:tc>
          <w:tcPr>
            <w:tcW w:w="1191" w:type="dxa"/>
            <w:hideMark/>
          </w:tcPr>
          <w:p w:rsidRPr="008D1918" w:rsidR="000E3523" w:rsidP="00E153AD" w:rsidRDefault="000E3523" w14:paraId="51629893"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January – June 2023</w:t>
            </w:r>
          </w:p>
        </w:tc>
        <w:tc>
          <w:tcPr>
            <w:tcW w:w="1191" w:type="dxa"/>
            <w:hideMark/>
          </w:tcPr>
          <w:p w:rsidRPr="008D1918" w:rsidR="000E3523" w:rsidP="00E153AD" w:rsidRDefault="000E3523" w14:paraId="4E841019"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2023</w:t>
            </w:r>
          </w:p>
        </w:tc>
        <w:tc>
          <w:tcPr>
            <w:tcW w:w="1191" w:type="dxa"/>
            <w:hideMark/>
          </w:tcPr>
          <w:p w:rsidRPr="008D1918" w:rsidR="000E3523" w:rsidP="00E153AD" w:rsidRDefault="000E3523" w14:paraId="3B6A80F9"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January – June 2024</w:t>
            </w:r>
          </w:p>
        </w:tc>
        <w:tc>
          <w:tcPr>
            <w:tcW w:w="1191" w:type="dxa"/>
            <w:hideMark/>
          </w:tcPr>
          <w:p w:rsidRPr="008D1918" w:rsidR="000E3523" w:rsidP="00E153AD" w:rsidRDefault="000E3523" w14:paraId="7FE2ADE4"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2024</w:t>
            </w:r>
          </w:p>
        </w:tc>
        <w:tc>
          <w:tcPr>
            <w:tcW w:w="1191" w:type="dxa"/>
            <w:hideMark/>
          </w:tcPr>
          <w:p w:rsidRPr="008D1918" w:rsidR="000E3523" w:rsidP="00E153AD" w:rsidRDefault="000E3523" w14:paraId="3635F113"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January – June 2025</w:t>
            </w:r>
          </w:p>
        </w:tc>
        <w:tc>
          <w:tcPr>
            <w:tcW w:w="1191" w:type="dxa"/>
            <w:hideMark/>
          </w:tcPr>
          <w:p w:rsidRPr="008D1918" w:rsidR="000E3523" w:rsidP="00E153AD" w:rsidRDefault="000E3523" w14:paraId="4E6E3972"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2025</w:t>
            </w:r>
          </w:p>
        </w:tc>
      </w:tr>
      <w:tr w:rsidRPr="008D1918" w:rsidR="00A238C6" w:rsidTr="001F2431" w14:paraId="03B83CE1"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Pr="008D1918" w:rsidR="000E3523" w:rsidP="00E153AD" w:rsidRDefault="000E3523" w14:paraId="651B203C" w14:textId="77777777">
            <w:pPr>
              <w:spacing w:before="60" w:after="60"/>
              <w:rPr>
                <w:rFonts w:cs="Arial"/>
                <w:sz w:val="20"/>
                <w:szCs w:val="20"/>
                <w:lang w:val="en-AU" w:eastAsia="en-AU"/>
              </w:rPr>
            </w:pPr>
            <w:r w:rsidRPr="008D1918">
              <w:rPr>
                <w:rFonts w:cs="Arial"/>
                <w:sz w:val="20"/>
                <w:szCs w:val="20"/>
                <w:lang w:val="en-AU" w:eastAsia="en-AU"/>
              </w:rPr>
              <w:t>Company</w:t>
            </w:r>
          </w:p>
        </w:tc>
        <w:tc>
          <w:tcPr>
            <w:tcW w:w="1191" w:type="dxa"/>
            <w:vAlign w:val="center"/>
            <w:hideMark/>
          </w:tcPr>
          <w:p w:rsidRPr="008D1918" w:rsidR="000E3523" w:rsidP="00243ECF" w:rsidRDefault="000E3523" w14:paraId="5CB0995A" w14:textId="35B1C069">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14,66</w:t>
            </w:r>
            <w:r w:rsidRPr="008D1918" w:rsidR="008368E0">
              <w:rPr>
                <w:rFonts w:cs="Arial"/>
                <w:sz w:val="20"/>
                <w:szCs w:val="20"/>
                <w:lang w:val="en-AU" w:eastAsia="en-AU"/>
              </w:rPr>
              <w:t>8</w:t>
            </w:r>
          </w:p>
        </w:tc>
        <w:tc>
          <w:tcPr>
            <w:tcW w:w="1191" w:type="dxa"/>
            <w:vAlign w:val="center"/>
            <w:hideMark/>
          </w:tcPr>
          <w:p w:rsidRPr="008D1918" w:rsidR="000E3523" w:rsidP="00243ECF" w:rsidRDefault="000E3523" w14:paraId="7DF7FFB0" w14:textId="7F2F406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15,97</w:t>
            </w:r>
            <w:r w:rsidRPr="008D1918" w:rsidR="008368E0">
              <w:rPr>
                <w:rFonts w:cs="Arial"/>
                <w:sz w:val="20"/>
                <w:szCs w:val="20"/>
                <w:lang w:val="en-AU" w:eastAsia="en-AU"/>
              </w:rPr>
              <w:t>7</w:t>
            </w:r>
          </w:p>
        </w:tc>
        <w:tc>
          <w:tcPr>
            <w:tcW w:w="1191" w:type="dxa"/>
            <w:vAlign w:val="center"/>
            <w:hideMark/>
          </w:tcPr>
          <w:p w:rsidRPr="008D1918" w:rsidR="000E3523" w:rsidP="00243ECF" w:rsidRDefault="000E3523" w14:paraId="2E18F5A7" w14:textId="52C69B7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16,</w:t>
            </w:r>
            <w:r w:rsidRPr="008D1918" w:rsidR="008368E0">
              <w:rPr>
                <w:rFonts w:cs="Arial"/>
                <w:sz w:val="20"/>
                <w:szCs w:val="20"/>
                <w:lang w:val="en-AU" w:eastAsia="en-AU"/>
              </w:rPr>
              <w:t>700</w:t>
            </w:r>
          </w:p>
        </w:tc>
        <w:tc>
          <w:tcPr>
            <w:tcW w:w="1191" w:type="dxa"/>
            <w:vAlign w:val="center"/>
            <w:hideMark/>
          </w:tcPr>
          <w:p w:rsidRPr="008D1918" w:rsidR="000E3523" w:rsidP="00243ECF" w:rsidRDefault="000E3523" w14:paraId="0E94E51B" w14:textId="2846FB60">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17,42</w:t>
            </w:r>
            <w:r w:rsidRPr="008D1918" w:rsidR="00E8197E">
              <w:rPr>
                <w:rFonts w:cs="Arial"/>
                <w:sz w:val="20"/>
                <w:szCs w:val="20"/>
                <w:lang w:val="en-AU" w:eastAsia="en-AU"/>
              </w:rPr>
              <w:t>7</w:t>
            </w:r>
          </w:p>
        </w:tc>
        <w:tc>
          <w:tcPr>
            <w:tcW w:w="1191" w:type="dxa"/>
            <w:vAlign w:val="center"/>
            <w:hideMark/>
          </w:tcPr>
          <w:p w:rsidRPr="008D1918" w:rsidR="000E3523" w:rsidP="00243ECF" w:rsidRDefault="000E3523" w14:paraId="012603B2" w14:textId="46264EDE">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16,79</w:t>
            </w:r>
            <w:r w:rsidRPr="008D1918" w:rsidR="00E8197E">
              <w:rPr>
                <w:rFonts w:cs="Arial"/>
                <w:sz w:val="20"/>
                <w:szCs w:val="20"/>
                <w:lang w:val="en-AU" w:eastAsia="en-AU"/>
              </w:rPr>
              <w:t>2</w:t>
            </w:r>
          </w:p>
        </w:tc>
        <w:tc>
          <w:tcPr>
            <w:tcW w:w="1191" w:type="dxa"/>
            <w:vAlign w:val="center"/>
            <w:hideMark/>
          </w:tcPr>
          <w:p w:rsidRPr="008D1918" w:rsidR="000E3523" w:rsidP="00243ECF" w:rsidRDefault="000E3523" w14:paraId="2A6870B3" w14:textId="7777777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17,535</w:t>
            </w:r>
          </w:p>
        </w:tc>
      </w:tr>
      <w:tr w:rsidRPr="008D1918" w:rsidR="004D466F" w:rsidTr="001F2431" w14:paraId="37B73B0C" w14:textId="77777777">
        <w:trPr>
          <w:trHeight w:val="315"/>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Pr="008D1918" w:rsidR="000E3523" w:rsidP="00E153AD" w:rsidRDefault="000E3523" w14:paraId="4E04250B" w14:textId="4B25ADAF">
            <w:pPr>
              <w:spacing w:before="60" w:after="60"/>
              <w:rPr>
                <w:rFonts w:cs="Arial"/>
                <w:color w:val="000000"/>
                <w:sz w:val="20"/>
                <w:szCs w:val="20"/>
                <w:lang w:val="en-AU" w:eastAsia="en-AU"/>
              </w:rPr>
            </w:pPr>
            <w:r w:rsidRPr="008D1918">
              <w:rPr>
                <w:rFonts w:cs="Arial"/>
                <w:color w:val="000000"/>
                <w:sz w:val="20"/>
                <w:szCs w:val="20"/>
                <w:lang w:val="en-AU" w:eastAsia="en-AU"/>
              </w:rPr>
              <w:t xml:space="preserve">Government </w:t>
            </w:r>
            <w:r w:rsidRPr="008D1918" w:rsidR="00C06822">
              <w:rPr>
                <w:rFonts w:cs="Arial"/>
                <w:color w:val="000000"/>
                <w:sz w:val="20"/>
                <w:szCs w:val="20"/>
                <w:lang w:val="en-AU" w:eastAsia="en-AU"/>
              </w:rPr>
              <w:t>e</w:t>
            </w:r>
            <w:r w:rsidRPr="008D1918">
              <w:rPr>
                <w:rFonts w:cs="Arial"/>
                <w:color w:val="000000"/>
                <w:sz w:val="20"/>
                <w:szCs w:val="20"/>
                <w:lang w:val="en-AU" w:eastAsia="en-AU"/>
              </w:rPr>
              <w:t>ntity</w:t>
            </w:r>
          </w:p>
        </w:tc>
        <w:tc>
          <w:tcPr>
            <w:tcW w:w="1191" w:type="dxa"/>
            <w:vAlign w:val="center"/>
            <w:hideMark/>
          </w:tcPr>
          <w:p w:rsidRPr="008D1918" w:rsidR="000E3523" w:rsidP="00243ECF" w:rsidRDefault="000E3523" w14:paraId="100DFA04"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169</w:t>
            </w:r>
          </w:p>
        </w:tc>
        <w:tc>
          <w:tcPr>
            <w:tcW w:w="1191" w:type="dxa"/>
            <w:vAlign w:val="center"/>
            <w:hideMark/>
          </w:tcPr>
          <w:p w:rsidRPr="008D1918" w:rsidR="000E3523" w:rsidP="00243ECF" w:rsidRDefault="000E3523" w14:paraId="033D338A"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174</w:t>
            </w:r>
          </w:p>
        </w:tc>
        <w:tc>
          <w:tcPr>
            <w:tcW w:w="1191" w:type="dxa"/>
            <w:vAlign w:val="center"/>
            <w:hideMark/>
          </w:tcPr>
          <w:p w:rsidRPr="008D1918" w:rsidR="000E3523" w:rsidP="00243ECF" w:rsidRDefault="000E3523" w14:paraId="5DEEDE91"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164</w:t>
            </w:r>
          </w:p>
        </w:tc>
        <w:tc>
          <w:tcPr>
            <w:tcW w:w="1191" w:type="dxa"/>
            <w:vAlign w:val="center"/>
            <w:hideMark/>
          </w:tcPr>
          <w:p w:rsidRPr="008D1918" w:rsidR="000E3523" w:rsidP="00243ECF" w:rsidRDefault="000E3523" w14:paraId="2FDD4BAD"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134</w:t>
            </w:r>
          </w:p>
        </w:tc>
        <w:tc>
          <w:tcPr>
            <w:tcW w:w="1191" w:type="dxa"/>
            <w:vAlign w:val="center"/>
            <w:hideMark/>
          </w:tcPr>
          <w:p w:rsidRPr="008D1918" w:rsidR="000E3523" w:rsidP="00243ECF" w:rsidRDefault="000E3523" w14:paraId="57AD0503"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122</w:t>
            </w:r>
          </w:p>
        </w:tc>
        <w:tc>
          <w:tcPr>
            <w:tcW w:w="1191" w:type="dxa"/>
            <w:vAlign w:val="center"/>
            <w:hideMark/>
          </w:tcPr>
          <w:p w:rsidRPr="008D1918" w:rsidR="000E3523" w:rsidP="00243ECF" w:rsidRDefault="000E3523" w14:paraId="23A623C6"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115</w:t>
            </w:r>
          </w:p>
        </w:tc>
      </w:tr>
      <w:tr w:rsidRPr="008D1918" w:rsidR="00A238C6" w:rsidTr="001F2431" w14:paraId="5EB28F0B"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Pr="008D1918" w:rsidR="000E3523" w:rsidP="00E153AD" w:rsidRDefault="000E3523" w14:paraId="0B610637" w14:textId="27AB247C">
            <w:pPr>
              <w:spacing w:before="60" w:after="60"/>
              <w:rPr>
                <w:rFonts w:cs="Arial"/>
                <w:sz w:val="20"/>
                <w:szCs w:val="20"/>
                <w:lang w:val="en-AU" w:eastAsia="en-AU"/>
              </w:rPr>
            </w:pPr>
            <w:r w:rsidRPr="008D1918">
              <w:rPr>
                <w:rFonts w:cs="Arial"/>
                <w:sz w:val="20"/>
                <w:szCs w:val="20"/>
                <w:lang w:val="en-AU" w:eastAsia="en-AU"/>
              </w:rPr>
              <w:t>Partnership (</w:t>
            </w:r>
            <w:r w:rsidRPr="008D1918" w:rsidR="00C06822">
              <w:rPr>
                <w:rFonts w:cs="Arial"/>
                <w:sz w:val="20"/>
                <w:szCs w:val="20"/>
                <w:lang w:val="en-AU" w:eastAsia="en-AU"/>
              </w:rPr>
              <w:t>o</w:t>
            </w:r>
            <w:r w:rsidRPr="008D1918">
              <w:rPr>
                <w:rFonts w:cs="Arial"/>
                <w:sz w:val="20"/>
                <w:szCs w:val="20"/>
                <w:lang w:val="en-AU" w:eastAsia="en-AU"/>
              </w:rPr>
              <w:t>ther)</w:t>
            </w:r>
          </w:p>
        </w:tc>
        <w:tc>
          <w:tcPr>
            <w:tcW w:w="1191" w:type="dxa"/>
            <w:vAlign w:val="center"/>
            <w:hideMark/>
          </w:tcPr>
          <w:p w:rsidRPr="008D1918" w:rsidR="000E3523" w:rsidP="00243ECF" w:rsidRDefault="000E3523" w14:paraId="24383111" w14:textId="7777777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1,288</w:t>
            </w:r>
          </w:p>
        </w:tc>
        <w:tc>
          <w:tcPr>
            <w:tcW w:w="1191" w:type="dxa"/>
            <w:vAlign w:val="center"/>
            <w:hideMark/>
          </w:tcPr>
          <w:p w:rsidRPr="008D1918" w:rsidR="000E3523" w:rsidP="00243ECF" w:rsidRDefault="000E3523" w14:paraId="1ABF1EC9" w14:textId="7777777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1,258</w:t>
            </w:r>
          </w:p>
        </w:tc>
        <w:tc>
          <w:tcPr>
            <w:tcW w:w="1191" w:type="dxa"/>
            <w:vAlign w:val="center"/>
            <w:hideMark/>
          </w:tcPr>
          <w:p w:rsidRPr="008D1918" w:rsidR="000E3523" w:rsidP="00243ECF" w:rsidRDefault="000E3523" w14:paraId="310CD50B" w14:textId="7777777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1,229</w:t>
            </w:r>
          </w:p>
        </w:tc>
        <w:tc>
          <w:tcPr>
            <w:tcW w:w="1191" w:type="dxa"/>
            <w:vAlign w:val="center"/>
            <w:hideMark/>
          </w:tcPr>
          <w:p w:rsidRPr="008D1918" w:rsidR="000E3523" w:rsidP="00243ECF" w:rsidRDefault="000E3523" w14:paraId="5455E089" w14:textId="7777777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1,200</w:t>
            </w:r>
          </w:p>
        </w:tc>
        <w:tc>
          <w:tcPr>
            <w:tcW w:w="1191" w:type="dxa"/>
            <w:vAlign w:val="center"/>
            <w:hideMark/>
          </w:tcPr>
          <w:p w:rsidRPr="008D1918" w:rsidR="000E3523" w:rsidP="00243ECF" w:rsidRDefault="000E3523" w14:paraId="7D93C3EE" w14:textId="7777777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1,040</w:t>
            </w:r>
          </w:p>
        </w:tc>
        <w:tc>
          <w:tcPr>
            <w:tcW w:w="1191" w:type="dxa"/>
            <w:vAlign w:val="center"/>
            <w:hideMark/>
          </w:tcPr>
          <w:p w:rsidRPr="008D1918" w:rsidR="000E3523" w:rsidP="00243ECF" w:rsidRDefault="000E3523" w14:paraId="28D06B56" w14:textId="7777777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969</w:t>
            </w:r>
          </w:p>
        </w:tc>
      </w:tr>
      <w:tr w:rsidRPr="008D1918" w:rsidR="004D466F" w:rsidTr="001F2431" w14:paraId="68BF7254" w14:textId="77777777">
        <w:trPr>
          <w:trHeight w:val="315"/>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Pr="008D1918" w:rsidR="000E3523" w:rsidP="00E153AD" w:rsidRDefault="000E3523" w14:paraId="032679CF" w14:textId="7A0C59B4">
            <w:pPr>
              <w:spacing w:before="60" w:after="60"/>
              <w:rPr>
                <w:rFonts w:cs="Arial"/>
                <w:color w:val="000000"/>
                <w:sz w:val="20"/>
                <w:szCs w:val="20"/>
                <w:lang w:val="en-AU" w:eastAsia="en-AU"/>
              </w:rPr>
            </w:pPr>
            <w:r w:rsidRPr="008D1918">
              <w:rPr>
                <w:rFonts w:cs="Arial"/>
                <w:color w:val="000000"/>
                <w:sz w:val="20"/>
                <w:szCs w:val="20"/>
                <w:lang w:val="en-AU" w:eastAsia="en-AU"/>
              </w:rPr>
              <w:t xml:space="preserve">Trust / </w:t>
            </w:r>
            <w:r w:rsidRPr="008D1918" w:rsidR="00C06822">
              <w:rPr>
                <w:rFonts w:cs="Arial"/>
                <w:color w:val="000000"/>
                <w:sz w:val="20"/>
                <w:szCs w:val="20"/>
                <w:lang w:val="en-AU" w:eastAsia="en-AU"/>
              </w:rPr>
              <w:t>s</w:t>
            </w:r>
            <w:r w:rsidRPr="008D1918">
              <w:rPr>
                <w:rFonts w:cs="Arial"/>
                <w:color w:val="000000"/>
                <w:sz w:val="20"/>
                <w:szCs w:val="20"/>
                <w:lang w:val="en-AU" w:eastAsia="en-AU"/>
              </w:rPr>
              <w:t>uper</w:t>
            </w:r>
          </w:p>
        </w:tc>
        <w:tc>
          <w:tcPr>
            <w:tcW w:w="1191" w:type="dxa"/>
            <w:vAlign w:val="center"/>
            <w:hideMark/>
          </w:tcPr>
          <w:p w:rsidRPr="008D1918" w:rsidR="000E3523" w:rsidP="00243ECF" w:rsidRDefault="000E3523" w14:paraId="761BA162"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4,967</w:t>
            </w:r>
          </w:p>
        </w:tc>
        <w:tc>
          <w:tcPr>
            <w:tcW w:w="1191" w:type="dxa"/>
            <w:vAlign w:val="center"/>
            <w:hideMark/>
          </w:tcPr>
          <w:p w:rsidRPr="008D1918" w:rsidR="000E3523" w:rsidP="00243ECF" w:rsidRDefault="000E3523" w14:paraId="1D0B2CBC"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5,101</w:t>
            </w:r>
          </w:p>
        </w:tc>
        <w:tc>
          <w:tcPr>
            <w:tcW w:w="1191" w:type="dxa"/>
            <w:vAlign w:val="center"/>
            <w:hideMark/>
          </w:tcPr>
          <w:p w:rsidRPr="008D1918" w:rsidR="000E3523" w:rsidP="00243ECF" w:rsidRDefault="000E3523" w14:paraId="50BFE3B7"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5,109</w:t>
            </w:r>
          </w:p>
        </w:tc>
        <w:tc>
          <w:tcPr>
            <w:tcW w:w="1191" w:type="dxa"/>
            <w:vAlign w:val="center"/>
            <w:hideMark/>
          </w:tcPr>
          <w:p w:rsidRPr="008D1918" w:rsidR="000E3523" w:rsidP="00243ECF" w:rsidRDefault="000E3523" w14:paraId="6C8FBEE4"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5,084</w:t>
            </w:r>
          </w:p>
        </w:tc>
        <w:tc>
          <w:tcPr>
            <w:tcW w:w="1191" w:type="dxa"/>
            <w:vAlign w:val="center"/>
            <w:hideMark/>
          </w:tcPr>
          <w:p w:rsidRPr="008D1918" w:rsidR="000E3523" w:rsidP="00243ECF" w:rsidRDefault="000E3523" w14:paraId="619B21BE"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4,795</w:t>
            </w:r>
          </w:p>
        </w:tc>
        <w:tc>
          <w:tcPr>
            <w:tcW w:w="1191" w:type="dxa"/>
            <w:vAlign w:val="center"/>
            <w:hideMark/>
          </w:tcPr>
          <w:p w:rsidRPr="008D1918" w:rsidR="000E3523" w:rsidP="00243ECF" w:rsidRDefault="000E3523" w14:paraId="176A6C0A"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4,791</w:t>
            </w:r>
          </w:p>
        </w:tc>
      </w:tr>
      <w:tr w:rsidRPr="008D1918" w:rsidR="00A238C6" w:rsidTr="001F2431" w14:paraId="7085DE56"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Pr="008D1918" w:rsidR="000E3523" w:rsidP="00E153AD" w:rsidRDefault="000E3523" w14:paraId="1391F149" w14:textId="3FA9F31B">
            <w:pPr>
              <w:spacing w:before="60" w:after="60"/>
              <w:rPr>
                <w:rFonts w:cs="Arial"/>
                <w:sz w:val="20"/>
                <w:szCs w:val="20"/>
                <w:lang w:val="en-AU" w:eastAsia="en-AU"/>
              </w:rPr>
            </w:pPr>
            <w:r w:rsidRPr="008D1918">
              <w:rPr>
                <w:rFonts w:cs="Arial"/>
                <w:sz w:val="20"/>
                <w:szCs w:val="20"/>
                <w:lang w:val="en-AU" w:eastAsia="en-AU"/>
              </w:rPr>
              <w:t xml:space="preserve">Sole </w:t>
            </w:r>
            <w:r w:rsidRPr="008D1918" w:rsidR="00C06822">
              <w:rPr>
                <w:rFonts w:cs="Arial"/>
                <w:sz w:val="20"/>
                <w:szCs w:val="20"/>
                <w:lang w:val="en-AU" w:eastAsia="en-AU"/>
              </w:rPr>
              <w:t>t</w:t>
            </w:r>
            <w:r w:rsidRPr="008D1918">
              <w:rPr>
                <w:rFonts w:cs="Arial"/>
                <w:sz w:val="20"/>
                <w:szCs w:val="20"/>
                <w:lang w:val="en-AU" w:eastAsia="en-AU"/>
              </w:rPr>
              <w:t>rader</w:t>
            </w:r>
          </w:p>
        </w:tc>
        <w:tc>
          <w:tcPr>
            <w:tcW w:w="1191" w:type="dxa"/>
            <w:vAlign w:val="center"/>
            <w:hideMark/>
          </w:tcPr>
          <w:p w:rsidRPr="008D1918" w:rsidR="000E3523" w:rsidP="00243ECF" w:rsidRDefault="000E3523" w14:paraId="60E23F28" w14:textId="7777777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28,398</w:t>
            </w:r>
          </w:p>
        </w:tc>
        <w:tc>
          <w:tcPr>
            <w:tcW w:w="1191" w:type="dxa"/>
            <w:vAlign w:val="center"/>
            <w:hideMark/>
          </w:tcPr>
          <w:p w:rsidRPr="008D1918" w:rsidR="000E3523" w:rsidP="00243ECF" w:rsidRDefault="000E3523" w14:paraId="629DBFDD" w14:textId="7777777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30,204</w:t>
            </w:r>
          </w:p>
        </w:tc>
        <w:tc>
          <w:tcPr>
            <w:tcW w:w="1191" w:type="dxa"/>
            <w:vAlign w:val="center"/>
            <w:hideMark/>
          </w:tcPr>
          <w:p w:rsidRPr="008D1918" w:rsidR="000E3523" w:rsidP="00243ECF" w:rsidRDefault="000E3523" w14:paraId="58D6756C" w14:textId="7777777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31,398</w:t>
            </w:r>
          </w:p>
        </w:tc>
        <w:tc>
          <w:tcPr>
            <w:tcW w:w="1191" w:type="dxa"/>
            <w:vAlign w:val="center"/>
            <w:hideMark/>
          </w:tcPr>
          <w:p w:rsidRPr="008D1918" w:rsidR="000E3523" w:rsidP="00243ECF" w:rsidRDefault="000E3523" w14:paraId="36639EE8" w14:textId="7777777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31,515</w:t>
            </w:r>
          </w:p>
        </w:tc>
        <w:tc>
          <w:tcPr>
            <w:tcW w:w="1191" w:type="dxa"/>
            <w:vAlign w:val="center"/>
            <w:hideMark/>
          </w:tcPr>
          <w:p w:rsidRPr="008D1918" w:rsidR="000E3523" w:rsidP="00243ECF" w:rsidRDefault="000E3523" w14:paraId="26D3E8A0" w14:textId="7777777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29,541</w:t>
            </w:r>
          </w:p>
        </w:tc>
        <w:tc>
          <w:tcPr>
            <w:tcW w:w="1191" w:type="dxa"/>
            <w:vAlign w:val="center"/>
            <w:hideMark/>
          </w:tcPr>
          <w:p w:rsidRPr="008D1918" w:rsidR="000E3523" w:rsidP="00243ECF" w:rsidRDefault="000E3523" w14:paraId="2A8FFA66" w14:textId="77777777">
            <w:pPr>
              <w:spacing w:before="60" w:after="60"/>
              <w:ind w:right="9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29,796</w:t>
            </w:r>
          </w:p>
        </w:tc>
      </w:tr>
      <w:tr w:rsidRPr="008D1918" w:rsidR="004D466F" w:rsidTr="001F2431" w14:paraId="6D628F73" w14:textId="77777777">
        <w:trPr>
          <w:trHeight w:val="330"/>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Pr="008D1918" w:rsidR="000E3523" w:rsidP="00E153AD" w:rsidRDefault="000E3523" w14:paraId="5AAF8DCA" w14:textId="77777777">
            <w:pPr>
              <w:spacing w:before="60" w:after="60"/>
              <w:rPr>
                <w:rFonts w:cs="Arial"/>
                <w:b/>
                <w:bCs w:val="0"/>
                <w:color w:val="000000"/>
                <w:sz w:val="20"/>
                <w:szCs w:val="20"/>
                <w:lang w:val="en-AU" w:eastAsia="en-AU"/>
              </w:rPr>
            </w:pPr>
            <w:r w:rsidRPr="008D1918">
              <w:rPr>
                <w:rFonts w:cs="Arial"/>
                <w:b/>
                <w:color w:val="000000"/>
                <w:sz w:val="20"/>
                <w:szCs w:val="20"/>
                <w:lang w:val="en-AU" w:eastAsia="en-AU"/>
              </w:rPr>
              <w:t>Total</w:t>
            </w:r>
          </w:p>
        </w:tc>
        <w:tc>
          <w:tcPr>
            <w:tcW w:w="1191" w:type="dxa"/>
            <w:vAlign w:val="center"/>
            <w:hideMark/>
          </w:tcPr>
          <w:p w:rsidRPr="008D1918" w:rsidR="000E3523" w:rsidP="00243ECF" w:rsidRDefault="000E3523" w14:paraId="1BDF64AA"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sz w:val="20"/>
                <w:szCs w:val="20"/>
                <w:lang w:val="en-AU" w:eastAsia="en-AU"/>
              </w:rPr>
              <w:t>49,500</w:t>
            </w:r>
          </w:p>
        </w:tc>
        <w:tc>
          <w:tcPr>
            <w:tcW w:w="1191" w:type="dxa"/>
            <w:vAlign w:val="center"/>
            <w:hideMark/>
          </w:tcPr>
          <w:p w:rsidRPr="008D1918" w:rsidR="000E3523" w:rsidP="00243ECF" w:rsidRDefault="000E3523" w14:paraId="64257EE9"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sz w:val="20"/>
                <w:szCs w:val="20"/>
                <w:lang w:val="en-AU" w:eastAsia="en-AU"/>
              </w:rPr>
              <w:t>52,734</w:t>
            </w:r>
          </w:p>
        </w:tc>
        <w:tc>
          <w:tcPr>
            <w:tcW w:w="1191" w:type="dxa"/>
            <w:vAlign w:val="center"/>
            <w:hideMark/>
          </w:tcPr>
          <w:p w:rsidRPr="008D1918" w:rsidR="000E3523" w:rsidP="00243ECF" w:rsidRDefault="000E3523" w14:paraId="0D82907B"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sz w:val="20"/>
                <w:szCs w:val="20"/>
                <w:lang w:val="en-AU" w:eastAsia="en-AU"/>
              </w:rPr>
              <w:t>54,614</w:t>
            </w:r>
          </w:p>
        </w:tc>
        <w:tc>
          <w:tcPr>
            <w:tcW w:w="1191" w:type="dxa"/>
            <w:vAlign w:val="center"/>
            <w:hideMark/>
          </w:tcPr>
          <w:p w:rsidRPr="008D1918" w:rsidR="000E3523" w:rsidP="00243ECF" w:rsidRDefault="000E3523" w14:paraId="64ED7E5F"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sz w:val="20"/>
                <w:szCs w:val="20"/>
                <w:lang w:val="en-AU" w:eastAsia="en-AU"/>
              </w:rPr>
              <w:t>55,366</w:t>
            </w:r>
          </w:p>
        </w:tc>
        <w:tc>
          <w:tcPr>
            <w:tcW w:w="1191" w:type="dxa"/>
            <w:vAlign w:val="center"/>
            <w:hideMark/>
          </w:tcPr>
          <w:p w:rsidRPr="008D1918" w:rsidR="000E3523" w:rsidP="00243ECF" w:rsidRDefault="000E3523" w14:paraId="0615EB7D"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sz w:val="20"/>
                <w:szCs w:val="20"/>
                <w:lang w:val="en-AU" w:eastAsia="en-AU"/>
              </w:rPr>
              <w:t>52,299</w:t>
            </w:r>
          </w:p>
        </w:tc>
        <w:tc>
          <w:tcPr>
            <w:tcW w:w="1191" w:type="dxa"/>
            <w:vAlign w:val="center"/>
            <w:hideMark/>
          </w:tcPr>
          <w:p w:rsidRPr="008D1918" w:rsidR="000E3523" w:rsidP="00243ECF" w:rsidRDefault="000E3523" w14:paraId="11F7E03F" w14:textId="77777777">
            <w:pPr>
              <w:spacing w:before="60" w:after="60"/>
              <w:ind w:right="90"/>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sz w:val="20"/>
                <w:szCs w:val="20"/>
                <w:lang w:val="en-AU" w:eastAsia="en-AU"/>
              </w:rPr>
              <w:t>53,205</w:t>
            </w:r>
          </w:p>
        </w:tc>
      </w:tr>
    </w:tbl>
    <w:p w:rsidRPr="008D1918" w:rsidR="000E3523" w:rsidRDefault="000E3523" w14:paraId="79262250" w14:textId="77777777">
      <w:pPr>
        <w:spacing w:before="120" w:after="60" w:line="240" w:lineRule="atLeast"/>
        <w:rPr>
          <w:rFonts w:cs="Calibri" w:eastAsiaTheme="minorEastAsia"/>
          <w:b/>
          <w:sz w:val="20"/>
          <w:szCs w:val="20"/>
          <w:lang w:val="en-AU"/>
        </w:rPr>
      </w:pPr>
      <w:r w:rsidRPr="008D1918">
        <w:rPr>
          <w:rFonts w:cs="Calibri" w:eastAsiaTheme="minorEastAsia"/>
          <w:b/>
          <w:sz w:val="20"/>
          <w:szCs w:val="20"/>
          <w:lang w:val="en-AU"/>
        </w:rPr>
        <w:t>Source: NDIS internal administrative data </w:t>
      </w:r>
    </w:p>
    <w:p w:rsidRPr="008D1918" w:rsidR="000E3523" w:rsidP="002B66D6" w:rsidRDefault="000E3523" w14:paraId="46FF5ADC" w14:textId="77777777">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Note: Providers with a missing legal entity type are excluded and some entities may have changed their legal entity type during the year.</w:t>
      </w:r>
    </w:p>
    <w:p w:rsidRPr="008D1918" w:rsidR="000E3523" w:rsidP="005736D2" w:rsidRDefault="005736D2" w14:paraId="4D4D973E" w14:textId="0790E6D9">
      <w:pPr>
        <w:pStyle w:val="Caption"/>
        <w:rPr>
          <w:rFonts w:cs="Arial"/>
          <w:i w:val="0"/>
          <w:color w:val="6B2876" w:themeColor="accent5"/>
          <w:lang w:eastAsia="en-AU"/>
        </w:rPr>
      </w:pPr>
      <w:bookmarkStart w:name="_Ref223689987" w:id="927"/>
      <w:r w:rsidRPr="008D1918">
        <w:t xml:space="preserve">Table </w:t>
      </w:r>
      <w:r>
        <w:fldChar w:fldCharType="begin"/>
      </w:r>
      <w:r>
        <w:instrText>SEQ Table \* ARABIC</w:instrText>
      </w:r>
      <w:r>
        <w:fldChar w:fldCharType="separate"/>
      </w:r>
      <w:r w:rsidR="008F56A2">
        <w:rPr>
          <w:noProof/>
        </w:rPr>
        <w:t>17</w:t>
      </w:r>
      <w:r>
        <w:fldChar w:fldCharType="end"/>
      </w:r>
      <w:bookmarkEnd w:id="927"/>
      <w:r w:rsidRPr="008D1918" w:rsidR="000E3523">
        <w:rPr>
          <w:rFonts w:cs="Arial"/>
          <w:color w:val="6B2876" w:themeColor="accent5"/>
          <w:lang w:eastAsia="en-AU"/>
        </w:rPr>
        <w:t>: Payment amount ($ million) for therapy supports by legal entity type, January 2023 to December 2025</w:t>
      </w:r>
    </w:p>
    <w:tbl>
      <w:tblPr>
        <w:tblStyle w:val="GridTable4-Accent121"/>
        <w:tblW w:w="0" w:type="auto"/>
        <w:tblInd w:w="5" w:type="dxa"/>
        <w:tblLook w:val="04A0" w:firstRow="1" w:lastRow="0" w:firstColumn="1" w:lastColumn="0" w:noHBand="0" w:noVBand="1"/>
      </w:tblPr>
      <w:tblGrid>
        <w:gridCol w:w="2052"/>
        <w:gridCol w:w="1130"/>
        <w:gridCol w:w="1189"/>
        <w:gridCol w:w="1131"/>
        <w:gridCol w:w="1189"/>
        <w:gridCol w:w="1131"/>
        <w:gridCol w:w="1189"/>
      </w:tblGrid>
      <w:tr w:rsidRPr="008D1918" w:rsidR="00A41050" w:rsidTr="003E5CA9" w14:paraId="206D9D71" w14:textId="77777777">
        <w:trPr>
          <w:cnfStyle w:val="100000000000" w:firstRow="1" w:lastRow="0" w:firstColumn="0" w:lastColumn="0" w:oddVBand="0" w:evenVBand="0" w:oddHBand="0" w:evenHBand="0" w:firstRowFirstColumn="0" w:firstRowLastColumn="0" w:lastRowFirstColumn="0" w:lastRowLastColumn="0"/>
          <w:trHeight w:val="960"/>
          <w:tblHeader/>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Pr="008D1918" w:rsidR="000E3523" w:rsidP="003E5CA9" w:rsidRDefault="000E3523" w14:paraId="34AFFFE3" w14:textId="422313B4">
            <w:pPr>
              <w:keepNext/>
              <w:spacing w:before="60" w:after="60"/>
              <w:rPr>
                <w:rFonts w:cs="Arial"/>
                <w:b w:val="0"/>
                <w:sz w:val="20"/>
                <w:szCs w:val="20"/>
                <w:lang w:val="en-AU" w:eastAsia="en-AU"/>
              </w:rPr>
            </w:pPr>
            <w:r w:rsidRPr="008D1918">
              <w:rPr>
                <w:rFonts w:cs="Arial"/>
                <w:sz w:val="20"/>
                <w:szCs w:val="20"/>
                <w:lang w:val="en-AU" w:eastAsia="en-AU"/>
              </w:rPr>
              <w:t xml:space="preserve">Legal </w:t>
            </w:r>
            <w:r w:rsidRPr="008D1918" w:rsidR="005028CF">
              <w:rPr>
                <w:rFonts w:cs="Arial"/>
                <w:sz w:val="20"/>
                <w:szCs w:val="20"/>
                <w:lang w:val="en-AU" w:eastAsia="en-AU"/>
              </w:rPr>
              <w:t>e</w:t>
            </w:r>
            <w:r w:rsidRPr="008D1918">
              <w:rPr>
                <w:rFonts w:cs="Arial"/>
                <w:sz w:val="20"/>
                <w:szCs w:val="20"/>
                <w:lang w:val="en-AU" w:eastAsia="en-AU"/>
              </w:rPr>
              <w:t xml:space="preserve">ntity </w:t>
            </w:r>
            <w:r w:rsidRPr="008D1918" w:rsidR="005028CF">
              <w:rPr>
                <w:rFonts w:cs="Arial"/>
                <w:sz w:val="20"/>
                <w:szCs w:val="20"/>
                <w:lang w:val="en-AU" w:eastAsia="en-AU"/>
              </w:rPr>
              <w:t>t</w:t>
            </w:r>
            <w:r w:rsidRPr="008D1918">
              <w:rPr>
                <w:rFonts w:cs="Arial"/>
                <w:sz w:val="20"/>
                <w:szCs w:val="20"/>
                <w:lang w:val="en-AU" w:eastAsia="en-AU"/>
              </w:rPr>
              <w:t>ype</w:t>
            </w:r>
          </w:p>
        </w:tc>
        <w:tc>
          <w:tcPr>
            <w:tcW w:w="1191" w:type="dxa"/>
            <w:hideMark/>
          </w:tcPr>
          <w:p w:rsidRPr="008D1918" w:rsidR="000E3523" w:rsidP="00990195" w:rsidRDefault="000E3523" w14:paraId="5EF8838D"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January – June 2023</w:t>
            </w:r>
          </w:p>
        </w:tc>
        <w:tc>
          <w:tcPr>
            <w:tcW w:w="1191" w:type="dxa"/>
            <w:hideMark/>
          </w:tcPr>
          <w:p w:rsidRPr="008D1918" w:rsidR="000E3523" w:rsidP="00990195" w:rsidRDefault="000E3523" w14:paraId="7EDB9B20"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2023</w:t>
            </w:r>
          </w:p>
        </w:tc>
        <w:tc>
          <w:tcPr>
            <w:tcW w:w="1191" w:type="dxa"/>
            <w:hideMark/>
          </w:tcPr>
          <w:p w:rsidRPr="008D1918" w:rsidR="000E3523" w:rsidP="00990195" w:rsidRDefault="000E3523" w14:paraId="49DB11D6"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January – June 2024</w:t>
            </w:r>
          </w:p>
        </w:tc>
        <w:tc>
          <w:tcPr>
            <w:tcW w:w="1191" w:type="dxa"/>
            <w:hideMark/>
          </w:tcPr>
          <w:p w:rsidRPr="008D1918" w:rsidR="000E3523" w:rsidP="00990195" w:rsidRDefault="000E3523" w14:paraId="74481847"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2024</w:t>
            </w:r>
          </w:p>
        </w:tc>
        <w:tc>
          <w:tcPr>
            <w:tcW w:w="1191" w:type="dxa"/>
            <w:hideMark/>
          </w:tcPr>
          <w:p w:rsidRPr="008D1918" w:rsidR="000E3523" w:rsidP="00990195" w:rsidRDefault="000E3523" w14:paraId="0CD85E52"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January – June 2025</w:t>
            </w:r>
          </w:p>
        </w:tc>
        <w:tc>
          <w:tcPr>
            <w:tcW w:w="1191" w:type="dxa"/>
            <w:hideMark/>
          </w:tcPr>
          <w:p w:rsidRPr="008D1918" w:rsidR="000E3523" w:rsidP="00990195" w:rsidRDefault="000E3523" w14:paraId="63A73373"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2025</w:t>
            </w:r>
          </w:p>
        </w:tc>
      </w:tr>
      <w:tr w:rsidRPr="008D1918" w:rsidR="00A238C6" w:rsidTr="001F2431" w14:paraId="700B73A4"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Pr="008D1918" w:rsidR="000E3523" w:rsidP="00990195" w:rsidRDefault="000E3523" w14:paraId="283DC9A6" w14:textId="77777777">
            <w:pPr>
              <w:keepNext/>
              <w:spacing w:before="60" w:after="60"/>
              <w:rPr>
                <w:rFonts w:cs="Arial"/>
                <w:sz w:val="20"/>
                <w:szCs w:val="20"/>
                <w:lang w:val="en-AU" w:eastAsia="en-AU"/>
              </w:rPr>
            </w:pPr>
            <w:r w:rsidRPr="008D1918">
              <w:rPr>
                <w:rFonts w:cs="Arial"/>
                <w:sz w:val="20"/>
                <w:szCs w:val="20"/>
                <w:lang w:val="en-AU" w:eastAsia="en-AU"/>
              </w:rPr>
              <w:t>Company</w:t>
            </w:r>
          </w:p>
        </w:tc>
        <w:tc>
          <w:tcPr>
            <w:tcW w:w="1191" w:type="dxa"/>
            <w:vAlign w:val="center"/>
            <w:hideMark/>
          </w:tcPr>
          <w:p w:rsidRPr="008D1918" w:rsidR="000E3523" w:rsidP="00990195" w:rsidRDefault="000E3523" w14:paraId="656DB7B9"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$1,198.3</w:t>
            </w:r>
          </w:p>
        </w:tc>
        <w:tc>
          <w:tcPr>
            <w:tcW w:w="1191" w:type="dxa"/>
            <w:vAlign w:val="center"/>
            <w:hideMark/>
          </w:tcPr>
          <w:p w:rsidRPr="008D1918" w:rsidR="000E3523" w:rsidP="00990195" w:rsidRDefault="000E3523" w14:paraId="3D2E2CEB"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$1,427.5</w:t>
            </w:r>
          </w:p>
        </w:tc>
        <w:tc>
          <w:tcPr>
            <w:tcW w:w="1191" w:type="dxa"/>
            <w:vAlign w:val="center"/>
            <w:hideMark/>
          </w:tcPr>
          <w:p w:rsidRPr="008D1918" w:rsidR="000E3523" w:rsidP="00990195" w:rsidRDefault="000E3523" w14:paraId="2F7DFEC0"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$1,455.3</w:t>
            </w:r>
          </w:p>
        </w:tc>
        <w:tc>
          <w:tcPr>
            <w:tcW w:w="1191" w:type="dxa"/>
            <w:vAlign w:val="center"/>
            <w:hideMark/>
          </w:tcPr>
          <w:p w:rsidRPr="008D1918" w:rsidR="000E3523" w:rsidP="00990195" w:rsidRDefault="000E3523" w14:paraId="0FA2DB41"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$1,702.0</w:t>
            </w:r>
          </w:p>
        </w:tc>
        <w:tc>
          <w:tcPr>
            <w:tcW w:w="1191" w:type="dxa"/>
            <w:vAlign w:val="center"/>
            <w:hideMark/>
          </w:tcPr>
          <w:p w:rsidRPr="008D1918" w:rsidR="000E3523" w:rsidP="00990195" w:rsidRDefault="000E3523" w14:paraId="75C1F55F"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$1,680.6</w:t>
            </w:r>
          </w:p>
        </w:tc>
        <w:tc>
          <w:tcPr>
            <w:tcW w:w="1191" w:type="dxa"/>
            <w:vAlign w:val="center"/>
            <w:hideMark/>
          </w:tcPr>
          <w:p w:rsidRPr="008D1918" w:rsidR="000E3523" w:rsidP="00990195" w:rsidRDefault="000E3523" w14:paraId="2CEF3686"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$1,912.6</w:t>
            </w:r>
          </w:p>
        </w:tc>
      </w:tr>
      <w:tr w:rsidRPr="008D1918" w:rsidR="004D466F" w:rsidTr="001F2431" w14:paraId="69AD2B6A" w14:textId="77777777">
        <w:trPr>
          <w:trHeight w:val="315"/>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Pr="008D1918" w:rsidR="000E3523" w:rsidP="00990195" w:rsidRDefault="000E3523" w14:paraId="026046EE" w14:textId="366D7534">
            <w:pPr>
              <w:keepNext/>
              <w:spacing w:before="60" w:after="60"/>
              <w:rPr>
                <w:rFonts w:cs="Arial"/>
                <w:color w:val="000000"/>
                <w:sz w:val="20"/>
                <w:szCs w:val="20"/>
                <w:lang w:val="en-AU" w:eastAsia="en-AU"/>
              </w:rPr>
            </w:pPr>
            <w:r w:rsidRPr="008D1918">
              <w:rPr>
                <w:rFonts w:cs="Arial"/>
                <w:color w:val="000000"/>
                <w:sz w:val="20"/>
                <w:szCs w:val="20"/>
                <w:lang w:val="en-AU" w:eastAsia="en-AU"/>
              </w:rPr>
              <w:t xml:space="preserve">Government </w:t>
            </w:r>
            <w:r w:rsidRPr="008D1918" w:rsidR="001C2F08">
              <w:rPr>
                <w:rFonts w:cs="Arial"/>
                <w:color w:val="000000"/>
                <w:sz w:val="20"/>
                <w:szCs w:val="20"/>
                <w:lang w:val="en-AU" w:eastAsia="en-AU"/>
              </w:rPr>
              <w:t>e</w:t>
            </w:r>
            <w:r w:rsidRPr="008D1918">
              <w:rPr>
                <w:rFonts w:cs="Arial"/>
                <w:color w:val="000000"/>
                <w:sz w:val="20"/>
                <w:szCs w:val="20"/>
                <w:lang w:val="en-AU" w:eastAsia="en-AU"/>
              </w:rPr>
              <w:t>ntity</w:t>
            </w:r>
          </w:p>
        </w:tc>
        <w:tc>
          <w:tcPr>
            <w:tcW w:w="1191" w:type="dxa"/>
            <w:vAlign w:val="center"/>
            <w:hideMark/>
          </w:tcPr>
          <w:p w:rsidRPr="008D1918" w:rsidR="000E3523" w:rsidP="00990195" w:rsidRDefault="000E3523" w14:paraId="428DBEC0"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$7.0</w:t>
            </w:r>
          </w:p>
        </w:tc>
        <w:tc>
          <w:tcPr>
            <w:tcW w:w="1191" w:type="dxa"/>
            <w:vAlign w:val="center"/>
            <w:hideMark/>
          </w:tcPr>
          <w:p w:rsidRPr="008D1918" w:rsidR="000E3523" w:rsidP="00990195" w:rsidRDefault="000E3523" w14:paraId="52DB9E9F"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$8.2</w:t>
            </w:r>
          </w:p>
        </w:tc>
        <w:tc>
          <w:tcPr>
            <w:tcW w:w="1191" w:type="dxa"/>
            <w:vAlign w:val="center"/>
            <w:hideMark/>
          </w:tcPr>
          <w:p w:rsidRPr="008D1918" w:rsidR="000E3523" w:rsidP="00990195" w:rsidRDefault="000E3523" w14:paraId="4E61268F"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$7.4</w:t>
            </w:r>
          </w:p>
        </w:tc>
        <w:tc>
          <w:tcPr>
            <w:tcW w:w="1191" w:type="dxa"/>
            <w:vAlign w:val="center"/>
            <w:hideMark/>
          </w:tcPr>
          <w:p w:rsidRPr="008D1918" w:rsidR="000E3523" w:rsidP="00990195" w:rsidRDefault="000E3523" w14:paraId="00110BE7"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$10.0</w:t>
            </w:r>
          </w:p>
        </w:tc>
        <w:tc>
          <w:tcPr>
            <w:tcW w:w="1191" w:type="dxa"/>
            <w:vAlign w:val="center"/>
            <w:hideMark/>
          </w:tcPr>
          <w:p w:rsidRPr="008D1918" w:rsidR="000E3523" w:rsidP="00990195" w:rsidRDefault="000E3523" w14:paraId="29024921"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$8.7</w:t>
            </w:r>
          </w:p>
        </w:tc>
        <w:tc>
          <w:tcPr>
            <w:tcW w:w="1191" w:type="dxa"/>
            <w:vAlign w:val="center"/>
            <w:hideMark/>
          </w:tcPr>
          <w:p w:rsidRPr="008D1918" w:rsidR="000E3523" w:rsidP="00990195" w:rsidRDefault="000E3523" w14:paraId="57BC30E8"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$9.8</w:t>
            </w:r>
          </w:p>
        </w:tc>
      </w:tr>
      <w:tr w:rsidRPr="008D1918" w:rsidR="00A238C6" w:rsidTr="001F2431" w14:paraId="4774C8DF"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Pr="008D1918" w:rsidR="000E3523" w:rsidP="00990195" w:rsidRDefault="000E3523" w14:paraId="33677A5E" w14:textId="588BC605">
            <w:pPr>
              <w:keepNext/>
              <w:spacing w:before="60" w:after="60"/>
              <w:rPr>
                <w:rFonts w:cs="Arial"/>
                <w:sz w:val="20"/>
                <w:szCs w:val="20"/>
                <w:lang w:val="en-AU" w:eastAsia="en-AU"/>
              </w:rPr>
            </w:pPr>
            <w:r w:rsidRPr="008D1918">
              <w:rPr>
                <w:rFonts w:cs="Arial"/>
                <w:sz w:val="20"/>
                <w:szCs w:val="20"/>
                <w:lang w:val="en-AU" w:eastAsia="en-AU"/>
              </w:rPr>
              <w:t>Partnership (</w:t>
            </w:r>
            <w:r w:rsidRPr="008D1918" w:rsidR="001C2F08">
              <w:rPr>
                <w:rFonts w:cs="Arial"/>
                <w:sz w:val="20"/>
                <w:szCs w:val="20"/>
                <w:lang w:val="en-AU" w:eastAsia="en-AU"/>
              </w:rPr>
              <w:t>o</w:t>
            </w:r>
            <w:r w:rsidRPr="008D1918">
              <w:rPr>
                <w:rFonts w:cs="Arial"/>
                <w:sz w:val="20"/>
                <w:szCs w:val="20"/>
                <w:lang w:val="en-AU" w:eastAsia="en-AU"/>
              </w:rPr>
              <w:t>ther)</w:t>
            </w:r>
          </w:p>
        </w:tc>
        <w:tc>
          <w:tcPr>
            <w:tcW w:w="1191" w:type="dxa"/>
            <w:vAlign w:val="center"/>
            <w:hideMark/>
          </w:tcPr>
          <w:p w:rsidRPr="008D1918" w:rsidR="000E3523" w:rsidP="00990195" w:rsidRDefault="000E3523" w14:paraId="23CE4177"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$27.4</w:t>
            </w:r>
          </w:p>
        </w:tc>
        <w:tc>
          <w:tcPr>
            <w:tcW w:w="1191" w:type="dxa"/>
            <w:vAlign w:val="center"/>
            <w:hideMark/>
          </w:tcPr>
          <w:p w:rsidRPr="008D1918" w:rsidR="000E3523" w:rsidP="00990195" w:rsidRDefault="000E3523" w14:paraId="3AB2397D"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$28.4</w:t>
            </w:r>
          </w:p>
        </w:tc>
        <w:tc>
          <w:tcPr>
            <w:tcW w:w="1191" w:type="dxa"/>
            <w:vAlign w:val="center"/>
            <w:hideMark/>
          </w:tcPr>
          <w:p w:rsidRPr="008D1918" w:rsidR="000E3523" w:rsidP="00990195" w:rsidRDefault="000E3523" w14:paraId="62544048"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$25.9</w:t>
            </w:r>
          </w:p>
        </w:tc>
        <w:tc>
          <w:tcPr>
            <w:tcW w:w="1191" w:type="dxa"/>
            <w:vAlign w:val="center"/>
            <w:hideMark/>
          </w:tcPr>
          <w:p w:rsidRPr="008D1918" w:rsidR="000E3523" w:rsidP="00990195" w:rsidRDefault="000E3523" w14:paraId="5532FC1F"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$28.3</w:t>
            </w:r>
          </w:p>
        </w:tc>
        <w:tc>
          <w:tcPr>
            <w:tcW w:w="1191" w:type="dxa"/>
            <w:vAlign w:val="center"/>
            <w:hideMark/>
          </w:tcPr>
          <w:p w:rsidRPr="008D1918" w:rsidR="000E3523" w:rsidP="00990195" w:rsidRDefault="000E3523" w14:paraId="1FFF15AB"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$26.8</w:t>
            </w:r>
          </w:p>
        </w:tc>
        <w:tc>
          <w:tcPr>
            <w:tcW w:w="1191" w:type="dxa"/>
            <w:vAlign w:val="center"/>
            <w:hideMark/>
          </w:tcPr>
          <w:p w:rsidRPr="008D1918" w:rsidR="000E3523" w:rsidP="00990195" w:rsidRDefault="000E3523" w14:paraId="17EF03E3"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$30.1</w:t>
            </w:r>
          </w:p>
        </w:tc>
      </w:tr>
      <w:tr w:rsidRPr="008D1918" w:rsidR="004D466F" w:rsidTr="001F2431" w14:paraId="58808C5E" w14:textId="77777777">
        <w:trPr>
          <w:trHeight w:val="315"/>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Pr="008D1918" w:rsidR="000E3523" w:rsidP="00990195" w:rsidRDefault="000E3523" w14:paraId="664AEFB2" w14:textId="63CD544E">
            <w:pPr>
              <w:keepNext/>
              <w:spacing w:before="60" w:after="60"/>
              <w:rPr>
                <w:rFonts w:cs="Arial"/>
                <w:color w:val="000000"/>
                <w:sz w:val="20"/>
                <w:szCs w:val="20"/>
                <w:lang w:val="en-AU" w:eastAsia="en-AU"/>
              </w:rPr>
            </w:pPr>
            <w:r w:rsidRPr="008D1918">
              <w:rPr>
                <w:rFonts w:cs="Arial"/>
                <w:color w:val="000000"/>
                <w:sz w:val="20"/>
                <w:szCs w:val="20"/>
                <w:lang w:val="en-AU" w:eastAsia="en-AU"/>
              </w:rPr>
              <w:t xml:space="preserve">Trust / </w:t>
            </w:r>
            <w:r w:rsidRPr="008D1918" w:rsidR="001C2F08">
              <w:rPr>
                <w:rFonts w:cs="Arial"/>
                <w:color w:val="000000"/>
                <w:sz w:val="20"/>
                <w:szCs w:val="20"/>
                <w:lang w:val="en-AU" w:eastAsia="en-AU"/>
              </w:rPr>
              <w:t>s</w:t>
            </w:r>
            <w:r w:rsidRPr="008D1918">
              <w:rPr>
                <w:rFonts w:cs="Arial"/>
                <w:color w:val="000000"/>
                <w:sz w:val="20"/>
                <w:szCs w:val="20"/>
                <w:lang w:val="en-AU" w:eastAsia="en-AU"/>
              </w:rPr>
              <w:t>uper</w:t>
            </w:r>
          </w:p>
        </w:tc>
        <w:tc>
          <w:tcPr>
            <w:tcW w:w="1191" w:type="dxa"/>
            <w:vAlign w:val="center"/>
            <w:hideMark/>
          </w:tcPr>
          <w:p w:rsidRPr="008D1918" w:rsidR="000E3523" w:rsidP="00990195" w:rsidRDefault="000E3523" w14:paraId="63DA73F3"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$205.7</w:t>
            </w:r>
          </w:p>
        </w:tc>
        <w:tc>
          <w:tcPr>
            <w:tcW w:w="1191" w:type="dxa"/>
            <w:vAlign w:val="center"/>
            <w:hideMark/>
          </w:tcPr>
          <w:p w:rsidRPr="008D1918" w:rsidR="000E3523" w:rsidP="00990195" w:rsidRDefault="000E3523" w14:paraId="4E9F2DE2"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$242.6</w:t>
            </w:r>
          </w:p>
        </w:tc>
        <w:tc>
          <w:tcPr>
            <w:tcW w:w="1191" w:type="dxa"/>
            <w:vAlign w:val="center"/>
            <w:hideMark/>
          </w:tcPr>
          <w:p w:rsidRPr="008D1918" w:rsidR="000E3523" w:rsidP="00990195" w:rsidRDefault="000E3523" w14:paraId="4BB01390"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$241.9</w:t>
            </w:r>
          </w:p>
        </w:tc>
        <w:tc>
          <w:tcPr>
            <w:tcW w:w="1191" w:type="dxa"/>
            <w:vAlign w:val="center"/>
            <w:hideMark/>
          </w:tcPr>
          <w:p w:rsidRPr="008D1918" w:rsidR="000E3523" w:rsidP="00990195" w:rsidRDefault="000E3523" w14:paraId="3CEB5AB2"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$268.8</w:t>
            </w:r>
          </w:p>
        </w:tc>
        <w:tc>
          <w:tcPr>
            <w:tcW w:w="1191" w:type="dxa"/>
            <w:vAlign w:val="center"/>
            <w:hideMark/>
          </w:tcPr>
          <w:p w:rsidRPr="008D1918" w:rsidR="000E3523" w:rsidP="00990195" w:rsidRDefault="000E3523" w14:paraId="2C034145"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$254.0</w:t>
            </w:r>
          </w:p>
        </w:tc>
        <w:tc>
          <w:tcPr>
            <w:tcW w:w="1191" w:type="dxa"/>
            <w:vAlign w:val="center"/>
            <w:hideMark/>
          </w:tcPr>
          <w:p w:rsidRPr="008D1918" w:rsidR="000E3523" w:rsidP="00990195" w:rsidRDefault="000E3523" w14:paraId="13EBCF68"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$281.2</w:t>
            </w:r>
          </w:p>
        </w:tc>
      </w:tr>
      <w:tr w:rsidRPr="008D1918" w:rsidR="00A238C6" w:rsidTr="001F2431" w14:paraId="14EE025C"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Pr="008D1918" w:rsidR="000E3523" w:rsidP="00990195" w:rsidRDefault="000E3523" w14:paraId="5695C5D8" w14:textId="3B497141">
            <w:pPr>
              <w:keepNext/>
              <w:spacing w:before="60" w:after="60"/>
              <w:rPr>
                <w:rFonts w:cs="Arial"/>
                <w:sz w:val="20"/>
                <w:szCs w:val="20"/>
                <w:lang w:val="en-AU" w:eastAsia="en-AU"/>
              </w:rPr>
            </w:pPr>
            <w:r w:rsidRPr="008D1918">
              <w:rPr>
                <w:rFonts w:cs="Arial"/>
                <w:sz w:val="20"/>
                <w:szCs w:val="20"/>
                <w:lang w:val="en-AU" w:eastAsia="en-AU"/>
              </w:rPr>
              <w:t xml:space="preserve">Sole </w:t>
            </w:r>
            <w:r w:rsidRPr="008D1918" w:rsidR="001C2F08">
              <w:rPr>
                <w:rFonts w:cs="Arial"/>
                <w:sz w:val="20"/>
                <w:szCs w:val="20"/>
                <w:lang w:val="en-AU" w:eastAsia="en-AU"/>
              </w:rPr>
              <w:t>t</w:t>
            </w:r>
            <w:r w:rsidRPr="008D1918">
              <w:rPr>
                <w:rFonts w:cs="Arial"/>
                <w:sz w:val="20"/>
                <w:szCs w:val="20"/>
                <w:lang w:val="en-AU" w:eastAsia="en-AU"/>
              </w:rPr>
              <w:t>rader</w:t>
            </w:r>
          </w:p>
        </w:tc>
        <w:tc>
          <w:tcPr>
            <w:tcW w:w="1191" w:type="dxa"/>
            <w:vAlign w:val="center"/>
            <w:hideMark/>
          </w:tcPr>
          <w:p w:rsidRPr="008D1918" w:rsidR="000E3523" w:rsidP="00990195" w:rsidRDefault="000E3523" w14:paraId="4AD3C530"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$304.0</w:t>
            </w:r>
          </w:p>
        </w:tc>
        <w:tc>
          <w:tcPr>
            <w:tcW w:w="1191" w:type="dxa"/>
            <w:vAlign w:val="center"/>
            <w:hideMark/>
          </w:tcPr>
          <w:p w:rsidRPr="008D1918" w:rsidR="000E3523" w:rsidP="00990195" w:rsidRDefault="000E3523" w14:paraId="3940947C"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$349.9</w:t>
            </w:r>
          </w:p>
        </w:tc>
        <w:tc>
          <w:tcPr>
            <w:tcW w:w="1191" w:type="dxa"/>
            <w:vAlign w:val="center"/>
            <w:hideMark/>
          </w:tcPr>
          <w:p w:rsidRPr="008D1918" w:rsidR="000E3523" w:rsidP="00990195" w:rsidRDefault="000E3523" w14:paraId="7D8D2EE9"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$349.2</w:t>
            </w:r>
          </w:p>
        </w:tc>
        <w:tc>
          <w:tcPr>
            <w:tcW w:w="1191" w:type="dxa"/>
            <w:vAlign w:val="center"/>
            <w:hideMark/>
          </w:tcPr>
          <w:p w:rsidRPr="008D1918" w:rsidR="000E3523" w:rsidP="00990195" w:rsidRDefault="000E3523" w14:paraId="2C4DA6FE"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$395.1</w:t>
            </w:r>
          </w:p>
        </w:tc>
        <w:tc>
          <w:tcPr>
            <w:tcW w:w="1191" w:type="dxa"/>
            <w:vAlign w:val="center"/>
            <w:hideMark/>
          </w:tcPr>
          <w:p w:rsidRPr="008D1918" w:rsidR="000E3523" w:rsidP="00990195" w:rsidRDefault="000E3523" w14:paraId="3A0C2BFA"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$382.4</w:t>
            </w:r>
          </w:p>
        </w:tc>
        <w:tc>
          <w:tcPr>
            <w:tcW w:w="1191" w:type="dxa"/>
            <w:vAlign w:val="center"/>
            <w:hideMark/>
          </w:tcPr>
          <w:p w:rsidRPr="008D1918" w:rsidR="000E3523" w:rsidP="00990195" w:rsidRDefault="000E3523" w14:paraId="7FFFD727"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$421.1</w:t>
            </w:r>
          </w:p>
        </w:tc>
      </w:tr>
      <w:tr w:rsidRPr="008D1918" w:rsidR="004D466F" w:rsidTr="001F2431" w14:paraId="4DB32FA9" w14:textId="77777777">
        <w:trPr>
          <w:trHeight w:val="330"/>
        </w:trPr>
        <w:tc>
          <w:tcPr>
            <w:cnfStyle w:val="001000000000" w:firstRow="0" w:lastRow="0" w:firstColumn="1" w:lastColumn="0" w:oddVBand="0" w:evenVBand="0" w:oddHBand="0" w:evenHBand="0" w:firstRowFirstColumn="0" w:firstRowLastColumn="0" w:lastRowFirstColumn="0" w:lastRowLastColumn="0"/>
            <w:tcW w:w="2381" w:type="dxa"/>
            <w:vAlign w:val="center"/>
            <w:hideMark/>
          </w:tcPr>
          <w:p w:rsidRPr="008D1918" w:rsidR="000E3523" w:rsidP="00990195" w:rsidRDefault="000E3523" w14:paraId="09DD3B66" w14:textId="77777777">
            <w:pPr>
              <w:keepNext/>
              <w:spacing w:before="60" w:after="60"/>
              <w:rPr>
                <w:rFonts w:cs="Arial"/>
                <w:b/>
                <w:bCs w:val="0"/>
                <w:color w:val="000000"/>
                <w:sz w:val="20"/>
                <w:szCs w:val="20"/>
                <w:lang w:val="en-AU" w:eastAsia="en-AU"/>
              </w:rPr>
            </w:pPr>
            <w:r w:rsidRPr="008D1918">
              <w:rPr>
                <w:rFonts w:cs="Arial"/>
                <w:b/>
                <w:color w:val="000000"/>
                <w:sz w:val="20"/>
                <w:szCs w:val="20"/>
                <w:lang w:val="en-AU" w:eastAsia="en-AU"/>
              </w:rPr>
              <w:t>Total</w:t>
            </w:r>
          </w:p>
        </w:tc>
        <w:tc>
          <w:tcPr>
            <w:tcW w:w="1191" w:type="dxa"/>
            <w:vAlign w:val="center"/>
            <w:hideMark/>
          </w:tcPr>
          <w:p w:rsidRPr="008D1918" w:rsidR="000E3523" w:rsidP="00990195" w:rsidRDefault="000E3523" w14:paraId="073C5F79"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sz w:val="20"/>
                <w:szCs w:val="20"/>
                <w:lang w:val="en-AU" w:eastAsia="en-AU"/>
              </w:rPr>
              <w:t>$1,753.6</w:t>
            </w:r>
          </w:p>
        </w:tc>
        <w:tc>
          <w:tcPr>
            <w:tcW w:w="1191" w:type="dxa"/>
            <w:vAlign w:val="center"/>
            <w:hideMark/>
          </w:tcPr>
          <w:p w:rsidRPr="008D1918" w:rsidR="000E3523" w:rsidP="00990195" w:rsidRDefault="000E3523" w14:paraId="322746E7"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sz w:val="20"/>
                <w:szCs w:val="20"/>
                <w:lang w:val="en-AU" w:eastAsia="en-AU"/>
              </w:rPr>
              <w:t>$2,070.3</w:t>
            </w:r>
          </w:p>
        </w:tc>
        <w:tc>
          <w:tcPr>
            <w:tcW w:w="1191" w:type="dxa"/>
            <w:vAlign w:val="center"/>
            <w:hideMark/>
          </w:tcPr>
          <w:p w:rsidRPr="008D1918" w:rsidR="000E3523" w:rsidP="00990195" w:rsidRDefault="000E3523" w14:paraId="27D7CA43"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sz w:val="20"/>
                <w:szCs w:val="20"/>
                <w:lang w:val="en-AU" w:eastAsia="en-AU"/>
              </w:rPr>
              <w:t>$2,092.8</w:t>
            </w:r>
          </w:p>
        </w:tc>
        <w:tc>
          <w:tcPr>
            <w:tcW w:w="1191" w:type="dxa"/>
            <w:vAlign w:val="center"/>
            <w:hideMark/>
          </w:tcPr>
          <w:p w:rsidRPr="008D1918" w:rsidR="000E3523" w:rsidP="00990195" w:rsidRDefault="000E3523" w14:paraId="1C77249D"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sz w:val="20"/>
                <w:szCs w:val="20"/>
                <w:lang w:val="en-AU" w:eastAsia="en-AU"/>
              </w:rPr>
              <w:t>$2,417.2</w:t>
            </w:r>
          </w:p>
        </w:tc>
        <w:tc>
          <w:tcPr>
            <w:tcW w:w="1191" w:type="dxa"/>
            <w:vAlign w:val="center"/>
            <w:hideMark/>
          </w:tcPr>
          <w:p w:rsidRPr="008D1918" w:rsidR="000E3523" w:rsidP="00990195" w:rsidRDefault="000E3523" w14:paraId="21C45E53"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sz w:val="20"/>
                <w:szCs w:val="20"/>
                <w:lang w:val="en-AU" w:eastAsia="en-AU"/>
              </w:rPr>
              <w:t>$2,363.3</w:t>
            </w:r>
          </w:p>
        </w:tc>
        <w:tc>
          <w:tcPr>
            <w:tcW w:w="1191" w:type="dxa"/>
            <w:vAlign w:val="center"/>
            <w:hideMark/>
          </w:tcPr>
          <w:p w:rsidRPr="008D1918" w:rsidR="000E3523" w:rsidP="00990195" w:rsidRDefault="000E3523" w14:paraId="05634DFA"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sz w:val="20"/>
                <w:szCs w:val="20"/>
                <w:lang w:val="en-AU" w:eastAsia="en-AU"/>
              </w:rPr>
              <w:t>$2,666.4</w:t>
            </w:r>
          </w:p>
        </w:tc>
      </w:tr>
    </w:tbl>
    <w:p w:rsidRPr="008D1918" w:rsidR="000E3523" w:rsidRDefault="000E3523" w14:paraId="6E3836F1" w14:textId="77777777">
      <w:pPr>
        <w:keepNext/>
        <w:spacing w:before="120" w:after="60" w:line="240" w:lineRule="atLeast"/>
        <w:rPr>
          <w:rFonts w:cs="Calibri" w:eastAsiaTheme="minorEastAsia"/>
          <w:b/>
          <w:sz w:val="20"/>
          <w:szCs w:val="20"/>
          <w:lang w:val="en-AU"/>
        </w:rPr>
      </w:pPr>
      <w:r w:rsidRPr="008D1918">
        <w:rPr>
          <w:rFonts w:cs="Calibri" w:eastAsiaTheme="minorEastAsia"/>
          <w:b/>
          <w:sz w:val="20"/>
          <w:szCs w:val="20"/>
          <w:lang w:val="en-AU"/>
        </w:rPr>
        <w:t>Source: NDIS internal administrative data</w:t>
      </w:r>
    </w:p>
    <w:p w:rsidRPr="008D1918" w:rsidR="000E3523" w:rsidP="002B66D6" w:rsidRDefault="000E3523" w14:paraId="7DA09F80" w14:textId="77777777">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Note: All payments are included here regardless of missing details. Payments from missing legal entity type are excluded from the breakdown but included in the total.</w:t>
      </w:r>
    </w:p>
    <w:p w:rsidRPr="008D1918" w:rsidR="000E3523" w:rsidP="00041468" w:rsidRDefault="000E3523" w14:paraId="1613FDB2" w14:textId="509C78DA">
      <w:pPr>
        <w:pStyle w:val="StyleStyle112pt"/>
      </w:pPr>
      <w:bookmarkStart w:name="_Toc195538923" w:id="928"/>
      <w:bookmarkStart w:name="_Toc200103503" w:id="929"/>
      <w:bookmarkStart w:name="_Toc200271616" w:id="930"/>
      <w:bookmarkStart w:name="_Toc223428430" w:id="931"/>
      <w:bookmarkStart w:name="_Toc223445889" w:id="932"/>
      <w:bookmarkStart w:name="_Toc223539679" w:id="933"/>
      <w:bookmarkStart w:name="_Toc223539896" w:id="934"/>
      <w:bookmarkStart w:name="_Toc223540364" w:id="935"/>
      <w:bookmarkStart w:name="_Toc223540580" w:id="936"/>
      <w:bookmarkStart w:name="_Toc223542116" w:id="937"/>
      <w:bookmarkStart w:name="_Toc223604302" w:id="938"/>
      <w:bookmarkStart w:name="_Toc223604513" w:id="939"/>
      <w:bookmarkStart w:name="_Toc223604733" w:id="940"/>
      <w:bookmarkStart w:name="_Toc223618595" w:id="941"/>
      <w:bookmarkStart w:name="_Toc223702832" w:id="942"/>
      <w:bookmarkStart w:name="_Toc227318730" w:id="943"/>
      <w:bookmarkStart w:name="_Toc227337098" w:id="944"/>
      <w:r w:rsidRPr="008D1918">
        <w:t xml:space="preserve">Geographic </w:t>
      </w:r>
      <w:bookmarkEnd w:id="928"/>
      <w:bookmarkEnd w:id="929"/>
      <w:bookmarkEnd w:id="930"/>
      <w:r w:rsidRPr="008D1918">
        <w:t>distribution</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r w:rsidRPr="008D1918">
        <w:t xml:space="preserve"> </w:t>
      </w:r>
    </w:p>
    <w:p w:rsidRPr="008D1918" w:rsidR="000E3523" w:rsidRDefault="000E3523" w14:paraId="17F84373" w14:textId="68C83218">
      <w:pPr>
        <w:rPr>
          <w:lang w:val="en-AU"/>
        </w:rPr>
      </w:pPr>
      <w:r w:rsidRPr="008D1918">
        <w:rPr>
          <w:lang w:val="en-AU"/>
        </w:rPr>
        <w:t xml:space="preserve">Provider distribution varied by region. In non-remote areas, the number of registered providers was 7,224 in the </w:t>
      </w:r>
      <w:r w:rsidRPr="008D1918" w:rsidR="00BB486A">
        <w:rPr>
          <w:lang w:val="en-AU"/>
        </w:rPr>
        <w:t xml:space="preserve">6 </w:t>
      </w:r>
      <w:r w:rsidRPr="008D1918">
        <w:rPr>
          <w:lang w:val="en-AU"/>
        </w:rPr>
        <w:t>months to December 2025, while unregistered providers numbered 46,012 (</w:t>
      </w:r>
      <w:r w:rsidRPr="008D1918" w:rsidR="005B2F5E">
        <w:rPr>
          <w:lang w:val="en-AU"/>
        </w:rPr>
        <w:fldChar w:fldCharType="begin"/>
      </w:r>
      <w:r w:rsidRPr="008D1918" w:rsidR="005B2F5E">
        <w:rPr>
          <w:lang w:val="en-AU"/>
        </w:rPr>
        <w:instrText xml:space="preserve"> REF _Ref223690103 \h </w:instrText>
      </w:r>
      <w:r w:rsidRPr="008D1918" w:rsidR="00762DF8">
        <w:rPr>
          <w:lang w:val="en-AU"/>
        </w:rPr>
        <w:instrText xml:space="preserve"> \* MERGEFORMAT </w:instrText>
      </w:r>
      <w:r w:rsidRPr="008D1918" w:rsidR="005B2F5E">
        <w:rPr>
          <w:lang w:val="en-AU"/>
        </w:rPr>
      </w:r>
      <w:r w:rsidRPr="008D1918" w:rsidR="005B2F5E">
        <w:rPr>
          <w:lang w:val="en-AU"/>
        </w:rPr>
        <w:fldChar w:fldCharType="separate"/>
      </w:r>
      <w:r w:rsidRPr="008F56A2" w:rsidR="008F56A2">
        <w:rPr>
          <w:lang w:val="en-AU"/>
        </w:rPr>
        <w:t>Table</w:t>
      </w:r>
      <w:r w:rsidRPr="008D1918" w:rsidR="008F56A2">
        <w:t xml:space="preserve"> </w:t>
      </w:r>
      <w:r w:rsidR="008F56A2">
        <w:rPr>
          <w:noProof/>
        </w:rPr>
        <w:t>18</w:t>
      </w:r>
      <w:r w:rsidRPr="008D1918" w:rsidR="005B2F5E">
        <w:rPr>
          <w:lang w:val="en-AU"/>
        </w:rPr>
        <w:fldChar w:fldCharType="end"/>
      </w:r>
      <w:r w:rsidRPr="008D1918">
        <w:rPr>
          <w:lang w:val="en-AU"/>
        </w:rPr>
        <w:t xml:space="preserve"> and </w:t>
      </w:r>
      <w:r w:rsidRPr="008D1918" w:rsidR="0080551B">
        <w:rPr>
          <w:lang w:val="en-AU"/>
        </w:rPr>
        <w:fldChar w:fldCharType="begin"/>
      </w:r>
      <w:r w:rsidRPr="008D1918" w:rsidR="0080551B">
        <w:rPr>
          <w:lang w:val="en-AU"/>
        </w:rPr>
        <w:instrText xml:space="preserve"> REF _Ref223690163 \h </w:instrText>
      </w:r>
      <w:r w:rsidRPr="008D1918" w:rsidR="00762DF8">
        <w:rPr>
          <w:lang w:val="en-AU"/>
        </w:rPr>
        <w:instrText xml:space="preserve"> \* MERGEFORMAT </w:instrText>
      </w:r>
      <w:r w:rsidRPr="008D1918" w:rsidR="0080551B">
        <w:rPr>
          <w:lang w:val="en-AU"/>
        </w:rPr>
      </w:r>
      <w:r w:rsidRPr="008D1918" w:rsidR="0080551B">
        <w:rPr>
          <w:lang w:val="en-AU"/>
        </w:rPr>
        <w:fldChar w:fldCharType="separate"/>
      </w:r>
      <w:r w:rsidRPr="008F56A2" w:rsidR="008F56A2">
        <w:rPr>
          <w:lang w:val="en-AU"/>
        </w:rPr>
        <w:t>Table</w:t>
      </w:r>
      <w:r w:rsidRPr="008D1918" w:rsidR="008F56A2">
        <w:t xml:space="preserve"> </w:t>
      </w:r>
      <w:r w:rsidR="008F56A2">
        <w:rPr>
          <w:noProof/>
        </w:rPr>
        <w:t>19</w:t>
      </w:r>
      <w:r w:rsidRPr="008D1918" w:rsidR="0080551B">
        <w:rPr>
          <w:lang w:val="en-AU"/>
        </w:rPr>
        <w:fldChar w:fldCharType="end"/>
      </w:r>
      <w:r w:rsidRPr="008D1918">
        <w:rPr>
          <w:lang w:val="en-AU"/>
        </w:rPr>
        <w:t xml:space="preserve">). In remote areas there were 600 registered providers compared to 1,135 unregistered providers. For very remote areas </w:t>
      </w:r>
      <w:r w:rsidRPr="008D1918" w:rsidR="006C5FBF">
        <w:rPr>
          <w:lang w:val="en-AU"/>
        </w:rPr>
        <w:t>there were 354</w:t>
      </w:r>
      <w:r w:rsidRPr="008D1918">
        <w:rPr>
          <w:lang w:val="en-AU"/>
        </w:rPr>
        <w:t xml:space="preserve"> registered providers </w:t>
      </w:r>
      <w:r w:rsidRPr="008D1918" w:rsidR="006C5FBF">
        <w:rPr>
          <w:lang w:val="en-AU"/>
        </w:rPr>
        <w:t xml:space="preserve">and 567 </w:t>
      </w:r>
      <w:r w:rsidRPr="008D1918">
        <w:rPr>
          <w:lang w:val="en-AU"/>
        </w:rPr>
        <w:t>unregistered providers (</w:t>
      </w:r>
      <w:r w:rsidRPr="008D1918" w:rsidR="005B2F5E">
        <w:rPr>
          <w:lang w:val="en-AU"/>
        </w:rPr>
        <w:fldChar w:fldCharType="begin"/>
      </w:r>
      <w:r w:rsidRPr="008D1918" w:rsidR="005B2F5E">
        <w:rPr>
          <w:lang w:val="en-AU"/>
        </w:rPr>
        <w:instrText xml:space="preserve"> REF _Ref223690103 \h </w:instrText>
      </w:r>
      <w:r w:rsidRPr="008D1918" w:rsidR="00762DF8">
        <w:rPr>
          <w:lang w:val="en-AU"/>
        </w:rPr>
        <w:instrText xml:space="preserve"> \* MERGEFORMAT </w:instrText>
      </w:r>
      <w:r w:rsidRPr="008D1918" w:rsidR="005B2F5E">
        <w:rPr>
          <w:lang w:val="en-AU"/>
        </w:rPr>
      </w:r>
      <w:r w:rsidRPr="008D1918" w:rsidR="005B2F5E">
        <w:rPr>
          <w:lang w:val="en-AU"/>
        </w:rPr>
        <w:fldChar w:fldCharType="separate"/>
      </w:r>
      <w:r w:rsidRPr="008F56A2" w:rsidR="008F56A2">
        <w:rPr>
          <w:lang w:val="en-AU"/>
        </w:rPr>
        <w:t>Table</w:t>
      </w:r>
      <w:r w:rsidRPr="008D1918" w:rsidR="008F56A2">
        <w:t xml:space="preserve"> </w:t>
      </w:r>
      <w:r w:rsidR="008F56A2">
        <w:rPr>
          <w:noProof/>
        </w:rPr>
        <w:t>18</w:t>
      </w:r>
      <w:r w:rsidRPr="008D1918" w:rsidR="005B2F5E">
        <w:rPr>
          <w:lang w:val="en-AU"/>
        </w:rPr>
        <w:fldChar w:fldCharType="end"/>
      </w:r>
      <w:r w:rsidRPr="008D1918">
        <w:rPr>
          <w:lang w:val="en-AU"/>
        </w:rPr>
        <w:t xml:space="preserve"> and </w:t>
      </w:r>
      <w:r w:rsidRPr="008D1918" w:rsidR="0080551B">
        <w:rPr>
          <w:lang w:val="en-AU"/>
        </w:rPr>
        <w:fldChar w:fldCharType="begin"/>
      </w:r>
      <w:r w:rsidRPr="008D1918" w:rsidR="0080551B">
        <w:rPr>
          <w:lang w:val="en-AU"/>
        </w:rPr>
        <w:instrText xml:space="preserve"> REF _Ref223690163 \h </w:instrText>
      </w:r>
      <w:r w:rsidRPr="008D1918" w:rsidR="00762DF8">
        <w:rPr>
          <w:lang w:val="en-AU"/>
        </w:rPr>
        <w:instrText xml:space="preserve"> \* MERGEFORMAT </w:instrText>
      </w:r>
      <w:r w:rsidRPr="008D1918" w:rsidR="0080551B">
        <w:rPr>
          <w:lang w:val="en-AU"/>
        </w:rPr>
      </w:r>
      <w:r w:rsidRPr="008D1918" w:rsidR="0080551B">
        <w:rPr>
          <w:lang w:val="en-AU"/>
        </w:rPr>
        <w:fldChar w:fldCharType="separate"/>
      </w:r>
      <w:r w:rsidRPr="008F56A2" w:rsidR="008F56A2">
        <w:rPr>
          <w:lang w:val="en-AU"/>
        </w:rPr>
        <w:t>Table</w:t>
      </w:r>
      <w:r w:rsidRPr="008D1918" w:rsidR="008F56A2">
        <w:t xml:space="preserve"> </w:t>
      </w:r>
      <w:r w:rsidR="008F56A2">
        <w:rPr>
          <w:noProof/>
        </w:rPr>
        <w:t>19</w:t>
      </w:r>
      <w:r w:rsidRPr="008D1918" w:rsidR="0080551B">
        <w:rPr>
          <w:lang w:val="en-AU"/>
        </w:rPr>
        <w:fldChar w:fldCharType="end"/>
      </w:r>
      <w:r w:rsidRPr="008D1918">
        <w:rPr>
          <w:lang w:val="en-AU"/>
        </w:rPr>
        <w:t>).</w:t>
      </w:r>
    </w:p>
    <w:p w:rsidRPr="008D1918" w:rsidR="000E3523" w:rsidRDefault="000E3523" w14:paraId="2A404595" w14:textId="454AEACB">
      <w:pPr>
        <w:rPr>
          <w:lang w:val="en-AU"/>
        </w:rPr>
      </w:pPr>
      <w:r w:rsidRPr="008D1918">
        <w:rPr>
          <w:lang w:val="en-AU"/>
        </w:rPr>
        <w:t>Between January 2023 and December 2025, the number of registered providers declined by 12% in non-remote areas but grew in both remote and very remote areas by 15% and 19% respectively (</w:t>
      </w:r>
      <w:r w:rsidRPr="008D1918" w:rsidR="005B2F5E">
        <w:rPr>
          <w:lang w:val="en-AU"/>
        </w:rPr>
        <w:fldChar w:fldCharType="begin"/>
      </w:r>
      <w:r w:rsidRPr="008D1918" w:rsidR="005B2F5E">
        <w:rPr>
          <w:lang w:val="en-AU"/>
        </w:rPr>
        <w:instrText xml:space="preserve"> REF _Ref223690103 \h </w:instrText>
      </w:r>
      <w:r w:rsidRPr="008D1918" w:rsidR="00762DF8">
        <w:rPr>
          <w:lang w:val="en-AU"/>
        </w:rPr>
        <w:instrText xml:space="preserve"> \* MERGEFORMAT </w:instrText>
      </w:r>
      <w:r w:rsidRPr="008D1918" w:rsidR="005B2F5E">
        <w:rPr>
          <w:lang w:val="en-AU"/>
        </w:rPr>
      </w:r>
      <w:r w:rsidRPr="008D1918" w:rsidR="005B2F5E">
        <w:rPr>
          <w:lang w:val="en-AU"/>
        </w:rPr>
        <w:fldChar w:fldCharType="separate"/>
      </w:r>
      <w:r w:rsidRPr="008F56A2" w:rsidR="008F56A2">
        <w:rPr>
          <w:lang w:val="en-AU"/>
        </w:rPr>
        <w:t>Table</w:t>
      </w:r>
      <w:r w:rsidRPr="008D1918" w:rsidR="008F56A2">
        <w:t xml:space="preserve"> </w:t>
      </w:r>
      <w:r w:rsidR="008F56A2">
        <w:rPr>
          <w:noProof/>
        </w:rPr>
        <w:t>18</w:t>
      </w:r>
      <w:r w:rsidRPr="008D1918" w:rsidR="005B2F5E">
        <w:rPr>
          <w:lang w:val="en-AU"/>
        </w:rPr>
        <w:fldChar w:fldCharType="end"/>
      </w:r>
      <w:r w:rsidRPr="008D1918">
        <w:rPr>
          <w:lang w:val="en-AU"/>
        </w:rPr>
        <w:t>).</w:t>
      </w:r>
    </w:p>
    <w:p w:rsidRPr="008D1918" w:rsidR="00D26A2A" w:rsidRDefault="000E3523" w14:paraId="7EBA1E72" w14:textId="269A2488">
      <w:pPr>
        <w:rPr>
          <w:lang w:val="en-AU"/>
        </w:rPr>
      </w:pPr>
      <w:r w:rsidRPr="008D1918">
        <w:rPr>
          <w:lang w:val="en-AU"/>
        </w:rPr>
        <w:t>Unregistered providers have grown across all areas (increased by 10% in non-remote areas, 46% in remote areas and 64% in very remote areas (</w:t>
      </w:r>
      <w:r w:rsidRPr="008D1918" w:rsidR="0080551B">
        <w:rPr>
          <w:lang w:val="en-AU"/>
        </w:rPr>
        <w:fldChar w:fldCharType="begin"/>
      </w:r>
      <w:r w:rsidRPr="008D1918" w:rsidR="0080551B">
        <w:rPr>
          <w:lang w:val="en-AU"/>
        </w:rPr>
        <w:instrText xml:space="preserve"> REF _Ref223690163 \h </w:instrText>
      </w:r>
      <w:r w:rsidRPr="008D1918" w:rsidR="00762DF8">
        <w:rPr>
          <w:lang w:val="en-AU"/>
        </w:rPr>
        <w:instrText xml:space="preserve"> \* MERGEFORMAT </w:instrText>
      </w:r>
      <w:r w:rsidRPr="008D1918" w:rsidR="0080551B">
        <w:rPr>
          <w:lang w:val="en-AU"/>
        </w:rPr>
      </w:r>
      <w:r w:rsidRPr="008D1918" w:rsidR="0080551B">
        <w:rPr>
          <w:lang w:val="en-AU"/>
        </w:rPr>
        <w:fldChar w:fldCharType="separate"/>
      </w:r>
      <w:r w:rsidRPr="008F56A2" w:rsidR="008F56A2">
        <w:rPr>
          <w:lang w:val="en-AU"/>
        </w:rPr>
        <w:t>Table</w:t>
      </w:r>
      <w:r w:rsidRPr="008D1918" w:rsidR="008F56A2">
        <w:t xml:space="preserve"> </w:t>
      </w:r>
      <w:r w:rsidR="008F56A2">
        <w:rPr>
          <w:noProof/>
        </w:rPr>
        <w:t>19</w:t>
      </w:r>
      <w:r w:rsidRPr="008D1918" w:rsidR="0080551B">
        <w:rPr>
          <w:lang w:val="en-AU"/>
        </w:rPr>
        <w:fldChar w:fldCharType="end"/>
      </w:r>
      <w:r w:rsidRPr="008D1918" w:rsidR="004B655A">
        <w:rPr>
          <w:lang w:val="en-AU"/>
        </w:rPr>
        <w:t>)</w:t>
      </w:r>
      <w:r w:rsidRPr="008D1918">
        <w:rPr>
          <w:lang w:val="en-AU"/>
        </w:rPr>
        <w:t>. These trends indicate continued growth in provider availability across remote regions, supported by steadily increasing numbers of both registered and unregistered providers.</w:t>
      </w:r>
    </w:p>
    <w:p w:rsidRPr="008D1918" w:rsidR="00D26A2A" w:rsidRDefault="00D26A2A" w14:paraId="2AC61DC3" w14:textId="77777777">
      <w:pPr>
        <w:spacing w:after="0" w:line="240" w:lineRule="auto"/>
        <w:rPr>
          <w:lang w:val="en-AU"/>
        </w:rPr>
      </w:pPr>
      <w:r w:rsidRPr="008D1918">
        <w:rPr>
          <w:lang w:val="en-AU"/>
        </w:rPr>
        <w:br w:type="page"/>
      </w:r>
    </w:p>
    <w:p w:rsidRPr="008D1918" w:rsidR="000E3523" w:rsidP="005B2F5E" w:rsidRDefault="005B2F5E" w14:paraId="452EF9E5" w14:textId="53BA428B">
      <w:pPr>
        <w:pStyle w:val="Caption"/>
        <w:rPr>
          <w:rFonts w:cs="Arial"/>
          <w:i w:val="0"/>
          <w:color w:val="6B2876" w:themeColor="accent5"/>
          <w:lang w:eastAsia="en-AU"/>
        </w:rPr>
      </w:pPr>
      <w:bookmarkStart w:name="_Ref223690103" w:id="945"/>
      <w:r w:rsidRPr="008D1918">
        <w:t xml:space="preserve">Table </w:t>
      </w:r>
      <w:r>
        <w:fldChar w:fldCharType="begin"/>
      </w:r>
      <w:r>
        <w:instrText>SEQ Table \* ARABIC</w:instrText>
      </w:r>
      <w:r>
        <w:fldChar w:fldCharType="separate"/>
      </w:r>
      <w:r w:rsidR="008F56A2">
        <w:rPr>
          <w:noProof/>
        </w:rPr>
        <w:t>18</w:t>
      </w:r>
      <w:r>
        <w:fldChar w:fldCharType="end"/>
      </w:r>
      <w:bookmarkEnd w:id="945"/>
      <w:r w:rsidRPr="008D1918" w:rsidR="000E3523">
        <w:rPr>
          <w:rFonts w:cs="Arial"/>
          <w:color w:val="6B2876" w:themeColor="accent5"/>
          <w:lang w:eastAsia="en-AU"/>
        </w:rPr>
        <w:t xml:space="preserve">: Registered providers by remoteness for therapy supports, January 2023 to December 2025. </w:t>
      </w:r>
    </w:p>
    <w:tbl>
      <w:tblPr>
        <w:tblStyle w:val="GridTable4-Accent121"/>
        <w:tblW w:w="9080" w:type="dxa"/>
        <w:tblInd w:w="5" w:type="dxa"/>
        <w:tblLayout w:type="fixed"/>
        <w:tblLook w:val="04A0" w:firstRow="1" w:lastRow="0" w:firstColumn="1" w:lastColumn="0" w:noHBand="0" w:noVBand="1"/>
      </w:tblPr>
      <w:tblGrid>
        <w:gridCol w:w="1814"/>
        <w:gridCol w:w="1211"/>
        <w:gridCol w:w="1211"/>
        <w:gridCol w:w="1211"/>
        <w:gridCol w:w="1211"/>
        <w:gridCol w:w="1211"/>
        <w:gridCol w:w="1211"/>
      </w:tblGrid>
      <w:tr w:rsidRPr="008D1918" w:rsidR="00A41050" w:rsidTr="00FF3BC2" w14:paraId="6EC01754" w14:textId="77777777">
        <w:trPr>
          <w:cnfStyle w:val="100000000000" w:firstRow="1" w:lastRow="0" w:firstColumn="0" w:lastColumn="0" w:oddVBand="0" w:evenVBand="0" w:oddHBand="0" w:evenHBand="0" w:firstRowFirstColumn="0" w:firstRowLastColumn="0" w:lastRowFirstColumn="0" w:lastRowLastColumn="0"/>
          <w:trHeight w:val="1020"/>
          <w:tblHeader/>
        </w:trPr>
        <w:tc>
          <w:tcPr>
            <w:cnfStyle w:val="001000000000" w:firstRow="0" w:lastRow="0" w:firstColumn="1" w:lastColumn="0" w:oddVBand="0" w:evenVBand="0" w:oddHBand="0" w:evenHBand="0" w:firstRowFirstColumn="0" w:firstRowLastColumn="0" w:lastRowFirstColumn="0" w:lastRowLastColumn="0"/>
            <w:tcW w:w="1814" w:type="dxa"/>
            <w:vAlign w:val="center"/>
            <w:hideMark/>
          </w:tcPr>
          <w:p w:rsidRPr="008D1918" w:rsidR="000E3523" w:rsidP="00FB6FF5" w:rsidRDefault="00B828D3" w14:paraId="3635910C" w14:textId="3DF689A0">
            <w:pPr>
              <w:spacing w:before="60" w:after="60"/>
              <w:rPr>
                <w:rFonts w:cs="Arial"/>
                <w:b w:val="0"/>
                <w:sz w:val="20"/>
                <w:szCs w:val="20"/>
                <w:lang w:val="en-AU" w:eastAsia="en-AU"/>
              </w:rPr>
            </w:pPr>
            <w:r w:rsidRPr="008D1918">
              <w:rPr>
                <w:rFonts w:cs="Arial"/>
                <w:sz w:val="20"/>
                <w:szCs w:val="20"/>
                <w:lang w:val="en-AU" w:eastAsia="en-AU"/>
              </w:rPr>
              <w:t>Remoteness</w:t>
            </w:r>
          </w:p>
        </w:tc>
        <w:tc>
          <w:tcPr>
            <w:tcW w:w="1211" w:type="dxa"/>
            <w:hideMark/>
          </w:tcPr>
          <w:p w:rsidRPr="008D1918" w:rsidR="000E3523" w:rsidP="00397AFD" w:rsidRDefault="000E3523" w14:paraId="400A3E72" w14:textId="008FBD1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January – June</w:t>
            </w:r>
            <w:r w:rsidRPr="008D1918" w:rsidR="00B828D3">
              <w:rPr>
                <w:lang w:val="en-AU"/>
              </w:rPr>
              <w:br/>
            </w:r>
            <w:r w:rsidRPr="008D1918">
              <w:rPr>
                <w:rFonts w:cs="Arial"/>
                <w:sz w:val="20"/>
                <w:szCs w:val="20"/>
                <w:lang w:val="en-AU" w:eastAsia="en-AU"/>
              </w:rPr>
              <w:t>2023</w:t>
            </w:r>
          </w:p>
        </w:tc>
        <w:tc>
          <w:tcPr>
            <w:tcW w:w="1211" w:type="dxa"/>
            <w:hideMark/>
          </w:tcPr>
          <w:p w:rsidRPr="008D1918" w:rsidR="000E3523" w:rsidP="00397AFD" w:rsidRDefault="000E3523" w14:paraId="640A6105" w14:textId="51C20C61">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w:t>
            </w:r>
            <w:r w:rsidRPr="008D1918" w:rsidR="00B828D3">
              <w:rPr>
                <w:lang w:val="en-AU"/>
              </w:rPr>
              <w:br/>
            </w:r>
            <w:r w:rsidRPr="008D1918">
              <w:rPr>
                <w:rFonts w:cs="Arial"/>
                <w:sz w:val="20"/>
                <w:szCs w:val="20"/>
                <w:lang w:val="en-AU" w:eastAsia="en-AU"/>
              </w:rPr>
              <w:t>2023</w:t>
            </w:r>
          </w:p>
        </w:tc>
        <w:tc>
          <w:tcPr>
            <w:tcW w:w="1211" w:type="dxa"/>
            <w:hideMark/>
          </w:tcPr>
          <w:p w:rsidRPr="008D1918" w:rsidR="000E3523" w:rsidP="00397AFD" w:rsidRDefault="000E3523" w14:paraId="7D38F333" w14:textId="5B34CE1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January – June</w:t>
            </w:r>
            <w:r w:rsidRPr="008D1918" w:rsidR="00B828D3">
              <w:rPr>
                <w:lang w:val="en-AU"/>
              </w:rPr>
              <w:br/>
            </w:r>
            <w:r w:rsidRPr="008D1918">
              <w:rPr>
                <w:rFonts w:cs="Arial"/>
                <w:sz w:val="20"/>
                <w:szCs w:val="20"/>
                <w:lang w:val="en-AU" w:eastAsia="en-AU"/>
              </w:rPr>
              <w:t>2024</w:t>
            </w:r>
          </w:p>
        </w:tc>
        <w:tc>
          <w:tcPr>
            <w:tcW w:w="1211" w:type="dxa"/>
            <w:hideMark/>
          </w:tcPr>
          <w:p w:rsidRPr="008D1918" w:rsidR="000E3523" w:rsidP="00397AFD" w:rsidRDefault="000E3523" w14:paraId="0CD6EB6F" w14:textId="65570BEA">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w:t>
            </w:r>
            <w:r w:rsidRPr="008D1918" w:rsidR="00B828D3">
              <w:rPr>
                <w:lang w:val="en-AU"/>
              </w:rPr>
              <w:br/>
            </w:r>
            <w:r w:rsidRPr="008D1918">
              <w:rPr>
                <w:rFonts w:cs="Arial"/>
                <w:sz w:val="20"/>
                <w:szCs w:val="20"/>
                <w:lang w:val="en-AU" w:eastAsia="en-AU"/>
              </w:rPr>
              <w:t>2024</w:t>
            </w:r>
          </w:p>
        </w:tc>
        <w:tc>
          <w:tcPr>
            <w:tcW w:w="1211" w:type="dxa"/>
            <w:hideMark/>
          </w:tcPr>
          <w:p w:rsidRPr="008D1918" w:rsidR="000E3523" w:rsidP="00397AFD" w:rsidRDefault="000E3523" w14:paraId="2C12B733" w14:textId="11A9FAA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January – June</w:t>
            </w:r>
            <w:r w:rsidRPr="008D1918" w:rsidR="00B828D3">
              <w:rPr>
                <w:lang w:val="en-AU"/>
              </w:rPr>
              <w:br/>
            </w:r>
            <w:r w:rsidRPr="008D1918">
              <w:rPr>
                <w:rFonts w:cs="Arial"/>
                <w:sz w:val="20"/>
                <w:szCs w:val="20"/>
                <w:lang w:val="en-AU" w:eastAsia="en-AU"/>
              </w:rPr>
              <w:t>2025</w:t>
            </w:r>
          </w:p>
        </w:tc>
        <w:tc>
          <w:tcPr>
            <w:tcW w:w="1211" w:type="dxa"/>
            <w:hideMark/>
          </w:tcPr>
          <w:p w:rsidRPr="008D1918" w:rsidR="000E3523" w:rsidP="00397AFD" w:rsidRDefault="000E3523" w14:paraId="650AEA01" w14:textId="5628A9AE">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w:t>
            </w:r>
            <w:r w:rsidRPr="008D1918" w:rsidR="00B828D3">
              <w:rPr>
                <w:lang w:val="en-AU"/>
              </w:rPr>
              <w:br/>
            </w:r>
            <w:r w:rsidRPr="008D1918">
              <w:rPr>
                <w:rFonts w:cs="Arial"/>
                <w:sz w:val="20"/>
                <w:szCs w:val="20"/>
                <w:lang w:val="en-AU" w:eastAsia="en-AU"/>
              </w:rPr>
              <w:t>2025</w:t>
            </w:r>
          </w:p>
        </w:tc>
      </w:tr>
      <w:tr w:rsidRPr="008D1918" w:rsidR="00A238C6" w:rsidTr="00FF3BC2" w14:paraId="7D112A1D" w14:textId="7777777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814" w:type="dxa"/>
            <w:vAlign w:val="center"/>
            <w:hideMark/>
          </w:tcPr>
          <w:p w:rsidRPr="008D1918" w:rsidR="000E3523" w:rsidP="00397AFD" w:rsidRDefault="000E3523" w14:paraId="5A4BF217" w14:textId="77777777">
            <w:pPr>
              <w:spacing w:before="60" w:after="60"/>
              <w:rPr>
                <w:rFonts w:cs="Arial"/>
                <w:sz w:val="20"/>
                <w:szCs w:val="20"/>
                <w:lang w:val="en-AU" w:eastAsia="en-AU"/>
              </w:rPr>
            </w:pPr>
            <w:r w:rsidRPr="008D1918">
              <w:rPr>
                <w:rFonts w:cs="Arial"/>
                <w:sz w:val="20"/>
                <w:szCs w:val="20"/>
                <w:lang w:val="en-AU" w:eastAsia="en-AU"/>
              </w:rPr>
              <w:t>Non-remote</w:t>
            </w:r>
          </w:p>
        </w:tc>
        <w:tc>
          <w:tcPr>
            <w:tcW w:w="1211" w:type="dxa"/>
            <w:vAlign w:val="center"/>
            <w:hideMark/>
          </w:tcPr>
          <w:p w:rsidRPr="008D1918" w:rsidR="000E3523" w:rsidP="00A904C2" w:rsidRDefault="000E3523" w14:paraId="2E9350DF" w14:textId="77777777">
            <w:pPr>
              <w:spacing w:before="60" w:after="60"/>
              <w:ind w:right="86"/>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8,250</w:t>
            </w:r>
          </w:p>
        </w:tc>
        <w:tc>
          <w:tcPr>
            <w:tcW w:w="1211" w:type="dxa"/>
            <w:vAlign w:val="center"/>
            <w:hideMark/>
          </w:tcPr>
          <w:p w:rsidRPr="008D1918" w:rsidR="000E3523" w:rsidP="00A904C2" w:rsidRDefault="000E3523" w14:paraId="64923FCB" w14:textId="77777777">
            <w:pPr>
              <w:spacing w:before="60" w:after="60"/>
              <w:ind w:right="86"/>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7,325</w:t>
            </w:r>
          </w:p>
        </w:tc>
        <w:tc>
          <w:tcPr>
            <w:tcW w:w="1211" w:type="dxa"/>
            <w:vAlign w:val="center"/>
            <w:hideMark/>
          </w:tcPr>
          <w:p w:rsidRPr="008D1918" w:rsidR="000E3523" w:rsidP="00A904C2" w:rsidRDefault="000E3523" w14:paraId="59A64535" w14:textId="77777777">
            <w:pPr>
              <w:spacing w:before="60" w:after="60"/>
              <w:ind w:right="86"/>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7,081</w:t>
            </w:r>
          </w:p>
        </w:tc>
        <w:tc>
          <w:tcPr>
            <w:tcW w:w="1211" w:type="dxa"/>
            <w:vAlign w:val="center"/>
            <w:hideMark/>
          </w:tcPr>
          <w:p w:rsidRPr="008D1918" w:rsidR="000E3523" w:rsidP="00A904C2" w:rsidRDefault="000E3523" w14:paraId="5AB9E2C3" w14:textId="77777777">
            <w:pPr>
              <w:spacing w:before="60" w:after="60"/>
              <w:ind w:right="86"/>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7,192</w:t>
            </w:r>
          </w:p>
        </w:tc>
        <w:tc>
          <w:tcPr>
            <w:tcW w:w="1211" w:type="dxa"/>
            <w:vAlign w:val="center"/>
            <w:hideMark/>
          </w:tcPr>
          <w:p w:rsidRPr="008D1918" w:rsidR="000E3523" w:rsidP="00A904C2" w:rsidRDefault="000E3523" w14:paraId="283D2AE2" w14:textId="77777777">
            <w:pPr>
              <w:spacing w:before="60" w:after="60"/>
              <w:ind w:right="86"/>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6,918</w:t>
            </w:r>
          </w:p>
        </w:tc>
        <w:tc>
          <w:tcPr>
            <w:tcW w:w="1211" w:type="dxa"/>
            <w:vAlign w:val="center"/>
            <w:hideMark/>
          </w:tcPr>
          <w:p w:rsidRPr="008D1918" w:rsidR="000E3523" w:rsidP="00A904C2" w:rsidRDefault="000E3523" w14:paraId="4DA2E3FC" w14:textId="77777777">
            <w:pPr>
              <w:spacing w:before="60" w:after="60"/>
              <w:ind w:right="86"/>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7,224</w:t>
            </w:r>
          </w:p>
        </w:tc>
      </w:tr>
      <w:tr w:rsidRPr="008D1918" w:rsidR="000E3523" w:rsidTr="00FF3BC2" w14:paraId="2BA3700F" w14:textId="77777777">
        <w:trPr>
          <w:trHeight w:val="405"/>
        </w:trPr>
        <w:tc>
          <w:tcPr>
            <w:cnfStyle w:val="001000000000" w:firstRow="0" w:lastRow="0" w:firstColumn="1" w:lastColumn="0" w:oddVBand="0" w:evenVBand="0" w:oddHBand="0" w:evenHBand="0" w:firstRowFirstColumn="0" w:firstRowLastColumn="0" w:lastRowFirstColumn="0" w:lastRowLastColumn="0"/>
            <w:tcW w:w="1814" w:type="dxa"/>
            <w:vAlign w:val="center"/>
            <w:hideMark/>
          </w:tcPr>
          <w:p w:rsidRPr="008D1918" w:rsidR="000E3523" w:rsidP="00397AFD" w:rsidRDefault="000E3523" w14:paraId="16898623" w14:textId="77777777">
            <w:pPr>
              <w:spacing w:before="60" w:after="60"/>
              <w:rPr>
                <w:rFonts w:cs="Arial"/>
                <w:color w:val="000000"/>
                <w:sz w:val="20"/>
                <w:szCs w:val="20"/>
                <w:lang w:val="en-AU" w:eastAsia="en-AU"/>
              </w:rPr>
            </w:pPr>
            <w:r w:rsidRPr="008D1918">
              <w:rPr>
                <w:rFonts w:cs="Arial"/>
                <w:color w:val="000000"/>
                <w:sz w:val="20"/>
                <w:szCs w:val="20"/>
                <w:lang w:val="en-AU" w:eastAsia="en-AU"/>
              </w:rPr>
              <w:t>Remote</w:t>
            </w:r>
          </w:p>
        </w:tc>
        <w:tc>
          <w:tcPr>
            <w:tcW w:w="1211" w:type="dxa"/>
            <w:vAlign w:val="center"/>
            <w:hideMark/>
          </w:tcPr>
          <w:p w:rsidRPr="008D1918" w:rsidR="000E3523" w:rsidP="00A904C2" w:rsidRDefault="000E3523" w14:paraId="34EB99E6" w14:textId="77777777">
            <w:pPr>
              <w:spacing w:before="60" w:after="60"/>
              <w:ind w:right="86"/>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522</w:t>
            </w:r>
          </w:p>
        </w:tc>
        <w:tc>
          <w:tcPr>
            <w:tcW w:w="1211" w:type="dxa"/>
            <w:vAlign w:val="center"/>
            <w:hideMark/>
          </w:tcPr>
          <w:p w:rsidRPr="008D1918" w:rsidR="000E3523" w:rsidP="00A904C2" w:rsidRDefault="000E3523" w14:paraId="4D7BD456" w14:textId="77777777">
            <w:pPr>
              <w:spacing w:before="60" w:after="60"/>
              <w:ind w:right="86"/>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519</w:t>
            </w:r>
          </w:p>
        </w:tc>
        <w:tc>
          <w:tcPr>
            <w:tcW w:w="1211" w:type="dxa"/>
            <w:vAlign w:val="center"/>
            <w:hideMark/>
          </w:tcPr>
          <w:p w:rsidRPr="008D1918" w:rsidR="000E3523" w:rsidP="00A904C2" w:rsidRDefault="000E3523" w14:paraId="228DC188" w14:textId="77777777">
            <w:pPr>
              <w:spacing w:before="60" w:after="60"/>
              <w:ind w:right="86"/>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616</w:t>
            </w:r>
          </w:p>
        </w:tc>
        <w:tc>
          <w:tcPr>
            <w:tcW w:w="1211" w:type="dxa"/>
            <w:vAlign w:val="center"/>
            <w:hideMark/>
          </w:tcPr>
          <w:p w:rsidRPr="008D1918" w:rsidR="000E3523" w:rsidP="00A904C2" w:rsidRDefault="000E3523" w14:paraId="33465387" w14:textId="77777777">
            <w:pPr>
              <w:spacing w:before="60" w:after="60"/>
              <w:ind w:right="86"/>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609</w:t>
            </w:r>
          </w:p>
        </w:tc>
        <w:tc>
          <w:tcPr>
            <w:tcW w:w="1211" w:type="dxa"/>
            <w:vAlign w:val="center"/>
            <w:hideMark/>
          </w:tcPr>
          <w:p w:rsidRPr="008D1918" w:rsidR="000E3523" w:rsidP="00A904C2" w:rsidRDefault="000E3523" w14:paraId="2BFF22B5" w14:textId="77777777">
            <w:pPr>
              <w:spacing w:before="60" w:after="60"/>
              <w:ind w:right="86"/>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546</w:t>
            </w:r>
          </w:p>
        </w:tc>
        <w:tc>
          <w:tcPr>
            <w:tcW w:w="1211" w:type="dxa"/>
            <w:vAlign w:val="center"/>
            <w:hideMark/>
          </w:tcPr>
          <w:p w:rsidRPr="008D1918" w:rsidR="000E3523" w:rsidP="00A904C2" w:rsidRDefault="000E3523" w14:paraId="75E34A39" w14:textId="77777777">
            <w:pPr>
              <w:spacing w:before="60" w:after="60"/>
              <w:ind w:right="86"/>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600</w:t>
            </w:r>
          </w:p>
        </w:tc>
      </w:tr>
      <w:tr w:rsidRPr="008D1918" w:rsidR="00A238C6" w:rsidTr="00FF3BC2" w14:paraId="22053B78" w14:textId="7777777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814" w:type="dxa"/>
            <w:vAlign w:val="center"/>
            <w:hideMark/>
          </w:tcPr>
          <w:p w:rsidRPr="008D1918" w:rsidR="000E3523" w:rsidP="00397AFD" w:rsidRDefault="000E3523" w14:paraId="380EB2F6" w14:textId="77777777">
            <w:pPr>
              <w:spacing w:before="60" w:after="60"/>
              <w:rPr>
                <w:rFonts w:cs="Arial"/>
                <w:sz w:val="20"/>
                <w:szCs w:val="20"/>
                <w:lang w:val="en-AU" w:eastAsia="en-AU"/>
              </w:rPr>
            </w:pPr>
            <w:r w:rsidRPr="008D1918">
              <w:rPr>
                <w:rFonts w:cs="Arial"/>
                <w:sz w:val="20"/>
                <w:szCs w:val="20"/>
                <w:lang w:val="en-AU" w:eastAsia="en-AU"/>
              </w:rPr>
              <w:t>Very remote</w:t>
            </w:r>
          </w:p>
        </w:tc>
        <w:tc>
          <w:tcPr>
            <w:tcW w:w="1211" w:type="dxa"/>
            <w:vAlign w:val="center"/>
            <w:hideMark/>
          </w:tcPr>
          <w:p w:rsidRPr="008D1918" w:rsidR="000E3523" w:rsidP="00A904C2" w:rsidRDefault="000E3523" w14:paraId="26F45418" w14:textId="77777777">
            <w:pPr>
              <w:spacing w:before="60" w:after="60"/>
              <w:ind w:right="86"/>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298</w:t>
            </w:r>
          </w:p>
        </w:tc>
        <w:tc>
          <w:tcPr>
            <w:tcW w:w="1211" w:type="dxa"/>
            <w:vAlign w:val="center"/>
            <w:hideMark/>
          </w:tcPr>
          <w:p w:rsidRPr="008D1918" w:rsidR="000E3523" w:rsidP="00A904C2" w:rsidRDefault="000E3523" w14:paraId="064AF690" w14:textId="77777777">
            <w:pPr>
              <w:spacing w:before="60" w:after="60"/>
              <w:ind w:right="86"/>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324</w:t>
            </w:r>
          </w:p>
        </w:tc>
        <w:tc>
          <w:tcPr>
            <w:tcW w:w="1211" w:type="dxa"/>
            <w:vAlign w:val="center"/>
            <w:hideMark/>
          </w:tcPr>
          <w:p w:rsidRPr="008D1918" w:rsidR="000E3523" w:rsidP="00A904C2" w:rsidRDefault="000E3523" w14:paraId="04E19DA0" w14:textId="77777777">
            <w:pPr>
              <w:spacing w:before="60" w:after="60"/>
              <w:ind w:right="86"/>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315</w:t>
            </w:r>
          </w:p>
        </w:tc>
        <w:tc>
          <w:tcPr>
            <w:tcW w:w="1211" w:type="dxa"/>
            <w:vAlign w:val="center"/>
            <w:hideMark/>
          </w:tcPr>
          <w:p w:rsidRPr="008D1918" w:rsidR="000E3523" w:rsidP="00A904C2" w:rsidRDefault="000E3523" w14:paraId="5E68B626" w14:textId="77777777">
            <w:pPr>
              <w:spacing w:before="60" w:after="60"/>
              <w:ind w:right="86"/>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348</w:t>
            </w:r>
          </w:p>
        </w:tc>
        <w:tc>
          <w:tcPr>
            <w:tcW w:w="1211" w:type="dxa"/>
            <w:vAlign w:val="center"/>
            <w:hideMark/>
          </w:tcPr>
          <w:p w:rsidRPr="008D1918" w:rsidR="000E3523" w:rsidP="00A904C2" w:rsidRDefault="000E3523" w14:paraId="7220C464" w14:textId="77777777">
            <w:pPr>
              <w:spacing w:before="60" w:after="60"/>
              <w:ind w:right="86"/>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354</w:t>
            </w:r>
          </w:p>
        </w:tc>
        <w:tc>
          <w:tcPr>
            <w:tcW w:w="1211" w:type="dxa"/>
            <w:vAlign w:val="center"/>
            <w:hideMark/>
          </w:tcPr>
          <w:p w:rsidRPr="008D1918" w:rsidR="000E3523" w:rsidP="00A904C2" w:rsidRDefault="000E3523" w14:paraId="6E1B2271" w14:textId="77777777">
            <w:pPr>
              <w:spacing w:before="60" w:after="60"/>
              <w:ind w:right="86"/>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354</w:t>
            </w:r>
          </w:p>
        </w:tc>
      </w:tr>
      <w:tr w:rsidRPr="008D1918" w:rsidR="000E3523" w:rsidTr="00FF3BC2" w14:paraId="68103080" w14:textId="77777777">
        <w:trPr>
          <w:trHeight w:val="642"/>
        </w:trPr>
        <w:tc>
          <w:tcPr>
            <w:cnfStyle w:val="001000000000" w:firstRow="0" w:lastRow="0" w:firstColumn="1" w:lastColumn="0" w:oddVBand="0" w:evenVBand="0" w:oddHBand="0" w:evenHBand="0" w:firstRowFirstColumn="0" w:firstRowLastColumn="0" w:lastRowFirstColumn="0" w:lastRowLastColumn="0"/>
            <w:tcW w:w="1814" w:type="dxa"/>
            <w:vAlign w:val="center"/>
            <w:hideMark/>
          </w:tcPr>
          <w:p w:rsidRPr="008D1918" w:rsidR="000E3523" w:rsidP="00397AFD" w:rsidRDefault="000E3523" w14:paraId="3DC72C28" w14:textId="34104B8C">
            <w:pPr>
              <w:spacing w:before="60" w:after="60"/>
              <w:rPr>
                <w:rFonts w:cs="Arial"/>
                <w:b/>
                <w:color w:val="000000"/>
                <w:sz w:val="20"/>
                <w:szCs w:val="20"/>
                <w:lang w:val="en-AU" w:eastAsia="en-AU"/>
              </w:rPr>
            </w:pPr>
            <w:r w:rsidRPr="008D1918">
              <w:rPr>
                <w:rFonts w:cs="Arial"/>
                <w:b/>
                <w:color w:val="000000"/>
                <w:sz w:val="20"/>
                <w:szCs w:val="20"/>
                <w:lang w:val="en-AU" w:eastAsia="en-AU"/>
              </w:rPr>
              <w:t xml:space="preserve">Total for </w:t>
            </w:r>
            <w:r w:rsidRPr="008D1918" w:rsidR="00A904C2">
              <w:rPr>
                <w:rFonts w:cs="Arial"/>
                <w:b/>
                <w:color w:val="000000"/>
                <w:sz w:val="20"/>
                <w:szCs w:val="20"/>
                <w:lang w:val="en-AU" w:eastAsia="en-AU"/>
              </w:rPr>
              <w:t>r</w:t>
            </w:r>
            <w:r w:rsidRPr="008D1918">
              <w:rPr>
                <w:rFonts w:cs="Arial"/>
                <w:b/>
                <w:color w:val="000000"/>
                <w:sz w:val="20"/>
                <w:szCs w:val="20"/>
                <w:lang w:val="en-AU" w:eastAsia="en-AU"/>
              </w:rPr>
              <w:t>egistered</w:t>
            </w:r>
          </w:p>
        </w:tc>
        <w:tc>
          <w:tcPr>
            <w:tcW w:w="1211" w:type="dxa"/>
            <w:vAlign w:val="center"/>
            <w:hideMark/>
          </w:tcPr>
          <w:p w:rsidRPr="008D1918" w:rsidR="000E3523" w:rsidP="00A904C2" w:rsidRDefault="000E3523" w14:paraId="1CF5D1E6" w14:textId="77777777">
            <w:pPr>
              <w:spacing w:before="60" w:after="60"/>
              <w:ind w:right="86"/>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val="en-AU" w:eastAsia="en-AU"/>
              </w:rPr>
            </w:pPr>
            <w:r w:rsidRPr="008D1918">
              <w:rPr>
                <w:rFonts w:cs="Arial"/>
                <w:b/>
                <w:color w:val="000000"/>
                <w:sz w:val="20"/>
                <w:szCs w:val="20"/>
                <w:lang w:val="en-AU" w:eastAsia="en-AU"/>
              </w:rPr>
              <w:t>8,300</w:t>
            </w:r>
          </w:p>
        </w:tc>
        <w:tc>
          <w:tcPr>
            <w:tcW w:w="1211" w:type="dxa"/>
            <w:vAlign w:val="center"/>
            <w:hideMark/>
          </w:tcPr>
          <w:p w:rsidRPr="008D1918" w:rsidR="000E3523" w:rsidP="00A904C2" w:rsidRDefault="000E3523" w14:paraId="1D823674" w14:textId="77777777">
            <w:pPr>
              <w:spacing w:before="60" w:after="60"/>
              <w:ind w:right="86"/>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val="en-AU" w:eastAsia="en-AU"/>
              </w:rPr>
            </w:pPr>
            <w:r w:rsidRPr="008D1918">
              <w:rPr>
                <w:rFonts w:cs="Arial"/>
                <w:b/>
                <w:color w:val="000000"/>
                <w:sz w:val="20"/>
                <w:szCs w:val="20"/>
                <w:lang w:val="en-AU" w:eastAsia="en-AU"/>
              </w:rPr>
              <w:t>7,391</w:t>
            </w:r>
          </w:p>
        </w:tc>
        <w:tc>
          <w:tcPr>
            <w:tcW w:w="1211" w:type="dxa"/>
            <w:vAlign w:val="center"/>
            <w:hideMark/>
          </w:tcPr>
          <w:p w:rsidRPr="008D1918" w:rsidR="000E3523" w:rsidP="00A904C2" w:rsidRDefault="000E3523" w14:paraId="276FC813" w14:textId="77777777">
            <w:pPr>
              <w:spacing w:before="60" w:after="60"/>
              <w:ind w:right="86"/>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val="en-AU" w:eastAsia="en-AU"/>
              </w:rPr>
            </w:pPr>
            <w:r w:rsidRPr="008D1918">
              <w:rPr>
                <w:rFonts w:cs="Arial"/>
                <w:b/>
                <w:color w:val="000000"/>
                <w:sz w:val="20"/>
                <w:szCs w:val="20"/>
                <w:lang w:val="en-AU" w:eastAsia="en-AU"/>
              </w:rPr>
              <w:t>7,125</w:t>
            </w:r>
          </w:p>
        </w:tc>
        <w:tc>
          <w:tcPr>
            <w:tcW w:w="1211" w:type="dxa"/>
            <w:vAlign w:val="center"/>
            <w:hideMark/>
          </w:tcPr>
          <w:p w:rsidRPr="008D1918" w:rsidR="000E3523" w:rsidP="00A904C2" w:rsidRDefault="000E3523" w14:paraId="065B42C5" w14:textId="77777777">
            <w:pPr>
              <w:spacing w:before="60" w:after="60"/>
              <w:ind w:right="86"/>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val="en-AU" w:eastAsia="en-AU"/>
              </w:rPr>
            </w:pPr>
            <w:r w:rsidRPr="008D1918">
              <w:rPr>
                <w:rFonts w:cs="Arial"/>
                <w:b/>
                <w:color w:val="000000"/>
                <w:sz w:val="20"/>
                <w:szCs w:val="20"/>
                <w:lang w:val="en-AU" w:eastAsia="en-AU"/>
              </w:rPr>
              <w:t>7,237</w:t>
            </w:r>
          </w:p>
        </w:tc>
        <w:tc>
          <w:tcPr>
            <w:tcW w:w="1211" w:type="dxa"/>
            <w:vAlign w:val="center"/>
            <w:hideMark/>
          </w:tcPr>
          <w:p w:rsidRPr="008D1918" w:rsidR="000E3523" w:rsidP="00A904C2" w:rsidRDefault="000E3523" w14:paraId="761D2614" w14:textId="77777777">
            <w:pPr>
              <w:spacing w:before="60" w:after="60"/>
              <w:ind w:right="86"/>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val="en-AU" w:eastAsia="en-AU"/>
              </w:rPr>
            </w:pPr>
            <w:r w:rsidRPr="008D1918">
              <w:rPr>
                <w:rFonts w:cs="Arial"/>
                <w:b/>
                <w:color w:val="000000"/>
                <w:sz w:val="20"/>
                <w:szCs w:val="20"/>
                <w:lang w:val="en-AU" w:eastAsia="en-AU"/>
              </w:rPr>
              <w:t>6,977</w:t>
            </w:r>
          </w:p>
        </w:tc>
        <w:tc>
          <w:tcPr>
            <w:tcW w:w="1211" w:type="dxa"/>
            <w:vAlign w:val="center"/>
            <w:hideMark/>
          </w:tcPr>
          <w:p w:rsidRPr="008D1918" w:rsidR="000E3523" w:rsidP="00A904C2" w:rsidRDefault="000E3523" w14:paraId="574AB50A" w14:textId="77777777">
            <w:pPr>
              <w:spacing w:before="60" w:after="60"/>
              <w:ind w:right="86"/>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val="en-AU" w:eastAsia="en-AU"/>
              </w:rPr>
            </w:pPr>
            <w:r w:rsidRPr="008D1918">
              <w:rPr>
                <w:rFonts w:cs="Arial"/>
                <w:b/>
                <w:color w:val="000000"/>
                <w:sz w:val="20"/>
                <w:szCs w:val="20"/>
                <w:lang w:val="en-AU" w:eastAsia="en-AU"/>
              </w:rPr>
              <w:t>7,274</w:t>
            </w:r>
          </w:p>
        </w:tc>
      </w:tr>
    </w:tbl>
    <w:p w:rsidRPr="008D1918" w:rsidR="000E3523" w:rsidRDefault="000E3523" w14:paraId="50217F9B" w14:textId="77777777">
      <w:pPr>
        <w:spacing w:before="120" w:after="360" w:line="240" w:lineRule="atLeast"/>
        <w:rPr>
          <w:rFonts w:cs="Calibri" w:eastAsiaTheme="minorEastAsia"/>
          <w:b/>
          <w:sz w:val="20"/>
          <w:szCs w:val="18"/>
          <w:lang w:val="en-AU"/>
        </w:rPr>
      </w:pPr>
      <w:r w:rsidRPr="008D1918">
        <w:rPr>
          <w:rFonts w:cs="Calibri" w:eastAsiaTheme="minorEastAsia"/>
          <w:b/>
          <w:sz w:val="20"/>
          <w:szCs w:val="18"/>
          <w:lang w:val="en-AU"/>
        </w:rPr>
        <w:t>Source: NDIS internal administrative data </w:t>
      </w:r>
    </w:p>
    <w:p w:rsidRPr="008D1918" w:rsidR="000E3523" w:rsidP="0080551B" w:rsidRDefault="0080551B" w14:paraId="302946BC" w14:textId="5D47C190">
      <w:pPr>
        <w:pStyle w:val="Caption"/>
        <w:rPr>
          <w:rFonts w:cs="Arial"/>
          <w:i w:val="0"/>
          <w:color w:val="6B2876" w:themeColor="accent5"/>
          <w:lang w:eastAsia="en-AU"/>
        </w:rPr>
      </w:pPr>
      <w:bookmarkStart w:name="_Ref223690163" w:id="946"/>
      <w:r w:rsidRPr="008D1918">
        <w:t xml:space="preserve">Table </w:t>
      </w:r>
      <w:r>
        <w:fldChar w:fldCharType="begin"/>
      </w:r>
      <w:r>
        <w:instrText>SEQ Table \* ARABIC</w:instrText>
      </w:r>
      <w:r>
        <w:fldChar w:fldCharType="separate"/>
      </w:r>
      <w:r w:rsidR="008F56A2">
        <w:rPr>
          <w:noProof/>
        </w:rPr>
        <w:t>19</w:t>
      </w:r>
      <w:r>
        <w:fldChar w:fldCharType="end"/>
      </w:r>
      <w:bookmarkEnd w:id="946"/>
      <w:r w:rsidRPr="008D1918" w:rsidR="000E3523">
        <w:rPr>
          <w:rFonts w:cs="Arial"/>
          <w:color w:val="6B2876" w:themeColor="accent5"/>
          <w:lang w:eastAsia="en-AU"/>
        </w:rPr>
        <w:t>: Unregistered providers by remoteness for therapy supports, January 2023 to December 2025. </w:t>
      </w:r>
    </w:p>
    <w:tbl>
      <w:tblPr>
        <w:tblStyle w:val="GridTable4-Accent121"/>
        <w:tblW w:w="9062" w:type="dxa"/>
        <w:tblInd w:w="5" w:type="dxa"/>
        <w:tblLayout w:type="fixed"/>
        <w:tblLook w:val="04A0" w:firstRow="1" w:lastRow="0" w:firstColumn="1" w:lastColumn="0" w:noHBand="0" w:noVBand="1"/>
      </w:tblPr>
      <w:tblGrid>
        <w:gridCol w:w="1814"/>
        <w:gridCol w:w="1208"/>
        <w:gridCol w:w="1208"/>
        <w:gridCol w:w="1208"/>
        <w:gridCol w:w="1208"/>
        <w:gridCol w:w="1208"/>
        <w:gridCol w:w="1208"/>
      </w:tblGrid>
      <w:tr w:rsidRPr="008D1918" w:rsidR="00A41050" w:rsidTr="006A25FA" w14:paraId="6CBC0D0D" w14:textId="77777777">
        <w:trPr>
          <w:cnfStyle w:val="100000000000" w:firstRow="1" w:lastRow="0" w:firstColumn="0" w:lastColumn="0" w:oddVBand="0" w:evenVBand="0" w:oddHBand="0" w:evenHBand="0" w:firstRowFirstColumn="0" w:firstRowLastColumn="0" w:lastRowFirstColumn="0" w:lastRowLastColumn="0"/>
          <w:trHeight w:val="1020"/>
          <w:tblHeader/>
        </w:trPr>
        <w:tc>
          <w:tcPr>
            <w:cnfStyle w:val="001000000000" w:firstRow="0" w:lastRow="0" w:firstColumn="1" w:lastColumn="0" w:oddVBand="0" w:evenVBand="0" w:oddHBand="0" w:evenHBand="0" w:firstRowFirstColumn="0" w:firstRowLastColumn="0" w:lastRowFirstColumn="0" w:lastRowLastColumn="0"/>
            <w:tcW w:w="1814" w:type="dxa"/>
            <w:vAlign w:val="center"/>
            <w:hideMark/>
          </w:tcPr>
          <w:p w:rsidRPr="008D1918" w:rsidR="000E3523" w:rsidP="00B828D3" w:rsidRDefault="00B828D3" w14:paraId="3A8B6394" w14:textId="382D0771">
            <w:pPr>
              <w:spacing w:before="60" w:after="60"/>
              <w:rPr>
                <w:rFonts w:cs="Arial"/>
                <w:b w:val="0"/>
                <w:sz w:val="20"/>
                <w:szCs w:val="20"/>
                <w:lang w:val="en-AU" w:eastAsia="en-AU"/>
              </w:rPr>
            </w:pPr>
            <w:r w:rsidRPr="008D1918">
              <w:rPr>
                <w:rFonts w:cs="Arial"/>
                <w:sz w:val="20"/>
                <w:szCs w:val="20"/>
                <w:lang w:val="en-AU" w:eastAsia="en-AU"/>
              </w:rPr>
              <w:t>Remoteness</w:t>
            </w:r>
          </w:p>
        </w:tc>
        <w:tc>
          <w:tcPr>
            <w:tcW w:w="1208" w:type="dxa"/>
            <w:hideMark/>
          </w:tcPr>
          <w:p w:rsidRPr="008D1918" w:rsidR="000E3523" w:rsidP="00B828D3" w:rsidRDefault="000E3523" w14:paraId="1077F0F9" w14:textId="51646978">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January – June</w:t>
            </w:r>
            <w:r w:rsidRPr="008D1918" w:rsidR="00B828D3">
              <w:rPr>
                <w:lang w:val="en-AU"/>
              </w:rPr>
              <w:br/>
            </w:r>
            <w:r w:rsidRPr="008D1918">
              <w:rPr>
                <w:rFonts w:cs="Arial"/>
                <w:sz w:val="20"/>
                <w:szCs w:val="20"/>
                <w:lang w:val="en-AU" w:eastAsia="en-AU"/>
              </w:rPr>
              <w:t>2023</w:t>
            </w:r>
          </w:p>
        </w:tc>
        <w:tc>
          <w:tcPr>
            <w:tcW w:w="1208" w:type="dxa"/>
            <w:hideMark/>
          </w:tcPr>
          <w:p w:rsidRPr="008D1918" w:rsidR="000E3523" w:rsidP="00B828D3" w:rsidRDefault="000E3523" w14:paraId="64642984" w14:textId="65930E79">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w:t>
            </w:r>
            <w:r w:rsidRPr="008D1918" w:rsidR="00B828D3">
              <w:rPr>
                <w:lang w:val="en-AU"/>
              </w:rPr>
              <w:br/>
            </w:r>
            <w:r w:rsidRPr="008D1918">
              <w:rPr>
                <w:rFonts w:cs="Arial"/>
                <w:sz w:val="20"/>
                <w:szCs w:val="20"/>
                <w:lang w:val="en-AU" w:eastAsia="en-AU"/>
              </w:rPr>
              <w:t>2023</w:t>
            </w:r>
          </w:p>
        </w:tc>
        <w:tc>
          <w:tcPr>
            <w:tcW w:w="1208" w:type="dxa"/>
            <w:hideMark/>
          </w:tcPr>
          <w:p w:rsidRPr="008D1918" w:rsidR="000E3523" w:rsidP="00B828D3" w:rsidRDefault="000E3523" w14:paraId="71999B78" w14:textId="68EB6E18">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January – June</w:t>
            </w:r>
            <w:r w:rsidRPr="008D1918" w:rsidR="00B828D3">
              <w:rPr>
                <w:lang w:val="en-AU"/>
              </w:rPr>
              <w:br/>
            </w:r>
            <w:r w:rsidRPr="008D1918">
              <w:rPr>
                <w:rFonts w:cs="Arial"/>
                <w:sz w:val="20"/>
                <w:szCs w:val="20"/>
                <w:lang w:val="en-AU" w:eastAsia="en-AU"/>
              </w:rPr>
              <w:t>2024</w:t>
            </w:r>
          </w:p>
        </w:tc>
        <w:tc>
          <w:tcPr>
            <w:tcW w:w="1208" w:type="dxa"/>
            <w:hideMark/>
          </w:tcPr>
          <w:p w:rsidRPr="008D1918" w:rsidR="000E3523" w:rsidP="00B828D3" w:rsidRDefault="000E3523" w14:paraId="2CEE47BA" w14:textId="278671C6">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w:t>
            </w:r>
            <w:r w:rsidRPr="008D1918" w:rsidR="00B828D3">
              <w:rPr>
                <w:lang w:val="en-AU"/>
              </w:rPr>
              <w:br/>
            </w:r>
            <w:r w:rsidRPr="008D1918">
              <w:rPr>
                <w:rFonts w:cs="Arial"/>
                <w:sz w:val="20"/>
                <w:szCs w:val="20"/>
                <w:lang w:val="en-AU" w:eastAsia="en-AU"/>
              </w:rPr>
              <w:t>2024</w:t>
            </w:r>
          </w:p>
        </w:tc>
        <w:tc>
          <w:tcPr>
            <w:tcW w:w="1208" w:type="dxa"/>
            <w:hideMark/>
          </w:tcPr>
          <w:p w:rsidRPr="008D1918" w:rsidR="000E3523" w:rsidP="00B828D3" w:rsidRDefault="000E3523" w14:paraId="4C426B3C" w14:textId="260229B3">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January – June</w:t>
            </w:r>
            <w:r w:rsidRPr="008D1918" w:rsidR="00B828D3">
              <w:rPr>
                <w:lang w:val="en-AU"/>
              </w:rPr>
              <w:br/>
            </w:r>
            <w:r w:rsidRPr="008D1918">
              <w:rPr>
                <w:rFonts w:cs="Arial"/>
                <w:sz w:val="20"/>
                <w:szCs w:val="20"/>
                <w:lang w:val="en-AU" w:eastAsia="en-AU"/>
              </w:rPr>
              <w:t>2025</w:t>
            </w:r>
          </w:p>
        </w:tc>
        <w:tc>
          <w:tcPr>
            <w:tcW w:w="1208" w:type="dxa"/>
            <w:hideMark/>
          </w:tcPr>
          <w:p w:rsidRPr="008D1918" w:rsidR="000E3523" w:rsidP="00B828D3" w:rsidRDefault="000E3523" w14:paraId="2B18AD45" w14:textId="25D7EE48">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w:t>
            </w:r>
            <w:r w:rsidRPr="008D1918" w:rsidR="00B828D3">
              <w:rPr>
                <w:lang w:val="en-AU"/>
              </w:rPr>
              <w:br/>
            </w:r>
            <w:r w:rsidRPr="008D1918">
              <w:rPr>
                <w:rFonts w:cs="Arial"/>
                <w:sz w:val="20"/>
                <w:szCs w:val="20"/>
                <w:lang w:val="en-AU" w:eastAsia="en-AU"/>
              </w:rPr>
              <w:t>2025</w:t>
            </w:r>
          </w:p>
        </w:tc>
      </w:tr>
      <w:tr w:rsidRPr="008D1918" w:rsidR="00A238C6" w:rsidTr="00FF3BC2" w14:paraId="04DAC30C" w14:textId="7777777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814" w:type="dxa"/>
            <w:vAlign w:val="center"/>
            <w:hideMark/>
          </w:tcPr>
          <w:p w:rsidRPr="008D1918" w:rsidR="000E3523" w:rsidP="00B828D3" w:rsidRDefault="000E3523" w14:paraId="054D9586" w14:textId="77777777">
            <w:pPr>
              <w:spacing w:before="60" w:after="60"/>
              <w:rPr>
                <w:rFonts w:cs="Arial"/>
                <w:sz w:val="20"/>
                <w:szCs w:val="20"/>
                <w:lang w:val="en-AU" w:eastAsia="en-AU"/>
              </w:rPr>
            </w:pPr>
            <w:r w:rsidRPr="008D1918">
              <w:rPr>
                <w:rFonts w:cs="Arial"/>
                <w:sz w:val="20"/>
                <w:szCs w:val="20"/>
                <w:lang w:val="en-AU" w:eastAsia="en-AU"/>
              </w:rPr>
              <w:t>Non-remote</w:t>
            </w:r>
          </w:p>
        </w:tc>
        <w:tc>
          <w:tcPr>
            <w:tcW w:w="1208" w:type="dxa"/>
            <w:vAlign w:val="center"/>
            <w:hideMark/>
          </w:tcPr>
          <w:p w:rsidRPr="008D1918" w:rsidR="000E3523" w:rsidP="00A904C2" w:rsidRDefault="000E3523" w14:paraId="0C6DFB71" w14:textId="77777777">
            <w:pPr>
              <w:spacing w:before="60" w:after="60"/>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41,938</w:t>
            </w:r>
          </w:p>
        </w:tc>
        <w:tc>
          <w:tcPr>
            <w:tcW w:w="1208" w:type="dxa"/>
            <w:vAlign w:val="center"/>
            <w:hideMark/>
          </w:tcPr>
          <w:p w:rsidRPr="008D1918" w:rsidR="000E3523" w:rsidP="00A904C2" w:rsidRDefault="000E3523" w14:paraId="7253D5A5" w14:textId="77777777">
            <w:pPr>
              <w:spacing w:before="60" w:after="60"/>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45,543</w:t>
            </w:r>
          </w:p>
        </w:tc>
        <w:tc>
          <w:tcPr>
            <w:tcW w:w="1208" w:type="dxa"/>
            <w:vAlign w:val="center"/>
            <w:hideMark/>
          </w:tcPr>
          <w:p w:rsidRPr="008D1918" w:rsidR="000E3523" w:rsidP="00A904C2" w:rsidRDefault="000E3523" w14:paraId="1538129B" w14:textId="77777777">
            <w:pPr>
              <w:spacing w:before="60" w:after="60"/>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47,465</w:t>
            </w:r>
          </w:p>
        </w:tc>
        <w:tc>
          <w:tcPr>
            <w:tcW w:w="1208" w:type="dxa"/>
            <w:vAlign w:val="center"/>
            <w:hideMark/>
          </w:tcPr>
          <w:p w:rsidRPr="008D1918" w:rsidR="000E3523" w:rsidP="00A904C2" w:rsidRDefault="000E3523" w14:paraId="232E7AEF" w14:textId="77777777">
            <w:pPr>
              <w:spacing w:before="60" w:after="60"/>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48,299</w:t>
            </w:r>
          </w:p>
        </w:tc>
        <w:tc>
          <w:tcPr>
            <w:tcW w:w="1208" w:type="dxa"/>
            <w:vAlign w:val="center"/>
            <w:hideMark/>
          </w:tcPr>
          <w:p w:rsidRPr="008D1918" w:rsidR="000E3523" w:rsidP="00A904C2" w:rsidRDefault="000E3523" w14:paraId="492EE642" w14:textId="77777777">
            <w:pPr>
              <w:spacing w:before="60" w:after="60"/>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45,347</w:t>
            </w:r>
          </w:p>
        </w:tc>
        <w:tc>
          <w:tcPr>
            <w:tcW w:w="1208" w:type="dxa"/>
            <w:vAlign w:val="center"/>
            <w:hideMark/>
          </w:tcPr>
          <w:p w:rsidRPr="008D1918" w:rsidR="000E3523" w:rsidP="00A904C2" w:rsidRDefault="000E3523" w14:paraId="27445E1A" w14:textId="77777777">
            <w:pPr>
              <w:spacing w:before="60" w:after="60"/>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46,012</w:t>
            </w:r>
          </w:p>
        </w:tc>
      </w:tr>
      <w:tr w:rsidRPr="008D1918" w:rsidR="000E3523" w:rsidTr="00FF3BC2" w14:paraId="31946006" w14:textId="77777777">
        <w:trPr>
          <w:trHeight w:val="405"/>
        </w:trPr>
        <w:tc>
          <w:tcPr>
            <w:cnfStyle w:val="001000000000" w:firstRow="0" w:lastRow="0" w:firstColumn="1" w:lastColumn="0" w:oddVBand="0" w:evenVBand="0" w:oddHBand="0" w:evenHBand="0" w:firstRowFirstColumn="0" w:firstRowLastColumn="0" w:lastRowFirstColumn="0" w:lastRowLastColumn="0"/>
            <w:tcW w:w="1814" w:type="dxa"/>
            <w:vAlign w:val="center"/>
            <w:hideMark/>
          </w:tcPr>
          <w:p w:rsidRPr="008D1918" w:rsidR="000E3523" w:rsidP="00B828D3" w:rsidRDefault="000E3523" w14:paraId="57794E4B" w14:textId="77777777">
            <w:pPr>
              <w:spacing w:before="60" w:after="60"/>
              <w:rPr>
                <w:rFonts w:cs="Arial"/>
                <w:color w:val="000000"/>
                <w:sz w:val="20"/>
                <w:szCs w:val="20"/>
                <w:lang w:val="en-AU" w:eastAsia="en-AU"/>
              </w:rPr>
            </w:pPr>
            <w:r w:rsidRPr="008D1918">
              <w:rPr>
                <w:rFonts w:cs="Arial"/>
                <w:color w:val="000000"/>
                <w:sz w:val="20"/>
                <w:szCs w:val="20"/>
                <w:lang w:val="en-AU" w:eastAsia="en-AU"/>
              </w:rPr>
              <w:t>Remote</w:t>
            </w:r>
          </w:p>
        </w:tc>
        <w:tc>
          <w:tcPr>
            <w:tcW w:w="1208" w:type="dxa"/>
            <w:vAlign w:val="center"/>
            <w:hideMark/>
          </w:tcPr>
          <w:p w:rsidRPr="008D1918" w:rsidR="000E3523" w:rsidP="00A904C2" w:rsidRDefault="000E3523" w14:paraId="63BD7028" w14:textId="77777777">
            <w:pPr>
              <w:spacing w:before="60" w:after="60"/>
              <w:ind w:right="72"/>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775</w:t>
            </w:r>
          </w:p>
        </w:tc>
        <w:tc>
          <w:tcPr>
            <w:tcW w:w="1208" w:type="dxa"/>
            <w:vAlign w:val="center"/>
            <w:hideMark/>
          </w:tcPr>
          <w:p w:rsidRPr="008D1918" w:rsidR="000E3523" w:rsidP="00A904C2" w:rsidRDefault="000E3523" w14:paraId="7584915C" w14:textId="77777777">
            <w:pPr>
              <w:spacing w:before="60" w:after="60"/>
              <w:ind w:right="72"/>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944</w:t>
            </w:r>
          </w:p>
        </w:tc>
        <w:tc>
          <w:tcPr>
            <w:tcW w:w="1208" w:type="dxa"/>
            <w:vAlign w:val="center"/>
            <w:hideMark/>
          </w:tcPr>
          <w:p w:rsidRPr="008D1918" w:rsidR="000E3523" w:rsidP="00A904C2" w:rsidRDefault="000E3523" w14:paraId="79C966A9" w14:textId="77777777">
            <w:pPr>
              <w:spacing w:before="60" w:after="60"/>
              <w:ind w:right="72"/>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1,368</w:t>
            </w:r>
          </w:p>
        </w:tc>
        <w:tc>
          <w:tcPr>
            <w:tcW w:w="1208" w:type="dxa"/>
            <w:vAlign w:val="center"/>
            <w:hideMark/>
          </w:tcPr>
          <w:p w:rsidRPr="008D1918" w:rsidR="000E3523" w:rsidP="00A904C2" w:rsidRDefault="000E3523" w14:paraId="3E74657E" w14:textId="77777777">
            <w:pPr>
              <w:spacing w:before="60" w:after="60"/>
              <w:ind w:right="72"/>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1,343</w:t>
            </w:r>
          </w:p>
        </w:tc>
        <w:tc>
          <w:tcPr>
            <w:tcW w:w="1208" w:type="dxa"/>
            <w:vAlign w:val="center"/>
            <w:hideMark/>
          </w:tcPr>
          <w:p w:rsidRPr="008D1918" w:rsidR="000E3523" w:rsidP="00A904C2" w:rsidRDefault="000E3523" w14:paraId="1266759B" w14:textId="77777777">
            <w:pPr>
              <w:spacing w:before="60" w:after="60"/>
              <w:ind w:right="72"/>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1,139</w:t>
            </w:r>
          </w:p>
        </w:tc>
        <w:tc>
          <w:tcPr>
            <w:tcW w:w="1208" w:type="dxa"/>
            <w:vAlign w:val="center"/>
            <w:hideMark/>
          </w:tcPr>
          <w:p w:rsidRPr="008D1918" w:rsidR="000E3523" w:rsidP="00A904C2" w:rsidRDefault="000E3523" w14:paraId="7FBA852F" w14:textId="77777777">
            <w:pPr>
              <w:spacing w:before="60" w:after="60"/>
              <w:ind w:right="72"/>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1,135</w:t>
            </w:r>
          </w:p>
        </w:tc>
      </w:tr>
      <w:tr w:rsidRPr="008D1918" w:rsidR="00A238C6" w:rsidTr="00FF3BC2" w14:paraId="735EADC7" w14:textId="7777777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814" w:type="dxa"/>
            <w:vAlign w:val="center"/>
            <w:hideMark/>
          </w:tcPr>
          <w:p w:rsidRPr="008D1918" w:rsidR="000E3523" w:rsidP="00B828D3" w:rsidRDefault="000E3523" w14:paraId="24349B13" w14:textId="77777777">
            <w:pPr>
              <w:spacing w:before="60" w:after="60"/>
              <w:rPr>
                <w:rFonts w:cs="Arial"/>
                <w:sz w:val="20"/>
                <w:szCs w:val="20"/>
                <w:lang w:val="en-AU" w:eastAsia="en-AU"/>
              </w:rPr>
            </w:pPr>
            <w:r w:rsidRPr="008D1918">
              <w:rPr>
                <w:rFonts w:cs="Arial"/>
                <w:sz w:val="20"/>
                <w:szCs w:val="20"/>
                <w:lang w:val="en-AU" w:eastAsia="en-AU"/>
              </w:rPr>
              <w:t>Very remote</w:t>
            </w:r>
          </w:p>
        </w:tc>
        <w:tc>
          <w:tcPr>
            <w:tcW w:w="1208" w:type="dxa"/>
            <w:vAlign w:val="center"/>
            <w:hideMark/>
          </w:tcPr>
          <w:p w:rsidRPr="008D1918" w:rsidR="000E3523" w:rsidP="00A904C2" w:rsidRDefault="000E3523" w14:paraId="112DFA07" w14:textId="77777777">
            <w:pPr>
              <w:spacing w:before="60" w:after="60"/>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346</w:t>
            </w:r>
          </w:p>
        </w:tc>
        <w:tc>
          <w:tcPr>
            <w:tcW w:w="1208" w:type="dxa"/>
            <w:vAlign w:val="center"/>
            <w:hideMark/>
          </w:tcPr>
          <w:p w:rsidRPr="008D1918" w:rsidR="000E3523" w:rsidP="00A904C2" w:rsidRDefault="000E3523" w14:paraId="2BDD9504" w14:textId="77777777">
            <w:pPr>
              <w:spacing w:before="60" w:after="60"/>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427</w:t>
            </w:r>
          </w:p>
        </w:tc>
        <w:tc>
          <w:tcPr>
            <w:tcW w:w="1208" w:type="dxa"/>
            <w:vAlign w:val="center"/>
            <w:hideMark/>
          </w:tcPr>
          <w:p w:rsidRPr="008D1918" w:rsidR="000E3523" w:rsidP="00A904C2" w:rsidRDefault="000E3523" w14:paraId="6EAA9650" w14:textId="77777777">
            <w:pPr>
              <w:spacing w:before="60" w:after="60"/>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515</w:t>
            </w:r>
          </w:p>
        </w:tc>
        <w:tc>
          <w:tcPr>
            <w:tcW w:w="1208" w:type="dxa"/>
            <w:vAlign w:val="center"/>
            <w:hideMark/>
          </w:tcPr>
          <w:p w:rsidRPr="008D1918" w:rsidR="000E3523" w:rsidP="00A904C2" w:rsidRDefault="000E3523" w14:paraId="21556F6E" w14:textId="77777777">
            <w:pPr>
              <w:spacing w:before="60" w:after="60"/>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561</w:t>
            </w:r>
          </w:p>
        </w:tc>
        <w:tc>
          <w:tcPr>
            <w:tcW w:w="1208" w:type="dxa"/>
            <w:vAlign w:val="center"/>
            <w:hideMark/>
          </w:tcPr>
          <w:p w:rsidRPr="008D1918" w:rsidR="000E3523" w:rsidP="00A904C2" w:rsidRDefault="000E3523" w14:paraId="65A085E2" w14:textId="77777777">
            <w:pPr>
              <w:spacing w:before="60" w:after="60"/>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535</w:t>
            </w:r>
          </w:p>
        </w:tc>
        <w:tc>
          <w:tcPr>
            <w:tcW w:w="1208" w:type="dxa"/>
            <w:vAlign w:val="center"/>
            <w:hideMark/>
          </w:tcPr>
          <w:p w:rsidRPr="008D1918" w:rsidR="000E3523" w:rsidP="00A904C2" w:rsidRDefault="000E3523" w14:paraId="5A3D0E69" w14:textId="77777777">
            <w:pPr>
              <w:spacing w:before="60" w:after="60"/>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567</w:t>
            </w:r>
          </w:p>
        </w:tc>
      </w:tr>
      <w:tr w:rsidRPr="008D1918" w:rsidR="000E3523" w:rsidTr="00FF3BC2" w14:paraId="7030B5C7" w14:textId="77777777">
        <w:trPr>
          <w:trHeight w:val="642"/>
        </w:trPr>
        <w:tc>
          <w:tcPr>
            <w:cnfStyle w:val="001000000000" w:firstRow="0" w:lastRow="0" w:firstColumn="1" w:lastColumn="0" w:oddVBand="0" w:evenVBand="0" w:oddHBand="0" w:evenHBand="0" w:firstRowFirstColumn="0" w:firstRowLastColumn="0" w:lastRowFirstColumn="0" w:lastRowLastColumn="0"/>
            <w:tcW w:w="1814" w:type="dxa"/>
            <w:vAlign w:val="center"/>
            <w:hideMark/>
          </w:tcPr>
          <w:p w:rsidRPr="008D1918" w:rsidR="000E3523" w:rsidP="00B828D3" w:rsidRDefault="000E3523" w14:paraId="123DB11E" w14:textId="5741E0A6">
            <w:pPr>
              <w:spacing w:before="60" w:after="60"/>
              <w:rPr>
                <w:rFonts w:cs="Arial"/>
                <w:b/>
                <w:color w:val="000000"/>
                <w:sz w:val="20"/>
                <w:szCs w:val="20"/>
                <w:lang w:val="en-AU" w:eastAsia="en-AU"/>
              </w:rPr>
            </w:pPr>
            <w:r w:rsidRPr="008D1918">
              <w:rPr>
                <w:rFonts w:cs="Arial"/>
                <w:b/>
                <w:color w:val="000000"/>
                <w:sz w:val="20"/>
                <w:szCs w:val="20"/>
                <w:lang w:val="en-AU" w:eastAsia="en-AU"/>
              </w:rPr>
              <w:t xml:space="preserve">Total for </w:t>
            </w:r>
            <w:r w:rsidRPr="008D1918" w:rsidR="00A904C2">
              <w:rPr>
                <w:rFonts w:cs="Arial"/>
                <w:b/>
                <w:color w:val="000000"/>
                <w:sz w:val="20"/>
                <w:szCs w:val="20"/>
                <w:lang w:val="en-AU" w:eastAsia="en-AU"/>
              </w:rPr>
              <w:t>u</w:t>
            </w:r>
            <w:r w:rsidRPr="008D1918">
              <w:rPr>
                <w:rFonts w:cs="Arial"/>
                <w:b/>
                <w:color w:val="000000"/>
                <w:sz w:val="20"/>
                <w:szCs w:val="20"/>
                <w:lang w:val="en-AU" w:eastAsia="en-AU"/>
              </w:rPr>
              <w:t>nregistered</w:t>
            </w:r>
          </w:p>
        </w:tc>
        <w:tc>
          <w:tcPr>
            <w:tcW w:w="1208" w:type="dxa"/>
            <w:vAlign w:val="center"/>
            <w:hideMark/>
          </w:tcPr>
          <w:p w:rsidRPr="008D1918" w:rsidR="000E3523" w:rsidP="00A904C2" w:rsidRDefault="000E3523" w14:paraId="63C08F42" w14:textId="77777777">
            <w:pPr>
              <w:spacing w:before="60" w:after="60"/>
              <w:ind w:right="72"/>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val="en-AU" w:eastAsia="en-AU"/>
              </w:rPr>
            </w:pPr>
            <w:r w:rsidRPr="008D1918">
              <w:rPr>
                <w:rFonts w:cs="Arial"/>
                <w:b/>
                <w:color w:val="000000"/>
                <w:sz w:val="20"/>
                <w:szCs w:val="20"/>
                <w:lang w:val="en-AU" w:eastAsia="en-AU"/>
              </w:rPr>
              <w:t>42,260</w:t>
            </w:r>
          </w:p>
        </w:tc>
        <w:tc>
          <w:tcPr>
            <w:tcW w:w="1208" w:type="dxa"/>
            <w:vAlign w:val="center"/>
            <w:hideMark/>
          </w:tcPr>
          <w:p w:rsidRPr="008D1918" w:rsidR="000E3523" w:rsidP="00A904C2" w:rsidRDefault="000E3523" w14:paraId="6D44BC21" w14:textId="77777777">
            <w:pPr>
              <w:spacing w:before="60" w:after="60"/>
              <w:ind w:right="72"/>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val="en-AU" w:eastAsia="en-AU"/>
              </w:rPr>
            </w:pPr>
            <w:r w:rsidRPr="008D1918">
              <w:rPr>
                <w:rFonts w:cs="Arial"/>
                <w:b/>
                <w:color w:val="000000"/>
                <w:sz w:val="20"/>
                <w:szCs w:val="20"/>
                <w:lang w:val="en-AU" w:eastAsia="en-AU"/>
              </w:rPr>
              <w:t>45,961</w:t>
            </w:r>
          </w:p>
        </w:tc>
        <w:tc>
          <w:tcPr>
            <w:tcW w:w="1208" w:type="dxa"/>
            <w:vAlign w:val="center"/>
            <w:hideMark/>
          </w:tcPr>
          <w:p w:rsidRPr="008D1918" w:rsidR="000E3523" w:rsidP="00A904C2" w:rsidRDefault="000E3523" w14:paraId="00F22013" w14:textId="77777777">
            <w:pPr>
              <w:spacing w:before="60" w:after="60"/>
              <w:ind w:right="72"/>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val="en-AU" w:eastAsia="en-AU"/>
              </w:rPr>
            </w:pPr>
            <w:r w:rsidRPr="008D1918">
              <w:rPr>
                <w:rFonts w:cs="Arial"/>
                <w:b/>
                <w:color w:val="000000"/>
                <w:sz w:val="20"/>
                <w:szCs w:val="20"/>
                <w:lang w:val="en-AU" w:eastAsia="en-AU"/>
              </w:rPr>
              <w:t>47,941</w:t>
            </w:r>
          </w:p>
        </w:tc>
        <w:tc>
          <w:tcPr>
            <w:tcW w:w="1208" w:type="dxa"/>
            <w:vAlign w:val="center"/>
            <w:hideMark/>
          </w:tcPr>
          <w:p w:rsidRPr="008D1918" w:rsidR="000E3523" w:rsidP="00A904C2" w:rsidRDefault="000E3523" w14:paraId="63C52389" w14:textId="77777777">
            <w:pPr>
              <w:spacing w:before="60" w:after="60"/>
              <w:ind w:right="72"/>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val="en-AU" w:eastAsia="en-AU"/>
              </w:rPr>
            </w:pPr>
            <w:r w:rsidRPr="008D1918">
              <w:rPr>
                <w:rFonts w:cs="Arial"/>
                <w:b/>
                <w:color w:val="000000"/>
                <w:sz w:val="20"/>
                <w:szCs w:val="20"/>
                <w:lang w:val="en-AU" w:eastAsia="en-AU"/>
              </w:rPr>
              <w:t>48,709</w:t>
            </w:r>
          </w:p>
        </w:tc>
        <w:tc>
          <w:tcPr>
            <w:tcW w:w="1208" w:type="dxa"/>
            <w:vAlign w:val="center"/>
            <w:hideMark/>
          </w:tcPr>
          <w:p w:rsidRPr="008D1918" w:rsidR="000E3523" w:rsidP="00A904C2" w:rsidRDefault="000E3523" w14:paraId="1CF1262D" w14:textId="77777777">
            <w:pPr>
              <w:spacing w:before="60" w:after="60"/>
              <w:ind w:right="72"/>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val="en-AU" w:eastAsia="en-AU"/>
              </w:rPr>
            </w:pPr>
            <w:r w:rsidRPr="008D1918">
              <w:rPr>
                <w:rFonts w:cs="Arial"/>
                <w:b/>
                <w:color w:val="000000"/>
                <w:sz w:val="20"/>
                <w:szCs w:val="20"/>
                <w:lang w:val="en-AU" w:eastAsia="en-AU"/>
              </w:rPr>
              <w:t>45,690</w:t>
            </w:r>
          </w:p>
        </w:tc>
        <w:tc>
          <w:tcPr>
            <w:tcW w:w="1208" w:type="dxa"/>
            <w:vAlign w:val="center"/>
            <w:hideMark/>
          </w:tcPr>
          <w:p w:rsidRPr="008D1918" w:rsidR="000E3523" w:rsidP="00A904C2" w:rsidRDefault="000E3523" w14:paraId="6A523E66" w14:textId="77777777">
            <w:pPr>
              <w:spacing w:before="60" w:after="60"/>
              <w:ind w:right="72"/>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val="en-AU" w:eastAsia="en-AU"/>
              </w:rPr>
            </w:pPr>
            <w:r w:rsidRPr="008D1918">
              <w:rPr>
                <w:rFonts w:cs="Arial"/>
                <w:b/>
                <w:color w:val="000000"/>
                <w:sz w:val="20"/>
                <w:szCs w:val="20"/>
                <w:lang w:val="en-AU" w:eastAsia="en-AU"/>
              </w:rPr>
              <w:t>46,330</w:t>
            </w:r>
          </w:p>
        </w:tc>
      </w:tr>
    </w:tbl>
    <w:p w:rsidRPr="008D1918" w:rsidR="000E3523" w:rsidRDefault="000E3523" w14:paraId="17BA949F" w14:textId="77777777">
      <w:pPr>
        <w:spacing w:before="120" w:after="60" w:line="240" w:lineRule="atLeast"/>
        <w:rPr>
          <w:rFonts w:cs="Calibri" w:eastAsiaTheme="minorEastAsia"/>
          <w:b/>
          <w:sz w:val="20"/>
          <w:szCs w:val="18"/>
          <w:lang w:val="en-AU"/>
        </w:rPr>
      </w:pPr>
      <w:r w:rsidRPr="008D1918">
        <w:rPr>
          <w:rFonts w:cs="Calibri" w:eastAsiaTheme="minorEastAsia"/>
          <w:b/>
          <w:sz w:val="20"/>
          <w:szCs w:val="18"/>
          <w:lang w:val="en-AU"/>
        </w:rPr>
        <w:t>Source: NDIS internal administrative data </w:t>
      </w:r>
    </w:p>
    <w:p w:rsidRPr="008D1918" w:rsidR="000E3523" w:rsidP="002B66D6" w:rsidRDefault="000E3523" w14:paraId="6BE45F04" w14:textId="625AB703">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 xml:space="preserve">Note: The totals for registered and unregistered providers may not match the overall provider count due to </w:t>
      </w:r>
      <w:r w:rsidRPr="008D1918" w:rsidR="00CA1F01">
        <w:rPr>
          <w:rFonts w:cs="Calibri" w:eastAsiaTheme="minorEastAsia"/>
          <w:sz w:val="20"/>
          <w:szCs w:val="20"/>
          <w:lang w:val="en-AU"/>
        </w:rPr>
        <w:t xml:space="preserve">3 </w:t>
      </w:r>
      <w:r w:rsidRPr="008D1918">
        <w:rPr>
          <w:rFonts w:cs="Calibri" w:eastAsiaTheme="minorEastAsia"/>
          <w:sz w:val="20"/>
          <w:szCs w:val="20"/>
          <w:lang w:val="en-AU"/>
        </w:rPr>
        <w:t>factors: 1) Provider registration status may change during the period and be counted towards both categories. 2) A small fraction of providers with unspecified registration status are included in the total count but not detailed in the table. 3) Unavailability of participant location data at the time of transactions, which affects the determination of provider remoteness.</w:t>
      </w:r>
    </w:p>
    <w:p w:rsidRPr="008D1918" w:rsidR="000E3523" w:rsidP="00041468" w:rsidRDefault="000E3523" w14:paraId="331E12B1" w14:textId="34F3849A">
      <w:pPr>
        <w:pStyle w:val="StyleStyle112pt"/>
      </w:pPr>
      <w:bookmarkStart w:name="_Toc223428431" w:id="947"/>
      <w:bookmarkStart w:name="_Toc223445890" w:id="948"/>
      <w:bookmarkStart w:name="_Toc223539680" w:id="949"/>
      <w:bookmarkStart w:name="_Toc223539897" w:id="950"/>
      <w:bookmarkStart w:name="_Toc223540365" w:id="951"/>
      <w:bookmarkStart w:name="_Toc223540581" w:id="952"/>
      <w:bookmarkStart w:name="_Toc223542117" w:id="953"/>
      <w:bookmarkStart w:name="_Toc223604303" w:id="954"/>
      <w:bookmarkStart w:name="_Toc223604514" w:id="955"/>
      <w:bookmarkStart w:name="_Toc223604734" w:id="956"/>
      <w:bookmarkStart w:name="_Toc223618596" w:id="957"/>
      <w:bookmarkStart w:name="_Toc223702833" w:id="958"/>
      <w:bookmarkStart w:name="_Toc227318731" w:id="959"/>
      <w:bookmarkStart w:name="_Toc227337099" w:id="960"/>
      <w:bookmarkStart w:name="_Toc195538926" w:id="961"/>
      <w:bookmarkStart w:name="_Toc200103506" w:id="962"/>
      <w:bookmarkStart w:name="_Toc200271619" w:id="963"/>
      <w:r w:rsidRPr="008D1918">
        <w:t>Market share and consolidation</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rsidRPr="008D1918" w:rsidR="000E3523" w:rsidRDefault="000E3523" w14:paraId="23BFDC0E" w14:textId="5F53C3A9">
      <w:pPr>
        <w:rPr>
          <w:lang w:val="en-AU"/>
        </w:rPr>
      </w:pPr>
      <w:r w:rsidRPr="008D1918" w:rsidDel="000D78AB">
        <w:rPr>
          <w:lang w:val="en-AU"/>
        </w:rPr>
        <w:t xml:space="preserve">The distribution of therapy payments continues to reflect a highly </w:t>
      </w:r>
      <w:r w:rsidRPr="008D1918">
        <w:rPr>
          <w:lang w:val="en-AU"/>
        </w:rPr>
        <w:t xml:space="preserve">decentralised provider market. This indicates that market growth has been distributed across the provider base rather than </w:t>
      </w:r>
      <w:r w:rsidRPr="008D1918" w:rsidR="00B81D60">
        <w:rPr>
          <w:lang w:val="en-AU"/>
        </w:rPr>
        <w:t xml:space="preserve">concentrated </w:t>
      </w:r>
      <w:r w:rsidRPr="008D1918">
        <w:rPr>
          <w:lang w:val="en-AU"/>
        </w:rPr>
        <w:t>among a small number of large operators. Between January 2023 to December 2025 the top 10 providers’ share of total therapy payments remained broadly stable, declining only slightly from 10.8% to 10.6% (</w:t>
      </w:r>
      <w:r w:rsidRPr="008D1918" w:rsidR="002F219E">
        <w:rPr>
          <w:lang w:val="en-AU"/>
        </w:rPr>
        <w:fldChar w:fldCharType="begin"/>
      </w:r>
      <w:r w:rsidRPr="008D1918" w:rsidR="002F219E">
        <w:rPr>
          <w:lang w:val="en-AU"/>
        </w:rPr>
        <w:instrText xml:space="preserve"> REF _Ref223624384 \h </w:instrText>
      </w:r>
      <w:r w:rsidRPr="008D1918" w:rsidR="00762DF8">
        <w:rPr>
          <w:lang w:val="en-AU"/>
        </w:rPr>
        <w:instrText xml:space="preserve"> \* MERGEFORMAT </w:instrText>
      </w:r>
      <w:r w:rsidRPr="008D1918" w:rsidR="002F219E">
        <w:rPr>
          <w:lang w:val="en-AU"/>
        </w:rPr>
      </w:r>
      <w:r w:rsidRPr="008D1918" w:rsidR="002F219E">
        <w:rPr>
          <w:lang w:val="en-AU"/>
        </w:rPr>
        <w:fldChar w:fldCharType="separate"/>
      </w:r>
      <w:r w:rsidRPr="008F56A2" w:rsidR="008F56A2">
        <w:rPr>
          <w:lang w:val="en-AU"/>
        </w:rPr>
        <w:t>Figure</w:t>
      </w:r>
      <w:r w:rsidRPr="008D1918" w:rsidR="008F56A2">
        <w:t xml:space="preserve"> </w:t>
      </w:r>
      <w:r w:rsidR="008F56A2">
        <w:rPr>
          <w:noProof/>
        </w:rPr>
        <w:t>14</w:t>
      </w:r>
      <w:r w:rsidRPr="008D1918" w:rsidR="002F219E">
        <w:rPr>
          <w:lang w:val="en-AU"/>
        </w:rPr>
        <w:fldChar w:fldCharType="end"/>
      </w:r>
      <w:r w:rsidRPr="008D1918">
        <w:rPr>
          <w:lang w:val="en-AU"/>
        </w:rPr>
        <w:t xml:space="preserve">). </w:t>
      </w:r>
    </w:p>
    <w:p w:rsidRPr="008D1918" w:rsidR="000E3523" w:rsidRDefault="000E3523" w14:paraId="1269D111" w14:textId="23E815B9">
      <w:pPr>
        <w:rPr>
          <w:lang w:val="en-AU"/>
        </w:rPr>
      </w:pPr>
      <w:r w:rsidRPr="008D1918">
        <w:rPr>
          <w:lang w:val="en-AU"/>
        </w:rPr>
        <w:t>Market share</w:t>
      </w:r>
      <w:r w:rsidRPr="008D1918" w:rsidDel="00103647">
        <w:rPr>
          <w:lang w:val="en-AU"/>
        </w:rPr>
        <w:t xml:space="preserve"> </w:t>
      </w:r>
      <w:r w:rsidRPr="008D1918">
        <w:rPr>
          <w:lang w:val="en-AU"/>
        </w:rPr>
        <w:t>differs by remoteness. In non-remote areas the top 10 providers’ share remained steady at around 10.7% (</w:t>
      </w:r>
      <w:r w:rsidRPr="008D1918" w:rsidR="002F219E">
        <w:rPr>
          <w:lang w:val="en-AU"/>
        </w:rPr>
        <w:fldChar w:fldCharType="begin"/>
      </w:r>
      <w:r w:rsidRPr="008D1918" w:rsidR="002F219E">
        <w:rPr>
          <w:lang w:val="en-AU"/>
        </w:rPr>
        <w:instrText xml:space="preserve"> REF _Ref223624411 \h </w:instrText>
      </w:r>
      <w:r w:rsidRPr="008D1918" w:rsidR="00762DF8">
        <w:rPr>
          <w:lang w:val="en-AU"/>
        </w:rPr>
        <w:instrText xml:space="preserve"> \* MERGEFORMAT </w:instrText>
      </w:r>
      <w:r w:rsidRPr="008D1918" w:rsidR="002F219E">
        <w:rPr>
          <w:lang w:val="en-AU"/>
        </w:rPr>
      </w:r>
      <w:r w:rsidRPr="008D1918" w:rsidR="002F219E">
        <w:rPr>
          <w:lang w:val="en-AU"/>
        </w:rPr>
        <w:fldChar w:fldCharType="separate"/>
      </w:r>
      <w:r w:rsidRPr="008F56A2" w:rsidR="008F56A2">
        <w:rPr>
          <w:lang w:val="en-AU"/>
        </w:rPr>
        <w:t>Figure 15</w:t>
      </w:r>
      <w:r w:rsidRPr="008D1918" w:rsidR="002F219E">
        <w:rPr>
          <w:lang w:val="en-AU"/>
        </w:rPr>
        <w:fldChar w:fldCharType="end"/>
      </w:r>
      <w:r w:rsidRPr="008D1918">
        <w:rPr>
          <w:lang w:val="en-AU"/>
        </w:rPr>
        <w:t xml:space="preserve">). In contrast, remote and very remote regions showed an overall </w:t>
      </w:r>
      <w:r w:rsidRPr="008D1918" w:rsidR="003211FC">
        <w:rPr>
          <w:lang w:val="en-AU"/>
        </w:rPr>
        <w:t>decline in concentration</w:t>
      </w:r>
      <w:r w:rsidRPr="008D1918">
        <w:rPr>
          <w:lang w:val="en-AU"/>
        </w:rPr>
        <w:t xml:space="preserve">, with the top 10 </w:t>
      </w:r>
      <w:r w:rsidR="008F7D2B">
        <w:rPr>
          <w:lang w:val="en-AU"/>
        </w:rPr>
        <w:t>providers’</w:t>
      </w:r>
      <w:r w:rsidRPr="008D1918">
        <w:rPr>
          <w:lang w:val="en-AU"/>
        </w:rPr>
        <w:t xml:space="preserve"> share decreasing over the January 2023 to December 2025 period. These trends indicate </w:t>
      </w:r>
      <w:r w:rsidRPr="008D1918">
        <w:rPr>
          <w:lang w:val="en-AU"/>
        </w:rPr>
        <w:t>a gradual redistribution of service delivery toward a broader base of providers, particularly in remote and very remote areas.</w:t>
      </w:r>
    </w:p>
    <w:p w:rsidRPr="008D1918" w:rsidR="000E3523" w:rsidP="002F219E" w:rsidRDefault="000E3523" w14:paraId="008633B3" w14:textId="54A755DD">
      <w:pPr>
        <w:pStyle w:val="Caption"/>
        <w:rPr>
          <w:rFonts w:eastAsia="DengXian" w:cs="Cordia New"/>
          <w:i w:val="0"/>
          <w:color w:val="6B2876" w:themeColor="accent5"/>
        </w:rPr>
      </w:pPr>
      <w:bookmarkStart w:name="_Ref223624384" w:id="964"/>
      <w:bookmarkStart w:name="_Ref164970899" w:id="965"/>
      <w:r w:rsidRPr="008D1918">
        <w:t>Figure</w:t>
      </w:r>
      <w:r w:rsidRPr="008D1918" w:rsidR="002F219E">
        <w:t xml:space="preserve"> </w:t>
      </w:r>
      <w:r>
        <w:fldChar w:fldCharType="begin"/>
      </w:r>
      <w:r>
        <w:instrText>SEQ Figure \* ARABIC</w:instrText>
      </w:r>
      <w:r>
        <w:fldChar w:fldCharType="separate"/>
      </w:r>
      <w:r w:rsidR="008F56A2">
        <w:rPr>
          <w:noProof/>
        </w:rPr>
        <w:t>14</w:t>
      </w:r>
      <w:r>
        <w:fldChar w:fldCharType="end"/>
      </w:r>
      <w:bookmarkEnd w:id="964"/>
      <w:r w:rsidRPr="008D1918">
        <w:rPr>
          <w:rFonts w:eastAsia="DengXian" w:cs="Cordia New"/>
          <w:color w:val="6B2876" w:themeColor="accent5"/>
        </w:rPr>
        <w:t>: Top 10 providers’ market share against overall provider growth on therapy supports, January 2023 to December 2025</w:t>
      </w:r>
    </w:p>
    <w:bookmarkEnd w:id="965"/>
    <w:p w:rsidRPr="008D1918" w:rsidR="00064FFF" w:rsidRDefault="00064FFF" w14:paraId="5932CA4B" w14:textId="454FD609">
      <w:pPr>
        <w:spacing w:after="360"/>
        <w:rPr>
          <w:rFonts w:eastAsiaTheme="minorEastAsia" w:cstheme="minorBidi"/>
          <w:i/>
          <w:iCs/>
          <w:lang w:val="en-AU"/>
        </w:rPr>
      </w:pPr>
      <w:r w:rsidRPr="008D1918">
        <w:rPr>
          <w:rFonts w:eastAsiaTheme="minorEastAsia" w:cstheme="minorBidi"/>
          <w:i/>
          <w:iCs/>
          <w:noProof/>
          <w:lang w:val="en-AU"/>
        </w:rPr>
        <w:drawing>
          <wp:inline distT="0" distB="0" distL="0" distR="0" wp14:anchorId="34B63F18" wp14:editId="76C83757">
            <wp:extent cx="5524500" cy="3199869"/>
            <wp:effectExtent l="0" t="0" r="0" b="635"/>
            <wp:docPr id="1673407800" name="Picture 4" descr="Figure 14: A bar and line graph showing the top 10 providers’ market share against overall provider growth on therapy supports, from January 2023 to December 2025.&#10;This graph shows that market share for top 10 therapy providers has remained relatively stable over the period decreasing from 10.8% to 10.6%. Provider count has also remained stable, starting at 49,500, peaking at 55,366 (2024), and decreasing to 53,2025 as at December 2025.&#10;Source: NDIS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07800" name="Picture 4" descr="Figure 14: A bar and line graph showing the top 10 providers’ market share against overall provider growth on therapy supports, from January 2023 to December 2025.&#10;This graph shows that market share for top 10 therapy providers has remained relatively stable over the period decreasing from 10.8% to 10.6%. Provider count has also remained stable, starting at 49,500, peaking at 55,366 (2024), and decreasing to 53,2025 as at December 2025.&#10;Source: NDIS internal dat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26886" cy="3201251"/>
                    </a:xfrm>
                    <a:prstGeom prst="rect">
                      <a:avLst/>
                    </a:prstGeom>
                    <a:noFill/>
                  </pic:spPr>
                </pic:pic>
              </a:graphicData>
            </a:graphic>
          </wp:inline>
        </w:drawing>
      </w:r>
    </w:p>
    <w:p w:rsidRPr="008D1918" w:rsidR="000E3523" w:rsidP="002F219E" w:rsidRDefault="000E3523" w14:paraId="5F98C8B8" w14:textId="7C79FF08">
      <w:pPr>
        <w:pStyle w:val="Caption"/>
        <w:rPr>
          <w:rFonts w:eastAsia="DengXian" w:cs="Cordia New"/>
          <w:i w:val="0"/>
          <w:color w:val="6B2876" w:themeColor="accent5"/>
        </w:rPr>
      </w:pPr>
      <w:bookmarkStart w:name="_Ref223624411" w:id="966"/>
      <w:r w:rsidRPr="008D1918">
        <w:t>Figure</w:t>
      </w:r>
      <w:r w:rsidRPr="008D1918" w:rsidR="002F219E">
        <w:t xml:space="preserve"> </w:t>
      </w:r>
      <w:r>
        <w:fldChar w:fldCharType="begin"/>
      </w:r>
      <w:r>
        <w:instrText>SEQ Figure \* ARABIC</w:instrText>
      </w:r>
      <w:r>
        <w:fldChar w:fldCharType="separate"/>
      </w:r>
      <w:r w:rsidR="008F56A2">
        <w:rPr>
          <w:noProof/>
        </w:rPr>
        <w:t>15</w:t>
      </w:r>
      <w:r>
        <w:fldChar w:fldCharType="end"/>
      </w:r>
      <w:bookmarkEnd w:id="966"/>
      <w:r w:rsidRPr="008D1918">
        <w:rPr>
          <w:rFonts w:eastAsia="DengXian" w:cs="Cordia New"/>
          <w:color w:val="6B2876" w:themeColor="accent5"/>
        </w:rPr>
        <w:t>: Top 10 providers’ market share by remoteness for therapy supports, January 2023 to December 2025</w:t>
      </w:r>
    </w:p>
    <w:p w:rsidRPr="008D1918" w:rsidR="00064FFF" w:rsidRDefault="00064FFF" w14:paraId="3CC227B3" w14:textId="74E6D077">
      <w:pPr>
        <w:spacing w:after="360"/>
        <w:rPr>
          <w:lang w:val="en-AU"/>
        </w:rPr>
      </w:pPr>
      <w:r w:rsidRPr="008D1918">
        <w:rPr>
          <w:noProof/>
          <w:lang w:val="en-AU"/>
        </w:rPr>
        <w:drawing>
          <wp:inline distT="0" distB="0" distL="0" distR="0" wp14:anchorId="1FF87C5B" wp14:editId="1D09DF99">
            <wp:extent cx="5362575" cy="3106080"/>
            <wp:effectExtent l="0" t="0" r="0" b="0"/>
            <wp:docPr id="1585977393" name="Picture 5" descr="Figure 15: A line graph showing the top 10 providers’ market share by remoteness for therapy supports, from January 2023 to December 2025.&#10;This graph shows that market share of therapy providers in very remote areas has decreased from 40% to 26% over the period. Market share for remote providers has remained relatively stable starting at 28% and reducing to 24%. Market share for non-remote providers is stable with 10.9% market share moving to 10.7% over the period.&#10;Source: Internal NDI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77393" name="Picture 5" descr="Figure 15: A line graph showing the top 10 providers’ market share by remoteness for therapy supports, from January 2023 to December 2025.&#10;This graph shows that market share of therapy providers in very remote areas has decreased from 40% to 26% over the period. Market share for remote providers has remained relatively stable starting at 28% and reducing to 24%. Market share for non-remote providers is stable with 10.9% market share moving to 10.7% over the period.&#10;Source: Internal NDIS dat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67047" cy="3108670"/>
                    </a:xfrm>
                    <a:prstGeom prst="rect">
                      <a:avLst/>
                    </a:prstGeom>
                    <a:noFill/>
                  </pic:spPr>
                </pic:pic>
              </a:graphicData>
            </a:graphic>
          </wp:inline>
        </w:drawing>
      </w:r>
    </w:p>
    <w:p w:rsidRPr="008D1918" w:rsidR="000E3523" w:rsidP="00041468" w:rsidRDefault="000E3523" w14:paraId="0AFCD4F1" w14:textId="0700E0A3">
      <w:pPr>
        <w:pStyle w:val="StyleStyle112pt"/>
      </w:pPr>
      <w:bookmarkStart w:name="_Toc223428432" w:id="967"/>
      <w:bookmarkStart w:name="_Toc223445891" w:id="968"/>
      <w:bookmarkStart w:name="_Toc223539681" w:id="969"/>
      <w:bookmarkStart w:name="_Toc223539898" w:id="970"/>
      <w:bookmarkStart w:name="_Toc223540366" w:id="971"/>
      <w:bookmarkStart w:name="_Toc223540582" w:id="972"/>
      <w:bookmarkStart w:name="_Toc223542118" w:id="973"/>
      <w:bookmarkStart w:name="_Toc223604304" w:id="974"/>
      <w:bookmarkStart w:name="_Toc223604515" w:id="975"/>
      <w:bookmarkStart w:name="_Toc223604735" w:id="976"/>
      <w:bookmarkStart w:name="_Toc223618597" w:id="977"/>
      <w:bookmarkStart w:name="_Toc223702834" w:id="978"/>
      <w:bookmarkStart w:name="_Toc227318732" w:id="979"/>
      <w:bookmarkStart w:name="_Toc227337100" w:id="980"/>
      <w:r w:rsidRPr="008D1918">
        <w:t>Provider scale and share of payments</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r w:rsidRPr="008D1918">
        <w:t xml:space="preserve"> </w:t>
      </w:r>
    </w:p>
    <w:p w:rsidRPr="008D1918" w:rsidR="000E3523" w:rsidRDefault="000E3523" w14:paraId="2081CA17" w14:textId="2DE81CA8">
      <w:pPr>
        <w:rPr>
          <w:lang w:val="en-AU"/>
        </w:rPr>
      </w:pPr>
      <w:r w:rsidRPr="008D1918">
        <w:rPr>
          <w:lang w:val="en-AU"/>
        </w:rPr>
        <w:t xml:space="preserve">The therapy provider market is characterised by a broad distribution of provider scale alongside a high concentration of payments among a small number of large providers. In the </w:t>
      </w:r>
      <w:r w:rsidRPr="008D1918" w:rsidR="000B2EDE">
        <w:rPr>
          <w:lang w:val="en-AU"/>
        </w:rPr>
        <w:t>6</w:t>
      </w:r>
      <w:r w:rsidRPr="008D1918">
        <w:rPr>
          <w:lang w:val="en-AU"/>
        </w:rPr>
        <w:t xml:space="preserve"> months to December 2025, providers supporting </w:t>
      </w:r>
      <w:r w:rsidRPr="008D1918" w:rsidR="000B2EDE">
        <w:rPr>
          <w:lang w:val="en-AU"/>
        </w:rPr>
        <w:t xml:space="preserve">5 </w:t>
      </w:r>
      <w:r w:rsidRPr="008D1918">
        <w:rPr>
          <w:lang w:val="en-AU"/>
        </w:rPr>
        <w:t xml:space="preserve">or fewer participants accounted for approximately 61% of all therapy </w:t>
      </w:r>
      <w:r w:rsidRPr="008D1918" w:rsidR="00D03C3D">
        <w:rPr>
          <w:lang w:val="en-AU"/>
        </w:rPr>
        <w:t>providers</w:t>
      </w:r>
      <w:r w:rsidRPr="008D1918" w:rsidR="00D03C3D">
        <w:rPr>
          <w:rFonts w:eastAsia="Segoe UI"/>
          <w:lang w:val="en-AU"/>
        </w:rPr>
        <w:t xml:space="preserve"> yet</w:t>
      </w:r>
      <w:r w:rsidRPr="008D1918">
        <w:rPr>
          <w:rFonts w:eastAsia="Segoe UI"/>
          <w:lang w:val="en-AU"/>
        </w:rPr>
        <w:t xml:space="preserve"> together received only a small share of total payments (</w:t>
      </w:r>
      <w:r w:rsidRPr="008D1918" w:rsidR="00183D27">
        <w:rPr>
          <w:rFonts w:eastAsia="Segoe UI"/>
          <w:lang w:val="en-AU"/>
        </w:rPr>
        <w:fldChar w:fldCharType="begin"/>
      </w:r>
      <w:r w:rsidRPr="008D1918" w:rsidR="00183D27">
        <w:rPr>
          <w:rFonts w:eastAsia="Segoe UI"/>
          <w:lang w:val="en-AU"/>
        </w:rPr>
        <w:instrText xml:space="preserve"> REF _Ref223690287 \h </w:instrText>
      </w:r>
      <w:r w:rsidRPr="008D1918" w:rsidR="00762DF8">
        <w:rPr>
          <w:rFonts w:eastAsia="Segoe UI"/>
          <w:lang w:val="en-AU"/>
        </w:rPr>
        <w:instrText xml:space="preserve"> \* MERGEFORMAT </w:instrText>
      </w:r>
      <w:r w:rsidRPr="008D1918" w:rsidR="00183D27">
        <w:rPr>
          <w:rFonts w:eastAsia="Segoe UI"/>
          <w:lang w:val="en-AU"/>
        </w:rPr>
      </w:r>
      <w:r w:rsidRPr="008D1918" w:rsidR="00183D27">
        <w:rPr>
          <w:rFonts w:eastAsia="Segoe UI"/>
          <w:lang w:val="en-AU"/>
        </w:rPr>
        <w:fldChar w:fldCharType="separate"/>
      </w:r>
      <w:r w:rsidRPr="008F56A2" w:rsidR="008F56A2">
        <w:rPr>
          <w:lang w:val="en-AU"/>
        </w:rPr>
        <w:t>Table</w:t>
      </w:r>
      <w:r w:rsidRPr="008D1918" w:rsidR="008F56A2">
        <w:t xml:space="preserve"> </w:t>
      </w:r>
      <w:r w:rsidR="008F56A2">
        <w:rPr>
          <w:noProof/>
        </w:rPr>
        <w:t>20</w:t>
      </w:r>
      <w:r w:rsidRPr="008D1918" w:rsidR="00183D27">
        <w:rPr>
          <w:rFonts w:eastAsia="Segoe UI"/>
          <w:lang w:val="en-AU"/>
        </w:rPr>
        <w:fldChar w:fldCharType="end"/>
      </w:r>
      <w:r w:rsidRPr="008D1918">
        <w:rPr>
          <w:lang w:val="en-AU"/>
        </w:rPr>
        <w:t>). Many of these were sole practitioners for whom</w:t>
      </w:r>
      <w:r w:rsidRPr="008D1918" w:rsidDel="00B97898">
        <w:rPr>
          <w:lang w:val="en-AU"/>
        </w:rPr>
        <w:t xml:space="preserve"> </w:t>
      </w:r>
      <w:r w:rsidRPr="008D1918">
        <w:rPr>
          <w:lang w:val="en-AU"/>
        </w:rPr>
        <w:t xml:space="preserve">NDIS-funded therapy sits alongside </w:t>
      </w:r>
      <w:r w:rsidRPr="008D1918" w:rsidR="00EC404E">
        <w:rPr>
          <w:lang w:val="en-AU"/>
        </w:rPr>
        <w:t>PHI</w:t>
      </w:r>
      <w:r w:rsidRPr="008D1918">
        <w:rPr>
          <w:lang w:val="en-AU"/>
        </w:rPr>
        <w:t>, Medicare or other caseloads (</w:t>
      </w:r>
      <w:r w:rsidRPr="008D1918" w:rsidR="006A62B8">
        <w:rPr>
          <w:lang w:val="en-AU"/>
        </w:rPr>
        <w:fldChar w:fldCharType="begin"/>
      </w:r>
      <w:r w:rsidRPr="008D1918" w:rsidR="006A62B8">
        <w:rPr>
          <w:lang w:val="en-AU"/>
        </w:rPr>
        <w:instrText xml:space="preserve"> REF _Ref223690358 \h </w:instrText>
      </w:r>
      <w:r w:rsidRPr="008D1918" w:rsidR="00762DF8">
        <w:rPr>
          <w:lang w:val="en-AU"/>
        </w:rPr>
        <w:instrText xml:space="preserve"> \* MERGEFORMAT </w:instrText>
      </w:r>
      <w:r w:rsidRPr="008D1918" w:rsidR="006A62B8">
        <w:rPr>
          <w:lang w:val="en-AU"/>
        </w:rPr>
      </w:r>
      <w:r w:rsidRPr="008D1918" w:rsidR="006A62B8">
        <w:rPr>
          <w:lang w:val="en-AU"/>
        </w:rPr>
        <w:fldChar w:fldCharType="separate"/>
      </w:r>
      <w:r w:rsidRPr="008F56A2" w:rsidR="008F56A2">
        <w:rPr>
          <w:lang w:val="en-AU"/>
        </w:rPr>
        <w:t>Table</w:t>
      </w:r>
      <w:r w:rsidRPr="008D1918" w:rsidR="008F56A2">
        <w:t xml:space="preserve"> </w:t>
      </w:r>
      <w:r w:rsidR="008F56A2">
        <w:rPr>
          <w:noProof/>
        </w:rPr>
        <w:t>21</w:t>
      </w:r>
      <w:r w:rsidRPr="008D1918" w:rsidR="006A62B8">
        <w:rPr>
          <w:lang w:val="en-AU"/>
        </w:rPr>
        <w:fldChar w:fldCharType="end"/>
      </w:r>
      <w:r w:rsidRPr="008D1918">
        <w:rPr>
          <w:lang w:val="en-AU"/>
        </w:rPr>
        <w:t xml:space="preserve"> and</w:t>
      </w:r>
      <w:r w:rsidRPr="008D1918" w:rsidR="004809A1">
        <w:rPr>
          <w:lang w:val="en-AU"/>
        </w:rPr>
        <w:t xml:space="preserve"> </w:t>
      </w:r>
      <w:r w:rsidRPr="008D1918" w:rsidR="004809A1">
        <w:rPr>
          <w:lang w:val="en-AU"/>
        </w:rPr>
        <w:fldChar w:fldCharType="begin"/>
      </w:r>
      <w:r w:rsidRPr="008D1918" w:rsidR="004809A1">
        <w:rPr>
          <w:lang w:val="en-AU"/>
        </w:rPr>
        <w:instrText xml:space="preserve"> REF _Ref223690483 \h </w:instrText>
      </w:r>
      <w:r w:rsidRPr="008D1918" w:rsidR="00762DF8">
        <w:rPr>
          <w:lang w:val="en-AU"/>
        </w:rPr>
        <w:instrText xml:space="preserve"> \* MERGEFORMAT </w:instrText>
      </w:r>
      <w:r w:rsidRPr="008D1918" w:rsidR="004809A1">
        <w:rPr>
          <w:lang w:val="en-AU"/>
        </w:rPr>
      </w:r>
      <w:r w:rsidRPr="008D1918" w:rsidR="004809A1">
        <w:rPr>
          <w:lang w:val="en-AU"/>
        </w:rPr>
        <w:fldChar w:fldCharType="separate"/>
      </w:r>
      <w:r w:rsidRPr="008F56A2" w:rsidR="008F56A2">
        <w:rPr>
          <w:lang w:val="en-AU"/>
        </w:rPr>
        <w:t>Table</w:t>
      </w:r>
      <w:r w:rsidRPr="008D1918" w:rsidR="008F56A2">
        <w:t xml:space="preserve"> </w:t>
      </w:r>
      <w:r w:rsidR="008F56A2">
        <w:rPr>
          <w:noProof/>
        </w:rPr>
        <w:t>22</w:t>
      </w:r>
      <w:r w:rsidRPr="008D1918" w:rsidR="004809A1">
        <w:rPr>
          <w:lang w:val="en-AU"/>
        </w:rPr>
        <w:fldChar w:fldCharType="end"/>
      </w:r>
      <w:r w:rsidRPr="008D1918">
        <w:rPr>
          <w:lang w:val="en-AU"/>
        </w:rPr>
        <w:t>).</w:t>
      </w:r>
    </w:p>
    <w:p w:rsidRPr="008D1918" w:rsidR="000E3523" w:rsidRDefault="000E3523" w14:paraId="2E329219" w14:textId="4A5B1BCF">
      <w:pPr>
        <w:rPr>
          <w:lang w:val="en-AU"/>
        </w:rPr>
      </w:pPr>
      <w:r w:rsidRPr="008D1918">
        <w:rPr>
          <w:rFonts w:eastAsia="Segoe UI"/>
          <w:lang w:val="en-AU"/>
        </w:rPr>
        <w:t xml:space="preserve">At the other end of the </w:t>
      </w:r>
      <w:r w:rsidRPr="008D1918" w:rsidR="000A7F29">
        <w:rPr>
          <w:rFonts w:eastAsia="Segoe UI"/>
          <w:lang w:val="en-AU"/>
        </w:rPr>
        <w:t>scale</w:t>
      </w:r>
      <w:r w:rsidRPr="008D1918">
        <w:rPr>
          <w:rFonts w:eastAsia="Segoe UI"/>
          <w:lang w:val="en-AU"/>
        </w:rPr>
        <w:t>, providers supporting more than 250 participants represented less than 1% of all providers but accounted for approximately 41% of total therapy payments (</w:t>
      </w:r>
      <w:r w:rsidRPr="008D1918" w:rsidR="00183D27">
        <w:rPr>
          <w:rFonts w:eastAsia="Segoe UI"/>
          <w:lang w:val="en-AU"/>
        </w:rPr>
        <w:fldChar w:fldCharType="begin"/>
      </w:r>
      <w:r w:rsidRPr="008D1918" w:rsidR="00183D27">
        <w:rPr>
          <w:rFonts w:eastAsia="Segoe UI"/>
          <w:lang w:val="en-AU"/>
        </w:rPr>
        <w:instrText xml:space="preserve"> REF _Ref223690287 \h </w:instrText>
      </w:r>
      <w:r w:rsidRPr="008D1918" w:rsidR="00762DF8">
        <w:rPr>
          <w:rFonts w:eastAsia="Segoe UI"/>
          <w:lang w:val="en-AU"/>
        </w:rPr>
        <w:instrText xml:space="preserve"> \* MERGEFORMAT </w:instrText>
      </w:r>
      <w:r w:rsidRPr="008D1918" w:rsidR="00183D27">
        <w:rPr>
          <w:rFonts w:eastAsia="Segoe UI"/>
          <w:lang w:val="en-AU"/>
        </w:rPr>
      </w:r>
      <w:r w:rsidRPr="008D1918" w:rsidR="00183D27">
        <w:rPr>
          <w:rFonts w:eastAsia="Segoe UI"/>
          <w:lang w:val="en-AU"/>
        </w:rPr>
        <w:fldChar w:fldCharType="separate"/>
      </w:r>
      <w:r w:rsidRPr="008F56A2" w:rsidR="008F56A2">
        <w:rPr>
          <w:lang w:val="en-AU"/>
        </w:rPr>
        <w:t>Table</w:t>
      </w:r>
      <w:r w:rsidRPr="008D1918" w:rsidR="008F56A2">
        <w:t xml:space="preserve"> </w:t>
      </w:r>
      <w:r w:rsidR="008F56A2">
        <w:rPr>
          <w:noProof/>
        </w:rPr>
        <w:t>20</w:t>
      </w:r>
      <w:r w:rsidRPr="008D1918" w:rsidR="00183D27">
        <w:rPr>
          <w:rFonts w:eastAsia="Segoe UI"/>
          <w:lang w:val="en-AU"/>
        </w:rPr>
        <w:fldChar w:fldCharType="end"/>
      </w:r>
      <w:r w:rsidRPr="008D1918">
        <w:rPr>
          <w:lang w:val="en-AU"/>
        </w:rPr>
        <w:t xml:space="preserve">). </w:t>
      </w:r>
      <w:r w:rsidRPr="008D1918">
        <w:rPr>
          <w:rFonts w:eastAsia="Segoe UI"/>
          <w:lang w:val="en-AU"/>
        </w:rPr>
        <w:t xml:space="preserve">The largest provider cohort, supporting 1,000 or more participants, averaged </w:t>
      </w:r>
      <w:r w:rsidRPr="008D1918" w:rsidR="00DE6D88">
        <w:rPr>
          <w:rFonts w:eastAsia="Segoe UI"/>
          <w:lang w:val="en-AU"/>
        </w:rPr>
        <w:t xml:space="preserve">more than </w:t>
      </w:r>
      <w:r w:rsidRPr="008D1918">
        <w:rPr>
          <w:rFonts w:eastAsia="Segoe UI"/>
          <w:lang w:val="en-AU"/>
        </w:rPr>
        <w:t>$10 million in payments during the July to December 2025 period (</w:t>
      </w:r>
      <w:r w:rsidRPr="008D1918" w:rsidR="00AF7B8E">
        <w:rPr>
          <w:rFonts w:eastAsia="Segoe UI"/>
          <w:lang w:val="en-AU"/>
        </w:rPr>
        <w:fldChar w:fldCharType="begin"/>
      </w:r>
      <w:r w:rsidRPr="008D1918" w:rsidR="00AF7B8E">
        <w:rPr>
          <w:rFonts w:eastAsia="Segoe UI"/>
          <w:lang w:val="en-AU"/>
        </w:rPr>
        <w:instrText xml:space="preserve"> REF _Ref223690287 \h </w:instrText>
      </w:r>
      <w:r w:rsidRPr="008D1918" w:rsidR="00762DF8">
        <w:rPr>
          <w:rFonts w:eastAsia="Segoe UI"/>
          <w:lang w:val="en-AU"/>
        </w:rPr>
        <w:instrText xml:space="preserve"> \* MERGEFORMAT </w:instrText>
      </w:r>
      <w:r w:rsidRPr="008D1918" w:rsidR="00AF7B8E">
        <w:rPr>
          <w:rFonts w:eastAsia="Segoe UI"/>
          <w:lang w:val="en-AU"/>
        </w:rPr>
      </w:r>
      <w:r w:rsidRPr="008D1918" w:rsidR="00AF7B8E">
        <w:rPr>
          <w:rFonts w:eastAsia="Segoe UI"/>
          <w:lang w:val="en-AU"/>
        </w:rPr>
        <w:fldChar w:fldCharType="separate"/>
      </w:r>
      <w:r w:rsidRPr="008F56A2" w:rsidR="008F56A2">
        <w:rPr>
          <w:lang w:val="en-AU"/>
        </w:rPr>
        <w:t>Table</w:t>
      </w:r>
      <w:r w:rsidRPr="008D1918" w:rsidR="008F56A2">
        <w:t xml:space="preserve"> </w:t>
      </w:r>
      <w:r w:rsidR="008F56A2">
        <w:rPr>
          <w:noProof/>
        </w:rPr>
        <w:t>20</w:t>
      </w:r>
      <w:r w:rsidRPr="008D1918" w:rsidR="00AF7B8E">
        <w:rPr>
          <w:rFonts w:eastAsia="Segoe UI"/>
          <w:lang w:val="en-AU"/>
        </w:rPr>
        <w:fldChar w:fldCharType="end"/>
      </w:r>
      <w:r w:rsidRPr="008D1918">
        <w:rPr>
          <w:rFonts w:eastAsia="Segoe UI"/>
          <w:lang w:val="en-AU"/>
        </w:rPr>
        <w:t>).</w:t>
      </w:r>
    </w:p>
    <w:p w:rsidRPr="008D1918" w:rsidR="000E3523" w:rsidRDefault="000E3523" w14:paraId="651B9655" w14:textId="4EE211D0">
      <w:pPr>
        <w:rPr>
          <w:lang w:val="en-AU"/>
        </w:rPr>
      </w:pPr>
      <w:r w:rsidRPr="008D1918">
        <w:rPr>
          <w:lang w:val="en-AU"/>
        </w:rPr>
        <w:t xml:space="preserve">This pattern differs by registration status. Among registered providers, those supporting more than 250 participants accounted for a small share of provider numbers but delivered </w:t>
      </w:r>
      <w:r w:rsidRPr="008D1918" w:rsidR="00E2508F">
        <w:rPr>
          <w:lang w:val="en-AU"/>
        </w:rPr>
        <w:t xml:space="preserve">more than </w:t>
      </w:r>
      <w:r w:rsidRPr="008D1918">
        <w:rPr>
          <w:lang w:val="en-AU"/>
        </w:rPr>
        <w:t>60% of registered‑provider payments, with the largest providers (1,000+ participants) alone accounting for 31% of total registered payments (</w:t>
      </w:r>
      <w:r w:rsidRPr="008D1918" w:rsidR="00AF7B8E">
        <w:rPr>
          <w:lang w:val="en-AU"/>
        </w:rPr>
        <w:fldChar w:fldCharType="begin"/>
      </w:r>
      <w:r w:rsidRPr="008D1918" w:rsidR="00AF7B8E">
        <w:rPr>
          <w:lang w:val="en-AU"/>
        </w:rPr>
        <w:instrText xml:space="preserve"> REF _Ref223690358 \h </w:instrText>
      </w:r>
      <w:r w:rsidRPr="008D1918" w:rsidR="00762DF8">
        <w:rPr>
          <w:lang w:val="en-AU"/>
        </w:rPr>
        <w:instrText xml:space="preserve"> \* MERGEFORMAT </w:instrText>
      </w:r>
      <w:r w:rsidRPr="008D1918" w:rsidR="00AF7B8E">
        <w:rPr>
          <w:lang w:val="en-AU"/>
        </w:rPr>
      </w:r>
      <w:r w:rsidRPr="008D1918" w:rsidR="00AF7B8E">
        <w:rPr>
          <w:lang w:val="en-AU"/>
        </w:rPr>
        <w:fldChar w:fldCharType="separate"/>
      </w:r>
      <w:r w:rsidRPr="008F56A2" w:rsidR="008F56A2">
        <w:rPr>
          <w:lang w:val="en-AU"/>
        </w:rPr>
        <w:t>Table</w:t>
      </w:r>
      <w:r w:rsidRPr="008D1918" w:rsidR="008F56A2">
        <w:t xml:space="preserve"> </w:t>
      </w:r>
      <w:r w:rsidR="008F56A2">
        <w:rPr>
          <w:noProof/>
        </w:rPr>
        <w:t>21</w:t>
      </w:r>
      <w:r w:rsidRPr="008D1918" w:rsidR="00AF7B8E">
        <w:rPr>
          <w:lang w:val="en-AU"/>
        </w:rPr>
        <w:fldChar w:fldCharType="end"/>
      </w:r>
      <w:r w:rsidRPr="008D1918">
        <w:rPr>
          <w:lang w:val="en-AU"/>
        </w:rPr>
        <w:t>). In contrast, unregistered providers were heavily concentrated at the smaller end of the scale, with providers supporting 50 or fewer participants comprising the majority of unregistered providers and accounting for most unregistered‑provider payments (</w:t>
      </w:r>
      <w:r w:rsidRPr="008D1918" w:rsidR="004809A1">
        <w:rPr>
          <w:lang w:val="en-AU"/>
        </w:rPr>
        <w:fldChar w:fldCharType="begin"/>
      </w:r>
      <w:r w:rsidRPr="008D1918" w:rsidR="004809A1">
        <w:rPr>
          <w:lang w:val="en-AU"/>
        </w:rPr>
        <w:instrText xml:space="preserve"> REF _Ref223690483 \h </w:instrText>
      </w:r>
      <w:r w:rsidRPr="008D1918" w:rsidR="00762DF8">
        <w:rPr>
          <w:lang w:val="en-AU"/>
        </w:rPr>
        <w:instrText xml:space="preserve"> \* MERGEFORMAT </w:instrText>
      </w:r>
      <w:r w:rsidRPr="008D1918" w:rsidR="004809A1">
        <w:rPr>
          <w:lang w:val="en-AU"/>
        </w:rPr>
      </w:r>
      <w:r w:rsidRPr="008D1918" w:rsidR="004809A1">
        <w:rPr>
          <w:lang w:val="en-AU"/>
        </w:rPr>
        <w:fldChar w:fldCharType="separate"/>
      </w:r>
      <w:r w:rsidRPr="008F56A2" w:rsidR="008F56A2">
        <w:rPr>
          <w:lang w:val="en-AU"/>
        </w:rPr>
        <w:t>Table</w:t>
      </w:r>
      <w:r w:rsidRPr="008D1918" w:rsidR="008F56A2">
        <w:t xml:space="preserve"> </w:t>
      </w:r>
      <w:r w:rsidR="008F56A2">
        <w:rPr>
          <w:noProof/>
        </w:rPr>
        <w:t>22</w:t>
      </w:r>
      <w:r w:rsidRPr="008D1918" w:rsidR="004809A1">
        <w:rPr>
          <w:lang w:val="en-AU"/>
        </w:rPr>
        <w:fldChar w:fldCharType="end"/>
      </w:r>
      <w:r w:rsidRPr="008D1918">
        <w:rPr>
          <w:lang w:val="en-AU"/>
        </w:rPr>
        <w:t>).</w:t>
      </w:r>
    </w:p>
    <w:p w:rsidRPr="008D1918" w:rsidR="000E3523" w:rsidP="00183D27" w:rsidRDefault="00183D27" w14:paraId="6E631F21" w14:textId="0844625A">
      <w:pPr>
        <w:pStyle w:val="Caption"/>
        <w:rPr>
          <w:rFonts w:cs="Arial"/>
          <w:i w:val="0"/>
          <w:color w:val="6B2876" w:themeColor="accent5"/>
          <w:lang w:eastAsia="en-AU"/>
        </w:rPr>
      </w:pPr>
      <w:bookmarkStart w:name="_Ref223690287" w:id="981"/>
      <w:r w:rsidRPr="008D1918">
        <w:t xml:space="preserve">Table </w:t>
      </w:r>
      <w:r>
        <w:fldChar w:fldCharType="begin"/>
      </w:r>
      <w:r>
        <w:instrText>SEQ Table \* ARABIC</w:instrText>
      </w:r>
      <w:r>
        <w:fldChar w:fldCharType="separate"/>
      </w:r>
      <w:r w:rsidR="008F56A2">
        <w:rPr>
          <w:noProof/>
        </w:rPr>
        <w:t>20</w:t>
      </w:r>
      <w:r>
        <w:fldChar w:fldCharType="end"/>
      </w:r>
      <w:bookmarkEnd w:id="981"/>
      <w:r w:rsidRPr="008D1918" w:rsidR="000E3523">
        <w:rPr>
          <w:rFonts w:cs="Arial"/>
          <w:color w:val="6B2876" w:themeColor="accent5"/>
          <w:lang w:eastAsia="en-AU"/>
        </w:rPr>
        <w:t>: Statistics on provider payments for therapy supports</w:t>
      </w:r>
      <w:r w:rsidRPr="008D1918" w:rsidR="007518D8">
        <w:rPr>
          <w:rFonts w:cs="Arial"/>
          <w:color w:val="6B2876" w:themeColor="accent5"/>
          <w:lang w:eastAsia="en-AU"/>
        </w:rPr>
        <w:t xml:space="preserve"> – all providers</w:t>
      </w:r>
      <w:r w:rsidRPr="008D1918" w:rsidR="000E3523">
        <w:rPr>
          <w:rFonts w:cs="Arial"/>
          <w:color w:val="6B2876" w:themeColor="accent5"/>
          <w:lang w:eastAsia="en-AU"/>
        </w:rPr>
        <w:t>, July to December 2025</w:t>
      </w:r>
    </w:p>
    <w:tbl>
      <w:tblPr>
        <w:tblStyle w:val="GridTable4-Accent121"/>
        <w:tblW w:w="0" w:type="auto"/>
        <w:tblInd w:w="-12" w:type="dxa"/>
        <w:tblLayout w:type="fixed"/>
        <w:tblLook w:val="04A0" w:firstRow="1" w:lastRow="0" w:firstColumn="1" w:lastColumn="0" w:noHBand="0" w:noVBand="1"/>
        <w:tblCaption w:val="Price limits for Support Coordination Supports"/>
      </w:tblPr>
      <w:tblGrid>
        <w:gridCol w:w="2041"/>
        <w:gridCol w:w="1531"/>
        <w:gridCol w:w="1871"/>
        <w:gridCol w:w="1644"/>
        <w:gridCol w:w="1701"/>
      </w:tblGrid>
      <w:tr w:rsidRPr="008D1918" w:rsidR="002E562F" w:rsidTr="005A6823" w14:paraId="361F0B42" w14:textId="77777777">
        <w:trPr>
          <w:cnfStyle w:val="100000000000" w:firstRow="1" w:lastRow="0" w:firstColumn="0" w:lastColumn="0" w:oddVBand="0" w:evenVBand="0" w:oddHBand="0" w:evenHBand="0" w:firstRowFirstColumn="0" w:firstRowLastColumn="0" w:lastRowFirstColumn="0" w:lastRowLastColumn="0"/>
          <w:trHeight w:val="555"/>
          <w:tblHeader/>
        </w:trPr>
        <w:tc>
          <w:tcPr>
            <w:cnfStyle w:val="001000000000" w:firstRow="0" w:lastRow="0" w:firstColumn="1" w:lastColumn="0" w:oddVBand="0" w:evenVBand="0" w:oddHBand="0" w:evenHBand="0" w:firstRowFirstColumn="0" w:firstRowLastColumn="0" w:lastRowFirstColumn="0" w:lastRowLastColumn="0"/>
            <w:tcW w:w="2041" w:type="dxa"/>
            <w:hideMark/>
          </w:tcPr>
          <w:p w:rsidRPr="008D1918" w:rsidR="000E3523" w:rsidP="009559C8" w:rsidRDefault="000E3523" w14:paraId="6BAE3689" w14:textId="1AA6554B">
            <w:pPr>
              <w:keepNext/>
              <w:spacing w:before="60" w:after="60"/>
              <w:rPr>
                <w:rFonts w:cs="Calibri"/>
                <w:b w:val="0"/>
                <w:color w:val="F9F9F9" w:themeColor="background1"/>
                <w:sz w:val="20"/>
                <w:szCs w:val="18"/>
                <w:lang w:val="en-AU" w:eastAsia="en-AU"/>
              </w:rPr>
            </w:pPr>
            <w:r w:rsidRPr="008D1918">
              <w:rPr>
                <w:rFonts w:cs="Calibri"/>
                <w:color w:val="F9F9F9" w:themeColor="background1"/>
                <w:sz w:val="20"/>
                <w:szCs w:val="18"/>
                <w:lang w:val="en-AU" w:eastAsia="en-AU"/>
              </w:rPr>
              <w:t xml:space="preserve">Size of </w:t>
            </w:r>
            <w:r w:rsidRPr="008D1918" w:rsidR="004809A1">
              <w:rPr>
                <w:rFonts w:cs="Calibri"/>
                <w:color w:val="F9F9F9" w:themeColor="background1"/>
                <w:sz w:val="20"/>
                <w:szCs w:val="18"/>
                <w:lang w:val="en-AU" w:eastAsia="en-AU"/>
              </w:rPr>
              <w:t>p</w:t>
            </w:r>
            <w:r w:rsidRPr="008D1918">
              <w:rPr>
                <w:rFonts w:cs="Calibri"/>
                <w:color w:val="F9F9F9" w:themeColor="background1"/>
                <w:sz w:val="20"/>
                <w:szCs w:val="18"/>
                <w:lang w:val="en-AU" w:eastAsia="en-AU"/>
              </w:rPr>
              <w:t>rovider (number of participants supported) </w:t>
            </w:r>
          </w:p>
        </w:tc>
        <w:tc>
          <w:tcPr>
            <w:tcW w:w="1531" w:type="dxa"/>
            <w:hideMark/>
          </w:tcPr>
          <w:p w:rsidRPr="008D1918" w:rsidR="000E3523" w:rsidP="009559C8" w:rsidRDefault="000E3523" w14:paraId="156F2839" w14:textId="27F953AB">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b w:val="0"/>
                <w:color w:val="F9F9F9" w:themeColor="background1"/>
                <w:sz w:val="20"/>
                <w:szCs w:val="18"/>
                <w:lang w:val="en-AU" w:eastAsia="en-AU"/>
              </w:rPr>
            </w:pPr>
            <w:r w:rsidRPr="008D1918">
              <w:rPr>
                <w:rFonts w:cs="Calibri"/>
                <w:color w:val="F9F9F9" w:themeColor="background1"/>
                <w:sz w:val="20"/>
                <w:szCs w:val="18"/>
                <w:lang w:val="en-AU" w:eastAsia="en-AU"/>
              </w:rPr>
              <w:t xml:space="preserve">Number of </w:t>
            </w:r>
            <w:r w:rsidRPr="008D1918" w:rsidR="004809A1">
              <w:rPr>
                <w:rFonts w:cs="Calibri"/>
                <w:color w:val="F9F9F9" w:themeColor="background1"/>
                <w:sz w:val="20"/>
                <w:szCs w:val="18"/>
                <w:lang w:val="en-AU" w:eastAsia="en-AU"/>
              </w:rPr>
              <w:t>p</w:t>
            </w:r>
            <w:r w:rsidRPr="008D1918">
              <w:rPr>
                <w:rFonts w:cs="Calibri"/>
                <w:color w:val="F9F9F9" w:themeColor="background1"/>
                <w:sz w:val="20"/>
                <w:szCs w:val="18"/>
                <w:lang w:val="en-AU" w:eastAsia="en-AU"/>
              </w:rPr>
              <w:t>roviders </w:t>
            </w:r>
          </w:p>
        </w:tc>
        <w:tc>
          <w:tcPr>
            <w:tcW w:w="1871" w:type="dxa"/>
            <w:hideMark/>
          </w:tcPr>
          <w:p w:rsidRPr="008D1918" w:rsidR="000E3523" w:rsidP="009559C8" w:rsidRDefault="000E3523" w14:paraId="6466CF52" w14:textId="3CCBC77C">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b w:val="0"/>
                <w:color w:val="F9F9F9" w:themeColor="background1"/>
                <w:sz w:val="20"/>
                <w:szCs w:val="18"/>
                <w:lang w:val="en-AU" w:eastAsia="en-AU"/>
              </w:rPr>
            </w:pPr>
            <w:r w:rsidRPr="008D1918">
              <w:rPr>
                <w:rFonts w:cs="Calibri"/>
                <w:color w:val="F9F9F9" w:themeColor="background1"/>
                <w:sz w:val="20"/>
                <w:szCs w:val="18"/>
                <w:lang w:val="en-AU" w:eastAsia="en-AU"/>
              </w:rPr>
              <w:t xml:space="preserve">Total </w:t>
            </w:r>
            <w:r w:rsidRPr="008D1918" w:rsidR="004809A1">
              <w:rPr>
                <w:rFonts w:cs="Calibri"/>
                <w:color w:val="F9F9F9" w:themeColor="background1"/>
                <w:sz w:val="20"/>
                <w:szCs w:val="18"/>
                <w:lang w:val="en-AU" w:eastAsia="en-AU"/>
              </w:rPr>
              <w:t>p</w:t>
            </w:r>
            <w:r w:rsidRPr="008D1918">
              <w:rPr>
                <w:rFonts w:cs="Calibri"/>
                <w:color w:val="F9F9F9" w:themeColor="background1"/>
                <w:sz w:val="20"/>
                <w:szCs w:val="18"/>
                <w:lang w:val="en-AU" w:eastAsia="en-AU"/>
              </w:rPr>
              <w:t xml:space="preserve">ayments to </w:t>
            </w:r>
            <w:r w:rsidRPr="008D1918" w:rsidR="004809A1">
              <w:rPr>
                <w:rFonts w:cs="Calibri"/>
                <w:color w:val="F9F9F9" w:themeColor="background1"/>
                <w:sz w:val="20"/>
                <w:szCs w:val="18"/>
                <w:lang w:val="en-AU" w:eastAsia="en-AU"/>
              </w:rPr>
              <w:t>p</w:t>
            </w:r>
            <w:r w:rsidRPr="008D1918">
              <w:rPr>
                <w:rFonts w:cs="Calibri"/>
                <w:color w:val="F9F9F9" w:themeColor="background1"/>
                <w:sz w:val="20"/>
                <w:szCs w:val="18"/>
                <w:lang w:val="en-AU" w:eastAsia="en-AU"/>
              </w:rPr>
              <w:t>roviders (million) </w:t>
            </w:r>
          </w:p>
        </w:tc>
        <w:tc>
          <w:tcPr>
            <w:tcW w:w="1644" w:type="dxa"/>
            <w:hideMark/>
          </w:tcPr>
          <w:p w:rsidRPr="008D1918" w:rsidR="000E3523" w:rsidP="009559C8" w:rsidRDefault="000E3523" w14:paraId="572C7AF8" w14:textId="4A204C9D">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b w:val="0"/>
                <w:color w:val="F9F9F9" w:themeColor="background1"/>
                <w:sz w:val="20"/>
                <w:szCs w:val="18"/>
                <w:lang w:val="en-AU" w:eastAsia="en-AU"/>
              </w:rPr>
            </w:pPr>
            <w:r w:rsidRPr="008D1918">
              <w:rPr>
                <w:rFonts w:cs="Calibri"/>
                <w:color w:val="F9F9F9" w:themeColor="background1"/>
                <w:sz w:val="20"/>
                <w:szCs w:val="18"/>
                <w:lang w:val="en-AU" w:eastAsia="en-AU"/>
              </w:rPr>
              <w:t xml:space="preserve">Average </w:t>
            </w:r>
            <w:r w:rsidRPr="008D1918" w:rsidR="004809A1">
              <w:rPr>
                <w:rFonts w:cs="Calibri"/>
                <w:color w:val="F9F9F9" w:themeColor="background1"/>
                <w:sz w:val="20"/>
                <w:szCs w:val="18"/>
                <w:lang w:val="en-AU" w:eastAsia="en-AU"/>
              </w:rPr>
              <w:t>p</w:t>
            </w:r>
            <w:r w:rsidRPr="008D1918">
              <w:rPr>
                <w:rFonts w:cs="Calibri"/>
                <w:color w:val="F9F9F9" w:themeColor="background1"/>
                <w:sz w:val="20"/>
                <w:szCs w:val="18"/>
                <w:lang w:val="en-AU" w:eastAsia="en-AU"/>
              </w:rPr>
              <w:t xml:space="preserve">ayments to </w:t>
            </w:r>
            <w:r w:rsidRPr="008D1918" w:rsidR="004809A1">
              <w:rPr>
                <w:rFonts w:cs="Calibri"/>
                <w:color w:val="F9F9F9" w:themeColor="background1"/>
                <w:sz w:val="20"/>
                <w:szCs w:val="18"/>
                <w:lang w:val="en-AU" w:eastAsia="en-AU"/>
              </w:rPr>
              <w:t>p</w:t>
            </w:r>
            <w:r w:rsidRPr="008D1918">
              <w:rPr>
                <w:rFonts w:cs="Calibri"/>
                <w:color w:val="F9F9F9" w:themeColor="background1"/>
                <w:sz w:val="20"/>
                <w:szCs w:val="18"/>
                <w:lang w:val="en-AU" w:eastAsia="en-AU"/>
              </w:rPr>
              <w:t>roviders </w:t>
            </w:r>
          </w:p>
        </w:tc>
        <w:tc>
          <w:tcPr>
            <w:tcW w:w="1701" w:type="dxa"/>
            <w:hideMark/>
          </w:tcPr>
          <w:p w:rsidRPr="008D1918" w:rsidR="000E3523" w:rsidP="009559C8" w:rsidRDefault="000E3523" w14:paraId="6076516F" w14:textId="1DD6D203">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b w:val="0"/>
                <w:color w:val="F9F9F9" w:themeColor="background1"/>
                <w:sz w:val="20"/>
                <w:szCs w:val="18"/>
                <w:lang w:val="en-AU" w:eastAsia="en-AU"/>
              </w:rPr>
            </w:pPr>
            <w:r w:rsidRPr="008D1918">
              <w:rPr>
                <w:rFonts w:cs="Calibri"/>
                <w:color w:val="F9F9F9" w:themeColor="background1"/>
                <w:sz w:val="20"/>
                <w:szCs w:val="18"/>
                <w:lang w:val="en-AU" w:eastAsia="en-AU"/>
              </w:rPr>
              <w:t xml:space="preserve">Share of </w:t>
            </w:r>
            <w:r w:rsidRPr="008D1918" w:rsidR="004809A1">
              <w:rPr>
                <w:rFonts w:cs="Calibri"/>
                <w:color w:val="F9F9F9" w:themeColor="background1"/>
                <w:sz w:val="20"/>
                <w:szCs w:val="18"/>
                <w:lang w:val="en-AU" w:eastAsia="en-AU"/>
              </w:rPr>
              <w:t>t</w:t>
            </w:r>
            <w:r w:rsidRPr="008D1918">
              <w:rPr>
                <w:rFonts w:cs="Calibri"/>
                <w:color w:val="F9F9F9" w:themeColor="background1"/>
                <w:sz w:val="20"/>
                <w:szCs w:val="18"/>
                <w:lang w:val="en-AU" w:eastAsia="en-AU"/>
              </w:rPr>
              <w:t xml:space="preserve">otal </w:t>
            </w:r>
            <w:r w:rsidRPr="008D1918" w:rsidR="004809A1">
              <w:rPr>
                <w:rFonts w:cs="Calibri"/>
                <w:color w:val="F9F9F9" w:themeColor="background1"/>
                <w:sz w:val="20"/>
                <w:szCs w:val="18"/>
                <w:lang w:val="en-AU" w:eastAsia="en-AU"/>
              </w:rPr>
              <w:t>p</w:t>
            </w:r>
            <w:r w:rsidRPr="008D1918">
              <w:rPr>
                <w:rFonts w:cs="Calibri"/>
                <w:color w:val="F9F9F9" w:themeColor="background1"/>
                <w:sz w:val="20"/>
                <w:szCs w:val="18"/>
                <w:lang w:val="en-AU" w:eastAsia="en-AU"/>
              </w:rPr>
              <w:t>ayments </w:t>
            </w:r>
          </w:p>
        </w:tc>
      </w:tr>
      <w:tr w:rsidRPr="008D1918" w:rsidR="00173A73" w:rsidTr="009559C8" w14:paraId="5D43DD8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559C8" w:rsidRDefault="000E3523" w14:paraId="5FFFA716" w14:textId="77777777">
            <w:pPr>
              <w:keepNext/>
              <w:spacing w:before="60" w:after="60"/>
              <w:rPr>
                <w:rFonts w:cs="Calibri"/>
                <w:bCs w:val="0"/>
                <w:sz w:val="20"/>
                <w:szCs w:val="18"/>
                <w:lang w:val="en-AU" w:eastAsia="en-AU"/>
              </w:rPr>
            </w:pPr>
            <w:r w:rsidRPr="008D1918">
              <w:rPr>
                <w:rFonts w:cs="Calibri"/>
                <w:sz w:val="20"/>
                <w:szCs w:val="18"/>
                <w:lang w:val="en-AU" w:eastAsia="en-AU"/>
              </w:rPr>
              <w:t>1 </w:t>
            </w:r>
          </w:p>
        </w:tc>
        <w:tc>
          <w:tcPr>
            <w:tcW w:w="1531" w:type="dxa"/>
            <w:vAlign w:val="center"/>
            <w:hideMark/>
          </w:tcPr>
          <w:p w:rsidRPr="008D1918" w:rsidR="000E3523" w:rsidP="009559C8" w:rsidRDefault="000E3523" w14:paraId="6DB9D51A"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17,604 </w:t>
            </w:r>
          </w:p>
        </w:tc>
        <w:tc>
          <w:tcPr>
            <w:tcW w:w="1871" w:type="dxa"/>
            <w:vAlign w:val="center"/>
            <w:hideMark/>
          </w:tcPr>
          <w:p w:rsidRPr="008D1918" w:rsidR="000E3523" w:rsidP="009559C8" w:rsidRDefault="000E3523" w14:paraId="0D3125AF"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$29.9 </w:t>
            </w:r>
          </w:p>
        </w:tc>
        <w:tc>
          <w:tcPr>
            <w:tcW w:w="1644" w:type="dxa"/>
            <w:vAlign w:val="center"/>
            <w:hideMark/>
          </w:tcPr>
          <w:p w:rsidRPr="008D1918" w:rsidR="000E3523" w:rsidP="009559C8" w:rsidRDefault="000E3523" w14:paraId="317F58F5"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$1,700 </w:t>
            </w:r>
          </w:p>
        </w:tc>
        <w:tc>
          <w:tcPr>
            <w:tcW w:w="1701" w:type="dxa"/>
            <w:vAlign w:val="center"/>
            <w:hideMark/>
          </w:tcPr>
          <w:p w:rsidRPr="008D1918" w:rsidR="000E3523" w:rsidP="009559C8" w:rsidRDefault="000E3523" w14:paraId="7D84732F"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 </w:t>
            </w:r>
          </w:p>
        </w:tc>
      </w:tr>
      <w:tr w:rsidRPr="008D1918" w:rsidR="000E3523" w:rsidTr="009559C8" w14:paraId="1BBE1B42"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559C8" w:rsidRDefault="000E3523" w14:paraId="0F95EC25" w14:textId="77777777">
            <w:pPr>
              <w:keepNext/>
              <w:spacing w:before="60" w:after="60"/>
              <w:rPr>
                <w:rFonts w:cs="Calibri"/>
                <w:bCs w:val="0"/>
                <w:sz w:val="20"/>
                <w:szCs w:val="18"/>
                <w:lang w:val="en-AU" w:eastAsia="en-AU"/>
              </w:rPr>
            </w:pPr>
            <w:r w:rsidRPr="008D1918">
              <w:rPr>
                <w:rFonts w:cs="Calibri"/>
                <w:sz w:val="20"/>
                <w:szCs w:val="18"/>
                <w:lang w:val="en-AU" w:eastAsia="en-AU"/>
              </w:rPr>
              <w:t>2 </w:t>
            </w:r>
          </w:p>
        </w:tc>
        <w:tc>
          <w:tcPr>
            <w:tcW w:w="1531" w:type="dxa"/>
            <w:vAlign w:val="center"/>
            <w:hideMark/>
          </w:tcPr>
          <w:p w:rsidRPr="008D1918" w:rsidR="000E3523" w:rsidP="009559C8" w:rsidRDefault="000E3523" w14:paraId="0590FD18"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6,361 </w:t>
            </w:r>
          </w:p>
        </w:tc>
        <w:tc>
          <w:tcPr>
            <w:tcW w:w="1871" w:type="dxa"/>
            <w:vAlign w:val="center"/>
            <w:hideMark/>
          </w:tcPr>
          <w:p w:rsidRPr="008D1918" w:rsidR="000E3523" w:rsidP="009559C8" w:rsidRDefault="000E3523" w14:paraId="264A374B"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$24.0 </w:t>
            </w:r>
          </w:p>
        </w:tc>
        <w:tc>
          <w:tcPr>
            <w:tcW w:w="1644" w:type="dxa"/>
            <w:vAlign w:val="center"/>
            <w:hideMark/>
          </w:tcPr>
          <w:p w:rsidRPr="008D1918" w:rsidR="000E3523" w:rsidP="009559C8" w:rsidRDefault="000E3523" w14:paraId="08380D38"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$3,800 </w:t>
            </w:r>
          </w:p>
        </w:tc>
        <w:tc>
          <w:tcPr>
            <w:tcW w:w="1701" w:type="dxa"/>
            <w:vAlign w:val="center"/>
            <w:hideMark/>
          </w:tcPr>
          <w:p w:rsidRPr="008D1918" w:rsidR="000E3523" w:rsidP="009559C8" w:rsidRDefault="000E3523" w14:paraId="695FD011"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 </w:t>
            </w:r>
          </w:p>
        </w:tc>
      </w:tr>
      <w:tr w:rsidRPr="008D1918" w:rsidR="00173A73" w:rsidTr="009559C8" w14:paraId="2CA05B6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559C8" w:rsidRDefault="000E3523" w14:paraId="672868D9" w14:textId="77777777">
            <w:pPr>
              <w:keepNext/>
              <w:spacing w:before="60" w:after="60"/>
              <w:rPr>
                <w:rFonts w:cs="Calibri"/>
                <w:bCs w:val="0"/>
                <w:sz w:val="20"/>
                <w:szCs w:val="18"/>
                <w:lang w:val="en-AU" w:eastAsia="en-AU"/>
              </w:rPr>
            </w:pPr>
            <w:r w:rsidRPr="008D1918">
              <w:rPr>
                <w:rFonts w:cs="Calibri"/>
                <w:sz w:val="20"/>
                <w:szCs w:val="18"/>
                <w:lang w:val="en-AU" w:eastAsia="en-AU"/>
              </w:rPr>
              <w:t>3 </w:t>
            </w:r>
          </w:p>
        </w:tc>
        <w:tc>
          <w:tcPr>
            <w:tcW w:w="1531" w:type="dxa"/>
            <w:vAlign w:val="center"/>
            <w:hideMark/>
          </w:tcPr>
          <w:p w:rsidRPr="008D1918" w:rsidR="000E3523" w:rsidP="009559C8" w:rsidRDefault="000E3523" w14:paraId="144B3DAD"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3,835 </w:t>
            </w:r>
          </w:p>
        </w:tc>
        <w:tc>
          <w:tcPr>
            <w:tcW w:w="1871" w:type="dxa"/>
            <w:vAlign w:val="center"/>
            <w:hideMark/>
          </w:tcPr>
          <w:p w:rsidRPr="008D1918" w:rsidR="000E3523" w:rsidP="009559C8" w:rsidRDefault="000E3523" w14:paraId="2589DE75"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$22.6 </w:t>
            </w:r>
          </w:p>
        </w:tc>
        <w:tc>
          <w:tcPr>
            <w:tcW w:w="1644" w:type="dxa"/>
            <w:vAlign w:val="center"/>
            <w:hideMark/>
          </w:tcPr>
          <w:p w:rsidRPr="008D1918" w:rsidR="000E3523" w:rsidP="009559C8" w:rsidRDefault="000E3523" w14:paraId="3527E25B"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$5,900 </w:t>
            </w:r>
          </w:p>
        </w:tc>
        <w:tc>
          <w:tcPr>
            <w:tcW w:w="1701" w:type="dxa"/>
            <w:vAlign w:val="center"/>
            <w:hideMark/>
          </w:tcPr>
          <w:p w:rsidRPr="008D1918" w:rsidR="000E3523" w:rsidP="009559C8" w:rsidRDefault="000E3523" w14:paraId="56238B35"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 </w:t>
            </w:r>
          </w:p>
        </w:tc>
      </w:tr>
      <w:tr w:rsidRPr="008D1918" w:rsidR="000E3523" w:rsidTr="009559C8" w14:paraId="60259228"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559C8" w:rsidRDefault="000E3523" w14:paraId="1EDF4E85" w14:textId="77777777">
            <w:pPr>
              <w:keepNext/>
              <w:spacing w:before="60" w:after="60"/>
              <w:rPr>
                <w:rFonts w:cs="Calibri"/>
                <w:bCs w:val="0"/>
                <w:sz w:val="20"/>
                <w:szCs w:val="18"/>
                <w:lang w:val="en-AU" w:eastAsia="en-AU"/>
              </w:rPr>
            </w:pPr>
            <w:r w:rsidRPr="008D1918">
              <w:rPr>
                <w:rFonts w:cs="Calibri"/>
                <w:sz w:val="20"/>
                <w:szCs w:val="18"/>
                <w:lang w:val="en-AU" w:eastAsia="en-AU"/>
              </w:rPr>
              <w:t>4 </w:t>
            </w:r>
          </w:p>
        </w:tc>
        <w:tc>
          <w:tcPr>
            <w:tcW w:w="1531" w:type="dxa"/>
            <w:vAlign w:val="center"/>
            <w:hideMark/>
          </w:tcPr>
          <w:p w:rsidRPr="008D1918" w:rsidR="000E3523" w:rsidP="009559C8" w:rsidRDefault="000E3523" w14:paraId="77D3FE75"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2,765 </w:t>
            </w:r>
          </w:p>
        </w:tc>
        <w:tc>
          <w:tcPr>
            <w:tcW w:w="1871" w:type="dxa"/>
            <w:vAlign w:val="center"/>
            <w:hideMark/>
          </w:tcPr>
          <w:p w:rsidRPr="008D1918" w:rsidR="000E3523" w:rsidP="009559C8" w:rsidRDefault="000E3523" w14:paraId="1AD5CCE9"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$21.5 </w:t>
            </w:r>
          </w:p>
        </w:tc>
        <w:tc>
          <w:tcPr>
            <w:tcW w:w="1644" w:type="dxa"/>
            <w:vAlign w:val="center"/>
            <w:hideMark/>
          </w:tcPr>
          <w:p w:rsidRPr="008D1918" w:rsidR="000E3523" w:rsidP="009559C8" w:rsidRDefault="000E3523" w14:paraId="1722CA9B"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$7,800 </w:t>
            </w:r>
          </w:p>
        </w:tc>
        <w:tc>
          <w:tcPr>
            <w:tcW w:w="1701" w:type="dxa"/>
            <w:vAlign w:val="center"/>
            <w:hideMark/>
          </w:tcPr>
          <w:p w:rsidRPr="008D1918" w:rsidR="000E3523" w:rsidP="009559C8" w:rsidRDefault="000E3523" w14:paraId="2CC36C7C"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 </w:t>
            </w:r>
          </w:p>
        </w:tc>
      </w:tr>
      <w:tr w:rsidRPr="008D1918" w:rsidR="00173A73" w:rsidTr="009559C8" w14:paraId="2D88757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559C8" w:rsidRDefault="000E3523" w14:paraId="1C6502D1" w14:textId="77777777">
            <w:pPr>
              <w:keepNext/>
              <w:spacing w:before="60" w:after="60"/>
              <w:rPr>
                <w:rFonts w:cs="Calibri"/>
                <w:bCs w:val="0"/>
                <w:sz w:val="20"/>
                <w:szCs w:val="18"/>
                <w:lang w:val="en-AU" w:eastAsia="en-AU"/>
              </w:rPr>
            </w:pPr>
            <w:r w:rsidRPr="008D1918">
              <w:rPr>
                <w:rFonts w:cs="Calibri"/>
                <w:sz w:val="20"/>
                <w:szCs w:val="18"/>
                <w:lang w:val="en-AU" w:eastAsia="en-AU"/>
              </w:rPr>
              <w:t>5 </w:t>
            </w:r>
          </w:p>
        </w:tc>
        <w:tc>
          <w:tcPr>
            <w:tcW w:w="1531" w:type="dxa"/>
            <w:vAlign w:val="center"/>
            <w:hideMark/>
          </w:tcPr>
          <w:p w:rsidRPr="008D1918" w:rsidR="000E3523" w:rsidP="009559C8" w:rsidRDefault="000E3523" w14:paraId="6A29D02F"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2,127 </w:t>
            </w:r>
          </w:p>
        </w:tc>
        <w:tc>
          <w:tcPr>
            <w:tcW w:w="1871" w:type="dxa"/>
            <w:vAlign w:val="center"/>
            <w:hideMark/>
          </w:tcPr>
          <w:p w:rsidRPr="008D1918" w:rsidR="000E3523" w:rsidP="009559C8" w:rsidRDefault="000E3523" w14:paraId="6124871E"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$20.4 </w:t>
            </w:r>
          </w:p>
        </w:tc>
        <w:tc>
          <w:tcPr>
            <w:tcW w:w="1644" w:type="dxa"/>
            <w:vAlign w:val="center"/>
            <w:hideMark/>
          </w:tcPr>
          <w:p w:rsidRPr="008D1918" w:rsidR="000E3523" w:rsidP="009559C8" w:rsidRDefault="000E3523" w14:paraId="51608741"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$9,600 </w:t>
            </w:r>
          </w:p>
        </w:tc>
        <w:tc>
          <w:tcPr>
            <w:tcW w:w="1701" w:type="dxa"/>
            <w:vAlign w:val="center"/>
            <w:hideMark/>
          </w:tcPr>
          <w:p w:rsidRPr="008D1918" w:rsidR="000E3523" w:rsidP="009559C8" w:rsidRDefault="000E3523" w14:paraId="7F319E07"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 </w:t>
            </w:r>
          </w:p>
        </w:tc>
      </w:tr>
      <w:tr w:rsidRPr="008D1918" w:rsidR="000E3523" w:rsidTr="009559C8" w14:paraId="63EDB55D"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559C8" w:rsidRDefault="000E3523" w14:paraId="670E567A" w14:textId="77777777">
            <w:pPr>
              <w:keepNext/>
              <w:spacing w:before="60" w:after="60"/>
              <w:rPr>
                <w:rFonts w:cs="Calibri"/>
                <w:bCs w:val="0"/>
                <w:sz w:val="20"/>
                <w:szCs w:val="18"/>
                <w:lang w:val="en-AU" w:eastAsia="en-AU"/>
              </w:rPr>
            </w:pPr>
            <w:r w:rsidRPr="008D1918">
              <w:rPr>
                <w:rFonts w:cs="Calibri"/>
                <w:sz w:val="20"/>
                <w:szCs w:val="18"/>
                <w:lang w:val="en-AU" w:eastAsia="en-AU"/>
              </w:rPr>
              <w:t>6</w:t>
            </w:r>
            <w:r w:rsidRPr="008D1918">
              <w:rPr>
                <w:rFonts w:cs="Arial"/>
                <w:sz w:val="20"/>
                <w:szCs w:val="18"/>
                <w:lang w:val="en-AU" w:eastAsia="en-AU"/>
              </w:rPr>
              <w:t>–</w:t>
            </w:r>
            <w:r w:rsidRPr="008D1918">
              <w:rPr>
                <w:rFonts w:cs="Calibri"/>
                <w:sz w:val="20"/>
                <w:szCs w:val="18"/>
                <w:lang w:val="en-AU" w:eastAsia="en-AU"/>
              </w:rPr>
              <w:t>10 </w:t>
            </w:r>
          </w:p>
        </w:tc>
        <w:tc>
          <w:tcPr>
            <w:tcW w:w="1531" w:type="dxa"/>
            <w:vAlign w:val="center"/>
            <w:hideMark/>
          </w:tcPr>
          <w:p w:rsidRPr="008D1918" w:rsidR="000E3523" w:rsidP="009559C8" w:rsidRDefault="000E3523" w14:paraId="2C186BC6"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6,348 </w:t>
            </w:r>
          </w:p>
        </w:tc>
        <w:tc>
          <w:tcPr>
            <w:tcW w:w="1871" w:type="dxa"/>
            <w:vAlign w:val="center"/>
            <w:hideMark/>
          </w:tcPr>
          <w:p w:rsidRPr="008D1918" w:rsidR="000E3523" w:rsidP="009559C8" w:rsidRDefault="000E3523" w14:paraId="3FEB6285"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$99.6 </w:t>
            </w:r>
          </w:p>
        </w:tc>
        <w:tc>
          <w:tcPr>
            <w:tcW w:w="1644" w:type="dxa"/>
            <w:vAlign w:val="center"/>
            <w:hideMark/>
          </w:tcPr>
          <w:p w:rsidRPr="008D1918" w:rsidR="000E3523" w:rsidP="009559C8" w:rsidRDefault="000E3523" w14:paraId="442F6F1E"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$15,700 </w:t>
            </w:r>
          </w:p>
        </w:tc>
        <w:tc>
          <w:tcPr>
            <w:tcW w:w="1701" w:type="dxa"/>
            <w:vAlign w:val="center"/>
            <w:hideMark/>
          </w:tcPr>
          <w:p w:rsidRPr="008D1918" w:rsidR="000E3523" w:rsidP="009559C8" w:rsidRDefault="000E3523" w14:paraId="6AC6B3D4"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4% </w:t>
            </w:r>
          </w:p>
        </w:tc>
      </w:tr>
      <w:tr w:rsidRPr="008D1918" w:rsidR="00173A73" w:rsidTr="009559C8" w14:paraId="386E5A2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559C8" w:rsidRDefault="000E3523" w14:paraId="3153999C" w14:textId="77777777">
            <w:pPr>
              <w:keepNext/>
              <w:spacing w:before="60" w:after="60"/>
              <w:rPr>
                <w:rFonts w:cs="Calibri"/>
                <w:bCs w:val="0"/>
                <w:sz w:val="20"/>
                <w:szCs w:val="18"/>
                <w:lang w:val="en-AU" w:eastAsia="en-AU"/>
              </w:rPr>
            </w:pPr>
            <w:r w:rsidRPr="008D1918">
              <w:rPr>
                <w:rFonts w:cs="Calibri"/>
                <w:sz w:val="20"/>
                <w:szCs w:val="18"/>
                <w:lang w:val="en-AU" w:eastAsia="en-AU"/>
              </w:rPr>
              <w:t>11</w:t>
            </w:r>
            <w:r w:rsidRPr="008D1918">
              <w:rPr>
                <w:rFonts w:cs="Arial"/>
                <w:sz w:val="20"/>
                <w:szCs w:val="18"/>
                <w:lang w:val="en-AU" w:eastAsia="en-AU"/>
              </w:rPr>
              <w:t>–</w:t>
            </w:r>
            <w:r w:rsidRPr="008D1918">
              <w:rPr>
                <w:rFonts w:cs="Calibri"/>
                <w:sz w:val="20"/>
                <w:szCs w:val="18"/>
                <w:lang w:val="en-AU" w:eastAsia="en-AU"/>
              </w:rPr>
              <w:t>50 </w:t>
            </w:r>
          </w:p>
        </w:tc>
        <w:tc>
          <w:tcPr>
            <w:tcW w:w="1531" w:type="dxa"/>
            <w:vAlign w:val="center"/>
            <w:hideMark/>
          </w:tcPr>
          <w:p w:rsidRPr="008D1918" w:rsidR="000E3523" w:rsidP="009559C8" w:rsidRDefault="000E3523" w14:paraId="6F38D3EE"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10,673 </w:t>
            </w:r>
          </w:p>
        </w:tc>
        <w:tc>
          <w:tcPr>
            <w:tcW w:w="1871" w:type="dxa"/>
            <w:vAlign w:val="center"/>
            <w:hideMark/>
          </w:tcPr>
          <w:p w:rsidRPr="008D1918" w:rsidR="000E3523" w:rsidP="009559C8" w:rsidRDefault="000E3523" w14:paraId="72273EA1"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$536.0 </w:t>
            </w:r>
          </w:p>
        </w:tc>
        <w:tc>
          <w:tcPr>
            <w:tcW w:w="1644" w:type="dxa"/>
            <w:vAlign w:val="center"/>
            <w:hideMark/>
          </w:tcPr>
          <w:p w:rsidRPr="008D1918" w:rsidR="000E3523" w:rsidP="009559C8" w:rsidRDefault="000E3523" w14:paraId="669A995A"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$50,200 </w:t>
            </w:r>
          </w:p>
        </w:tc>
        <w:tc>
          <w:tcPr>
            <w:tcW w:w="1701" w:type="dxa"/>
            <w:vAlign w:val="center"/>
            <w:hideMark/>
          </w:tcPr>
          <w:p w:rsidRPr="008D1918" w:rsidR="000E3523" w:rsidP="009559C8" w:rsidRDefault="000E3523" w14:paraId="53F9FD11"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20% </w:t>
            </w:r>
          </w:p>
        </w:tc>
      </w:tr>
      <w:tr w:rsidRPr="008D1918" w:rsidR="000E3523" w:rsidTr="009559C8" w14:paraId="358C770F"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559C8" w:rsidRDefault="000E3523" w14:paraId="7C866ADA" w14:textId="77777777">
            <w:pPr>
              <w:keepNext/>
              <w:spacing w:before="60" w:after="60"/>
              <w:rPr>
                <w:rFonts w:cs="Calibri"/>
                <w:bCs w:val="0"/>
                <w:sz w:val="20"/>
                <w:szCs w:val="18"/>
                <w:lang w:val="en-AU" w:eastAsia="en-AU"/>
              </w:rPr>
            </w:pPr>
            <w:r w:rsidRPr="008D1918">
              <w:rPr>
                <w:rFonts w:cs="Calibri"/>
                <w:sz w:val="20"/>
                <w:szCs w:val="18"/>
                <w:lang w:val="en-AU" w:eastAsia="en-AU"/>
              </w:rPr>
              <w:t>51</w:t>
            </w:r>
            <w:r w:rsidRPr="008D1918">
              <w:rPr>
                <w:rFonts w:cs="Arial"/>
                <w:sz w:val="20"/>
                <w:szCs w:val="18"/>
                <w:lang w:val="en-AU" w:eastAsia="en-AU"/>
              </w:rPr>
              <w:t>–</w:t>
            </w:r>
            <w:r w:rsidRPr="008D1918">
              <w:rPr>
                <w:rFonts w:cs="Calibri"/>
                <w:sz w:val="20"/>
                <w:szCs w:val="18"/>
                <w:lang w:val="en-AU" w:eastAsia="en-AU"/>
              </w:rPr>
              <w:t>100 </w:t>
            </w:r>
          </w:p>
        </w:tc>
        <w:tc>
          <w:tcPr>
            <w:tcW w:w="1531" w:type="dxa"/>
            <w:vAlign w:val="center"/>
            <w:hideMark/>
          </w:tcPr>
          <w:p w:rsidRPr="008D1918" w:rsidR="000E3523" w:rsidP="009559C8" w:rsidRDefault="000E3523" w14:paraId="4BBE2CB9"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1,799 </w:t>
            </w:r>
          </w:p>
        </w:tc>
        <w:tc>
          <w:tcPr>
            <w:tcW w:w="1871" w:type="dxa"/>
            <w:vAlign w:val="center"/>
            <w:hideMark/>
          </w:tcPr>
          <w:p w:rsidRPr="008D1918" w:rsidR="000E3523" w:rsidP="009559C8" w:rsidRDefault="000E3523" w14:paraId="59C6950A"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$319.0 </w:t>
            </w:r>
          </w:p>
        </w:tc>
        <w:tc>
          <w:tcPr>
            <w:tcW w:w="1644" w:type="dxa"/>
            <w:vAlign w:val="center"/>
            <w:hideMark/>
          </w:tcPr>
          <w:p w:rsidRPr="008D1918" w:rsidR="000E3523" w:rsidP="009559C8" w:rsidRDefault="000E3523" w14:paraId="325086B0"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$177,300 </w:t>
            </w:r>
          </w:p>
        </w:tc>
        <w:tc>
          <w:tcPr>
            <w:tcW w:w="1701" w:type="dxa"/>
            <w:vAlign w:val="center"/>
            <w:hideMark/>
          </w:tcPr>
          <w:p w:rsidRPr="008D1918" w:rsidR="000E3523" w:rsidP="009559C8" w:rsidRDefault="000E3523" w14:paraId="564BD08C"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12% </w:t>
            </w:r>
          </w:p>
        </w:tc>
      </w:tr>
      <w:tr w:rsidRPr="008D1918" w:rsidR="00173A73" w:rsidTr="009559C8" w14:paraId="3835339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559C8" w:rsidRDefault="000E3523" w14:paraId="68C03903" w14:textId="77777777">
            <w:pPr>
              <w:keepNext/>
              <w:spacing w:before="60" w:after="60"/>
              <w:rPr>
                <w:rFonts w:cs="Calibri"/>
                <w:bCs w:val="0"/>
                <w:sz w:val="20"/>
                <w:szCs w:val="18"/>
                <w:lang w:val="en-AU" w:eastAsia="en-AU"/>
              </w:rPr>
            </w:pPr>
            <w:r w:rsidRPr="008D1918">
              <w:rPr>
                <w:rFonts w:cs="Calibri"/>
                <w:sz w:val="20"/>
                <w:szCs w:val="18"/>
                <w:lang w:val="en-AU" w:eastAsia="en-AU"/>
              </w:rPr>
              <w:t>101</w:t>
            </w:r>
            <w:r w:rsidRPr="008D1918">
              <w:rPr>
                <w:rFonts w:cs="Arial"/>
                <w:sz w:val="20"/>
                <w:szCs w:val="18"/>
                <w:lang w:val="en-AU" w:eastAsia="en-AU"/>
              </w:rPr>
              <w:t>–</w:t>
            </w:r>
            <w:r w:rsidRPr="008D1918">
              <w:rPr>
                <w:rFonts w:cs="Calibri"/>
                <w:sz w:val="20"/>
                <w:szCs w:val="18"/>
                <w:lang w:val="en-AU" w:eastAsia="en-AU"/>
              </w:rPr>
              <w:t>250 </w:t>
            </w:r>
          </w:p>
        </w:tc>
        <w:tc>
          <w:tcPr>
            <w:tcW w:w="1531" w:type="dxa"/>
            <w:vAlign w:val="center"/>
            <w:hideMark/>
          </w:tcPr>
          <w:p w:rsidRPr="008D1918" w:rsidR="000E3523" w:rsidP="009559C8" w:rsidRDefault="000E3523" w14:paraId="31581BA1"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1,179 </w:t>
            </w:r>
          </w:p>
        </w:tc>
        <w:tc>
          <w:tcPr>
            <w:tcW w:w="1871" w:type="dxa"/>
            <w:vAlign w:val="center"/>
            <w:hideMark/>
          </w:tcPr>
          <w:p w:rsidRPr="008D1918" w:rsidR="000E3523" w:rsidP="009559C8" w:rsidRDefault="000E3523" w14:paraId="1C28CCC7"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$493.1 </w:t>
            </w:r>
          </w:p>
        </w:tc>
        <w:tc>
          <w:tcPr>
            <w:tcW w:w="1644" w:type="dxa"/>
            <w:vAlign w:val="center"/>
            <w:hideMark/>
          </w:tcPr>
          <w:p w:rsidRPr="008D1918" w:rsidR="000E3523" w:rsidP="009559C8" w:rsidRDefault="000E3523" w14:paraId="6444A73D"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$418,300 </w:t>
            </w:r>
          </w:p>
        </w:tc>
        <w:tc>
          <w:tcPr>
            <w:tcW w:w="1701" w:type="dxa"/>
            <w:vAlign w:val="center"/>
            <w:hideMark/>
          </w:tcPr>
          <w:p w:rsidRPr="008D1918" w:rsidR="000E3523" w:rsidP="009559C8" w:rsidRDefault="000E3523" w14:paraId="38D0AACC"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18% </w:t>
            </w:r>
          </w:p>
        </w:tc>
      </w:tr>
      <w:tr w:rsidRPr="008D1918" w:rsidR="000E3523" w:rsidTr="009559C8" w14:paraId="70AD408F"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559C8" w:rsidRDefault="000E3523" w14:paraId="6C082B3F" w14:textId="77777777">
            <w:pPr>
              <w:keepNext/>
              <w:spacing w:before="60" w:after="60"/>
              <w:rPr>
                <w:rFonts w:cs="Calibri"/>
                <w:bCs w:val="0"/>
                <w:sz w:val="20"/>
                <w:szCs w:val="18"/>
                <w:lang w:val="en-AU" w:eastAsia="en-AU"/>
              </w:rPr>
            </w:pPr>
            <w:r w:rsidRPr="008D1918">
              <w:rPr>
                <w:rFonts w:cs="Calibri"/>
                <w:sz w:val="20"/>
                <w:szCs w:val="18"/>
                <w:lang w:val="en-AU" w:eastAsia="en-AU"/>
              </w:rPr>
              <w:t>251</w:t>
            </w:r>
            <w:r w:rsidRPr="008D1918">
              <w:rPr>
                <w:rFonts w:cs="Arial"/>
                <w:sz w:val="20"/>
                <w:szCs w:val="18"/>
                <w:lang w:val="en-AU" w:eastAsia="en-AU"/>
              </w:rPr>
              <w:t>–</w:t>
            </w:r>
            <w:r w:rsidRPr="008D1918">
              <w:rPr>
                <w:rFonts w:cs="Calibri"/>
                <w:sz w:val="20"/>
                <w:szCs w:val="18"/>
                <w:lang w:val="en-AU" w:eastAsia="en-AU"/>
              </w:rPr>
              <w:t>1000 </w:t>
            </w:r>
          </w:p>
        </w:tc>
        <w:tc>
          <w:tcPr>
            <w:tcW w:w="1531" w:type="dxa"/>
            <w:vAlign w:val="center"/>
            <w:hideMark/>
          </w:tcPr>
          <w:p w:rsidRPr="008D1918" w:rsidR="000E3523" w:rsidP="009559C8" w:rsidRDefault="000E3523" w14:paraId="10700D78"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461 </w:t>
            </w:r>
          </w:p>
        </w:tc>
        <w:tc>
          <w:tcPr>
            <w:tcW w:w="1871" w:type="dxa"/>
            <w:vAlign w:val="center"/>
            <w:hideMark/>
          </w:tcPr>
          <w:p w:rsidRPr="008D1918" w:rsidR="000E3523" w:rsidP="009559C8" w:rsidRDefault="000E3523" w14:paraId="35C1788E"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$570.6 </w:t>
            </w:r>
          </w:p>
        </w:tc>
        <w:tc>
          <w:tcPr>
            <w:tcW w:w="1644" w:type="dxa"/>
            <w:vAlign w:val="center"/>
            <w:hideMark/>
          </w:tcPr>
          <w:p w:rsidRPr="008D1918" w:rsidR="000E3523" w:rsidP="009559C8" w:rsidRDefault="000E3523" w14:paraId="5A3AAFC2"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$1.2m </w:t>
            </w:r>
          </w:p>
        </w:tc>
        <w:tc>
          <w:tcPr>
            <w:tcW w:w="1701" w:type="dxa"/>
            <w:vAlign w:val="center"/>
            <w:hideMark/>
          </w:tcPr>
          <w:p w:rsidRPr="008D1918" w:rsidR="000E3523" w:rsidP="009559C8" w:rsidRDefault="000E3523" w14:paraId="18758CF5"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21% </w:t>
            </w:r>
          </w:p>
        </w:tc>
      </w:tr>
      <w:tr w:rsidRPr="008D1918" w:rsidR="00173A73" w:rsidTr="009559C8" w14:paraId="2323656D"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559C8" w:rsidRDefault="000E3523" w14:paraId="41929893" w14:textId="77777777">
            <w:pPr>
              <w:keepNext/>
              <w:spacing w:before="60" w:after="60"/>
              <w:rPr>
                <w:rFonts w:cs="Calibri"/>
                <w:bCs w:val="0"/>
                <w:sz w:val="20"/>
                <w:szCs w:val="18"/>
                <w:lang w:val="en-AU" w:eastAsia="en-AU"/>
              </w:rPr>
            </w:pPr>
            <w:r w:rsidRPr="008D1918">
              <w:rPr>
                <w:rFonts w:cs="Calibri"/>
                <w:sz w:val="20"/>
                <w:szCs w:val="18"/>
                <w:lang w:val="en-AU" w:eastAsia="en-AU"/>
              </w:rPr>
              <w:t>1000+ </w:t>
            </w:r>
          </w:p>
        </w:tc>
        <w:tc>
          <w:tcPr>
            <w:tcW w:w="1531" w:type="dxa"/>
            <w:vAlign w:val="center"/>
            <w:hideMark/>
          </w:tcPr>
          <w:p w:rsidRPr="008D1918" w:rsidR="000E3523" w:rsidP="009559C8" w:rsidRDefault="000E3523" w14:paraId="2FF40529"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53 </w:t>
            </w:r>
          </w:p>
        </w:tc>
        <w:tc>
          <w:tcPr>
            <w:tcW w:w="1871" w:type="dxa"/>
            <w:vAlign w:val="center"/>
            <w:hideMark/>
          </w:tcPr>
          <w:p w:rsidRPr="008D1918" w:rsidR="000E3523" w:rsidP="009559C8" w:rsidRDefault="000E3523" w14:paraId="3F76D3DB"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$529.6 </w:t>
            </w:r>
          </w:p>
        </w:tc>
        <w:tc>
          <w:tcPr>
            <w:tcW w:w="1644" w:type="dxa"/>
            <w:vAlign w:val="center"/>
            <w:hideMark/>
          </w:tcPr>
          <w:p w:rsidRPr="008D1918" w:rsidR="000E3523" w:rsidP="009559C8" w:rsidRDefault="000E3523" w14:paraId="4CAA49DB"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$10.0m </w:t>
            </w:r>
          </w:p>
        </w:tc>
        <w:tc>
          <w:tcPr>
            <w:tcW w:w="1701" w:type="dxa"/>
            <w:vAlign w:val="center"/>
            <w:hideMark/>
          </w:tcPr>
          <w:p w:rsidRPr="008D1918" w:rsidR="000E3523" w:rsidP="009559C8" w:rsidRDefault="000E3523" w14:paraId="3BE03378"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bCs/>
                <w:sz w:val="20"/>
                <w:szCs w:val="18"/>
                <w:lang w:val="en-AU" w:eastAsia="en-AU"/>
              </w:rPr>
            </w:pPr>
            <w:r w:rsidRPr="008D1918">
              <w:rPr>
                <w:rFonts w:cs="Calibri"/>
                <w:bCs/>
                <w:sz w:val="20"/>
                <w:szCs w:val="18"/>
                <w:lang w:val="en-AU" w:eastAsia="en-AU"/>
              </w:rPr>
              <w:t>20% </w:t>
            </w:r>
          </w:p>
        </w:tc>
      </w:tr>
      <w:tr w:rsidRPr="008D1918" w:rsidR="000E3523" w:rsidTr="009559C8" w14:paraId="00C651A0"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559C8" w:rsidRDefault="000E3523" w14:paraId="1FF6D07B" w14:textId="77777777">
            <w:pPr>
              <w:keepNext/>
              <w:spacing w:before="60" w:after="60"/>
              <w:rPr>
                <w:rFonts w:cs="Calibri"/>
                <w:bCs w:val="0"/>
                <w:sz w:val="20"/>
                <w:szCs w:val="18"/>
                <w:lang w:val="en-AU" w:eastAsia="en-AU"/>
              </w:rPr>
            </w:pPr>
            <w:r w:rsidRPr="008D1918">
              <w:rPr>
                <w:rFonts w:cs="Calibri"/>
                <w:b/>
                <w:sz w:val="20"/>
                <w:szCs w:val="18"/>
                <w:lang w:val="en-AU" w:eastAsia="en-AU"/>
              </w:rPr>
              <w:t>Overall</w:t>
            </w:r>
            <w:r w:rsidRPr="008D1918">
              <w:rPr>
                <w:rFonts w:cs="Calibri"/>
                <w:sz w:val="20"/>
                <w:szCs w:val="18"/>
                <w:lang w:val="en-AU" w:eastAsia="en-AU"/>
              </w:rPr>
              <w:t> </w:t>
            </w:r>
          </w:p>
        </w:tc>
        <w:tc>
          <w:tcPr>
            <w:tcW w:w="1531" w:type="dxa"/>
            <w:vAlign w:val="center"/>
            <w:hideMark/>
          </w:tcPr>
          <w:p w:rsidRPr="008D1918" w:rsidR="000E3523" w:rsidP="009559C8" w:rsidRDefault="000E3523" w14:paraId="5AA8B5E8"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
                <w:bCs/>
                <w:sz w:val="20"/>
                <w:szCs w:val="18"/>
                <w:lang w:val="en-AU" w:eastAsia="en-AU"/>
              </w:rPr>
              <w:t>53,205</w:t>
            </w:r>
            <w:r w:rsidRPr="008D1918">
              <w:rPr>
                <w:rFonts w:cs="Calibri"/>
                <w:bCs/>
                <w:sz w:val="20"/>
                <w:szCs w:val="18"/>
                <w:lang w:val="en-AU" w:eastAsia="en-AU"/>
              </w:rPr>
              <w:t> </w:t>
            </w:r>
          </w:p>
        </w:tc>
        <w:tc>
          <w:tcPr>
            <w:tcW w:w="1871" w:type="dxa"/>
            <w:vAlign w:val="center"/>
            <w:hideMark/>
          </w:tcPr>
          <w:p w:rsidRPr="008D1918" w:rsidR="000E3523" w:rsidP="009559C8" w:rsidRDefault="000E3523" w14:paraId="15575A1A"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
                <w:bCs/>
                <w:sz w:val="20"/>
                <w:szCs w:val="18"/>
                <w:lang w:val="en-AU" w:eastAsia="en-AU"/>
              </w:rPr>
              <w:t>$2,666.4</w:t>
            </w:r>
            <w:r w:rsidRPr="008D1918">
              <w:rPr>
                <w:rFonts w:cs="Calibri"/>
                <w:bCs/>
                <w:sz w:val="20"/>
                <w:szCs w:val="18"/>
                <w:lang w:val="en-AU" w:eastAsia="en-AU"/>
              </w:rPr>
              <w:t> </w:t>
            </w:r>
          </w:p>
        </w:tc>
        <w:tc>
          <w:tcPr>
            <w:tcW w:w="1644" w:type="dxa"/>
            <w:vAlign w:val="center"/>
            <w:hideMark/>
          </w:tcPr>
          <w:p w:rsidRPr="008D1918" w:rsidR="000E3523" w:rsidP="009559C8" w:rsidRDefault="000E3523" w14:paraId="53286299"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
                <w:bCs/>
                <w:sz w:val="20"/>
                <w:szCs w:val="18"/>
                <w:lang w:val="en-AU" w:eastAsia="en-AU"/>
              </w:rPr>
              <w:t>$50,100</w:t>
            </w:r>
            <w:r w:rsidRPr="008D1918">
              <w:rPr>
                <w:rFonts w:cs="Calibri"/>
                <w:bCs/>
                <w:sz w:val="20"/>
                <w:szCs w:val="18"/>
                <w:lang w:val="en-AU" w:eastAsia="en-AU"/>
              </w:rPr>
              <w:t> </w:t>
            </w:r>
          </w:p>
        </w:tc>
        <w:tc>
          <w:tcPr>
            <w:tcW w:w="1701" w:type="dxa"/>
            <w:vAlign w:val="center"/>
            <w:hideMark/>
          </w:tcPr>
          <w:p w:rsidRPr="008D1918" w:rsidR="000E3523" w:rsidP="009559C8" w:rsidRDefault="000E3523" w14:paraId="4F5B688A"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Cs/>
                <w:sz w:val="20"/>
                <w:szCs w:val="18"/>
                <w:lang w:val="en-AU" w:eastAsia="en-AU"/>
              </w:rPr>
            </w:pPr>
            <w:r w:rsidRPr="008D1918">
              <w:rPr>
                <w:rFonts w:cs="Calibri"/>
                <w:b/>
                <w:bCs/>
                <w:sz w:val="20"/>
                <w:szCs w:val="18"/>
                <w:lang w:val="en-AU" w:eastAsia="en-AU"/>
              </w:rPr>
              <w:t>100%</w:t>
            </w:r>
            <w:r w:rsidRPr="008D1918">
              <w:rPr>
                <w:rFonts w:cs="Calibri"/>
                <w:bCs/>
                <w:sz w:val="20"/>
                <w:szCs w:val="18"/>
                <w:lang w:val="en-AU" w:eastAsia="en-AU"/>
              </w:rPr>
              <w:t> </w:t>
            </w:r>
          </w:p>
        </w:tc>
      </w:tr>
    </w:tbl>
    <w:p w:rsidRPr="008D1918" w:rsidR="000E3523" w:rsidP="001D163B" w:rsidRDefault="000E3523" w14:paraId="53361248"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 </w:t>
      </w:r>
    </w:p>
    <w:p w:rsidRPr="008D1918" w:rsidR="000E3523" w:rsidP="002B66D6" w:rsidRDefault="000E3523" w14:paraId="5C6845F9" w14:textId="77777777">
      <w:pPr>
        <w:spacing w:before="120" w:after="360" w:line="240" w:lineRule="atLeast"/>
        <w:rPr>
          <w:rFonts w:eastAsia="DengXian" w:cs="Calibri"/>
          <w:sz w:val="20"/>
          <w:szCs w:val="20"/>
          <w:lang w:val="en-AU"/>
        </w:rPr>
      </w:pPr>
      <w:r w:rsidRPr="008D1918">
        <w:rPr>
          <w:rFonts w:cs="Calibri"/>
          <w:sz w:val="20"/>
          <w:szCs w:val="18"/>
          <w:lang w:val="en-AU" w:eastAsia="en-AU"/>
        </w:rPr>
        <w:t>Average revenue is rounded up to the nearest hundred.</w:t>
      </w:r>
      <w:r w:rsidRPr="008D1918">
        <w:rPr>
          <w:rFonts w:eastAsia="DengXian" w:cs="Calibri"/>
          <w:sz w:val="20"/>
          <w:szCs w:val="20"/>
          <w:lang w:val="en-AU"/>
        </w:rPr>
        <w:t> </w:t>
      </w:r>
    </w:p>
    <w:p w:rsidRPr="008D1918" w:rsidR="000E3523" w:rsidP="00AF7B8E" w:rsidRDefault="00AF7B8E" w14:paraId="27514364" w14:textId="47F3F7AF">
      <w:pPr>
        <w:pStyle w:val="Caption"/>
        <w:rPr>
          <w:rFonts w:cs="Arial"/>
          <w:i w:val="0"/>
          <w:color w:val="6B2876" w:themeColor="accent5"/>
          <w:lang w:eastAsia="en-AU"/>
        </w:rPr>
      </w:pPr>
      <w:bookmarkStart w:name="_Ref223690358" w:id="982"/>
      <w:r w:rsidRPr="008D1918">
        <w:t xml:space="preserve">Table </w:t>
      </w:r>
      <w:r>
        <w:fldChar w:fldCharType="begin"/>
      </w:r>
      <w:r>
        <w:instrText>SEQ Table \* ARABIC</w:instrText>
      </w:r>
      <w:r>
        <w:fldChar w:fldCharType="separate"/>
      </w:r>
      <w:r w:rsidR="008F56A2">
        <w:rPr>
          <w:noProof/>
        </w:rPr>
        <w:t>21</w:t>
      </w:r>
      <w:r>
        <w:fldChar w:fldCharType="end"/>
      </w:r>
      <w:bookmarkEnd w:id="982"/>
      <w:r w:rsidRPr="008D1918" w:rsidR="000E3523">
        <w:rPr>
          <w:rFonts w:cs="Arial"/>
          <w:color w:val="6B2876" w:themeColor="accent5"/>
          <w:lang w:eastAsia="en-AU"/>
        </w:rPr>
        <w:t>: Statistics on the size of providers for therapy supports</w:t>
      </w:r>
      <w:r w:rsidRPr="008D1918" w:rsidR="007518D8">
        <w:rPr>
          <w:rFonts w:cs="Arial"/>
          <w:color w:val="6B2876" w:themeColor="accent5"/>
          <w:lang w:eastAsia="en-AU"/>
        </w:rPr>
        <w:t xml:space="preserve"> – registered providers only</w:t>
      </w:r>
      <w:r w:rsidRPr="008D1918" w:rsidR="000E3523">
        <w:rPr>
          <w:rFonts w:cs="Arial"/>
          <w:color w:val="6B2876" w:themeColor="accent5"/>
          <w:lang w:eastAsia="en-AU"/>
        </w:rPr>
        <w:t>, July to December 2025</w:t>
      </w:r>
    </w:p>
    <w:tbl>
      <w:tblPr>
        <w:tblStyle w:val="GridTable4-Accent121"/>
        <w:tblW w:w="0" w:type="auto"/>
        <w:tblInd w:w="-12" w:type="dxa"/>
        <w:tblLayout w:type="fixed"/>
        <w:tblLook w:val="04A0" w:firstRow="1" w:lastRow="0" w:firstColumn="1" w:lastColumn="0" w:noHBand="0" w:noVBand="1"/>
        <w:tblCaption w:val="Price limits for Support Coordination Supports"/>
      </w:tblPr>
      <w:tblGrid>
        <w:gridCol w:w="2041"/>
        <w:gridCol w:w="1531"/>
        <w:gridCol w:w="1871"/>
        <w:gridCol w:w="1644"/>
        <w:gridCol w:w="1704"/>
      </w:tblGrid>
      <w:tr w:rsidRPr="008D1918" w:rsidR="00173A73" w:rsidTr="00B43D0C" w14:paraId="3FBF5D71" w14:textId="77777777">
        <w:trPr>
          <w:cnfStyle w:val="100000000000" w:firstRow="1" w:lastRow="0" w:firstColumn="0" w:lastColumn="0" w:oddVBand="0" w:evenVBand="0" w:oddHBand="0" w:evenHBand="0" w:firstRowFirstColumn="0" w:firstRowLastColumn="0" w:lastRowFirstColumn="0" w:lastRowLastColumn="0"/>
          <w:trHeight w:val="555"/>
          <w:tblHeader/>
        </w:trPr>
        <w:tc>
          <w:tcPr>
            <w:cnfStyle w:val="001000000000" w:firstRow="0" w:lastRow="0" w:firstColumn="1" w:lastColumn="0" w:oddVBand="0" w:evenVBand="0" w:oddHBand="0" w:evenHBand="0" w:firstRowFirstColumn="0" w:firstRowLastColumn="0" w:lastRowFirstColumn="0" w:lastRowLastColumn="0"/>
            <w:tcW w:w="2041" w:type="dxa"/>
            <w:hideMark/>
          </w:tcPr>
          <w:p w:rsidRPr="008D1918" w:rsidR="000E3523" w:rsidP="009306B6" w:rsidRDefault="000E3523" w14:paraId="73931650" w14:textId="39E4E851">
            <w:pPr>
              <w:keepNext/>
              <w:spacing w:before="60" w:after="60"/>
              <w:rPr>
                <w:rFonts w:cs="Arial"/>
                <w:b w:val="0"/>
                <w:bCs w:val="0"/>
                <w:sz w:val="20"/>
                <w:szCs w:val="20"/>
                <w:lang w:val="en-AU" w:eastAsia="en-AU"/>
              </w:rPr>
            </w:pPr>
            <w:r w:rsidRPr="008D1918">
              <w:rPr>
                <w:rFonts w:cs="Arial"/>
                <w:sz w:val="20"/>
                <w:szCs w:val="20"/>
                <w:lang w:val="en-AU" w:eastAsia="en-AU"/>
              </w:rPr>
              <w:t xml:space="preserve">Size of </w:t>
            </w:r>
            <w:r w:rsidRPr="008D1918" w:rsidR="003662B2">
              <w:rPr>
                <w:rFonts w:cs="Arial"/>
                <w:sz w:val="20"/>
                <w:szCs w:val="20"/>
                <w:lang w:val="en-AU" w:eastAsia="en-AU"/>
              </w:rPr>
              <w:t>p</w:t>
            </w:r>
            <w:r w:rsidRPr="008D1918">
              <w:rPr>
                <w:rFonts w:cs="Arial"/>
                <w:sz w:val="20"/>
                <w:szCs w:val="20"/>
                <w:lang w:val="en-AU" w:eastAsia="en-AU"/>
              </w:rPr>
              <w:t>rovider (number of participants supported) </w:t>
            </w:r>
          </w:p>
        </w:tc>
        <w:tc>
          <w:tcPr>
            <w:tcW w:w="1531" w:type="dxa"/>
            <w:vAlign w:val="center"/>
            <w:hideMark/>
          </w:tcPr>
          <w:p w:rsidRPr="008D1918" w:rsidR="000E3523" w:rsidP="004809A1" w:rsidRDefault="000E3523" w14:paraId="6CCBE3BC" w14:textId="1961DFCC">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AU" w:eastAsia="en-AU"/>
              </w:rPr>
            </w:pPr>
            <w:r w:rsidRPr="008D1918">
              <w:rPr>
                <w:rFonts w:cs="Arial"/>
                <w:sz w:val="20"/>
                <w:szCs w:val="20"/>
                <w:lang w:val="en-AU"/>
              </w:rPr>
              <w:t xml:space="preserve">Registered </w:t>
            </w:r>
            <w:r w:rsidRPr="008D1918" w:rsidR="003662B2">
              <w:rPr>
                <w:rFonts w:cs="Arial"/>
                <w:sz w:val="20"/>
                <w:szCs w:val="20"/>
                <w:lang w:val="en-AU"/>
              </w:rPr>
              <w:t>p</w:t>
            </w:r>
            <w:r w:rsidRPr="008D1918">
              <w:rPr>
                <w:rFonts w:cs="Arial"/>
                <w:sz w:val="20"/>
                <w:szCs w:val="20"/>
                <w:lang w:val="en-AU"/>
              </w:rPr>
              <w:t>rovider count</w:t>
            </w:r>
          </w:p>
        </w:tc>
        <w:tc>
          <w:tcPr>
            <w:tcW w:w="1871" w:type="dxa"/>
            <w:vAlign w:val="center"/>
            <w:hideMark/>
          </w:tcPr>
          <w:p w:rsidRPr="008D1918" w:rsidR="009306B6" w:rsidP="004809A1" w:rsidRDefault="000E3523" w14:paraId="51FABCFC" w14:textId="684B33DA">
            <w:pPr>
              <w:keepNext/>
              <w:spacing w:before="60" w:after="0"/>
              <w:jc w:val="righ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AU"/>
              </w:rPr>
            </w:pPr>
            <w:r w:rsidRPr="008D1918">
              <w:rPr>
                <w:rFonts w:cs="Arial"/>
                <w:sz w:val="20"/>
                <w:szCs w:val="20"/>
                <w:lang w:val="en-AU"/>
              </w:rPr>
              <w:t xml:space="preserve">Total </w:t>
            </w:r>
            <w:r w:rsidRPr="008D1918" w:rsidR="003662B2">
              <w:rPr>
                <w:rFonts w:cs="Arial"/>
                <w:sz w:val="20"/>
                <w:szCs w:val="20"/>
                <w:lang w:val="en-AU"/>
              </w:rPr>
              <w:t>p</w:t>
            </w:r>
            <w:r w:rsidRPr="008D1918" w:rsidR="005A6823">
              <w:rPr>
                <w:rFonts w:cs="Arial"/>
                <w:sz w:val="20"/>
                <w:szCs w:val="20"/>
                <w:lang w:val="en-AU"/>
              </w:rPr>
              <w:t>ayment</w:t>
            </w:r>
            <w:r w:rsidRPr="008D1918">
              <w:rPr>
                <w:rFonts w:cs="Arial"/>
                <w:sz w:val="20"/>
                <w:szCs w:val="20"/>
                <w:lang w:val="en-AU"/>
              </w:rPr>
              <w:t xml:space="preserve"> to registered provider</w:t>
            </w:r>
          </w:p>
          <w:p w:rsidRPr="008D1918" w:rsidR="000E3523" w:rsidP="004809A1" w:rsidRDefault="000E3523" w14:paraId="64EC9A0E" w14:textId="0CD7E862">
            <w:pPr>
              <w:keepNext/>
              <w:spacing w:before="0" w:after="60"/>
              <w:jc w:val="righ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AU" w:eastAsia="en-AU"/>
              </w:rPr>
            </w:pPr>
            <w:r w:rsidRPr="008D1918">
              <w:rPr>
                <w:rFonts w:cs="Arial"/>
                <w:sz w:val="20"/>
                <w:szCs w:val="20"/>
                <w:lang w:val="en-AU"/>
              </w:rPr>
              <w:t>(million)</w:t>
            </w:r>
          </w:p>
        </w:tc>
        <w:tc>
          <w:tcPr>
            <w:tcW w:w="1644" w:type="dxa"/>
            <w:vAlign w:val="center"/>
            <w:hideMark/>
          </w:tcPr>
          <w:p w:rsidRPr="008D1918" w:rsidR="000E3523" w:rsidP="004809A1" w:rsidRDefault="000E3523" w14:paraId="63DF078A" w14:textId="1680151B">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AU" w:eastAsia="en-AU"/>
              </w:rPr>
            </w:pPr>
            <w:r w:rsidRPr="008D1918">
              <w:rPr>
                <w:rFonts w:cs="Arial"/>
                <w:sz w:val="20"/>
                <w:szCs w:val="20"/>
                <w:lang w:val="en-AU"/>
              </w:rPr>
              <w:t xml:space="preserve">Average </w:t>
            </w:r>
            <w:r w:rsidRPr="008D1918" w:rsidR="003662B2">
              <w:rPr>
                <w:rFonts w:cs="Arial"/>
                <w:sz w:val="20"/>
                <w:szCs w:val="20"/>
                <w:lang w:val="en-AU"/>
              </w:rPr>
              <w:t>p</w:t>
            </w:r>
            <w:r w:rsidRPr="008D1918" w:rsidR="005A6823">
              <w:rPr>
                <w:rFonts w:cs="Arial"/>
                <w:sz w:val="20"/>
                <w:szCs w:val="20"/>
                <w:lang w:val="en-AU"/>
              </w:rPr>
              <w:t>ayment</w:t>
            </w:r>
            <w:r w:rsidRPr="008D1918">
              <w:rPr>
                <w:rFonts w:cs="Arial"/>
                <w:sz w:val="20"/>
                <w:szCs w:val="20"/>
                <w:lang w:val="en-AU"/>
              </w:rPr>
              <w:t xml:space="preserve"> per registered provider</w:t>
            </w:r>
          </w:p>
        </w:tc>
        <w:tc>
          <w:tcPr>
            <w:tcW w:w="1704" w:type="dxa"/>
            <w:vAlign w:val="center"/>
            <w:hideMark/>
          </w:tcPr>
          <w:p w:rsidRPr="008D1918" w:rsidR="000E3523" w:rsidP="004809A1" w:rsidRDefault="000E3523" w14:paraId="7E312E04" w14:textId="67AD0FD8">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AU" w:eastAsia="en-AU"/>
              </w:rPr>
            </w:pPr>
            <w:r w:rsidRPr="008D1918">
              <w:rPr>
                <w:rFonts w:cs="Arial"/>
                <w:sz w:val="20"/>
                <w:szCs w:val="20"/>
                <w:lang w:val="en-AU"/>
              </w:rPr>
              <w:t xml:space="preserve">Share of </w:t>
            </w:r>
            <w:r w:rsidRPr="008D1918" w:rsidR="003662B2">
              <w:rPr>
                <w:rFonts w:cs="Arial"/>
                <w:sz w:val="20"/>
                <w:szCs w:val="20"/>
                <w:lang w:val="en-AU"/>
              </w:rPr>
              <w:t>t</w:t>
            </w:r>
            <w:r w:rsidRPr="008D1918">
              <w:rPr>
                <w:rFonts w:cs="Arial"/>
                <w:sz w:val="20"/>
                <w:szCs w:val="20"/>
                <w:lang w:val="en-AU"/>
              </w:rPr>
              <w:t>otal registered payment</w:t>
            </w:r>
          </w:p>
        </w:tc>
      </w:tr>
      <w:tr w:rsidRPr="008D1918" w:rsidR="00173A73" w:rsidTr="00E81803" w14:paraId="57D2AF0D"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E81803" w:rsidRDefault="000E3523" w14:paraId="2B7099FC" w14:textId="7C4F4A49">
            <w:pPr>
              <w:keepNext/>
              <w:spacing w:before="60" w:after="60"/>
              <w:rPr>
                <w:rFonts w:cs="Arial"/>
                <w:bCs w:val="0"/>
                <w:sz w:val="20"/>
                <w:szCs w:val="20"/>
                <w:lang w:val="en-AU" w:eastAsia="en-AU"/>
              </w:rPr>
            </w:pPr>
            <w:r w:rsidRPr="008D1918">
              <w:rPr>
                <w:rFonts w:cs="Arial"/>
                <w:sz w:val="20"/>
                <w:szCs w:val="20"/>
                <w:lang w:val="en-AU" w:eastAsia="en-AU"/>
              </w:rPr>
              <w:t>1</w:t>
            </w:r>
          </w:p>
        </w:tc>
        <w:tc>
          <w:tcPr>
            <w:tcW w:w="1531" w:type="dxa"/>
            <w:vAlign w:val="center"/>
            <w:hideMark/>
          </w:tcPr>
          <w:p w:rsidRPr="008D1918" w:rsidR="000E3523" w:rsidP="00F7000A" w:rsidRDefault="000E3523" w14:paraId="19D01B89" w14:textId="0A77B38E">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1,431</w:t>
            </w:r>
          </w:p>
        </w:tc>
        <w:tc>
          <w:tcPr>
            <w:tcW w:w="1871" w:type="dxa"/>
            <w:vAlign w:val="center"/>
            <w:hideMark/>
          </w:tcPr>
          <w:p w:rsidRPr="008D1918" w:rsidR="000E3523" w:rsidP="00F7000A" w:rsidRDefault="000E3523" w14:paraId="5FBD1914"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$2</w:t>
            </w:r>
          </w:p>
        </w:tc>
        <w:tc>
          <w:tcPr>
            <w:tcW w:w="1644" w:type="dxa"/>
            <w:vAlign w:val="center"/>
            <w:hideMark/>
          </w:tcPr>
          <w:p w:rsidRPr="008D1918" w:rsidR="000E3523" w:rsidP="00F7000A" w:rsidRDefault="000E3523" w14:paraId="74780AF3"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$1,700</w:t>
            </w:r>
          </w:p>
        </w:tc>
        <w:tc>
          <w:tcPr>
            <w:tcW w:w="1704" w:type="dxa"/>
            <w:vAlign w:val="center"/>
            <w:hideMark/>
          </w:tcPr>
          <w:p w:rsidRPr="008D1918" w:rsidR="000E3523" w:rsidP="00F7000A" w:rsidRDefault="000E3523" w14:paraId="3C4901B1"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0%</w:t>
            </w:r>
          </w:p>
        </w:tc>
      </w:tr>
      <w:tr w:rsidRPr="008D1918" w:rsidR="000E3523" w:rsidTr="00E81803" w14:paraId="098BA3BA"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E81803" w:rsidRDefault="000E3523" w14:paraId="48927810" w14:textId="08E1C4F0">
            <w:pPr>
              <w:keepNext/>
              <w:spacing w:before="60" w:after="60"/>
              <w:rPr>
                <w:rFonts w:cs="Arial"/>
                <w:bCs w:val="0"/>
                <w:sz w:val="20"/>
                <w:szCs w:val="20"/>
                <w:lang w:val="en-AU" w:eastAsia="en-AU"/>
              </w:rPr>
            </w:pPr>
            <w:r w:rsidRPr="008D1918">
              <w:rPr>
                <w:rFonts w:cs="Arial"/>
                <w:sz w:val="20"/>
                <w:szCs w:val="20"/>
                <w:lang w:val="en-AU" w:eastAsia="en-AU"/>
              </w:rPr>
              <w:t>2</w:t>
            </w:r>
          </w:p>
        </w:tc>
        <w:tc>
          <w:tcPr>
            <w:tcW w:w="1531" w:type="dxa"/>
            <w:vAlign w:val="center"/>
            <w:hideMark/>
          </w:tcPr>
          <w:p w:rsidRPr="008D1918" w:rsidR="000E3523" w:rsidP="00F7000A" w:rsidRDefault="000E3523" w14:paraId="3614DEB2" w14:textId="2D30050F">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562</w:t>
            </w:r>
          </w:p>
        </w:tc>
        <w:tc>
          <w:tcPr>
            <w:tcW w:w="1871" w:type="dxa"/>
            <w:vAlign w:val="center"/>
            <w:hideMark/>
          </w:tcPr>
          <w:p w:rsidRPr="008D1918" w:rsidR="000E3523" w:rsidP="00F7000A" w:rsidRDefault="000E3523" w14:paraId="59B0272F"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$3</w:t>
            </w:r>
          </w:p>
        </w:tc>
        <w:tc>
          <w:tcPr>
            <w:tcW w:w="1644" w:type="dxa"/>
            <w:vAlign w:val="center"/>
            <w:hideMark/>
          </w:tcPr>
          <w:p w:rsidRPr="008D1918" w:rsidR="000E3523" w:rsidP="00F7000A" w:rsidRDefault="000E3523" w14:paraId="55DC0BB7"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$4,600</w:t>
            </w:r>
          </w:p>
        </w:tc>
        <w:tc>
          <w:tcPr>
            <w:tcW w:w="1704" w:type="dxa"/>
            <w:vAlign w:val="center"/>
            <w:hideMark/>
          </w:tcPr>
          <w:p w:rsidRPr="008D1918" w:rsidR="000E3523" w:rsidP="00F7000A" w:rsidRDefault="000E3523" w14:paraId="75BA5CEB"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color w:val="000000"/>
                <w:sz w:val="20"/>
                <w:szCs w:val="20"/>
                <w:lang w:val="en-AU"/>
              </w:rPr>
              <w:t>0%</w:t>
            </w:r>
          </w:p>
        </w:tc>
      </w:tr>
      <w:tr w:rsidRPr="008D1918" w:rsidR="00173A73" w:rsidTr="00E81803" w14:paraId="6D4C34D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E81803" w:rsidRDefault="000E3523" w14:paraId="4D14CFE4" w14:textId="584CECC0">
            <w:pPr>
              <w:keepNext/>
              <w:spacing w:before="60" w:after="60"/>
              <w:rPr>
                <w:rFonts w:cs="Arial"/>
                <w:bCs w:val="0"/>
                <w:sz w:val="20"/>
                <w:szCs w:val="20"/>
                <w:lang w:val="en-AU" w:eastAsia="en-AU"/>
              </w:rPr>
            </w:pPr>
            <w:r w:rsidRPr="008D1918">
              <w:rPr>
                <w:rFonts w:cs="Arial"/>
                <w:sz w:val="20"/>
                <w:szCs w:val="20"/>
                <w:lang w:val="en-AU" w:eastAsia="en-AU"/>
              </w:rPr>
              <w:t>3</w:t>
            </w:r>
          </w:p>
        </w:tc>
        <w:tc>
          <w:tcPr>
            <w:tcW w:w="1531" w:type="dxa"/>
            <w:vAlign w:val="center"/>
            <w:hideMark/>
          </w:tcPr>
          <w:p w:rsidRPr="008D1918" w:rsidR="000E3523" w:rsidP="00F7000A" w:rsidRDefault="000E3523" w14:paraId="327835F2" w14:textId="263EEC50">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340</w:t>
            </w:r>
          </w:p>
        </w:tc>
        <w:tc>
          <w:tcPr>
            <w:tcW w:w="1871" w:type="dxa"/>
            <w:vAlign w:val="center"/>
            <w:hideMark/>
          </w:tcPr>
          <w:p w:rsidRPr="008D1918" w:rsidR="000E3523" w:rsidP="00F7000A" w:rsidRDefault="000E3523" w14:paraId="48BA4FC4"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$2</w:t>
            </w:r>
          </w:p>
        </w:tc>
        <w:tc>
          <w:tcPr>
            <w:tcW w:w="1644" w:type="dxa"/>
            <w:vAlign w:val="center"/>
            <w:hideMark/>
          </w:tcPr>
          <w:p w:rsidRPr="008D1918" w:rsidR="000E3523" w:rsidP="00F7000A" w:rsidRDefault="000E3523" w14:paraId="2E92FDA7"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$7,300</w:t>
            </w:r>
          </w:p>
        </w:tc>
        <w:tc>
          <w:tcPr>
            <w:tcW w:w="1704" w:type="dxa"/>
            <w:vAlign w:val="center"/>
            <w:hideMark/>
          </w:tcPr>
          <w:p w:rsidRPr="008D1918" w:rsidR="000E3523" w:rsidP="00F7000A" w:rsidRDefault="000E3523" w14:paraId="5819B546"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0%</w:t>
            </w:r>
          </w:p>
        </w:tc>
      </w:tr>
      <w:tr w:rsidRPr="008D1918" w:rsidR="000E3523" w:rsidTr="00E81803" w14:paraId="78554933"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E81803" w:rsidRDefault="000E3523" w14:paraId="1F930F78" w14:textId="1A23591E">
            <w:pPr>
              <w:keepNext/>
              <w:spacing w:before="60" w:after="60"/>
              <w:rPr>
                <w:rFonts w:cs="Arial"/>
                <w:bCs w:val="0"/>
                <w:sz w:val="20"/>
                <w:szCs w:val="20"/>
                <w:lang w:val="en-AU" w:eastAsia="en-AU"/>
              </w:rPr>
            </w:pPr>
            <w:r w:rsidRPr="008D1918">
              <w:rPr>
                <w:rFonts w:cs="Arial"/>
                <w:sz w:val="20"/>
                <w:szCs w:val="20"/>
                <w:lang w:val="en-AU" w:eastAsia="en-AU"/>
              </w:rPr>
              <w:t>4</w:t>
            </w:r>
          </w:p>
        </w:tc>
        <w:tc>
          <w:tcPr>
            <w:tcW w:w="1531" w:type="dxa"/>
            <w:vAlign w:val="center"/>
            <w:hideMark/>
          </w:tcPr>
          <w:p w:rsidRPr="008D1918" w:rsidR="000E3523" w:rsidP="00F7000A" w:rsidRDefault="000E3523" w14:paraId="67C52477" w14:textId="56FC8710">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283</w:t>
            </w:r>
          </w:p>
        </w:tc>
        <w:tc>
          <w:tcPr>
            <w:tcW w:w="1871" w:type="dxa"/>
            <w:vAlign w:val="center"/>
            <w:hideMark/>
          </w:tcPr>
          <w:p w:rsidRPr="008D1918" w:rsidR="000E3523" w:rsidP="00F7000A" w:rsidRDefault="000E3523" w14:paraId="1114DA13"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$3</w:t>
            </w:r>
          </w:p>
        </w:tc>
        <w:tc>
          <w:tcPr>
            <w:tcW w:w="1644" w:type="dxa"/>
            <w:vAlign w:val="center"/>
            <w:hideMark/>
          </w:tcPr>
          <w:p w:rsidRPr="008D1918" w:rsidR="000E3523" w:rsidP="00F7000A" w:rsidRDefault="000E3523" w14:paraId="67FED381"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$10,100</w:t>
            </w:r>
          </w:p>
        </w:tc>
        <w:tc>
          <w:tcPr>
            <w:tcW w:w="1704" w:type="dxa"/>
            <w:vAlign w:val="center"/>
            <w:hideMark/>
          </w:tcPr>
          <w:p w:rsidRPr="008D1918" w:rsidR="000E3523" w:rsidP="00F7000A" w:rsidRDefault="000E3523" w14:paraId="3604FC71"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color w:val="000000"/>
                <w:sz w:val="20"/>
                <w:szCs w:val="20"/>
                <w:lang w:val="en-AU"/>
              </w:rPr>
              <w:t>0%</w:t>
            </w:r>
          </w:p>
        </w:tc>
      </w:tr>
      <w:tr w:rsidRPr="008D1918" w:rsidR="00173A73" w:rsidTr="00E81803" w14:paraId="1B84392D"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E81803" w:rsidRDefault="000E3523" w14:paraId="7AE614AC" w14:textId="591EA5CB">
            <w:pPr>
              <w:keepNext/>
              <w:spacing w:before="60" w:after="60"/>
              <w:rPr>
                <w:rFonts w:cs="Arial"/>
                <w:bCs w:val="0"/>
                <w:sz w:val="20"/>
                <w:szCs w:val="20"/>
                <w:lang w:val="en-AU" w:eastAsia="en-AU"/>
              </w:rPr>
            </w:pPr>
            <w:r w:rsidRPr="008D1918">
              <w:rPr>
                <w:rFonts w:cs="Arial"/>
                <w:sz w:val="20"/>
                <w:szCs w:val="20"/>
                <w:lang w:val="en-AU" w:eastAsia="en-AU"/>
              </w:rPr>
              <w:t>5</w:t>
            </w:r>
          </w:p>
        </w:tc>
        <w:tc>
          <w:tcPr>
            <w:tcW w:w="1531" w:type="dxa"/>
            <w:vAlign w:val="center"/>
            <w:hideMark/>
          </w:tcPr>
          <w:p w:rsidRPr="008D1918" w:rsidR="000E3523" w:rsidP="00F7000A" w:rsidRDefault="000E3523" w14:paraId="67B40118" w14:textId="30D64E06">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219</w:t>
            </w:r>
          </w:p>
        </w:tc>
        <w:tc>
          <w:tcPr>
            <w:tcW w:w="1871" w:type="dxa"/>
            <w:vAlign w:val="center"/>
            <w:hideMark/>
          </w:tcPr>
          <w:p w:rsidRPr="008D1918" w:rsidR="000E3523" w:rsidP="00F7000A" w:rsidRDefault="000E3523" w14:paraId="7F9AE43C"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$2</w:t>
            </w:r>
          </w:p>
        </w:tc>
        <w:tc>
          <w:tcPr>
            <w:tcW w:w="1644" w:type="dxa"/>
            <w:vAlign w:val="center"/>
            <w:hideMark/>
          </w:tcPr>
          <w:p w:rsidRPr="008D1918" w:rsidR="000E3523" w:rsidP="00F7000A" w:rsidRDefault="000E3523" w14:paraId="7432CEED"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$10,900</w:t>
            </w:r>
          </w:p>
        </w:tc>
        <w:tc>
          <w:tcPr>
            <w:tcW w:w="1704" w:type="dxa"/>
            <w:vAlign w:val="center"/>
            <w:hideMark/>
          </w:tcPr>
          <w:p w:rsidRPr="008D1918" w:rsidR="000E3523" w:rsidP="00F7000A" w:rsidRDefault="000E3523" w14:paraId="5C39411F"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0%</w:t>
            </w:r>
          </w:p>
        </w:tc>
      </w:tr>
      <w:tr w:rsidRPr="008D1918" w:rsidR="000E3523" w:rsidTr="00E81803" w14:paraId="0F870297"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E81803" w:rsidRDefault="000E3523" w14:paraId="3A9230F0" w14:textId="07CB4B0B">
            <w:pPr>
              <w:keepNext/>
              <w:spacing w:before="60" w:after="60"/>
              <w:rPr>
                <w:rFonts w:cs="Arial"/>
                <w:bCs w:val="0"/>
                <w:sz w:val="20"/>
                <w:szCs w:val="20"/>
                <w:lang w:val="en-AU" w:eastAsia="en-AU"/>
              </w:rPr>
            </w:pPr>
            <w:r w:rsidRPr="008D1918">
              <w:rPr>
                <w:rFonts w:cs="Arial"/>
                <w:sz w:val="20"/>
                <w:szCs w:val="20"/>
                <w:lang w:val="en-AU" w:eastAsia="en-AU"/>
              </w:rPr>
              <w:t>6–10</w:t>
            </w:r>
          </w:p>
        </w:tc>
        <w:tc>
          <w:tcPr>
            <w:tcW w:w="1531" w:type="dxa"/>
            <w:vAlign w:val="center"/>
            <w:hideMark/>
          </w:tcPr>
          <w:p w:rsidRPr="008D1918" w:rsidR="000E3523" w:rsidP="00F7000A" w:rsidRDefault="000E3523" w14:paraId="156C4CDE" w14:textId="287C1486">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721</w:t>
            </w:r>
          </w:p>
        </w:tc>
        <w:tc>
          <w:tcPr>
            <w:tcW w:w="1871" w:type="dxa"/>
            <w:vAlign w:val="center"/>
            <w:hideMark/>
          </w:tcPr>
          <w:p w:rsidRPr="008D1918" w:rsidR="000E3523" w:rsidP="00F7000A" w:rsidRDefault="000E3523" w14:paraId="76CDA6C7"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$14</w:t>
            </w:r>
          </w:p>
        </w:tc>
        <w:tc>
          <w:tcPr>
            <w:tcW w:w="1644" w:type="dxa"/>
            <w:vAlign w:val="center"/>
            <w:hideMark/>
          </w:tcPr>
          <w:p w:rsidRPr="008D1918" w:rsidR="000E3523" w:rsidP="00F7000A" w:rsidRDefault="000E3523" w14:paraId="4A842118"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$20,100</w:t>
            </w:r>
          </w:p>
        </w:tc>
        <w:tc>
          <w:tcPr>
            <w:tcW w:w="1704" w:type="dxa"/>
            <w:vAlign w:val="center"/>
            <w:hideMark/>
          </w:tcPr>
          <w:p w:rsidRPr="008D1918" w:rsidR="000E3523" w:rsidP="00F7000A" w:rsidRDefault="000E3523" w14:paraId="49F678D9"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color w:val="000000"/>
                <w:sz w:val="20"/>
                <w:szCs w:val="20"/>
                <w:lang w:val="en-AU"/>
              </w:rPr>
              <w:t>1%</w:t>
            </w:r>
          </w:p>
        </w:tc>
      </w:tr>
      <w:tr w:rsidRPr="008D1918" w:rsidR="00173A73" w:rsidTr="00E81803" w14:paraId="01AC431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E81803" w:rsidRDefault="000E3523" w14:paraId="497B0198" w14:textId="1D0AA6DC">
            <w:pPr>
              <w:keepNext/>
              <w:spacing w:before="60" w:after="60"/>
              <w:rPr>
                <w:rFonts w:cs="Arial"/>
                <w:bCs w:val="0"/>
                <w:sz w:val="20"/>
                <w:szCs w:val="20"/>
                <w:lang w:val="en-AU" w:eastAsia="en-AU"/>
              </w:rPr>
            </w:pPr>
            <w:r w:rsidRPr="008D1918">
              <w:rPr>
                <w:rFonts w:cs="Arial"/>
                <w:sz w:val="20"/>
                <w:szCs w:val="20"/>
                <w:lang w:val="en-AU" w:eastAsia="en-AU"/>
              </w:rPr>
              <w:t>11–50</w:t>
            </w:r>
          </w:p>
        </w:tc>
        <w:tc>
          <w:tcPr>
            <w:tcW w:w="1531" w:type="dxa"/>
            <w:vAlign w:val="center"/>
            <w:hideMark/>
          </w:tcPr>
          <w:p w:rsidRPr="008D1918" w:rsidR="000E3523" w:rsidP="00F7000A" w:rsidRDefault="000E3523" w14:paraId="0EF8FA8A" w14:textId="3B2C1213">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1,948</w:t>
            </w:r>
          </w:p>
        </w:tc>
        <w:tc>
          <w:tcPr>
            <w:tcW w:w="1871" w:type="dxa"/>
            <w:vAlign w:val="center"/>
            <w:hideMark/>
          </w:tcPr>
          <w:p w:rsidRPr="008D1918" w:rsidR="000E3523" w:rsidP="00F7000A" w:rsidRDefault="000E3523" w14:paraId="00B03D34"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$139</w:t>
            </w:r>
          </w:p>
        </w:tc>
        <w:tc>
          <w:tcPr>
            <w:tcW w:w="1644" w:type="dxa"/>
            <w:vAlign w:val="center"/>
            <w:hideMark/>
          </w:tcPr>
          <w:p w:rsidRPr="008D1918" w:rsidR="000E3523" w:rsidP="00F7000A" w:rsidRDefault="000E3523" w14:paraId="0428A8CB"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$71,300</w:t>
            </w:r>
          </w:p>
        </w:tc>
        <w:tc>
          <w:tcPr>
            <w:tcW w:w="1704" w:type="dxa"/>
            <w:vAlign w:val="center"/>
            <w:hideMark/>
          </w:tcPr>
          <w:p w:rsidRPr="008D1918" w:rsidR="000E3523" w:rsidP="00F7000A" w:rsidRDefault="000E3523" w14:paraId="26E0305E"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8%</w:t>
            </w:r>
          </w:p>
        </w:tc>
      </w:tr>
      <w:tr w:rsidRPr="008D1918" w:rsidR="000E3523" w:rsidTr="00E81803" w14:paraId="13F12A01"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E81803" w:rsidRDefault="000E3523" w14:paraId="4896F26E" w14:textId="3CB012CD">
            <w:pPr>
              <w:keepNext/>
              <w:spacing w:before="60" w:after="60"/>
              <w:rPr>
                <w:rFonts w:cs="Arial"/>
                <w:bCs w:val="0"/>
                <w:sz w:val="20"/>
                <w:szCs w:val="20"/>
                <w:lang w:val="en-AU" w:eastAsia="en-AU"/>
              </w:rPr>
            </w:pPr>
            <w:r w:rsidRPr="008D1918">
              <w:rPr>
                <w:rFonts w:cs="Arial"/>
                <w:sz w:val="20"/>
                <w:szCs w:val="20"/>
                <w:lang w:val="en-AU" w:eastAsia="en-AU"/>
              </w:rPr>
              <w:t>51–100</w:t>
            </w:r>
          </w:p>
        </w:tc>
        <w:tc>
          <w:tcPr>
            <w:tcW w:w="1531" w:type="dxa"/>
            <w:vAlign w:val="center"/>
            <w:hideMark/>
          </w:tcPr>
          <w:p w:rsidRPr="008D1918" w:rsidR="000E3523" w:rsidP="00F7000A" w:rsidRDefault="000E3523" w14:paraId="61DF4E13" w14:textId="24BE41FD">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701</w:t>
            </w:r>
          </w:p>
        </w:tc>
        <w:tc>
          <w:tcPr>
            <w:tcW w:w="1871" w:type="dxa"/>
            <w:vAlign w:val="center"/>
            <w:hideMark/>
          </w:tcPr>
          <w:p w:rsidRPr="008D1918" w:rsidR="000E3523" w:rsidP="00F7000A" w:rsidRDefault="000E3523" w14:paraId="4EC31B79"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$153</w:t>
            </w:r>
          </w:p>
        </w:tc>
        <w:tc>
          <w:tcPr>
            <w:tcW w:w="1644" w:type="dxa"/>
            <w:vAlign w:val="center"/>
            <w:hideMark/>
          </w:tcPr>
          <w:p w:rsidRPr="008D1918" w:rsidR="000E3523" w:rsidP="00F7000A" w:rsidRDefault="000E3523" w14:paraId="2E01D25D"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$0.22m</w:t>
            </w:r>
          </w:p>
        </w:tc>
        <w:tc>
          <w:tcPr>
            <w:tcW w:w="1704" w:type="dxa"/>
            <w:vAlign w:val="center"/>
            <w:hideMark/>
          </w:tcPr>
          <w:p w:rsidRPr="008D1918" w:rsidR="000E3523" w:rsidP="00F7000A" w:rsidRDefault="000E3523" w14:paraId="16F018B9"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color w:val="000000"/>
                <w:sz w:val="20"/>
                <w:szCs w:val="20"/>
                <w:lang w:val="en-AU"/>
              </w:rPr>
              <w:t>9%</w:t>
            </w:r>
          </w:p>
        </w:tc>
      </w:tr>
      <w:tr w:rsidRPr="008D1918" w:rsidR="00173A73" w:rsidTr="00E81803" w14:paraId="31DFD80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E81803" w:rsidRDefault="000E3523" w14:paraId="25E53611" w14:textId="49CE03E3">
            <w:pPr>
              <w:keepNext/>
              <w:spacing w:before="60" w:after="60"/>
              <w:rPr>
                <w:rFonts w:cs="Arial"/>
                <w:bCs w:val="0"/>
                <w:sz w:val="20"/>
                <w:szCs w:val="20"/>
                <w:lang w:val="en-AU" w:eastAsia="en-AU"/>
              </w:rPr>
            </w:pPr>
            <w:r w:rsidRPr="008D1918">
              <w:rPr>
                <w:rFonts w:cs="Arial"/>
                <w:sz w:val="20"/>
                <w:szCs w:val="20"/>
                <w:lang w:val="en-AU" w:eastAsia="en-AU"/>
              </w:rPr>
              <w:t>101–250</w:t>
            </w:r>
          </w:p>
        </w:tc>
        <w:tc>
          <w:tcPr>
            <w:tcW w:w="1531" w:type="dxa"/>
            <w:vAlign w:val="center"/>
            <w:hideMark/>
          </w:tcPr>
          <w:p w:rsidRPr="008D1918" w:rsidR="000E3523" w:rsidP="00F7000A" w:rsidRDefault="000E3523" w14:paraId="6557EB83" w14:textId="31F64DA5">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645</w:t>
            </w:r>
          </w:p>
        </w:tc>
        <w:tc>
          <w:tcPr>
            <w:tcW w:w="1871" w:type="dxa"/>
            <w:vAlign w:val="center"/>
            <w:hideMark/>
          </w:tcPr>
          <w:p w:rsidRPr="008D1918" w:rsidR="000E3523" w:rsidP="00F7000A" w:rsidRDefault="000E3523" w14:paraId="78F2E969"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$310</w:t>
            </w:r>
          </w:p>
        </w:tc>
        <w:tc>
          <w:tcPr>
            <w:tcW w:w="1644" w:type="dxa"/>
            <w:vAlign w:val="center"/>
            <w:hideMark/>
          </w:tcPr>
          <w:p w:rsidRPr="008D1918" w:rsidR="000E3523" w:rsidP="00F7000A" w:rsidRDefault="000E3523" w14:paraId="19F165C5"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$0.48m</w:t>
            </w:r>
          </w:p>
        </w:tc>
        <w:tc>
          <w:tcPr>
            <w:tcW w:w="1704" w:type="dxa"/>
            <w:vAlign w:val="center"/>
            <w:hideMark/>
          </w:tcPr>
          <w:p w:rsidRPr="008D1918" w:rsidR="000E3523" w:rsidP="00F7000A" w:rsidRDefault="000E3523" w14:paraId="5CD9FD86"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19%</w:t>
            </w:r>
          </w:p>
        </w:tc>
      </w:tr>
      <w:tr w:rsidRPr="008D1918" w:rsidR="000E3523" w:rsidTr="00E81803" w14:paraId="3B756551"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E81803" w:rsidRDefault="000E3523" w14:paraId="736FFA15" w14:textId="7F77E4E4">
            <w:pPr>
              <w:keepNext/>
              <w:spacing w:before="60" w:after="60"/>
              <w:rPr>
                <w:rFonts w:cs="Arial"/>
                <w:bCs w:val="0"/>
                <w:sz w:val="20"/>
                <w:szCs w:val="20"/>
                <w:lang w:val="en-AU" w:eastAsia="en-AU"/>
              </w:rPr>
            </w:pPr>
            <w:r w:rsidRPr="008D1918">
              <w:rPr>
                <w:rFonts w:cs="Arial"/>
                <w:sz w:val="20"/>
                <w:szCs w:val="20"/>
                <w:lang w:val="en-AU" w:eastAsia="en-AU"/>
              </w:rPr>
              <w:t>251–1000</w:t>
            </w:r>
          </w:p>
        </w:tc>
        <w:tc>
          <w:tcPr>
            <w:tcW w:w="1531" w:type="dxa"/>
            <w:vAlign w:val="center"/>
            <w:hideMark/>
          </w:tcPr>
          <w:p w:rsidRPr="008D1918" w:rsidR="000E3523" w:rsidP="00F7000A" w:rsidRDefault="000E3523" w14:paraId="29D9DA89" w14:textId="510D7866">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372</w:t>
            </w:r>
          </w:p>
        </w:tc>
        <w:tc>
          <w:tcPr>
            <w:tcW w:w="1871" w:type="dxa"/>
            <w:vAlign w:val="center"/>
            <w:hideMark/>
          </w:tcPr>
          <w:p w:rsidRPr="008D1918" w:rsidR="000E3523" w:rsidP="00F7000A" w:rsidRDefault="000E3523" w14:paraId="25A18A9E"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$494</w:t>
            </w:r>
          </w:p>
        </w:tc>
        <w:tc>
          <w:tcPr>
            <w:tcW w:w="1644" w:type="dxa"/>
            <w:vAlign w:val="center"/>
            <w:hideMark/>
          </w:tcPr>
          <w:p w:rsidRPr="008D1918" w:rsidR="000E3523" w:rsidP="00F7000A" w:rsidRDefault="000E3523" w14:paraId="414FA8DD"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sz w:val="20"/>
                <w:szCs w:val="20"/>
                <w:lang w:val="en-AU"/>
              </w:rPr>
              <w:t>$1.33m</w:t>
            </w:r>
          </w:p>
        </w:tc>
        <w:tc>
          <w:tcPr>
            <w:tcW w:w="1704" w:type="dxa"/>
            <w:vAlign w:val="center"/>
            <w:hideMark/>
          </w:tcPr>
          <w:p w:rsidRPr="008D1918" w:rsidR="000E3523" w:rsidP="00F7000A" w:rsidRDefault="000E3523" w14:paraId="280DFB7B"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Cs/>
                <w:sz w:val="20"/>
                <w:szCs w:val="20"/>
                <w:lang w:val="en-AU" w:eastAsia="en-AU"/>
              </w:rPr>
            </w:pPr>
            <w:r w:rsidRPr="008D1918">
              <w:rPr>
                <w:rFonts w:cs="Arial"/>
                <w:color w:val="000000"/>
                <w:sz w:val="20"/>
                <w:szCs w:val="20"/>
                <w:lang w:val="en-AU"/>
              </w:rPr>
              <w:t>30%</w:t>
            </w:r>
          </w:p>
        </w:tc>
      </w:tr>
      <w:tr w:rsidRPr="008D1918" w:rsidR="00173A73" w:rsidTr="00E81803" w14:paraId="77542EC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E81803" w:rsidRDefault="000E3523" w14:paraId="21BCA0C8" w14:textId="3594FF55">
            <w:pPr>
              <w:keepNext/>
              <w:spacing w:before="60" w:after="60"/>
              <w:rPr>
                <w:rFonts w:cs="Arial"/>
                <w:bCs w:val="0"/>
                <w:sz w:val="20"/>
                <w:szCs w:val="20"/>
                <w:lang w:val="en-AU" w:eastAsia="en-AU"/>
              </w:rPr>
            </w:pPr>
            <w:r w:rsidRPr="008D1918">
              <w:rPr>
                <w:rFonts w:cs="Arial"/>
                <w:sz w:val="20"/>
                <w:szCs w:val="20"/>
                <w:lang w:val="en-AU" w:eastAsia="en-AU"/>
              </w:rPr>
              <w:t>1000+</w:t>
            </w:r>
          </w:p>
        </w:tc>
        <w:tc>
          <w:tcPr>
            <w:tcW w:w="1531" w:type="dxa"/>
            <w:vAlign w:val="center"/>
            <w:hideMark/>
          </w:tcPr>
          <w:p w:rsidRPr="008D1918" w:rsidR="000E3523" w:rsidP="00F7000A" w:rsidRDefault="000E3523" w14:paraId="5C70CFA7" w14:textId="0CD0C982">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52</w:t>
            </w:r>
          </w:p>
        </w:tc>
        <w:tc>
          <w:tcPr>
            <w:tcW w:w="1871" w:type="dxa"/>
            <w:vAlign w:val="center"/>
            <w:hideMark/>
          </w:tcPr>
          <w:p w:rsidRPr="008D1918" w:rsidR="000E3523" w:rsidP="00F7000A" w:rsidRDefault="000E3523" w14:paraId="6EDB1FF1"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$515</w:t>
            </w:r>
          </w:p>
        </w:tc>
        <w:tc>
          <w:tcPr>
            <w:tcW w:w="1644" w:type="dxa"/>
            <w:vAlign w:val="center"/>
            <w:hideMark/>
          </w:tcPr>
          <w:p w:rsidRPr="008D1918" w:rsidR="000E3523" w:rsidP="00F7000A" w:rsidRDefault="000E3523" w14:paraId="67655E6E"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$9.90m</w:t>
            </w:r>
          </w:p>
        </w:tc>
        <w:tc>
          <w:tcPr>
            <w:tcW w:w="1704" w:type="dxa"/>
            <w:vAlign w:val="center"/>
            <w:hideMark/>
          </w:tcPr>
          <w:p w:rsidRPr="008D1918" w:rsidR="000E3523" w:rsidP="00F7000A" w:rsidRDefault="000E3523" w14:paraId="36E481CC"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Arial"/>
                <w:bCs/>
                <w:sz w:val="20"/>
                <w:szCs w:val="20"/>
                <w:lang w:val="en-AU" w:eastAsia="en-AU"/>
              </w:rPr>
            </w:pPr>
            <w:r w:rsidRPr="008D1918">
              <w:rPr>
                <w:rFonts w:cs="Arial"/>
                <w:sz w:val="20"/>
                <w:szCs w:val="20"/>
                <w:lang w:val="en-AU"/>
              </w:rPr>
              <w:t>31%</w:t>
            </w:r>
          </w:p>
        </w:tc>
      </w:tr>
      <w:tr w:rsidRPr="008D1918" w:rsidR="000E3523" w:rsidTr="00E81803" w14:paraId="1735C9A5"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E81803" w:rsidRDefault="000E3523" w14:paraId="73943115" w14:textId="30142723">
            <w:pPr>
              <w:keepNext/>
              <w:spacing w:before="60" w:after="60"/>
              <w:rPr>
                <w:rFonts w:cs="Arial"/>
                <w:bCs w:val="0"/>
                <w:sz w:val="20"/>
                <w:szCs w:val="20"/>
                <w:lang w:val="en-AU" w:eastAsia="en-AU"/>
              </w:rPr>
            </w:pPr>
            <w:r w:rsidRPr="008D1918">
              <w:rPr>
                <w:rFonts w:cs="Arial"/>
                <w:b/>
                <w:sz w:val="20"/>
                <w:szCs w:val="20"/>
                <w:lang w:val="en-AU" w:eastAsia="en-AU"/>
              </w:rPr>
              <w:t>Overall</w:t>
            </w:r>
          </w:p>
        </w:tc>
        <w:tc>
          <w:tcPr>
            <w:tcW w:w="1531" w:type="dxa"/>
            <w:vAlign w:val="center"/>
            <w:hideMark/>
          </w:tcPr>
          <w:p w:rsidRPr="008D1918" w:rsidR="000E3523" w:rsidP="00F7000A" w:rsidRDefault="000E3523" w14:paraId="172BDEE7" w14:textId="40CF3BA5">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
                <w:bCs/>
                <w:sz w:val="20"/>
                <w:szCs w:val="20"/>
                <w:lang w:val="en-AU" w:eastAsia="en-AU"/>
              </w:rPr>
            </w:pPr>
            <w:r w:rsidRPr="008D1918">
              <w:rPr>
                <w:rFonts w:cs="Arial"/>
                <w:b/>
                <w:bCs/>
                <w:sz w:val="20"/>
                <w:szCs w:val="20"/>
                <w:lang w:val="en-AU"/>
              </w:rPr>
              <w:t>7,274</w:t>
            </w:r>
          </w:p>
        </w:tc>
        <w:tc>
          <w:tcPr>
            <w:tcW w:w="1871" w:type="dxa"/>
            <w:vAlign w:val="center"/>
            <w:hideMark/>
          </w:tcPr>
          <w:p w:rsidRPr="008D1918" w:rsidR="000E3523" w:rsidP="00F7000A" w:rsidRDefault="000E3523" w14:paraId="09130988"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
                <w:bCs/>
                <w:sz w:val="20"/>
                <w:szCs w:val="20"/>
                <w:lang w:val="en-AU" w:eastAsia="en-AU"/>
              </w:rPr>
            </w:pPr>
            <w:r w:rsidRPr="008D1918">
              <w:rPr>
                <w:rFonts w:cs="Arial"/>
                <w:b/>
                <w:bCs/>
                <w:sz w:val="20"/>
                <w:szCs w:val="20"/>
                <w:lang w:val="en-AU"/>
              </w:rPr>
              <w:t>$1,638</w:t>
            </w:r>
          </w:p>
        </w:tc>
        <w:tc>
          <w:tcPr>
            <w:tcW w:w="1644" w:type="dxa"/>
            <w:vAlign w:val="center"/>
            <w:hideMark/>
          </w:tcPr>
          <w:p w:rsidRPr="008D1918" w:rsidR="000E3523" w:rsidP="00F7000A" w:rsidRDefault="000E3523" w14:paraId="3A615011"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
                <w:bCs/>
                <w:sz w:val="20"/>
                <w:szCs w:val="20"/>
                <w:lang w:val="en-AU" w:eastAsia="en-AU"/>
              </w:rPr>
            </w:pPr>
            <w:r w:rsidRPr="008D1918">
              <w:rPr>
                <w:rFonts w:cs="Arial"/>
                <w:b/>
                <w:bCs/>
                <w:sz w:val="20"/>
                <w:szCs w:val="20"/>
                <w:lang w:val="en-AU"/>
              </w:rPr>
              <w:t>$225,100</w:t>
            </w:r>
          </w:p>
        </w:tc>
        <w:tc>
          <w:tcPr>
            <w:tcW w:w="1704" w:type="dxa"/>
            <w:vAlign w:val="center"/>
            <w:hideMark/>
          </w:tcPr>
          <w:p w:rsidRPr="008D1918" w:rsidR="000E3523" w:rsidP="00F7000A" w:rsidRDefault="000E3523" w14:paraId="424975B7" w14:textId="12E9515D">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Arial"/>
                <w:b/>
                <w:bCs/>
                <w:sz w:val="20"/>
                <w:szCs w:val="20"/>
                <w:lang w:val="en-AU" w:eastAsia="en-AU"/>
              </w:rPr>
            </w:pPr>
            <w:r w:rsidRPr="008D1918">
              <w:rPr>
                <w:rFonts w:cs="Arial"/>
                <w:b/>
                <w:bCs/>
                <w:color w:val="000000"/>
                <w:sz w:val="20"/>
                <w:szCs w:val="20"/>
                <w:lang w:val="en-AU"/>
              </w:rPr>
              <w:t>100%</w:t>
            </w:r>
          </w:p>
        </w:tc>
      </w:tr>
    </w:tbl>
    <w:p w:rsidRPr="008D1918" w:rsidR="000E3523" w:rsidRDefault="000E3523" w14:paraId="05858275" w14:textId="6B3FD267">
      <w:pPr>
        <w:keepNext/>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0E3523" w:rsidP="002B66D6" w:rsidRDefault="007F2827" w14:paraId="6DEA68DD" w14:textId="3F0D6E66">
      <w:pPr>
        <w:spacing w:before="120" w:after="360" w:line="240" w:lineRule="atLeast"/>
        <w:rPr>
          <w:rFonts w:eastAsia="DengXian" w:cs="Calibri"/>
          <w:sz w:val="20"/>
          <w:szCs w:val="20"/>
          <w:lang w:val="en-AU"/>
        </w:rPr>
      </w:pPr>
      <w:r w:rsidRPr="008D1918">
        <w:rPr>
          <w:rFonts w:cs="Calibri"/>
          <w:sz w:val="20"/>
          <w:szCs w:val="18"/>
          <w:lang w:val="en-AU" w:eastAsia="en-AU"/>
        </w:rPr>
        <w:t xml:space="preserve">Note: Numbers may not add to 100% due to rounding. </w:t>
      </w:r>
      <w:r w:rsidRPr="008D1918" w:rsidR="000E3523">
        <w:rPr>
          <w:rFonts w:cs="Calibri"/>
          <w:sz w:val="20"/>
          <w:szCs w:val="18"/>
          <w:lang w:val="en-AU" w:eastAsia="en-AU"/>
        </w:rPr>
        <w:t>Average revenue is rounded up to the nearest hundred.</w:t>
      </w:r>
    </w:p>
    <w:p w:rsidRPr="008D1918" w:rsidR="000E3523" w:rsidP="006A62B8" w:rsidRDefault="006A62B8" w14:paraId="54C5E67D" w14:textId="269A68AC">
      <w:pPr>
        <w:pStyle w:val="Caption"/>
        <w:rPr>
          <w:rFonts w:cs="Arial"/>
          <w:i w:val="0"/>
          <w:color w:val="6B2876" w:themeColor="accent5"/>
          <w:lang w:eastAsia="en-AU"/>
        </w:rPr>
      </w:pPr>
      <w:bookmarkStart w:name="_Ref223690483" w:id="983"/>
      <w:r w:rsidRPr="008D1918">
        <w:t xml:space="preserve">Table </w:t>
      </w:r>
      <w:r>
        <w:fldChar w:fldCharType="begin"/>
      </w:r>
      <w:r>
        <w:instrText>SEQ Table \* ARABIC</w:instrText>
      </w:r>
      <w:r>
        <w:fldChar w:fldCharType="separate"/>
      </w:r>
      <w:r w:rsidR="008F56A2">
        <w:rPr>
          <w:noProof/>
        </w:rPr>
        <w:t>22</w:t>
      </w:r>
      <w:r>
        <w:fldChar w:fldCharType="end"/>
      </w:r>
      <w:bookmarkEnd w:id="983"/>
      <w:r w:rsidRPr="008D1918" w:rsidR="000E3523">
        <w:rPr>
          <w:rFonts w:cs="Arial"/>
          <w:color w:val="6B2876" w:themeColor="accent5"/>
          <w:lang w:eastAsia="en-AU"/>
        </w:rPr>
        <w:t>: Statistics on the size of providers for therapy supports</w:t>
      </w:r>
      <w:r w:rsidRPr="008D1918" w:rsidR="007518D8">
        <w:rPr>
          <w:rFonts w:cs="Arial"/>
          <w:color w:val="6B2876" w:themeColor="accent5"/>
          <w:lang w:eastAsia="en-AU"/>
        </w:rPr>
        <w:t xml:space="preserve"> – unregistered providers only</w:t>
      </w:r>
      <w:r w:rsidRPr="008D1918" w:rsidR="000E3523">
        <w:rPr>
          <w:rFonts w:cs="Arial"/>
          <w:color w:val="6B2876" w:themeColor="accent5"/>
          <w:lang w:eastAsia="en-AU"/>
        </w:rPr>
        <w:t>, July to December 2025</w:t>
      </w:r>
    </w:p>
    <w:tbl>
      <w:tblPr>
        <w:tblStyle w:val="GridTable4-Accent121"/>
        <w:tblW w:w="0" w:type="auto"/>
        <w:tblInd w:w="-12" w:type="dxa"/>
        <w:tblLayout w:type="fixed"/>
        <w:tblLook w:val="04A0" w:firstRow="1" w:lastRow="0" w:firstColumn="1" w:lastColumn="0" w:noHBand="0" w:noVBand="1"/>
        <w:tblCaption w:val="Price limits for Support Coordination Supports"/>
      </w:tblPr>
      <w:tblGrid>
        <w:gridCol w:w="2041"/>
        <w:gridCol w:w="1531"/>
        <w:gridCol w:w="1871"/>
        <w:gridCol w:w="1644"/>
        <w:gridCol w:w="1701"/>
      </w:tblGrid>
      <w:tr w:rsidRPr="008D1918" w:rsidR="00173A73" w:rsidTr="00881CEC" w14:paraId="61C35D5B" w14:textId="77777777">
        <w:trPr>
          <w:cnfStyle w:val="100000000000" w:firstRow="1" w:lastRow="0" w:firstColumn="0" w:lastColumn="0" w:oddVBand="0" w:evenVBand="0" w:oddHBand="0" w:evenHBand="0" w:firstRowFirstColumn="0" w:firstRowLastColumn="0" w:lastRowFirstColumn="0" w:lastRowLastColumn="0"/>
          <w:trHeight w:val="555"/>
          <w:tblHeader/>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4809A1" w:rsidRDefault="000E3523" w14:paraId="47281B28" w14:textId="57E965C3">
            <w:pPr>
              <w:keepNext/>
              <w:spacing w:before="60" w:after="60"/>
              <w:rPr>
                <w:rFonts w:cs="Calibri"/>
                <w:b w:val="0"/>
                <w:bCs w:val="0"/>
                <w:sz w:val="20"/>
                <w:szCs w:val="20"/>
                <w:lang w:val="en-AU" w:eastAsia="en-AU"/>
              </w:rPr>
            </w:pPr>
            <w:r w:rsidRPr="008D1918">
              <w:rPr>
                <w:sz w:val="20"/>
                <w:szCs w:val="20"/>
                <w:lang w:val="en-AU"/>
              </w:rPr>
              <w:t xml:space="preserve">Size of </w:t>
            </w:r>
            <w:r w:rsidRPr="008D1918" w:rsidR="003662B2">
              <w:rPr>
                <w:sz w:val="20"/>
                <w:szCs w:val="20"/>
                <w:lang w:val="en-AU"/>
              </w:rPr>
              <w:t>p</w:t>
            </w:r>
            <w:r w:rsidRPr="008D1918">
              <w:rPr>
                <w:sz w:val="20"/>
                <w:szCs w:val="20"/>
                <w:lang w:val="en-AU"/>
              </w:rPr>
              <w:t>rovider (number of participants supported)</w:t>
            </w:r>
          </w:p>
        </w:tc>
        <w:tc>
          <w:tcPr>
            <w:tcW w:w="1531" w:type="dxa"/>
            <w:vAlign w:val="center"/>
            <w:hideMark/>
          </w:tcPr>
          <w:p w:rsidRPr="008D1918" w:rsidR="000E3523" w:rsidP="004809A1" w:rsidRDefault="000E3523" w14:paraId="68A6ADE3" w14:textId="14873B51">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b w:val="0"/>
                <w:bCs w:val="0"/>
                <w:sz w:val="20"/>
                <w:szCs w:val="20"/>
                <w:lang w:val="en-AU" w:eastAsia="en-AU"/>
              </w:rPr>
            </w:pPr>
            <w:r w:rsidRPr="008D1918">
              <w:rPr>
                <w:sz w:val="20"/>
                <w:szCs w:val="20"/>
                <w:lang w:val="en-AU"/>
              </w:rPr>
              <w:t xml:space="preserve">Unregistered </w:t>
            </w:r>
            <w:r w:rsidRPr="008D1918" w:rsidR="003662B2">
              <w:rPr>
                <w:sz w:val="20"/>
                <w:szCs w:val="20"/>
                <w:lang w:val="en-AU"/>
              </w:rPr>
              <w:t>p</w:t>
            </w:r>
            <w:r w:rsidRPr="008D1918">
              <w:rPr>
                <w:sz w:val="20"/>
                <w:szCs w:val="20"/>
                <w:lang w:val="en-AU"/>
              </w:rPr>
              <w:t>rovider count</w:t>
            </w:r>
          </w:p>
        </w:tc>
        <w:tc>
          <w:tcPr>
            <w:tcW w:w="1871" w:type="dxa"/>
            <w:vAlign w:val="center"/>
            <w:hideMark/>
          </w:tcPr>
          <w:p w:rsidRPr="008D1918" w:rsidR="00E03D9B" w:rsidP="004809A1" w:rsidRDefault="000E3523" w14:paraId="24E380D6" w14:textId="6F45B30A">
            <w:pPr>
              <w:keepNext/>
              <w:spacing w:before="60" w:after="0"/>
              <w:jc w:val="right"/>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AU"/>
              </w:rPr>
            </w:pPr>
            <w:r w:rsidRPr="008D1918">
              <w:rPr>
                <w:sz w:val="20"/>
                <w:szCs w:val="20"/>
                <w:lang w:val="en-AU"/>
              </w:rPr>
              <w:t xml:space="preserve">Total </w:t>
            </w:r>
            <w:r w:rsidRPr="008D1918" w:rsidR="003662B2">
              <w:rPr>
                <w:rFonts w:cs="Arial"/>
                <w:sz w:val="20"/>
                <w:szCs w:val="20"/>
                <w:lang w:val="en-AU"/>
              </w:rPr>
              <w:t>p</w:t>
            </w:r>
            <w:r w:rsidRPr="008D1918" w:rsidR="00E03D9B">
              <w:rPr>
                <w:rFonts w:cs="Arial"/>
                <w:sz w:val="20"/>
                <w:szCs w:val="20"/>
                <w:lang w:val="en-AU"/>
              </w:rPr>
              <w:t>ayment</w:t>
            </w:r>
            <w:r w:rsidRPr="008D1918">
              <w:rPr>
                <w:sz w:val="20"/>
                <w:szCs w:val="20"/>
                <w:lang w:val="en-AU"/>
              </w:rPr>
              <w:t xml:space="preserve"> to </w:t>
            </w:r>
            <w:r w:rsidRPr="008D1918" w:rsidR="00E03D9B">
              <w:rPr>
                <w:rFonts w:cs="Arial"/>
                <w:sz w:val="20"/>
                <w:szCs w:val="20"/>
                <w:lang w:val="en-AU"/>
              </w:rPr>
              <w:t>registered</w:t>
            </w:r>
            <w:r w:rsidRPr="008D1918">
              <w:rPr>
                <w:sz w:val="20"/>
                <w:szCs w:val="20"/>
                <w:lang w:val="en-AU"/>
              </w:rPr>
              <w:t xml:space="preserve"> provider</w:t>
            </w:r>
          </w:p>
          <w:p w:rsidRPr="008D1918" w:rsidR="000E3523" w:rsidP="004809A1" w:rsidRDefault="000E3523" w14:paraId="5D69CDEE" w14:textId="6A75BCF4">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b w:val="0"/>
                <w:bCs w:val="0"/>
                <w:sz w:val="20"/>
                <w:szCs w:val="20"/>
                <w:lang w:val="en-AU" w:eastAsia="en-AU"/>
              </w:rPr>
            </w:pPr>
            <w:r w:rsidRPr="008D1918">
              <w:rPr>
                <w:sz w:val="20"/>
                <w:szCs w:val="20"/>
                <w:lang w:val="en-AU"/>
              </w:rPr>
              <w:t>(million)</w:t>
            </w:r>
          </w:p>
        </w:tc>
        <w:tc>
          <w:tcPr>
            <w:tcW w:w="1644" w:type="dxa"/>
            <w:vAlign w:val="center"/>
            <w:hideMark/>
          </w:tcPr>
          <w:p w:rsidRPr="008D1918" w:rsidR="000E3523" w:rsidP="004809A1" w:rsidRDefault="000E3523" w14:paraId="3F0E15F4" w14:textId="0DA3AFE5">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b w:val="0"/>
                <w:bCs w:val="0"/>
                <w:sz w:val="20"/>
                <w:szCs w:val="20"/>
                <w:lang w:val="en-AU" w:eastAsia="en-AU"/>
              </w:rPr>
            </w:pPr>
            <w:r w:rsidRPr="008D1918">
              <w:rPr>
                <w:sz w:val="20"/>
                <w:szCs w:val="20"/>
                <w:lang w:val="en-AU"/>
              </w:rPr>
              <w:t xml:space="preserve">Average </w:t>
            </w:r>
            <w:r w:rsidRPr="008D1918" w:rsidR="003662B2">
              <w:rPr>
                <w:sz w:val="20"/>
                <w:szCs w:val="20"/>
                <w:lang w:val="en-AU"/>
              </w:rPr>
              <w:t>p</w:t>
            </w:r>
            <w:r w:rsidRPr="008D1918" w:rsidR="009306B6">
              <w:rPr>
                <w:sz w:val="20"/>
                <w:szCs w:val="20"/>
                <w:lang w:val="en-AU"/>
              </w:rPr>
              <w:t>ayment</w:t>
            </w:r>
            <w:r w:rsidRPr="008D1918">
              <w:rPr>
                <w:sz w:val="20"/>
                <w:szCs w:val="20"/>
                <w:lang w:val="en-AU"/>
              </w:rPr>
              <w:t xml:space="preserve"> per unregistered provider</w:t>
            </w:r>
          </w:p>
        </w:tc>
        <w:tc>
          <w:tcPr>
            <w:tcW w:w="1701" w:type="dxa"/>
            <w:vAlign w:val="center"/>
            <w:hideMark/>
          </w:tcPr>
          <w:p w:rsidRPr="008D1918" w:rsidR="000E3523" w:rsidP="004809A1" w:rsidRDefault="000E3523" w14:paraId="1A6CFA19" w14:textId="66D9E58F">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b w:val="0"/>
                <w:bCs w:val="0"/>
                <w:sz w:val="20"/>
                <w:szCs w:val="20"/>
                <w:lang w:val="en-AU" w:eastAsia="en-AU"/>
              </w:rPr>
            </w:pPr>
            <w:r w:rsidRPr="008D1918">
              <w:rPr>
                <w:sz w:val="20"/>
                <w:szCs w:val="20"/>
                <w:lang w:val="en-AU"/>
              </w:rPr>
              <w:t xml:space="preserve">Share of </w:t>
            </w:r>
            <w:r w:rsidRPr="008D1918" w:rsidR="003662B2">
              <w:rPr>
                <w:sz w:val="20"/>
                <w:szCs w:val="20"/>
                <w:lang w:val="en-AU"/>
              </w:rPr>
              <w:t>t</w:t>
            </w:r>
            <w:r w:rsidRPr="008D1918">
              <w:rPr>
                <w:sz w:val="20"/>
                <w:szCs w:val="20"/>
                <w:lang w:val="en-AU"/>
              </w:rPr>
              <w:t>otal unregistered payment</w:t>
            </w:r>
          </w:p>
        </w:tc>
      </w:tr>
      <w:tr w:rsidRPr="008D1918" w:rsidR="00173A73" w:rsidTr="009306B6" w14:paraId="15B85D5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306B6" w:rsidRDefault="000E3523" w14:paraId="1EE168D1" w14:textId="77777777">
            <w:pPr>
              <w:keepNext/>
              <w:spacing w:before="60" w:after="60"/>
              <w:rPr>
                <w:rFonts w:cs="Calibri"/>
                <w:sz w:val="20"/>
                <w:szCs w:val="20"/>
                <w:lang w:val="en-AU" w:eastAsia="en-AU"/>
              </w:rPr>
            </w:pPr>
            <w:r w:rsidRPr="008D1918">
              <w:rPr>
                <w:sz w:val="20"/>
                <w:szCs w:val="20"/>
                <w:lang w:val="en-AU"/>
              </w:rPr>
              <w:t>1</w:t>
            </w:r>
          </w:p>
        </w:tc>
        <w:tc>
          <w:tcPr>
            <w:tcW w:w="1531" w:type="dxa"/>
            <w:vAlign w:val="center"/>
            <w:hideMark/>
          </w:tcPr>
          <w:p w:rsidRPr="008D1918" w:rsidR="000E3523" w:rsidP="00F7000A" w:rsidRDefault="000E3523" w14:paraId="487EDDF6" w14:textId="6FE377F4">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16,275</w:t>
            </w:r>
          </w:p>
        </w:tc>
        <w:tc>
          <w:tcPr>
            <w:tcW w:w="1871" w:type="dxa"/>
            <w:vAlign w:val="center"/>
            <w:hideMark/>
          </w:tcPr>
          <w:p w:rsidRPr="008D1918" w:rsidR="000E3523" w:rsidP="00F7000A" w:rsidRDefault="000E3523" w14:paraId="4615FD82"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$27</w:t>
            </w:r>
          </w:p>
        </w:tc>
        <w:tc>
          <w:tcPr>
            <w:tcW w:w="1644" w:type="dxa"/>
            <w:vAlign w:val="center"/>
            <w:hideMark/>
          </w:tcPr>
          <w:p w:rsidRPr="008D1918" w:rsidR="000E3523" w:rsidP="00F7000A" w:rsidRDefault="000E3523" w14:paraId="54AB4795"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$1,700</w:t>
            </w:r>
          </w:p>
        </w:tc>
        <w:tc>
          <w:tcPr>
            <w:tcW w:w="1701" w:type="dxa"/>
            <w:vAlign w:val="center"/>
            <w:hideMark/>
          </w:tcPr>
          <w:p w:rsidRPr="008D1918" w:rsidR="000E3523" w:rsidP="00F7000A" w:rsidRDefault="000E3523" w14:paraId="49E5F36C"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3%</w:t>
            </w:r>
          </w:p>
        </w:tc>
      </w:tr>
      <w:tr w:rsidRPr="008D1918" w:rsidR="000E3523" w:rsidTr="009306B6" w14:paraId="631A2583"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306B6" w:rsidRDefault="000E3523" w14:paraId="5CE183AF" w14:textId="77777777">
            <w:pPr>
              <w:keepNext/>
              <w:spacing w:before="60" w:after="60"/>
              <w:rPr>
                <w:rFonts w:cs="Calibri"/>
                <w:sz w:val="20"/>
                <w:szCs w:val="20"/>
                <w:lang w:val="en-AU" w:eastAsia="en-AU"/>
              </w:rPr>
            </w:pPr>
            <w:r w:rsidRPr="008D1918">
              <w:rPr>
                <w:sz w:val="20"/>
                <w:szCs w:val="20"/>
                <w:lang w:val="en-AU"/>
              </w:rPr>
              <w:t>2</w:t>
            </w:r>
          </w:p>
        </w:tc>
        <w:tc>
          <w:tcPr>
            <w:tcW w:w="1531" w:type="dxa"/>
            <w:vAlign w:val="center"/>
            <w:hideMark/>
          </w:tcPr>
          <w:p w:rsidRPr="008D1918" w:rsidR="000E3523" w:rsidP="00F7000A" w:rsidRDefault="000E3523" w14:paraId="5285A970" w14:textId="047DBCF0">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5,847</w:t>
            </w:r>
          </w:p>
        </w:tc>
        <w:tc>
          <w:tcPr>
            <w:tcW w:w="1871" w:type="dxa"/>
            <w:vAlign w:val="center"/>
            <w:hideMark/>
          </w:tcPr>
          <w:p w:rsidRPr="008D1918" w:rsidR="000E3523" w:rsidP="00F7000A" w:rsidRDefault="000E3523" w14:paraId="6CC217DC"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$22</w:t>
            </w:r>
          </w:p>
        </w:tc>
        <w:tc>
          <w:tcPr>
            <w:tcW w:w="1644" w:type="dxa"/>
            <w:vAlign w:val="center"/>
            <w:hideMark/>
          </w:tcPr>
          <w:p w:rsidRPr="008D1918" w:rsidR="000E3523" w:rsidP="00F7000A" w:rsidRDefault="000E3523" w14:paraId="6D1A3B85"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$3,700</w:t>
            </w:r>
          </w:p>
        </w:tc>
        <w:tc>
          <w:tcPr>
            <w:tcW w:w="1701" w:type="dxa"/>
            <w:vAlign w:val="center"/>
            <w:hideMark/>
          </w:tcPr>
          <w:p w:rsidRPr="008D1918" w:rsidR="000E3523" w:rsidP="00F7000A" w:rsidRDefault="000E3523" w14:paraId="226A4D09"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2%</w:t>
            </w:r>
          </w:p>
        </w:tc>
      </w:tr>
      <w:tr w:rsidRPr="008D1918" w:rsidR="00173A73" w:rsidTr="009306B6" w14:paraId="0BEE59A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306B6" w:rsidRDefault="000E3523" w14:paraId="7D1E0B39" w14:textId="77777777">
            <w:pPr>
              <w:keepNext/>
              <w:spacing w:before="60" w:after="60"/>
              <w:rPr>
                <w:rFonts w:cs="Calibri"/>
                <w:sz w:val="20"/>
                <w:szCs w:val="20"/>
                <w:lang w:val="en-AU" w:eastAsia="en-AU"/>
              </w:rPr>
            </w:pPr>
            <w:r w:rsidRPr="008D1918">
              <w:rPr>
                <w:sz w:val="20"/>
                <w:szCs w:val="20"/>
                <w:lang w:val="en-AU"/>
              </w:rPr>
              <w:t>3</w:t>
            </w:r>
          </w:p>
        </w:tc>
        <w:tc>
          <w:tcPr>
            <w:tcW w:w="1531" w:type="dxa"/>
            <w:vAlign w:val="center"/>
            <w:hideMark/>
          </w:tcPr>
          <w:p w:rsidRPr="008D1918" w:rsidR="000E3523" w:rsidP="00F7000A" w:rsidRDefault="000E3523" w14:paraId="04A1747C" w14:textId="66C5E8E0">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3,533</w:t>
            </w:r>
          </w:p>
        </w:tc>
        <w:tc>
          <w:tcPr>
            <w:tcW w:w="1871" w:type="dxa"/>
            <w:vAlign w:val="center"/>
            <w:hideMark/>
          </w:tcPr>
          <w:p w:rsidRPr="008D1918" w:rsidR="000E3523" w:rsidP="00F7000A" w:rsidRDefault="000E3523" w14:paraId="40FE6661"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$20</w:t>
            </w:r>
          </w:p>
        </w:tc>
        <w:tc>
          <w:tcPr>
            <w:tcW w:w="1644" w:type="dxa"/>
            <w:vAlign w:val="center"/>
            <w:hideMark/>
          </w:tcPr>
          <w:p w:rsidRPr="008D1918" w:rsidR="000E3523" w:rsidP="00F7000A" w:rsidRDefault="000E3523" w14:paraId="7AAA6CF4"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$5,700</w:t>
            </w:r>
          </w:p>
        </w:tc>
        <w:tc>
          <w:tcPr>
            <w:tcW w:w="1701" w:type="dxa"/>
            <w:vAlign w:val="center"/>
            <w:hideMark/>
          </w:tcPr>
          <w:p w:rsidRPr="008D1918" w:rsidR="000E3523" w:rsidP="00F7000A" w:rsidRDefault="000E3523" w14:paraId="7722C50C"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2%</w:t>
            </w:r>
          </w:p>
        </w:tc>
      </w:tr>
      <w:tr w:rsidRPr="008D1918" w:rsidR="000E3523" w:rsidTr="009306B6" w14:paraId="261E662F"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306B6" w:rsidRDefault="000E3523" w14:paraId="51F2B5C9" w14:textId="77777777">
            <w:pPr>
              <w:keepNext/>
              <w:spacing w:before="60" w:after="60"/>
              <w:rPr>
                <w:rFonts w:cs="Calibri"/>
                <w:sz w:val="20"/>
                <w:szCs w:val="20"/>
                <w:lang w:val="en-AU" w:eastAsia="en-AU"/>
              </w:rPr>
            </w:pPr>
            <w:r w:rsidRPr="008D1918">
              <w:rPr>
                <w:sz w:val="20"/>
                <w:szCs w:val="20"/>
                <w:lang w:val="en-AU"/>
              </w:rPr>
              <w:t>4</w:t>
            </w:r>
          </w:p>
        </w:tc>
        <w:tc>
          <w:tcPr>
            <w:tcW w:w="1531" w:type="dxa"/>
            <w:vAlign w:val="center"/>
            <w:hideMark/>
          </w:tcPr>
          <w:p w:rsidRPr="008D1918" w:rsidR="000E3523" w:rsidP="00F7000A" w:rsidRDefault="000E3523" w14:paraId="6734B07E" w14:textId="5183C13A">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2,497</w:t>
            </w:r>
          </w:p>
        </w:tc>
        <w:tc>
          <w:tcPr>
            <w:tcW w:w="1871" w:type="dxa"/>
            <w:vAlign w:val="center"/>
            <w:hideMark/>
          </w:tcPr>
          <w:p w:rsidRPr="008D1918" w:rsidR="000E3523" w:rsidP="00F7000A" w:rsidRDefault="000E3523" w14:paraId="6B63AEC2"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$19</w:t>
            </w:r>
          </w:p>
        </w:tc>
        <w:tc>
          <w:tcPr>
            <w:tcW w:w="1644" w:type="dxa"/>
            <w:vAlign w:val="center"/>
            <w:hideMark/>
          </w:tcPr>
          <w:p w:rsidRPr="008D1918" w:rsidR="000E3523" w:rsidP="00F7000A" w:rsidRDefault="000E3523" w14:paraId="6A343246"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$7,500</w:t>
            </w:r>
          </w:p>
        </w:tc>
        <w:tc>
          <w:tcPr>
            <w:tcW w:w="1701" w:type="dxa"/>
            <w:vAlign w:val="center"/>
            <w:hideMark/>
          </w:tcPr>
          <w:p w:rsidRPr="008D1918" w:rsidR="000E3523" w:rsidP="00F7000A" w:rsidRDefault="000E3523" w14:paraId="6F79938C"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2%</w:t>
            </w:r>
          </w:p>
        </w:tc>
      </w:tr>
      <w:tr w:rsidRPr="008D1918" w:rsidR="00173A73" w:rsidTr="009306B6" w14:paraId="4FA7CA43"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306B6" w:rsidRDefault="000E3523" w14:paraId="7742EA85" w14:textId="77777777">
            <w:pPr>
              <w:keepNext/>
              <w:spacing w:before="60" w:after="60"/>
              <w:rPr>
                <w:rFonts w:cs="Calibri"/>
                <w:sz w:val="20"/>
                <w:szCs w:val="20"/>
                <w:lang w:val="en-AU" w:eastAsia="en-AU"/>
              </w:rPr>
            </w:pPr>
            <w:r w:rsidRPr="008D1918">
              <w:rPr>
                <w:sz w:val="20"/>
                <w:szCs w:val="20"/>
                <w:lang w:val="en-AU"/>
              </w:rPr>
              <w:t>5</w:t>
            </w:r>
          </w:p>
        </w:tc>
        <w:tc>
          <w:tcPr>
            <w:tcW w:w="1531" w:type="dxa"/>
            <w:vAlign w:val="center"/>
            <w:hideMark/>
          </w:tcPr>
          <w:p w:rsidRPr="008D1918" w:rsidR="000E3523" w:rsidP="00F7000A" w:rsidRDefault="000E3523" w14:paraId="5D2BDB2A" w14:textId="46989E78">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1,930</w:t>
            </w:r>
          </w:p>
        </w:tc>
        <w:tc>
          <w:tcPr>
            <w:tcW w:w="1871" w:type="dxa"/>
            <w:vAlign w:val="center"/>
            <w:hideMark/>
          </w:tcPr>
          <w:p w:rsidRPr="008D1918" w:rsidR="000E3523" w:rsidP="00F7000A" w:rsidRDefault="000E3523" w14:paraId="7683B4FE"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$18</w:t>
            </w:r>
          </w:p>
        </w:tc>
        <w:tc>
          <w:tcPr>
            <w:tcW w:w="1644" w:type="dxa"/>
            <w:vAlign w:val="center"/>
            <w:hideMark/>
          </w:tcPr>
          <w:p w:rsidRPr="008D1918" w:rsidR="000E3523" w:rsidP="00F7000A" w:rsidRDefault="000E3523" w14:paraId="35C37334"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$9,400</w:t>
            </w:r>
          </w:p>
        </w:tc>
        <w:tc>
          <w:tcPr>
            <w:tcW w:w="1701" w:type="dxa"/>
            <w:vAlign w:val="center"/>
            <w:hideMark/>
          </w:tcPr>
          <w:p w:rsidRPr="008D1918" w:rsidR="000E3523" w:rsidP="00F7000A" w:rsidRDefault="000E3523" w14:paraId="26276058"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2%</w:t>
            </w:r>
          </w:p>
        </w:tc>
      </w:tr>
      <w:tr w:rsidRPr="008D1918" w:rsidR="000E3523" w:rsidTr="009306B6" w14:paraId="52E27653"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306B6" w:rsidRDefault="000E3523" w14:paraId="73075251" w14:textId="77777777">
            <w:pPr>
              <w:keepNext/>
              <w:spacing w:before="60" w:after="60"/>
              <w:rPr>
                <w:rFonts w:cs="Calibri"/>
                <w:sz w:val="20"/>
                <w:szCs w:val="20"/>
                <w:lang w:val="en-AU" w:eastAsia="en-AU"/>
              </w:rPr>
            </w:pPr>
            <w:r w:rsidRPr="008D1918">
              <w:rPr>
                <w:sz w:val="20"/>
                <w:szCs w:val="20"/>
                <w:lang w:val="en-AU"/>
              </w:rPr>
              <w:t>6</w:t>
            </w:r>
            <w:r w:rsidRPr="008D1918">
              <w:rPr>
                <w:rFonts w:cs="Arial"/>
                <w:sz w:val="20"/>
                <w:szCs w:val="20"/>
                <w:lang w:val="en-AU"/>
              </w:rPr>
              <w:t>–</w:t>
            </w:r>
            <w:r w:rsidRPr="008D1918">
              <w:rPr>
                <w:sz w:val="20"/>
                <w:szCs w:val="20"/>
                <w:lang w:val="en-AU"/>
              </w:rPr>
              <w:t>10</w:t>
            </w:r>
          </w:p>
        </w:tc>
        <w:tc>
          <w:tcPr>
            <w:tcW w:w="1531" w:type="dxa"/>
            <w:vAlign w:val="center"/>
            <w:hideMark/>
          </w:tcPr>
          <w:p w:rsidRPr="008D1918" w:rsidR="000E3523" w:rsidP="00F7000A" w:rsidRDefault="000E3523" w14:paraId="7AEDCF6E" w14:textId="6804379C">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5,671</w:t>
            </w:r>
          </w:p>
        </w:tc>
        <w:tc>
          <w:tcPr>
            <w:tcW w:w="1871" w:type="dxa"/>
            <w:vAlign w:val="center"/>
            <w:hideMark/>
          </w:tcPr>
          <w:p w:rsidRPr="008D1918" w:rsidR="000E3523" w:rsidP="00F7000A" w:rsidRDefault="000E3523" w14:paraId="103B9F48"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$85</w:t>
            </w:r>
          </w:p>
        </w:tc>
        <w:tc>
          <w:tcPr>
            <w:tcW w:w="1644" w:type="dxa"/>
            <w:vAlign w:val="center"/>
            <w:hideMark/>
          </w:tcPr>
          <w:p w:rsidRPr="008D1918" w:rsidR="000E3523" w:rsidP="00F7000A" w:rsidRDefault="000E3523" w14:paraId="5A5A4B6C"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$15,000</w:t>
            </w:r>
          </w:p>
        </w:tc>
        <w:tc>
          <w:tcPr>
            <w:tcW w:w="1701" w:type="dxa"/>
            <w:vAlign w:val="center"/>
            <w:hideMark/>
          </w:tcPr>
          <w:p w:rsidRPr="008D1918" w:rsidR="000E3523" w:rsidP="00F7000A" w:rsidRDefault="000E3523" w14:paraId="550C45E6"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8%</w:t>
            </w:r>
          </w:p>
        </w:tc>
      </w:tr>
      <w:tr w:rsidRPr="008D1918" w:rsidR="00173A73" w:rsidTr="009306B6" w14:paraId="31E95D3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306B6" w:rsidRDefault="000E3523" w14:paraId="54E22BF6" w14:textId="77777777">
            <w:pPr>
              <w:keepNext/>
              <w:spacing w:before="60" w:after="60"/>
              <w:rPr>
                <w:rFonts w:cs="Calibri"/>
                <w:sz w:val="20"/>
                <w:szCs w:val="20"/>
                <w:lang w:val="en-AU" w:eastAsia="en-AU"/>
              </w:rPr>
            </w:pPr>
            <w:r w:rsidRPr="008D1918">
              <w:rPr>
                <w:sz w:val="20"/>
                <w:szCs w:val="20"/>
                <w:lang w:val="en-AU"/>
              </w:rPr>
              <w:t>11</w:t>
            </w:r>
            <w:r w:rsidRPr="008D1918">
              <w:rPr>
                <w:rFonts w:cs="Arial"/>
                <w:sz w:val="20"/>
                <w:szCs w:val="20"/>
                <w:lang w:val="en-AU"/>
              </w:rPr>
              <w:t>–</w:t>
            </w:r>
            <w:r w:rsidRPr="008D1918">
              <w:rPr>
                <w:sz w:val="20"/>
                <w:szCs w:val="20"/>
                <w:lang w:val="en-AU"/>
              </w:rPr>
              <w:t>50</w:t>
            </w:r>
          </w:p>
        </w:tc>
        <w:tc>
          <w:tcPr>
            <w:tcW w:w="1531" w:type="dxa"/>
            <w:vAlign w:val="center"/>
            <w:hideMark/>
          </w:tcPr>
          <w:p w:rsidRPr="008D1918" w:rsidR="000E3523" w:rsidP="00F7000A" w:rsidRDefault="000E3523" w14:paraId="03BD6618" w14:textId="04D64998">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8,822</w:t>
            </w:r>
          </w:p>
        </w:tc>
        <w:tc>
          <w:tcPr>
            <w:tcW w:w="1871" w:type="dxa"/>
            <w:vAlign w:val="center"/>
            <w:hideMark/>
          </w:tcPr>
          <w:p w:rsidRPr="008D1918" w:rsidR="000E3523" w:rsidP="00F7000A" w:rsidRDefault="000E3523" w14:paraId="14026583"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$398</w:t>
            </w:r>
          </w:p>
        </w:tc>
        <w:tc>
          <w:tcPr>
            <w:tcW w:w="1644" w:type="dxa"/>
            <w:vAlign w:val="center"/>
            <w:hideMark/>
          </w:tcPr>
          <w:p w:rsidRPr="008D1918" w:rsidR="000E3523" w:rsidP="00F7000A" w:rsidRDefault="000E3523" w14:paraId="3AFD0E4F"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$45,100</w:t>
            </w:r>
          </w:p>
        </w:tc>
        <w:tc>
          <w:tcPr>
            <w:tcW w:w="1701" w:type="dxa"/>
            <w:vAlign w:val="center"/>
            <w:hideMark/>
          </w:tcPr>
          <w:p w:rsidRPr="008D1918" w:rsidR="000E3523" w:rsidP="00F7000A" w:rsidRDefault="000E3523" w14:paraId="191ABDA0"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39%</w:t>
            </w:r>
          </w:p>
        </w:tc>
      </w:tr>
      <w:tr w:rsidRPr="008D1918" w:rsidR="000E3523" w:rsidTr="009306B6" w14:paraId="271DAAE1"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306B6" w:rsidRDefault="000E3523" w14:paraId="60A9183C" w14:textId="77777777">
            <w:pPr>
              <w:keepNext/>
              <w:spacing w:before="60" w:after="60"/>
              <w:rPr>
                <w:rFonts w:cs="Calibri"/>
                <w:sz w:val="20"/>
                <w:szCs w:val="20"/>
                <w:lang w:val="en-AU" w:eastAsia="en-AU"/>
              </w:rPr>
            </w:pPr>
            <w:r w:rsidRPr="008D1918">
              <w:rPr>
                <w:sz w:val="20"/>
                <w:szCs w:val="20"/>
                <w:lang w:val="en-AU"/>
              </w:rPr>
              <w:t>51</w:t>
            </w:r>
            <w:r w:rsidRPr="008D1918">
              <w:rPr>
                <w:rFonts w:cs="Arial"/>
                <w:sz w:val="20"/>
                <w:szCs w:val="20"/>
                <w:lang w:val="en-AU"/>
              </w:rPr>
              <w:t>–</w:t>
            </w:r>
            <w:r w:rsidRPr="008D1918">
              <w:rPr>
                <w:sz w:val="20"/>
                <w:szCs w:val="20"/>
                <w:lang w:val="en-AU"/>
              </w:rPr>
              <w:t>100</w:t>
            </w:r>
          </w:p>
        </w:tc>
        <w:tc>
          <w:tcPr>
            <w:tcW w:w="1531" w:type="dxa"/>
            <w:vAlign w:val="center"/>
            <w:hideMark/>
          </w:tcPr>
          <w:p w:rsidRPr="008D1918" w:rsidR="000E3523" w:rsidP="00F7000A" w:rsidRDefault="000E3523" w14:paraId="5213A42A" w14:textId="2BD2119B">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1,116</w:t>
            </w:r>
          </w:p>
        </w:tc>
        <w:tc>
          <w:tcPr>
            <w:tcW w:w="1871" w:type="dxa"/>
            <w:vAlign w:val="center"/>
            <w:hideMark/>
          </w:tcPr>
          <w:p w:rsidRPr="008D1918" w:rsidR="000E3523" w:rsidP="00F7000A" w:rsidRDefault="000E3523" w14:paraId="568DCE73"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$166</w:t>
            </w:r>
          </w:p>
        </w:tc>
        <w:tc>
          <w:tcPr>
            <w:tcW w:w="1644" w:type="dxa"/>
            <w:vAlign w:val="center"/>
            <w:hideMark/>
          </w:tcPr>
          <w:p w:rsidRPr="008D1918" w:rsidR="000E3523" w:rsidP="00F7000A" w:rsidRDefault="000E3523" w14:paraId="193600E6"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$0.15m</w:t>
            </w:r>
          </w:p>
        </w:tc>
        <w:tc>
          <w:tcPr>
            <w:tcW w:w="1701" w:type="dxa"/>
            <w:vAlign w:val="center"/>
            <w:hideMark/>
          </w:tcPr>
          <w:p w:rsidRPr="008D1918" w:rsidR="000E3523" w:rsidP="00F7000A" w:rsidRDefault="000E3523" w14:paraId="47CD3957"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16%</w:t>
            </w:r>
          </w:p>
        </w:tc>
      </w:tr>
      <w:tr w:rsidRPr="008D1918" w:rsidR="00173A73" w:rsidTr="009306B6" w14:paraId="5ABE316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306B6" w:rsidRDefault="000E3523" w14:paraId="38313F46" w14:textId="77777777">
            <w:pPr>
              <w:keepNext/>
              <w:spacing w:before="60" w:after="60"/>
              <w:rPr>
                <w:rFonts w:cs="Calibri"/>
                <w:sz w:val="20"/>
                <w:szCs w:val="20"/>
                <w:lang w:val="en-AU" w:eastAsia="en-AU"/>
              </w:rPr>
            </w:pPr>
            <w:r w:rsidRPr="008D1918">
              <w:rPr>
                <w:sz w:val="20"/>
                <w:szCs w:val="20"/>
                <w:lang w:val="en-AU"/>
              </w:rPr>
              <w:t>101</w:t>
            </w:r>
            <w:r w:rsidRPr="008D1918">
              <w:rPr>
                <w:rFonts w:cs="Arial"/>
                <w:sz w:val="20"/>
                <w:szCs w:val="20"/>
                <w:lang w:val="en-AU"/>
              </w:rPr>
              <w:t>–</w:t>
            </w:r>
            <w:r w:rsidRPr="008D1918">
              <w:rPr>
                <w:sz w:val="20"/>
                <w:szCs w:val="20"/>
                <w:lang w:val="en-AU"/>
              </w:rPr>
              <w:t>250</w:t>
            </w:r>
          </w:p>
        </w:tc>
        <w:tc>
          <w:tcPr>
            <w:tcW w:w="1531" w:type="dxa"/>
            <w:vAlign w:val="center"/>
            <w:hideMark/>
          </w:tcPr>
          <w:p w:rsidRPr="008D1918" w:rsidR="000E3523" w:rsidP="00F7000A" w:rsidRDefault="000E3523" w14:paraId="5455297C" w14:textId="34FA226E">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547</w:t>
            </w:r>
          </w:p>
        </w:tc>
        <w:tc>
          <w:tcPr>
            <w:tcW w:w="1871" w:type="dxa"/>
            <w:vAlign w:val="center"/>
            <w:hideMark/>
          </w:tcPr>
          <w:p w:rsidRPr="008D1918" w:rsidR="000E3523" w:rsidP="00F7000A" w:rsidRDefault="000E3523" w14:paraId="622557B5"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$183</w:t>
            </w:r>
          </w:p>
        </w:tc>
        <w:tc>
          <w:tcPr>
            <w:tcW w:w="1644" w:type="dxa"/>
            <w:vAlign w:val="center"/>
            <w:hideMark/>
          </w:tcPr>
          <w:p w:rsidRPr="008D1918" w:rsidR="000E3523" w:rsidP="00F7000A" w:rsidRDefault="000E3523" w14:paraId="4DA2968A"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$0.33m</w:t>
            </w:r>
          </w:p>
        </w:tc>
        <w:tc>
          <w:tcPr>
            <w:tcW w:w="1701" w:type="dxa"/>
            <w:vAlign w:val="center"/>
            <w:hideMark/>
          </w:tcPr>
          <w:p w:rsidRPr="008D1918" w:rsidR="000E3523" w:rsidP="00F7000A" w:rsidRDefault="000E3523" w14:paraId="71761987"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18%</w:t>
            </w:r>
          </w:p>
        </w:tc>
      </w:tr>
      <w:tr w:rsidRPr="008D1918" w:rsidR="000E3523" w:rsidTr="009306B6" w14:paraId="415828AC"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306B6" w:rsidRDefault="000E3523" w14:paraId="4D7907EA" w14:textId="77777777">
            <w:pPr>
              <w:keepNext/>
              <w:spacing w:before="60" w:after="60"/>
              <w:rPr>
                <w:rFonts w:cs="Calibri"/>
                <w:sz w:val="20"/>
                <w:szCs w:val="20"/>
                <w:lang w:val="en-AU" w:eastAsia="en-AU"/>
              </w:rPr>
            </w:pPr>
            <w:r w:rsidRPr="008D1918">
              <w:rPr>
                <w:sz w:val="20"/>
                <w:szCs w:val="20"/>
                <w:lang w:val="en-AU"/>
              </w:rPr>
              <w:t>251</w:t>
            </w:r>
            <w:r w:rsidRPr="008D1918">
              <w:rPr>
                <w:rFonts w:cs="Arial"/>
                <w:sz w:val="20"/>
                <w:szCs w:val="20"/>
                <w:lang w:val="en-AU"/>
              </w:rPr>
              <w:t>–</w:t>
            </w:r>
            <w:r w:rsidRPr="008D1918">
              <w:rPr>
                <w:sz w:val="20"/>
                <w:szCs w:val="20"/>
                <w:lang w:val="en-AU"/>
              </w:rPr>
              <w:t>1000</w:t>
            </w:r>
          </w:p>
        </w:tc>
        <w:tc>
          <w:tcPr>
            <w:tcW w:w="1531" w:type="dxa"/>
            <w:vAlign w:val="center"/>
            <w:hideMark/>
          </w:tcPr>
          <w:p w:rsidRPr="008D1918" w:rsidR="000E3523" w:rsidP="00F7000A" w:rsidRDefault="000E3523" w14:paraId="37318642" w14:textId="7B07957F">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91</w:t>
            </w:r>
          </w:p>
        </w:tc>
        <w:tc>
          <w:tcPr>
            <w:tcW w:w="1871" w:type="dxa"/>
            <w:vAlign w:val="center"/>
            <w:hideMark/>
          </w:tcPr>
          <w:p w:rsidRPr="008D1918" w:rsidR="000E3523" w:rsidP="00F7000A" w:rsidRDefault="000E3523" w14:paraId="01F85B30"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$76</w:t>
            </w:r>
          </w:p>
        </w:tc>
        <w:tc>
          <w:tcPr>
            <w:tcW w:w="1644" w:type="dxa"/>
            <w:vAlign w:val="center"/>
            <w:hideMark/>
          </w:tcPr>
          <w:p w:rsidRPr="008D1918" w:rsidR="000E3523" w:rsidP="00F7000A" w:rsidRDefault="000E3523" w14:paraId="2FCEDF4F"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$0.83m</w:t>
            </w:r>
          </w:p>
        </w:tc>
        <w:tc>
          <w:tcPr>
            <w:tcW w:w="1701" w:type="dxa"/>
            <w:vAlign w:val="center"/>
            <w:hideMark/>
          </w:tcPr>
          <w:p w:rsidRPr="008D1918" w:rsidR="000E3523" w:rsidP="00F7000A" w:rsidRDefault="000E3523" w14:paraId="2E59AD3F"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sz w:val="20"/>
                <w:szCs w:val="20"/>
                <w:lang w:val="en-AU" w:eastAsia="en-AU"/>
              </w:rPr>
            </w:pPr>
            <w:r w:rsidRPr="008D1918">
              <w:rPr>
                <w:sz w:val="20"/>
                <w:szCs w:val="20"/>
                <w:lang w:val="en-AU"/>
              </w:rPr>
              <w:t>7%</w:t>
            </w:r>
          </w:p>
        </w:tc>
      </w:tr>
      <w:tr w:rsidRPr="008D1918" w:rsidR="00173A73" w:rsidTr="009306B6" w14:paraId="1F06C99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306B6" w:rsidRDefault="000E3523" w14:paraId="6E1D1FB4" w14:textId="77777777">
            <w:pPr>
              <w:keepNext/>
              <w:spacing w:before="60" w:after="60"/>
              <w:rPr>
                <w:rFonts w:cs="Calibri"/>
                <w:sz w:val="20"/>
                <w:szCs w:val="20"/>
                <w:lang w:val="en-AU" w:eastAsia="en-AU"/>
              </w:rPr>
            </w:pPr>
            <w:r w:rsidRPr="008D1918">
              <w:rPr>
                <w:sz w:val="20"/>
                <w:szCs w:val="20"/>
                <w:lang w:val="en-AU"/>
              </w:rPr>
              <w:t>1000+</w:t>
            </w:r>
          </w:p>
        </w:tc>
        <w:tc>
          <w:tcPr>
            <w:tcW w:w="1531" w:type="dxa"/>
            <w:vAlign w:val="center"/>
            <w:hideMark/>
          </w:tcPr>
          <w:p w:rsidRPr="008D1918" w:rsidR="000E3523" w:rsidP="00F7000A" w:rsidRDefault="000E3523" w14:paraId="6E5638B2" w14:textId="6CFF2A89">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1</w:t>
            </w:r>
          </w:p>
        </w:tc>
        <w:tc>
          <w:tcPr>
            <w:tcW w:w="1871" w:type="dxa"/>
            <w:vAlign w:val="center"/>
            <w:hideMark/>
          </w:tcPr>
          <w:p w:rsidRPr="008D1918" w:rsidR="000E3523" w:rsidP="00F7000A" w:rsidRDefault="000E3523" w14:paraId="7CC9EBB0"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$3</w:t>
            </w:r>
          </w:p>
        </w:tc>
        <w:tc>
          <w:tcPr>
            <w:tcW w:w="1644" w:type="dxa"/>
            <w:vAlign w:val="center"/>
            <w:hideMark/>
          </w:tcPr>
          <w:p w:rsidRPr="008D1918" w:rsidR="000E3523" w:rsidP="00F7000A" w:rsidRDefault="000E3523" w14:paraId="6963B5D9"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$3.21m</w:t>
            </w:r>
          </w:p>
        </w:tc>
        <w:tc>
          <w:tcPr>
            <w:tcW w:w="1701" w:type="dxa"/>
            <w:vAlign w:val="center"/>
            <w:hideMark/>
          </w:tcPr>
          <w:p w:rsidRPr="008D1918" w:rsidR="000E3523" w:rsidP="00F7000A" w:rsidRDefault="000E3523" w14:paraId="314429DD" w14:textId="77777777">
            <w:pPr>
              <w:keepNext/>
              <w:spacing w:before="60" w:after="60"/>
              <w:ind w:right="49"/>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eastAsia="en-AU"/>
              </w:rPr>
            </w:pPr>
            <w:r w:rsidRPr="008D1918">
              <w:rPr>
                <w:sz w:val="20"/>
                <w:szCs w:val="20"/>
                <w:lang w:val="en-AU"/>
              </w:rPr>
              <w:t>0%</w:t>
            </w:r>
          </w:p>
        </w:tc>
      </w:tr>
      <w:tr w:rsidRPr="008D1918" w:rsidR="000E3523" w:rsidTr="009306B6" w14:paraId="1AE721F3" w14:textId="77777777">
        <w:trPr>
          <w:trHeight w:val="390"/>
        </w:trPr>
        <w:tc>
          <w:tcPr>
            <w:cnfStyle w:val="001000000000" w:firstRow="0" w:lastRow="0" w:firstColumn="1" w:lastColumn="0" w:oddVBand="0" w:evenVBand="0" w:oddHBand="0" w:evenHBand="0" w:firstRowFirstColumn="0" w:firstRowLastColumn="0" w:lastRowFirstColumn="0" w:lastRowLastColumn="0"/>
            <w:tcW w:w="2041" w:type="dxa"/>
            <w:vAlign w:val="center"/>
            <w:hideMark/>
          </w:tcPr>
          <w:p w:rsidRPr="008D1918" w:rsidR="000E3523" w:rsidP="009306B6" w:rsidRDefault="000E3523" w14:paraId="626FA80D" w14:textId="77777777">
            <w:pPr>
              <w:keepNext/>
              <w:spacing w:before="60" w:after="60"/>
              <w:rPr>
                <w:rFonts w:cs="Calibri"/>
                <w:b/>
                <w:bCs w:val="0"/>
                <w:sz w:val="20"/>
                <w:szCs w:val="20"/>
                <w:lang w:val="en-AU" w:eastAsia="en-AU"/>
              </w:rPr>
            </w:pPr>
            <w:r w:rsidRPr="008D1918">
              <w:rPr>
                <w:b/>
                <w:sz w:val="20"/>
                <w:szCs w:val="20"/>
                <w:lang w:val="en-AU"/>
              </w:rPr>
              <w:t>Overall</w:t>
            </w:r>
          </w:p>
        </w:tc>
        <w:tc>
          <w:tcPr>
            <w:tcW w:w="1531" w:type="dxa"/>
            <w:vAlign w:val="center"/>
            <w:hideMark/>
          </w:tcPr>
          <w:p w:rsidRPr="008D1918" w:rsidR="000E3523" w:rsidP="00F7000A" w:rsidRDefault="000E3523" w14:paraId="708ED588" w14:textId="4D8484B2">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b/>
                <w:sz w:val="20"/>
                <w:szCs w:val="20"/>
                <w:lang w:val="en-AU" w:eastAsia="en-AU"/>
              </w:rPr>
            </w:pPr>
            <w:r w:rsidRPr="008D1918">
              <w:rPr>
                <w:b/>
                <w:sz w:val="20"/>
                <w:szCs w:val="20"/>
                <w:lang w:val="en-AU"/>
              </w:rPr>
              <w:t xml:space="preserve"> 46,330</w:t>
            </w:r>
          </w:p>
        </w:tc>
        <w:tc>
          <w:tcPr>
            <w:tcW w:w="1871" w:type="dxa"/>
            <w:vAlign w:val="center"/>
            <w:hideMark/>
          </w:tcPr>
          <w:p w:rsidRPr="008D1918" w:rsidR="000E3523" w:rsidP="00F7000A" w:rsidRDefault="000E3523" w14:paraId="32A2C84E"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b/>
                <w:sz w:val="20"/>
                <w:szCs w:val="20"/>
                <w:lang w:val="en-AU" w:eastAsia="en-AU"/>
              </w:rPr>
            </w:pPr>
            <w:r w:rsidRPr="008D1918">
              <w:rPr>
                <w:b/>
                <w:sz w:val="20"/>
                <w:szCs w:val="20"/>
                <w:lang w:val="en-AU"/>
              </w:rPr>
              <w:t>$1,017</w:t>
            </w:r>
          </w:p>
        </w:tc>
        <w:tc>
          <w:tcPr>
            <w:tcW w:w="1644" w:type="dxa"/>
            <w:vAlign w:val="center"/>
            <w:hideMark/>
          </w:tcPr>
          <w:p w:rsidRPr="008D1918" w:rsidR="000E3523" w:rsidP="00F7000A" w:rsidRDefault="000E3523" w14:paraId="29EB2297" w14:textId="77777777">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b/>
                <w:sz w:val="20"/>
                <w:szCs w:val="20"/>
                <w:lang w:val="en-AU" w:eastAsia="en-AU"/>
              </w:rPr>
            </w:pPr>
            <w:r w:rsidRPr="008D1918">
              <w:rPr>
                <w:b/>
                <w:sz w:val="20"/>
                <w:szCs w:val="20"/>
                <w:lang w:val="en-AU"/>
              </w:rPr>
              <w:t>22,000</w:t>
            </w:r>
          </w:p>
        </w:tc>
        <w:tc>
          <w:tcPr>
            <w:tcW w:w="1701" w:type="dxa"/>
            <w:vAlign w:val="center"/>
            <w:hideMark/>
          </w:tcPr>
          <w:p w:rsidRPr="008D1918" w:rsidR="000E3523" w:rsidP="00F7000A" w:rsidRDefault="000E3523" w14:paraId="3C9AD4EB" w14:textId="1BE32A30">
            <w:pPr>
              <w:keepNext/>
              <w:spacing w:before="60" w:after="60"/>
              <w:ind w:right="49"/>
              <w:jc w:val="right"/>
              <w:cnfStyle w:val="000000000000" w:firstRow="0" w:lastRow="0" w:firstColumn="0" w:lastColumn="0" w:oddVBand="0" w:evenVBand="0" w:oddHBand="0" w:evenHBand="0" w:firstRowFirstColumn="0" w:firstRowLastColumn="0" w:lastRowFirstColumn="0" w:lastRowLastColumn="0"/>
              <w:rPr>
                <w:rFonts w:cs="Calibri"/>
                <w:b/>
                <w:sz w:val="20"/>
                <w:szCs w:val="20"/>
                <w:lang w:val="en-AU" w:eastAsia="en-AU"/>
              </w:rPr>
            </w:pPr>
            <w:r w:rsidRPr="008D1918">
              <w:rPr>
                <w:b/>
                <w:sz w:val="20"/>
                <w:szCs w:val="20"/>
                <w:lang w:val="en-AU"/>
              </w:rPr>
              <w:t>100%</w:t>
            </w:r>
          </w:p>
        </w:tc>
      </w:tr>
    </w:tbl>
    <w:p w:rsidRPr="008D1918" w:rsidR="000E3523" w:rsidRDefault="000E3523" w14:paraId="300E344E" w14:textId="102E3997">
      <w:pPr>
        <w:keepNext/>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0E3523" w:rsidP="002B66D6" w:rsidRDefault="00C02090" w14:paraId="2BF963B0" w14:textId="531E8C2A">
      <w:pPr>
        <w:spacing w:before="120" w:after="360" w:line="240" w:lineRule="atLeast"/>
        <w:rPr>
          <w:rFonts w:cs="Calibri"/>
          <w:sz w:val="20"/>
          <w:szCs w:val="18"/>
          <w:lang w:val="en-AU" w:eastAsia="en-AU"/>
        </w:rPr>
      </w:pPr>
      <w:r w:rsidRPr="008D1918">
        <w:rPr>
          <w:rFonts w:cs="Calibri"/>
          <w:sz w:val="20"/>
          <w:szCs w:val="18"/>
          <w:lang w:val="en-AU" w:eastAsia="en-AU"/>
        </w:rPr>
        <w:t xml:space="preserve">Note: Numbers may not add to 100% due to rounding. </w:t>
      </w:r>
      <w:r w:rsidRPr="008D1918" w:rsidR="000E3523">
        <w:rPr>
          <w:rFonts w:cs="Calibri"/>
          <w:sz w:val="20"/>
          <w:szCs w:val="18"/>
          <w:lang w:val="en-AU" w:eastAsia="en-AU"/>
        </w:rPr>
        <w:t>Average revenue is rounded up to the nearest hundred.</w:t>
      </w:r>
    </w:p>
    <w:p w:rsidRPr="008D1918" w:rsidR="000E3523" w:rsidP="00041468" w:rsidRDefault="000E3523" w14:paraId="19721821" w14:textId="00F01FD5">
      <w:pPr>
        <w:pStyle w:val="StyleStyle112pt"/>
      </w:pPr>
      <w:bookmarkStart w:name="_Toc223428433" w:id="984"/>
      <w:bookmarkStart w:name="_Toc223445892" w:id="985"/>
      <w:bookmarkStart w:name="_Toc223539682" w:id="986"/>
      <w:bookmarkStart w:name="_Toc223539899" w:id="987"/>
      <w:bookmarkStart w:name="_Toc223540367" w:id="988"/>
      <w:bookmarkStart w:name="_Toc223540583" w:id="989"/>
      <w:bookmarkStart w:name="_Toc223542119" w:id="990"/>
      <w:bookmarkStart w:name="_Toc223604305" w:id="991"/>
      <w:bookmarkStart w:name="_Toc223604516" w:id="992"/>
      <w:bookmarkStart w:name="_Toc223604736" w:id="993"/>
      <w:bookmarkStart w:name="_Toc223618598" w:id="994"/>
      <w:bookmarkStart w:name="_Toc223702835" w:id="995"/>
      <w:bookmarkStart w:name="_Toc227318733" w:id="996"/>
      <w:bookmarkStart w:name="_Toc227337101" w:id="997"/>
      <w:r w:rsidRPr="008D1918">
        <w:t xml:space="preserve">Claiming </w:t>
      </w:r>
      <w:bookmarkEnd w:id="961"/>
      <w:bookmarkEnd w:id="962"/>
      <w:bookmarkEnd w:id="963"/>
      <w:r w:rsidRPr="008D1918">
        <w:t>patterns</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rsidRPr="00861781" w:rsidR="000E3523" w:rsidRDefault="000E3523" w14:paraId="49145E83" w14:textId="74AE1883">
      <w:pPr>
        <w:rPr>
          <w:rFonts w:eastAsiaTheme="minorEastAsia"/>
          <w:lang w:val="en-AU"/>
        </w:rPr>
      </w:pPr>
      <w:r w:rsidRPr="00861781">
        <w:rPr>
          <w:lang w:val="en-AU"/>
        </w:rPr>
        <w:t xml:space="preserve">Claims at the </w:t>
      </w:r>
      <w:r w:rsidRPr="00861781" w:rsidR="00BA1836">
        <w:rPr>
          <w:lang w:val="en-AU"/>
        </w:rPr>
        <w:t xml:space="preserve">maximum </w:t>
      </w:r>
      <w:r w:rsidRPr="00861781">
        <w:rPr>
          <w:lang w:val="en-AU"/>
        </w:rPr>
        <w:t xml:space="preserve">price </w:t>
      </w:r>
      <w:r w:rsidRPr="00861781" w:rsidR="00A12E68">
        <w:rPr>
          <w:lang w:val="en-AU"/>
        </w:rPr>
        <w:t>published</w:t>
      </w:r>
      <w:r w:rsidRPr="00861781" w:rsidR="003F377A">
        <w:rPr>
          <w:lang w:val="en-AU"/>
        </w:rPr>
        <w:t xml:space="preserve"> by the NDIA </w:t>
      </w:r>
      <w:r w:rsidRPr="00861781">
        <w:rPr>
          <w:lang w:val="en-AU"/>
        </w:rPr>
        <w:t xml:space="preserve">remain the dominant pattern across the therapy market. In the </w:t>
      </w:r>
      <w:r w:rsidRPr="00861781" w:rsidR="009F51F1">
        <w:rPr>
          <w:lang w:val="en-AU"/>
        </w:rPr>
        <w:t>6</w:t>
      </w:r>
      <w:r w:rsidRPr="00861781">
        <w:rPr>
          <w:lang w:val="en-AU"/>
        </w:rPr>
        <w:t xml:space="preserve"> months to December 2025, 62% of therapy claims were made at the </w:t>
      </w:r>
      <w:r w:rsidRPr="00861781" w:rsidR="00BA1836">
        <w:rPr>
          <w:lang w:val="en-AU"/>
        </w:rPr>
        <w:t xml:space="preserve">maximum </w:t>
      </w:r>
      <w:r w:rsidRPr="00861781">
        <w:rPr>
          <w:lang w:val="en-AU"/>
        </w:rPr>
        <w:t xml:space="preserve">price </w:t>
      </w:r>
      <w:r w:rsidRPr="00861781" w:rsidR="00AD0084">
        <w:rPr>
          <w:lang w:val="en-AU"/>
        </w:rPr>
        <w:t>for a full hour, down from 69</w:t>
      </w:r>
      <w:r w:rsidRPr="00861781" w:rsidR="002E6F42">
        <w:rPr>
          <w:lang w:val="en-AU"/>
        </w:rPr>
        <w:t>%</w:t>
      </w:r>
      <w:r w:rsidRPr="00861781" w:rsidR="00C357A4">
        <w:rPr>
          <w:lang w:val="en-AU"/>
        </w:rPr>
        <w:t xml:space="preserve"> in July</w:t>
      </w:r>
      <w:r w:rsidRPr="00861781" w:rsidR="00196C24">
        <w:rPr>
          <w:lang w:val="en-AU"/>
        </w:rPr>
        <w:t xml:space="preserve"> to </w:t>
      </w:r>
      <w:r w:rsidRPr="00861781" w:rsidR="00C357A4">
        <w:rPr>
          <w:lang w:val="en-AU"/>
        </w:rPr>
        <w:t>December 2024</w:t>
      </w:r>
      <w:r w:rsidRPr="00861781">
        <w:rPr>
          <w:lang w:val="en-AU"/>
        </w:rPr>
        <w:t xml:space="preserve">. Registered </w:t>
      </w:r>
      <w:r w:rsidRPr="00861781" w:rsidR="00FE7CB0">
        <w:rPr>
          <w:lang w:val="en-AU"/>
        </w:rPr>
        <w:t>providers claim at the full-hour</w:t>
      </w:r>
      <w:r w:rsidRPr="00861781" w:rsidR="006349CD">
        <w:rPr>
          <w:lang w:val="en-AU"/>
        </w:rPr>
        <w:t xml:space="preserve"> maximum </w:t>
      </w:r>
      <w:r w:rsidRPr="00861781" w:rsidR="00FE7CB0">
        <w:rPr>
          <w:lang w:val="en-AU"/>
        </w:rPr>
        <w:t xml:space="preserve">price </w:t>
      </w:r>
      <w:r w:rsidRPr="00861781" w:rsidR="003B06CC">
        <w:rPr>
          <w:lang w:val="en-AU"/>
        </w:rPr>
        <w:t>more frequently than unregistered providers, 65</w:t>
      </w:r>
      <w:r w:rsidRPr="00861781" w:rsidR="002E6F42">
        <w:rPr>
          <w:lang w:val="en-AU"/>
        </w:rPr>
        <w:t>%</w:t>
      </w:r>
      <w:r w:rsidRPr="00861781" w:rsidR="003B06CC">
        <w:rPr>
          <w:lang w:val="en-AU"/>
        </w:rPr>
        <w:t xml:space="preserve"> compared with 59</w:t>
      </w:r>
      <w:r w:rsidRPr="00861781" w:rsidR="002E6F42">
        <w:rPr>
          <w:lang w:val="en-AU"/>
        </w:rPr>
        <w:t>%</w:t>
      </w:r>
      <w:r w:rsidRPr="00861781" w:rsidR="003B06CC">
        <w:rPr>
          <w:lang w:val="en-AU"/>
        </w:rPr>
        <w:t xml:space="preserve"> in the most recent period</w:t>
      </w:r>
      <w:r w:rsidRPr="00861781" w:rsidR="00BD1C41">
        <w:rPr>
          <w:lang w:val="en-AU"/>
        </w:rPr>
        <w:t xml:space="preserve">, though both groups have declined from earlier peaks and the gap between them has remained relatively consistent. </w:t>
      </w:r>
      <w:r w:rsidRPr="00861781">
        <w:rPr>
          <w:lang w:val="en-AU"/>
        </w:rPr>
        <w:t>(</w:t>
      </w:r>
      <w:r w:rsidRPr="00861781" w:rsidR="00A26981">
        <w:rPr>
          <w:lang w:val="en-AU"/>
        </w:rPr>
        <w:fldChar w:fldCharType="begin"/>
      </w:r>
      <w:r w:rsidRPr="00861781" w:rsidR="00A26981">
        <w:rPr>
          <w:lang w:val="en-AU"/>
        </w:rPr>
        <w:instrText xml:space="preserve"> REF _Ref223690656 \h </w:instrText>
      </w:r>
      <w:r w:rsidRPr="00861781" w:rsidR="00762DF8">
        <w:rPr>
          <w:lang w:val="en-AU"/>
        </w:rPr>
        <w:instrText xml:space="preserve"> \* MERGEFORMAT </w:instrText>
      </w:r>
      <w:r w:rsidRPr="00861781" w:rsidR="00A26981">
        <w:rPr>
          <w:lang w:val="en-AU"/>
        </w:rPr>
      </w:r>
      <w:r w:rsidRPr="00861781" w:rsidR="00A26981">
        <w:rPr>
          <w:lang w:val="en-AU"/>
        </w:rPr>
        <w:fldChar w:fldCharType="separate"/>
      </w:r>
      <w:r w:rsidRPr="00861781" w:rsidR="008F56A2">
        <w:rPr>
          <w:lang w:val="en-AU"/>
        </w:rPr>
        <w:t>Table</w:t>
      </w:r>
      <w:r w:rsidRPr="00861781" w:rsidR="008F56A2">
        <w:t xml:space="preserve"> </w:t>
      </w:r>
      <w:r w:rsidRPr="00861781" w:rsidR="008F56A2">
        <w:rPr>
          <w:noProof/>
        </w:rPr>
        <w:t>23</w:t>
      </w:r>
      <w:r w:rsidRPr="00861781" w:rsidR="00A26981">
        <w:rPr>
          <w:lang w:val="en-AU"/>
        </w:rPr>
        <w:fldChar w:fldCharType="end"/>
      </w:r>
      <w:r w:rsidRPr="00861781" w:rsidR="003B5112">
        <w:rPr>
          <w:lang w:val="en-AU"/>
        </w:rPr>
        <w:t xml:space="preserve"> and </w:t>
      </w:r>
      <w:r w:rsidRPr="00861781" w:rsidR="007B7D73">
        <w:rPr>
          <w:lang w:val="en-AU"/>
        </w:rPr>
        <w:fldChar w:fldCharType="begin"/>
      </w:r>
      <w:r w:rsidRPr="00861781" w:rsidR="007B7D73">
        <w:rPr>
          <w:lang w:val="en-AU"/>
        </w:rPr>
        <w:instrText xml:space="preserve"> REF _Ref227131937 \h </w:instrText>
      </w:r>
      <w:r w:rsidRPr="00861781" w:rsidR="008D1918">
        <w:rPr>
          <w:lang w:val="en-AU"/>
        </w:rPr>
        <w:instrText xml:space="preserve"> \* MERGEFORMAT </w:instrText>
      </w:r>
      <w:r w:rsidRPr="00861781" w:rsidR="007B7D73">
        <w:rPr>
          <w:lang w:val="en-AU"/>
        </w:rPr>
      </w:r>
      <w:r w:rsidRPr="00861781" w:rsidR="007B7D73">
        <w:rPr>
          <w:lang w:val="en-AU"/>
        </w:rPr>
        <w:fldChar w:fldCharType="separate"/>
      </w:r>
      <w:r w:rsidRPr="00861781" w:rsidR="008F56A2">
        <w:t xml:space="preserve">Figure </w:t>
      </w:r>
      <w:r w:rsidRPr="00861781" w:rsidR="008F56A2">
        <w:rPr>
          <w:noProof/>
        </w:rPr>
        <w:t>16</w:t>
      </w:r>
      <w:r w:rsidRPr="00861781" w:rsidR="007B7D73">
        <w:rPr>
          <w:lang w:val="en-AU"/>
        </w:rPr>
        <w:fldChar w:fldCharType="end"/>
      </w:r>
      <w:r w:rsidRPr="00861781">
        <w:rPr>
          <w:lang w:val="en-AU"/>
        </w:rPr>
        <w:t>).</w:t>
      </w:r>
    </w:p>
    <w:p w:rsidRPr="00861781" w:rsidR="00BD1C41" w:rsidRDefault="00980ACD" w14:paraId="2A6FCD3D" w14:textId="32384A30">
      <w:pPr>
        <w:rPr>
          <w:rFonts w:eastAsiaTheme="minorEastAsia"/>
          <w:lang w:val="en-AU"/>
        </w:rPr>
      </w:pPr>
      <w:r w:rsidRPr="00861781">
        <w:rPr>
          <w:rFonts w:eastAsiaTheme="minorEastAsia"/>
          <w:lang w:val="en-AU"/>
        </w:rPr>
        <w:t xml:space="preserve">The decline in full-hour </w:t>
      </w:r>
      <w:r w:rsidRPr="00861781" w:rsidR="0012093C">
        <w:rPr>
          <w:rFonts w:eastAsiaTheme="minorEastAsia"/>
          <w:lang w:val="en-AU"/>
        </w:rPr>
        <w:t xml:space="preserve">maximum </w:t>
      </w:r>
      <w:r w:rsidRPr="00861781">
        <w:rPr>
          <w:rFonts w:eastAsiaTheme="minorEastAsia"/>
          <w:lang w:val="en-AU"/>
        </w:rPr>
        <w:t>price</w:t>
      </w:r>
      <w:r w:rsidRPr="00861781" w:rsidR="0018480A">
        <w:rPr>
          <w:rFonts w:eastAsiaTheme="minorEastAsia"/>
          <w:lang w:val="en-AU"/>
        </w:rPr>
        <w:t xml:space="preserve"> </w:t>
      </w:r>
      <w:r w:rsidRPr="00861781">
        <w:rPr>
          <w:rFonts w:eastAsiaTheme="minorEastAsia"/>
          <w:lang w:val="en-AU"/>
        </w:rPr>
        <w:t xml:space="preserve">claiming warrants a note. It is consistent with changes </w:t>
      </w:r>
      <w:r w:rsidRPr="00861781" w:rsidR="003F377A">
        <w:rPr>
          <w:rFonts w:eastAsiaTheme="minorEastAsia"/>
          <w:lang w:val="en-AU"/>
        </w:rPr>
        <w:t xml:space="preserve">set out </w:t>
      </w:r>
      <w:r w:rsidRPr="00861781">
        <w:rPr>
          <w:rFonts w:eastAsiaTheme="minorEastAsia"/>
          <w:lang w:val="en-AU"/>
        </w:rPr>
        <w:t xml:space="preserve">in the </w:t>
      </w:r>
      <w:r w:rsidRPr="00861781" w:rsidR="00C675FD">
        <w:rPr>
          <w:rFonts w:eastAsiaTheme="minorEastAsia"/>
          <w:lang w:val="en-AU"/>
        </w:rPr>
        <w:t>NDIS price guidance,</w:t>
      </w:r>
      <w:r w:rsidRPr="00861781">
        <w:rPr>
          <w:rFonts w:eastAsiaTheme="minorEastAsia"/>
          <w:lang w:val="en-AU"/>
        </w:rPr>
        <w:t xml:space="preserve"> which clarified that the hourly rate is not a session rate and claims should reflect the a</w:t>
      </w:r>
      <w:r w:rsidRPr="00861781" w:rsidR="005A0632">
        <w:rPr>
          <w:rFonts w:eastAsiaTheme="minorEastAsia"/>
          <w:lang w:val="en-AU"/>
        </w:rPr>
        <w:t xml:space="preserve">ctual length </w:t>
      </w:r>
      <w:r w:rsidRPr="00861781" w:rsidR="0050135E">
        <w:rPr>
          <w:rFonts w:eastAsiaTheme="minorEastAsia"/>
          <w:lang w:val="en-AU"/>
        </w:rPr>
        <w:t>of time delivered, with pro-rata charging applying</w:t>
      </w:r>
      <w:r w:rsidRPr="00861781" w:rsidR="005E09BA">
        <w:rPr>
          <w:rFonts w:eastAsiaTheme="minorEastAsia"/>
          <w:lang w:val="en-AU"/>
        </w:rPr>
        <w:t xml:space="preserve">. </w:t>
      </w:r>
      <w:r w:rsidRPr="00861781" w:rsidR="005F291D">
        <w:rPr>
          <w:rFonts w:eastAsiaTheme="minorEastAsia"/>
          <w:lang w:val="en-AU"/>
        </w:rPr>
        <w:t xml:space="preserve">It is also possible the shift reflects changes in how providers structure claims in response to </w:t>
      </w:r>
      <w:r w:rsidRPr="00861781" w:rsidR="007E2411">
        <w:rPr>
          <w:rFonts w:eastAsiaTheme="minorEastAsia"/>
          <w:lang w:val="en-AU"/>
        </w:rPr>
        <w:t xml:space="preserve">travel claiming rules, where a provider may claim a shorter direct service time and separately </w:t>
      </w:r>
      <w:r w:rsidRPr="00861781" w:rsidR="001A2822">
        <w:rPr>
          <w:rFonts w:eastAsiaTheme="minorEastAsia"/>
          <w:lang w:val="en-AU"/>
        </w:rPr>
        <w:t>claim travel, rather than absorbing both within a full hour claim</w:t>
      </w:r>
      <w:r w:rsidRPr="00861781" w:rsidR="009252CF">
        <w:rPr>
          <w:rFonts w:eastAsiaTheme="minorEastAsia"/>
          <w:lang w:val="en-AU"/>
        </w:rPr>
        <w:t xml:space="preserve">. Under this interpretation, the decline </w:t>
      </w:r>
      <w:r w:rsidRPr="00861781" w:rsidR="002B1A57">
        <w:rPr>
          <w:rFonts w:eastAsiaTheme="minorEastAsia"/>
          <w:lang w:val="en-AU"/>
        </w:rPr>
        <w:t xml:space="preserve">in full hour </w:t>
      </w:r>
      <w:r w:rsidRPr="00861781" w:rsidR="00F117A2">
        <w:rPr>
          <w:rFonts w:eastAsiaTheme="minorEastAsia"/>
          <w:lang w:val="en-AU"/>
        </w:rPr>
        <w:t xml:space="preserve">maximum </w:t>
      </w:r>
      <w:r w:rsidRPr="00861781" w:rsidR="002B1A57">
        <w:rPr>
          <w:rFonts w:eastAsiaTheme="minorEastAsia"/>
          <w:lang w:val="en-AU"/>
        </w:rPr>
        <w:t xml:space="preserve">price claiming would not represent a reduction in revenue per client interaction. The </w:t>
      </w:r>
      <w:r w:rsidRPr="00861781" w:rsidR="002B1A57">
        <w:rPr>
          <w:rFonts w:eastAsiaTheme="minorEastAsia"/>
          <w:lang w:val="en-AU"/>
        </w:rPr>
        <w:t xml:space="preserve">NDIA will continue to monitor claiming patterns, including the relationship between direct service claims and ancillary claims, to better distinguish between these explanations before drawing conclusions about provider behaviour or market pricing dynamics. </w:t>
      </w:r>
    </w:p>
    <w:p w:rsidRPr="008D1918" w:rsidR="000E3523" w:rsidP="00A26981" w:rsidRDefault="00A26981" w14:paraId="2D7AAE18" w14:textId="6B62CC20">
      <w:pPr>
        <w:pStyle w:val="Caption"/>
        <w:rPr>
          <w:rFonts w:cs="Arial"/>
          <w:i w:val="0"/>
          <w:color w:val="6B2876" w:themeColor="accent5"/>
          <w:lang w:eastAsia="en-AU"/>
        </w:rPr>
      </w:pPr>
      <w:bookmarkStart w:name="_Ref223690656" w:id="998"/>
      <w:r w:rsidRPr="00861781">
        <w:t xml:space="preserve">Table </w:t>
      </w:r>
      <w:r w:rsidRPr="00861781">
        <w:fldChar w:fldCharType="begin"/>
      </w:r>
      <w:r w:rsidRPr="00861781">
        <w:instrText>SEQ Table \* ARABIC</w:instrText>
      </w:r>
      <w:r w:rsidRPr="00861781">
        <w:fldChar w:fldCharType="separate"/>
      </w:r>
      <w:r w:rsidRPr="00861781" w:rsidR="008F56A2">
        <w:rPr>
          <w:noProof/>
        </w:rPr>
        <w:t>23</w:t>
      </w:r>
      <w:r w:rsidRPr="00861781">
        <w:fldChar w:fldCharType="end"/>
      </w:r>
      <w:bookmarkEnd w:id="998"/>
      <w:r w:rsidRPr="00861781" w:rsidR="000E3523">
        <w:rPr>
          <w:rFonts w:cs="Arial"/>
          <w:color w:val="6B2876" w:themeColor="accent5"/>
          <w:lang w:eastAsia="en-AU"/>
        </w:rPr>
        <w:t xml:space="preserve">: Claiming patterns at </w:t>
      </w:r>
      <w:r w:rsidRPr="00861781" w:rsidR="00510769">
        <w:rPr>
          <w:rFonts w:cs="Arial"/>
          <w:color w:val="6B2876" w:themeColor="accent5"/>
          <w:lang w:eastAsia="en-AU"/>
        </w:rPr>
        <w:t xml:space="preserve">maximum </w:t>
      </w:r>
      <w:r w:rsidRPr="00861781" w:rsidR="00C52BB4">
        <w:rPr>
          <w:rFonts w:cs="Arial"/>
          <w:color w:val="6B2876" w:themeColor="accent5"/>
          <w:lang w:eastAsia="en-AU"/>
        </w:rPr>
        <w:t>price analysis</w:t>
      </w:r>
      <w:r w:rsidRPr="00861781" w:rsidR="000E3523">
        <w:rPr>
          <w:rFonts w:cs="Arial"/>
          <w:color w:val="6B2876" w:themeColor="accent5"/>
          <w:lang w:eastAsia="en-AU"/>
        </w:rPr>
        <w:t xml:space="preserve"> for therapy supports, January 2023 to December 2025</w:t>
      </w:r>
    </w:p>
    <w:tbl>
      <w:tblPr>
        <w:tblStyle w:val="GridTable4-Accent12"/>
        <w:tblW w:w="9016" w:type="dxa"/>
        <w:tblInd w:w="-12" w:type="dxa"/>
        <w:tblLook w:val="04A0" w:firstRow="1" w:lastRow="0" w:firstColumn="1" w:lastColumn="0" w:noHBand="0" w:noVBand="1"/>
        <w:tblCaption w:val="Price limits for Support Coordination Supports"/>
      </w:tblPr>
      <w:tblGrid>
        <w:gridCol w:w="1946"/>
        <w:gridCol w:w="1171"/>
        <w:gridCol w:w="1185"/>
        <w:gridCol w:w="1172"/>
        <w:gridCol w:w="1185"/>
        <w:gridCol w:w="1172"/>
        <w:gridCol w:w="1185"/>
      </w:tblGrid>
      <w:tr w:rsidRPr="008D1918" w:rsidR="00173A73" w:rsidTr="00B93DA6" w14:paraId="37D6355D" w14:textId="77777777">
        <w:trPr>
          <w:cnfStyle w:val="100000000000" w:firstRow="1" w:lastRow="0" w:firstColumn="0" w:lastColumn="0" w:oddVBand="0" w:evenVBand="0" w:oddHBand="0" w:evenHBand="0" w:firstRowFirstColumn="0" w:firstRowLastColumn="0" w:lastRowFirstColumn="0" w:lastRowLastColumn="0"/>
          <w:trHeight w:val="555"/>
          <w:tblHeader/>
        </w:trPr>
        <w:tc>
          <w:tcPr>
            <w:cnfStyle w:val="001000000000" w:firstRow="0" w:lastRow="0" w:firstColumn="1" w:lastColumn="0" w:oddVBand="0" w:evenVBand="0" w:oddHBand="0" w:evenHBand="0" w:firstRowFirstColumn="0" w:firstRowLastColumn="0" w:lastRowFirstColumn="0" w:lastRowLastColumn="0"/>
            <w:tcW w:w="1946" w:type="dxa"/>
            <w:vAlign w:val="center"/>
            <w:hideMark/>
          </w:tcPr>
          <w:p w:rsidRPr="008D1918" w:rsidR="000E3523" w:rsidP="00C85342" w:rsidRDefault="000E3523" w14:paraId="567594C7" w14:textId="1DC16F5F">
            <w:pPr>
              <w:keepNext/>
              <w:spacing w:before="60" w:after="60"/>
              <w:rPr>
                <w:rFonts w:cs="Calibri" w:eastAsiaTheme="minorEastAsia"/>
                <w:b w:val="0"/>
                <w:sz w:val="20"/>
                <w:szCs w:val="18"/>
                <w:lang w:val="en-AU"/>
              </w:rPr>
            </w:pPr>
            <w:r w:rsidRPr="008D1918">
              <w:rPr>
                <w:rFonts w:cs="Calibri" w:eastAsiaTheme="minorEastAsia"/>
                <w:sz w:val="20"/>
                <w:szCs w:val="18"/>
                <w:lang w:val="en-AU"/>
              </w:rPr>
              <w:t xml:space="preserve">Claiming patterns – at </w:t>
            </w:r>
            <w:r w:rsidRPr="008D1918" w:rsidR="00C675FD">
              <w:rPr>
                <w:sz w:val="20"/>
                <w:szCs w:val="20"/>
                <w:lang w:val="en-AU"/>
              </w:rPr>
              <w:t>published price</w:t>
            </w:r>
          </w:p>
        </w:tc>
        <w:tc>
          <w:tcPr>
            <w:tcW w:w="1171" w:type="dxa"/>
            <w:hideMark/>
          </w:tcPr>
          <w:p w:rsidRPr="008D1918" w:rsidR="00C85342" w:rsidP="00C85342" w:rsidRDefault="00C85342" w14:paraId="74B0B1B8" w14:textId="77777777">
            <w:pPr>
              <w:keepNext/>
              <w:spacing w:before="60" w:after="0"/>
              <w:jc w:val="center"/>
              <w:cnfStyle w:val="100000000000" w:firstRow="1" w:lastRow="0" w:firstColumn="0" w:lastColumn="0" w:oddVBand="0" w:evenVBand="0" w:oddHBand="0" w:evenHBand="0" w:firstRowFirstColumn="0" w:firstRowLastColumn="0" w:lastRowFirstColumn="0" w:lastRowLastColumn="0"/>
              <w:rPr>
                <w:rFonts w:cs="Cordia New"/>
                <w:sz w:val="20"/>
                <w:szCs w:val="20"/>
                <w:lang w:val="en-AU"/>
              </w:rPr>
            </w:pPr>
            <w:r w:rsidRPr="008D1918">
              <w:rPr>
                <w:rFonts w:cs="Cordia New"/>
                <w:sz w:val="20"/>
                <w:szCs w:val="20"/>
                <w:lang w:val="en-AU"/>
              </w:rPr>
              <w:t>January – June</w:t>
            </w:r>
          </w:p>
          <w:p w:rsidRPr="008D1918" w:rsidR="000E3523" w:rsidP="00C85342" w:rsidRDefault="000E3523" w14:paraId="6ABB4504" w14:textId="4C97310A">
            <w:pPr>
              <w:keepNext/>
              <w:spacing w:before="0" w:after="60"/>
              <w:jc w:val="center"/>
              <w:cnfStyle w:val="100000000000" w:firstRow="1" w:lastRow="0" w:firstColumn="0" w:lastColumn="0" w:oddVBand="0" w:evenVBand="0" w:oddHBand="0" w:evenHBand="0" w:firstRowFirstColumn="0" w:firstRowLastColumn="0" w:lastRowFirstColumn="0" w:lastRowLastColumn="0"/>
              <w:rPr>
                <w:rFonts w:cs="Calibri" w:eastAsiaTheme="minorEastAsia"/>
                <w:b w:val="0"/>
                <w:sz w:val="20"/>
                <w:szCs w:val="18"/>
                <w:lang w:val="en-AU"/>
              </w:rPr>
            </w:pPr>
            <w:r w:rsidRPr="008D1918">
              <w:rPr>
                <w:rFonts w:cs="Calibri" w:eastAsiaTheme="minorEastAsia"/>
                <w:sz w:val="20"/>
                <w:szCs w:val="18"/>
                <w:lang w:val="en-AU"/>
              </w:rPr>
              <w:t>2023</w:t>
            </w:r>
          </w:p>
        </w:tc>
        <w:tc>
          <w:tcPr>
            <w:tcW w:w="1185" w:type="dxa"/>
            <w:hideMark/>
          </w:tcPr>
          <w:p w:rsidRPr="008D1918" w:rsidR="000E3523" w:rsidP="00C85342" w:rsidRDefault="000E3523" w14:paraId="2D5388F0" w14:textId="7BF4A452">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Calibri" w:eastAsiaTheme="minorEastAsia"/>
                <w:b w:val="0"/>
                <w:sz w:val="20"/>
                <w:szCs w:val="18"/>
                <w:lang w:val="en-AU"/>
              </w:rPr>
            </w:pPr>
            <w:r w:rsidRPr="008D1918">
              <w:rPr>
                <w:rFonts w:cs="Calibri" w:eastAsiaTheme="minorEastAsia"/>
                <w:sz w:val="20"/>
                <w:szCs w:val="18"/>
                <w:lang w:val="en-AU"/>
              </w:rPr>
              <w:t>July – December 2023</w:t>
            </w:r>
          </w:p>
        </w:tc>
        <w:tc>
          <w:tcPr>
            <w:tcW w:w="1172" w:type="dxa"/>
            <w:hideMark/>
          </w:tcPr>
          <w:p w:rsidRPr="008D1918" w:rsidR="00C85342" w:rsidP="00C85342" w:rsidRDefault="00C85342" w14:paraId="2079583F" w14:textId="77777777">
            <w:pPr>
              <w:keepNext/>
              <w:spacing w:before="60" w:after="0"/>
              <w:jc w:val="center"/>
              <w:cnfStyle w:val="100000000000" w:firstRow="1" w:lastRow="0" w:firstColumn="0" w:lastColumn="0" w:oddVBand="0" w:evenVBand="0" w:oddHBand="0" w:evenHBand="0" w:firstRowFirstColumn="0" w:firstRowLastColumn="0" w:lastRowFirstColumn="0" w:lastRowLastColumn="0"/>
              <w:rPr>
                <w:rFonts w:cs="Cordia New"/>
                <w:sz w:val="20"/>
                <w:szCs w:val="20"/>
                <w:lang w:val="en-AU"/>
              </w:rPr>
            </w:pPr>
            <w:r w:rsidRPr="008D1918">
              <w:rPr>
                <w:rFonts w:cs="Cordia New"/>
                <w:sz w:val="20"/>
                <w:szCs w:val="20"/>
                <w:lang w:val="en-AU"/>
              </w:rPr>
              <w:t>January – June</w:t>
            </w:r>
          </w:p>
          <w:p w:rsidRPr="008D1918" w:rsidR="000E3523" w:rsidP="00C85342" w:rsidRDefault="000E3523" w14:paraId="75156FFB" w14:textId="3922FBD7">
            <w:pPr>
              <w:keepNext/>
              <w:spacing w:before="0" w:after="60"/>
              <w:jc w:val="center"/>
              <w:cnfStyle w:val="100000000000" w:firstRow="1" w:lastRow="0" w:firstColumn="0" w:lastColumn="0" w:oddVBand="0" w:evenVBand="0" w:oddHBand="0" w:evenHBand="0" w:firstRowFirstColumn="0" w:firstRowLastColumn="0" w:lastRowFirstColumn="0" w:lastRowLastColumn="0"/>
              <w:rPr>
                <w:rFonts w:cs="Calibri" w:eastAsiaTheme="minorEastAsia"/>
                <w:b w:val="0"/>
                <w:sz w:val="20"/>
                <w:szCs w:val="18"/>
                <w:lang w:val="en-AU"/>
              </w:rPr>
            </w:pPr>
            <w:r w:rsidRPr="008D1918">
              <w:rPr>
                <w:rFonts w:cs="Calibri" w:eastAsiaTheme="minorEastAsia"/>
                <w:sz w:val="20"/>
                <w:szCs w:val="18"/>
                <w:lang w:val="en-AU"/>
              </w:rPr>
              <w:t>2024</w:t>
            </w:r>
          </w:p>
        </w:tc>
        <w:tc>
          <w:tcPr>
            <w:tcW w:w="1185" w:type="dxa"/>
            <w:hideMark/>
          </w:tcPr>
          <w:p w:rsidRPr="008D1918" w:rsidR="000E3523" w:rsidP="00C85342" w:rsidRDefault="000E3523" w14:paraId="5275D5B6" w14:textId="1ECE7C4B">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Calibri" w:eastAsiaTheme="minorEastAsia"/>
                <w:b w:val="0"/>
                <w:sz w:val="20"/>
                <w:szCs w:val="18"/>
                <w:lang w:val="en-AU"/>
              </w:rPr>
            </w:pPr>
            <w:r w:rsidRPr="008D1918">
              <w:rPr>
                <w:rFonts w:cs="Calibri" w:eastAsiaTheme="minorEastAsia"/>
                <w:sz w:val="20"/>
                <w:szCs w:val="18"/>
                <w:lang w:val="en-AU"/>
              </w:rPr>
              <w:t>July – December 2024</w:t>
            </w:r>
          </w:p>
        </w:tc>
        <w:tc>
          <w:tcPr>
            <w:tcW w:w="1172" w:type="dxa"/>
            <w:hideMark/>
          </w:tcPr>
          <w:p w:rsidRPr="008D1918" w:rsidR="00C85342" w:rsidP="00C85342" w:rsidRDefault="00C85342" w14:paraId="3E3FDB40" w14:textId="77777777">
            <w:pPr>
              <w:keepNext/>
              <w:spacing w:before="60" w:after="0"/>
              <w:jc w:val="center"/>
              <w:cnfStyle w:val="100000000000" w:firstRow="1" w:lastRow="0" w:firstColumn="0" w:lastColumn="0" w:oddVBand="0" w:evenVBand="0" w:oddHBand="0" w:evenHBand="0" w:firstRowFirstColumn="0" w:firstRowLastColumn="0" w:lastRowFirstColumn="0" w:lastRowLastColumn="0"/>
              <w:rPr>
                <w:rFonts w:cs="Cordia New"/>
                <w:sz w:val="20"/>
                <w:szCs w:val="20"/>
                <w:lang w:val="en-AU"/>
              </w:rPr>
            </w:pPr>
            <w:r w:rsidRPr="008D1918">
              <w:rPr>
                <w:rFonts w:cs="Cordia New"/>
                <w:sz w:val="20"/>
                <w:szCs w:val="20"/>
                <w:lang w:val="en-AU"/>
              </w:rPr>
              <w:t>January – June</w:t>
            </w:r>
          </w:p>
          <w:p w:rsidRPr="008D1918" w:rsidR="000E3523" w:rsidP="00C85342" w:rsidRDefault="000E3523" w14:paraId="15DC0067" w14:textId="5FE08456">
            <w:pPr>
              <w:keepNext/>
              <w:spacing w:before="0" w:after="60"/>
              <w:jc w:val="center"/>
              <w:cnfStyle w:val="100000000000" w:firstRow="1" w:lastRow="0" w:firstColumn="0" w:lastColumn="0" w:oddVBand="0" w:evenVBand="0" w:oddHBand="0" w:evenHBand="0" w:firstRowFirstColumn="0" w:firstRowLastColumn="0" w:lastRowFirstColumn="0" w:lastRowLastColumn="0"/>
              <w:rPr>
                <w:rFonts w:cs="Calibri" w:eastAsiaTheme="minorEastAsia"/>
                <w:b w:val="0"/>
                <w:sz w:val="20"/>
                <w:szCs w:val="18"/>
                <w:lang w:val="en-AU"/>
              </w:rPr>
            </w:pPr>
            <w:r w:rsidRPr="008D1918">
              <w:rPr>
                <w:rFonts w:cs="Calibri" w:eastAsiaTheme="minorEastAsia"/>
                <w:sz w:val="20"/>
                <w:szCs w:val="18"/>
                <w:lang w:val="en-AU"/>
              </w:rPr>
              <w:t>2025</w:t>
            </w:r>
          </w:p>
        </w:tc>
        <w:tc>
          <w:tcPr>
            <w:tcW w:w="1185" w:type="dxa"/>
            <w:hideMark/>
          </w:tcPr>
          <w:p w:rsidRPr="008D1918" w:rsidR="000E3523" w:rsidP="00C85342" w:rsidRDefault="000E3523" w14:paraId="3408273E" w14:textId="36D87701">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Calibri" w:eastAsiaTheme="minorEastAsia"/>
                <w:b w:val="0"/>
                <w:sz w:val="20"/>
                <w:szCs w:val="18"/>
                <w:lang w:val="en-AU"/>
              </w:rPr>
            </w:pPr>
            <w:r w:rsidRPr="008D1918">
              <w:rPr>
                <w:rFonts w:cs="Calibri" w:eastAsiaTheme="minorEastAsia"/>
                <w:sz w:val="20"/>
                <w:szCs w:val="18"/>
                <w:lang w:val="en-AU"/>
              </w:rPr>
              <w:t>July – December 2025</w:t>
            </w:r>
          </w:p>
        </w:tc>
      </w:tr>
      <w:tr w:rsidRPr="008D1918" w:rsidR="00173A73" w:rsidTr="00B93DA6" w14:paraId="39D3817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46" w:type="dxa"/>
            <w:vAlign w:val="center"/>
            <w:hideMark/>
          </w:tcPr>
          <w:p w:rsidRPr="008D1918" w:rsidR="000E3523" w:rsidP="00E03D9B" w:rsidRDefault="000E3523" w14:paraId="2FCA0156" w14:textId="29D33463">
            <w:pPr>
              <w:keepNext/>
              <w:spacing w:before="60" w:after="60"/>
              <w:rPr>
                <w:rFonts w:cs="Calibri" w:eastAsiaTheme="minorEastAsia"/>
                <w:sz w:val="20"/>
                <w:szCs w:val="18"/>
                <w:lang w:val="en-AU"/>
              </w:rPr>
            </w:pPr>
            <w:r w:rsidRPr="008D1918">
              <w:rPr>
                <w:rFonts w:cs="Calibri" w:eastAsiaTheme="minorEastAsia"/>
                <w:sz w:val="20"/>
                <w:szCs w:val="18"/>
                <w:lang w:val="en-AU"/>
              </w:rPr>
              <w:t>Registered</w:t>
            </w:r>
          </w:p>
        </w:tc>
        <w:tc>
          <w:tcPr>
            <w:tcW w:w="1171" w:type="dxa"/>
            <w:vAlign w:val="center"/>
            <w:hideMark/>
          </w:tcPr>
          <w:p w:rsidRPr="008D1918" w:rsidR="000E3523" w:rsidP="00C85342" w:rsidRDefault="000E3523" w14:paraId="73A1FDD5" w14:textId="184B65FC">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eastAsiaTheme="minorEastAsia"/>
                <w:sz w:val="20"/>
                <w:szCs w:val="18"/>
                <w:lang w:val="en-AU"/>
              </w:rPr>
            </w:pPr>
            <w:r w:rsidRPr="008D1918">
              <w:rPr>
                <w:rFonts w:cs="Calibri" w:eastAsiaTheme="minorEastAsia"/>
                <w:sz w:val="20"/>
                <w:szCs w:val="18"/>
                <w:lang w:val="en-AU"/>
              </w:rPr>
              <w:t>70%</w:t>
            </w:r>
          </w:p>
        </w:tc>
        <w:tc>
          <w:tcPr>
            <w:tcW w:w="1185" w:type="dxa"/>
            <w:vAlign w:val="center"/>
            <w:hideMark/>
          </w:tcPr>
          <w:p w:rsidRPr="008D1918" w:rsidR="000E3523" w:rsidP="00C85342" w:rsidRDefault="000E3523" w14:paraId="2893BA0F" w14:textId="1F9422EE">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eastAsiaTheme="minorEastAsia"/>
                <w:sz w:val="20"/>
                <w:szCs w:val="18"/>
                <w:lang w:val="en-AU"/>
              </w:rPr>
            </w:pPr>
            <w:r w:rsidRPr="008D1918">
              <w:rPr>
                <w:rFonts w:cs="Calibri" w:eastAsiaTheme="minorEastAsia"/>
                <w:sz w:val="20"/>
                <w:szCs w:val="18"/>
                <w:lang w:val="en-AU"/>
              </w:rPr>
              <w:t>69%</w:t>
            </w:r>
          </w:p>
        </w:tc>
        <w:tc>
          <w:tcPr>
            <w:tcW w:w="1172" w:type="dxa"/>
            <w:vAlign w:val="center"/>
            <w:hideMark/>
          </w:tcPr>
          <w:p w:rsidRPr="008D1918" w:rsidR="000E3523" w:rsidP="00C85342" w:rsidRDefault="000E3523" w14:paraId="465597A8" w14:textId="110CC8A6">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eastAsiaTheme="minorEastAsia"/>
                <w:sz w:val="20"/>
                <w:szCs w:val="18"/>
                <w:lang w:val="en-AU"/>
              </w:rPr>
            </w:pPr>
            <w:r w:rsidRPr="008D1918">
              <w:rPr>
                <w:rFonts w:cs="Calibri" w:eastAsiaTheme="minorEastAsia"/>
                <w:sz w:val="20"/>
                <w:szCs w:val="18"/>
                <w:lang w:val="en-AU"/>
              </w:rPr>
              <w:t>70%</w:t>
            </w:r>
          </w:p>
        </w:tc>
        <w:tc>
          <w:tcPr>
            <w:tcW w:w="1185" w:type="dxa"/>
            <w:vAlign w:val="center"/>
            <w:hideMark/>
          </w:tcPr>
          <w:p w:rsidRPr="008D1918" w:rsidR="000E3523" w:rsidP="00C85342" w:rsidRDefault="000E3523" w14:paraId="5CA7E970" w14:textId="327A4705">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eastAsiaTheme="minorEastAsia"/>
                <w:sz w:val="20"/>
                <w:szCs w:val="18"/>
                <w:lang w:val="en-AU"/>
              </w:rPr>
            </w:pPr>
            <w:r w:rsidRPr="008D1918">
              <w:rPr>
                <w:rFonts w:cs="Calibri" w:eastAsiaTheme="minorEastAsia"/>
                <w:sz w:val="20"/>
                <w:szCs w:val="18"/>
                <w:lang w:val="en-AU"/>
              </w:rPr>
              <w:t>69%</w:t>
            </w:r>
          </w:p>
        </w:tc>
        <w:tc>
          <w:tcPr>
            <w:tcW w:w="1172" w:type="dxa"/>
            <w:vAlign w:val="center"/>
            <w:hideMark/>
          </w:tcPr>
          <w:p w:rsidRPr="008D1918" w:rsidR="000E3523" w:rsidP="00C85342" w:rsidRDefault="000E3523" w14:paraId="30B34C9F" w14:textId="180365EF">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eastAsiaTheme="minorEastAsia"/>
                <w:sz w:val="20"/>
                <w:szCs w:val="18"/>
                <w:lang w:val="en-AU"/>
              </w:rPr>
            </w:pPr>
            <w:r w:rsidRPr="008D1918">
              <w:rPr>
                <w:rFonts w:cs="Calibri" w:eastAsiaTheme="minorEastAsia"/>
                <w:sz w:val="20"/>
                <w:szCs w:val="18"/>
                <w:lang w:val="en-AU"/>
              </w:rPr>
              <w:t>73%</w:t>
            </w:r>
          </w:p>
        </w:tc>
        <w:tc>
          <w:tcPr>
            <w:tcW w:w="1185" w:type="dxa"/>
            <w:vAlign w:val="center"/>
            <w:hideMark/>
          </w:tcPr>
          <w:p w:rsidRPr="008D1918" w:rsidR="000E3523" w:rsidP="00C85342" w:rsidRDefault="000E3523" w14:paraId="698F4EEB" w14:textId="556A3081">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eastAsiaTheme="minorEastAsia"/>
                <w:sz w:val="20"/>
                <w:szCs w:val="18"/>
                <w:lang w:val="en-AU"/>
              </w:rPr>
            </w:pPr>
            <w:r w:rsidRPr="008D1918">
              <w:rPr>
                <w:rFonts w:cs="Calibri" w:eastAsiaTheme="minorEastAsia"/>
                <w:sz w:val="20"/>
                <w:szCs w:val="18"/>
                <w:lang w:val="en-AU"/>
              </w:rPr>
              <w:t>65%</w:t>
            </w:r>
          </w:p>
        </w:tc>
      </w:tr>
      <w:tr w:rsidRPr="008D1918" w:rsidR="009F53A6" w:rsidTr="00B93DA6" w14:paraId="58BEC7E9" w14:textId="77777777">
        <w:trPr>
          <w:trHeight w:val="390"/>
        </w:trPr>
        <w:tc>
          <w:tcPr>
            <w:cnfStyle w:val="001000000000" w:firstRow="0" w:lastRow="0" w:firstColumn="1" w:lastColumn="0" w:oddVBand="0" w:evenVBand="0" w:oddHBand="0" w:evenHBand="0" w:firstRowFirstColumn="0" w:firstRowLastColumn="0" w:lastRowFirstColumn="0" w:lastRowLastColumn="0"/>
            <w:tcW w:w="1946" w:type="dxa"/>
            <w:vAlign w:val="center"/>
            <w:hideMark/>
          </w:tcPr>
          <w:p w:rsidRPr="008D1918" w:rsidR="000E3523" w:rsidP="00E03D9B" w:rsidRDefault="000E3523" w14:paraId="02196707" w14:textId="268D71F0">
            <w:pPr>
              <w:keepNext/>
              <w:spacing w:before="60" w:after="60"/>
              <w:rPr>
                <w:rFonts w:cs="Calibri" w:eastAsiaTheme="minorEastAsia"/>
                <w:sz w:val="20"/>
                <w:szCs w:val="18"/>
                <w:lang w:val="en-AU"/>
              </w:rPr>
            </w:pPr>
            <w:r w:rsidRPr="008D1918">
              <w:rPr>
                <w:rFonts w:cs="Calibri" w:eastAsiaTheme="minorEastAsia"/>
                <w:sz w:val="20"/>
                <w:szCs w:val="18"/>
                <w:lang w:val="en-AU"/>
              </w:rPr>
              <w:t>Unregistered</w:t>
            </w:r>
          </w:p>
        </w:tc>
        <w:tc>
          <w:tcPr>
            <w:tcW w:w="1171" w:type="dxa"/>
            <w:vAlign w:val="center"/>
            <w:hideMark/>
          </w:tcPr>
          <w:p w:rsidRPr="008D1918" w:rsidR="000E3523" w:rsidP="00C85342" w:rsidRDefault="000E3523" w14:paraId="23923A02" w14:textId="65D3A4EB">
            <w:pPr>
              <w:keepNext/>
              <w:spacing w:before="60" w:after="60"/>
              <w:jc w:val="center"/>
              <w:cnfStyle w:val="000000000000" w:firstRow="0" w:lastRow="0" w:firstColumn="0" w:lastColumn="0" w:oddVBand="0" w:evenVBand="0" w:oddHBand="0" w:evenHBand="0" w:firstRowFirstColumn="0" w:firstRowLastColumn="0" w:lastRowFirstColumn="0" w:lastRowLastColumn="0"/>
              <w:rPr>
                <w:rFonts w:cs="Calibri" w:eastAsiaTheme="minorEastAsia"/>
                <w:sz w:val="20"/>
                <w:szCs w:val="18"/>
                <w:lang w:val="en-AU"/>
              </w:rPr>
            </w:pPr>
            <w:r w:rsidRPr="008D1918">
              <w:rPr>
                <w:rFonts w:cs="Calibri" w:eastAsiaTheme="minorEastAsia"/>
                <w:sz w:val="20"/>
                <w:szCs w:val="18"/>
                <w:lang w:val="en-AU"/>
              </w:rPr>
              <w:t>57%</w:t>
            </w:r>
          </w:p>
        </w:tc>
        <w:tc>
          <w:tcPr>
            <w:tcW w:w="1185" w:type="dxa"/>
            <w:vAlign w:val="center"/>
            <w:hideMark/>
          </w:tcPr>
          <w:p w:rsidRPr="008D1918" w:rsidR="000E3523" w:rsidP="00C85342" w:rsidRDefault="000E3523" w14:paraId="3BC816A0" w14:textId="036AC655">
            <w:pPr>
              <w:keepNext/>
              <w:spacing w:before="60" w:after="60"/>
              <w:jc w:val="center"/>
              <w:cnfStyle w:val="000000000000" w:firstRow="0" w:lastRow="0" w:firstColumn="0" w:lastColumn="0" w:oddVBand="0" w:evenVBand="0" w:oddHBand="0" w:evenHBand="0" w:firstRowFirstColumn="0" w:firstRowLastColumn="0" w:lastRowFirstColumn="0" w:lastRowLastColumn="0"/>
              <w:rPr>
                <w:rFonts w:cs="Calibri" w:eastAsiaTheme="minorEastAsia"/>
                <w:sz w:val="20"/>
                <w:szCs w:val="18"/>
                <w:lang w:val="en-AU"/>
              </w:rPr>
            </w:pPr>
            <w:r w:rsidRPr="008D1918">
              <w:rPr>
                <w:rFonts w:cs="Calibri" w:eastAsiaTheme="minorEastAsia"/>
                <w:sz w:val="20"/>
                <w:szCs w:val="18"/>
                <w:lang w:val="en-AU"/>
              </w:rPr>
              <w:t>58%</w:t>
            </w:r>
          </w:p>
        </w:tc>
        <w:tc>
          <w:tcPr>
            <w:tcW w:w="1172" w:type="dxa"/>
            <w:vAlign w:val="center"/>
            <w:hideMark/>
          </w:tcPr>
          <w:p w:rsidRPr="008D1918" w:rsidR="000E3523" w:rsidP="00C85342" w:rsidRDefault="000E3523" w14:paraId="0618D5F0" w14:textId="32476121">
            <w:pPr>
              <w:keepNext/>
              <w:spacing w:before="60" w:after="60"/>
              <w:jc w:val="center"/>
              <w:cnfStyle w:val="000000000000" w:firstRow="0" w:lastRow="0" w:firstColumn="0" w:lastColumn="0" w:oddVBand="0" w:evenVBand="0" w:oddHBand="0" w:evenHBand="0" w:firstRowFirstColumn="0" w:firstRowLastColumn="0" w:lastRowFirstColumn="0" w:lastRowLastColumn="0"/>
              <w:rPr>
                <w:rFonts w:cs="Calibri" w:eastAsiaTheme="minorEastAsia"/>
                <w:sz w:val="20"/>
                <w:szCs w:val="18"/>
                <w:lang w:val="en-AU"/>
              </w:rPr>
            </w:pPr>
            <w:r w:rsidRPr="008D1918">
              <w:rPr>
                <w:rFonts w:cs="Calibri" w:eastAsiaTheme="minorEastAsia"/>
                <w:sz w:val="20"/>
                <w:szCs w:val="18"/>
                <w:lang w:val="en-AU"/>
              </w:rPr>
              <w:t>61%</w:t>
            </w:r>
          </w:p>
        </w:tc>
        <w:tc>
          <w:tcPr>
            <w:tcW w:w="1185" w:type="dxa"/>
            <w:vAlign w:val="center"/>
            <w:hideMark/>
          </w:tcPr>
          <w:p w:rsidRPr="008D1918" w:rsidR="000E3523" w:rsidP="00C85342" w:rsidRDefault="000E3523" w14:paraId="01D41B8D" w14:textId="7765F5F1">
            <w:pPr>
              <w:keepNext/>
              <w:spacing w:before="60" w:after="60"/>
              <w:jc w:val="center"/>
              <w:cnfStyle w:val="000000000000" w:firstRow="0" w:lastRow="0" w:firstColumn="0" w:lastColumn="0" w:oddVBand="0" w:evenVBand="0" w:oddHBand="0" w:evenHBand="0" w:firstRowFirstColumn="0" w:firstRowLastColumn="0" w:lastRowFirstColumn="0" w:lastRowLastColumn="0"/>
              <w:rPr>
                <w:rFonts w:cs="Calibri" w:eastAsiaTheme="minorEastAsia"/>
                <w:sz w:val="20"/>
                <w:szCs w:val="18"/>
                <w:lang w:val="en-AU"/>
              </w:rPr>
            </w:pPr>
            <w:r w:rsidRPr="008D1918">
              <w:rPr>
                <w:rFonts w:cs="Calibri" w:eastAsiaTheme="minorEastAsia"/>
                <w:sz w:val="20"/>
                <w:szCs w:val="18"/>
                <w:lang w:val="en-AU"/>
              </w:rPr>
              <w:t>60%</w:t>
            </w:r>
          </w:p>
        </w:tc>
        <w:tc>
          <w:tcPr>
            <w:tcW w:w="1172" w:type="dxa"/>
            <w:vAlign w:val="center"/>
            <w:hideMark/>
          </w:tcPr>
          <w:p w:rsidRPr="008D1918" w:rsidR="000E3523" w:rsidP="00C85342" w:rsidRDefault="000E3523" w14:paraId="4131AF03" w14:textId="1D991F48">
            <w:pPr>
              <w:keepNext/>
              <w:spacing w:before="60" w:after="60"/>
              <w:jc w:val="center"/>
              <w:cnfStyle w:val="000000000000" w:firstRow="0" w:lastRow="0" w:firstColumn="0" w:lastColumn="0" w:oddVBand="0" w:evenVBand="0" w:oddHBand="0" w:evenHBand="0" w:firstRowFirstColumn="0" w:firstRowLastColumn="0" w:lastRowFirstColumn="0" w:lastRowLastColumn="0"/>
              <w:rPr>
                <w:rFonts w:cs="Calibri" w:eastAsiaTheme="minorEastAsia"/>
                <w:sz w:val="20"/>
                <w:szCs w:val="18"/>
                <w:lang w:val="en-AU"/>
              </w:rPr>
            </w:pPr>
            <w:r w:rsidRPr="008D1918">
              <w:rPr>
                <w:rFonts w:cs="Calibri" w:eastAsiaTheme="minorEastAsia"/>
                <w:sz w:val="20"/>
                <w:szCs w:val="18"/>
                <w:lang w:val="en-AU"/>
              </w:rPr>
              <w:t>63%</w:t>
            </w:r>
          </w:p>
        </w:tc>
        <w:tc>
          <w:tcPr>
            <w:tcW w:w="1185" w:type="dxa"/>
            <w:vAlign w:val="center"/>
            <w:hideMark/>
          </w:tcPr>
          <w:p w:rsidRPr="008D1918" w:rsidR="000E3523" w:rsidP="00C85342" w:rsidRDefault="000E3523" w14:paraId="2A13E82D" w14:textId="1651C308">
            <w:pPr>
              <w:keepNext/>
              <w:spacing w:before="60" w:after="60"/>
              <w:jc w:val="center"/>
              <w:cnfStyle w:val="000000000000" w:firstRow="0" w:lastRow="0" w:firstColumn="0" w:lastColumn="0" w:oddVBand="0" w:evenVBand="0" w:oddHBand="0" w:evenHBand="0" w:firstRowFirstColumn="0" w:firstRowLastColumn="0" w:lastRowFirstColumn="0" w:lastRowLastColumn="0"/>
              <w:rPr>
                <w:rFonts w:cs="Calibri" w:eastAsiaTheme="minorEastAsia"/>
                <w:sz w:val="20"/>
                <w:szCs w:val="18"/>
                <w:lang w:val="en-AU"/>
              </w:rPr>
            </w:pPr>
            <w:r w:rsidRPr="008D1918">
              <w:rPr>
                <w:rFonts w:cs="Calibri" w:eastAsiaTheme="minorEastAsia"/>
                <w:sz w:val="20"/>
                <w:szCs w:val="18"/>
                <w:lang w:val="en-AU"/>
              </w:rPr>
              <w:t>59%</w:t>
            </w:r>
          </w:p>
        </w:tc>
      </w:tr>
      <w:tr w:rsidRPr="008D1918" w:rsidR="00173A73" w:rsidTr="00B93DA6" w14:paraId="365B6C1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46" w:type="dxa"/>
            <w:vAlign w:val="center"/>
            <w:hideMark/>
          </w:tcPr>
          <w:p w:rsidRPr="008D1918" w:rsidR="000E3523" w:rsidP="00E03D9B" w:rsidRDefault="000E3523" w14:paraId="2A080D03" w14:textId="1B58D1F7">
            <w:pPr>
              <w:keepNext/>
              <w:spacing w:before="60" w:after="60"/>
              <w:rPr>
                <w:rFonts w:cs="Calibri" w:eastAsiaTheme="minorEastAsia"/>
                <w:sz w:val="20"/>
                <w:szCs w:val="18"/>
                <w:lang w:val="en-AU"/>
              </w:rPr>
            </w:pPr>
            <w:r w:rsidRPr="008D1918">
              <w:rPr>
                <w:rFonts w:cs="Calibri" w:eastAsiaTheme="minorEastAsia"/>
                <w:b/>
                <w:sz w:val="20"/>
                <w:szCs w:val="18"/>
                <w:lang w:val="en-AU"/>
              </w:rPr>
              <w:t xml:space="preserve">All </w:t>
            </w:r>
            <w:r w:rsidRPr="008D1918" w:rsidR="00420C59">
              <w:rPr>
                <w:rFonts w:cs="Calibri" w:eastAsiaTheme="minorEastAsia"/>
                <w:b/>
                <w:sz w:val="20"/>
                <w:szCs w:val="18"/>
                <w:lang w:val="en-AU"/>
              </w:rPr>
              <w:t>p</w:t>
            </w:r>
            <w:r w:rsidRPr="008D1918">
              <w:rPr>
                <w:rFonts w:cs="Calibri" w:eastAsiaTheme="minorEastAsia"/>
                <w:b/>
                <w:sz w:val="20"/>
                <w:szCs w:val="18"/>
                <w:lang w:val="en-AU"/>
              </w:rPr>
              <w:t>roviders</w:t>
            </w:r>
          </w:p>
        </w:tc>
        <w:tc>
          <w:tcPr>
            <w:tcW w:w="1171" w:type="dxa"/>
            <w:vAlign w:val="center"/>
            <w:hideMark/>
          </w:tcPr>
          <w:p w:rsidRPr="008D1918" w:rsidR="000E3523" w:rsidP="00C85342" w:rsidRDefault="000E3523" w14:paraId="11E7FDFD" w14:textId="59B3D462">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eastAsiaTheme="minorEastAsia"/>
                <w:b/>
                <w:sz w:val="20"/>
                <w:szCs w:val="18"/>
                <w:lang w:val="en-AU"/>
              </w:rPr>
            </w:pPr>
            <w:r w:rsidRPr="008D1918">
              <w:rPr>
                <w:rFonts w:cs="Calibri" w:eastAsiaTheme="minorEastAsia"/>
                <w:b/>
                <w:sz w:val="20"/>
                <w:szCs w:val="18"/>
                <w:lang w:val="en-AU"/>
              </w:rPr>
              <w:t>66%</w:t>
            </w:r>
          </w:p>
        </w:tc>
        <w:tc>
          <w:tcPr>
            <w:tcW w:w="1185" w:type="dxa"/>
            <w:vAlign w:val="center"/>
            <w:hideMark/>
          </w:tcPr>
          <w:p w:rsidRPr="008D1918" w:rsidR="000E3523" w:rsidP="00C85342" w:rsidRDefault="000E3523" w14:paraId="0C079AD8" w14:textId="62E7A292">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eastAsiaTheme="minorEastAsia"/>
                <w:b/>
                <w:sz w:val="20"/>
                <w:szCs w:val="18"/>
                <w:lang w:val="en-AU"/>
              </w:rPr>
            </w:pPr>
            <w:r w:rsidRPr="008D1918">
              <w:rPr>
                <w:rFonts w:cs="Calibri" w:eastAsiaTheme="minorEastAsia"/>
                <w:b/>
                <w:sz w:val="20"/>
                <w:szCs w:val="18"/>
                <w:lang w:val="en-AU"/>
              </w:rPr>
              <w:t>65%</w:t>
            </w:r>
          </w:p>
        </w:tc>
        <w:tc>
          <w:tcPr>
            <w:tcW w:w="1172" w:type="dxa"/>
            <w:vAlign w:val="center"/>
            <w:hideMark/>
          </w:tcPr>
          <w:p w:rsidRPr="008D1918" w:rsidR="000E3523" w:rsidP="00C85342" w:rsidRDefault="000E3523" w14:paraId="1ACC1255" w14:textId="6B549540">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eastAsiaTheme="minorEastAsia"/>
                <w:b/>
                <w:sz w:val="20"/>
                <w:szCs w:val="18"/>
                <w:lang w:val="en-AU"/>
              </w:rPr>
            </w:pPr>
            <w:r w:rsidRPr="008D1918">
              <w:rPr>
                <w:rFonts w:cs="Calibri" w:eastAsiaTheme="minorEastAsia"/>
                <w:b/>
                <w:sz w:val="20"/>
                <w:szCs w:val="18"/>
                <w:lang w:val="en-AU"/>
              </w:rPr>
              <w:t>66%</w:t>
            </w:r>
          </w:p>
        </w:tc>
        <w:tc>
          <w:tcPr>
            <w:tcW w:w="1185" w:type="dxa"/>
            <w:vAlign w:val="center"/>
            <w:hideMark/>
          </w:tcPr>
          <w:p w:rsidRPr="008D1918" w:rsidR="000E3523" w:rsidP="00C85342" w:rsidRDefault="000E3523" w14:paraId="21E813C2" w14:textId="26EEACC4">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eastAsiaTheme="minorEastAsia"/>
                <w:b/>
                <w:sz w:val="20"/>
                <w:szCs w:val="18"/>
                <w:lang w:val="en-AU"/>
              </w:rPr>
            </w:pPr>
            <w:r w:rsidRPr="008D1918">
              <w:rPr>
                <w:rFonts w:cs="Calibri" w:eastAsiaTheme="minorEastAsia"/>
                <w:b/>
                <w:sz w:val="20"/>
                <w:szCs w:val="18"/>
                <w:lang w:val="en-AU"/>
              </w:rPr>
              <w:t>66%</w:t>
            </w:r>
          </w:p>
        </w:tc>
        <w:tc>
          <w:tcPr>
            <w:tcW w:w="1172" w:type="dxa"/>
            <w:vAlign w:val="center"/>
            <w:hideMark/>
          </w:tcPr>
          <w:p w:rsidRPr="008D1918" w:rsidR="000E3523" w:rsidP="00C85342" w:rsidRDefault="000E3523" w14:paraId="5F4ABAE3" w14:textId="2D66A010">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eastAsiaTheme="minorEastAsia"/>
                <w:b/>
                <w:sz w:val="20"/>
                <w:szCs w:val="18"/>
                <w:lang w:val="en-AU"/>
              </w:rPr>
            </w:pPr>
            <w:r w:rsidRPr="008D1918">
              <w:rPr>
                <w:rFonts w:cs="Calibri" w:eastAsiaTheme="minorEastAsia"/>
                <w:b/>
                <w:sz w:val="20"/>
                <w:szCs w:val="18"/>
                <w:lang w:val="en-AU"/>
              </w:rPr>
              <w:t>69%</w:t>
            </w:r>
          </w:p>
        </w:tc>
        <w:tc>
          <w:tcPr>
            <w:tcW w:w="1185" w:type="dxa"/>
            <w:vAlign w:val="center"/>
            <w:hideMark/>
          </w:tcPr>
          <w:p w:rsidRPr="008D1918" w:rsidR="000E3523" w:rsidP="00C85342" w:rsidRDefault="000E3523" w14:paraId="50F08642" w14:textId="55175CE1">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Calibri" w:eastAsiaTheme="minorEastAsia"/>
                <w:b/>
                <w:sz w:val="20"/>
                <w:szCs w:val="18"/>
                <w:lang w:val="en-AU"/>
              </w:rPr>
            </w:pPr>
            <w:r w:rsidRPr="008D1918">
              <w:rPr>
                <w:rFonts w:cs="Calibri" w:eastAsiaTheme="minorEastAsia"/>
                <w:b/>
                <w:sz w:val="20"/>
                <w:szCs w:val="18"/>
                <w:lang w:val="en-AU"/>
              </w:rPr>
              <w:t>62%</w:t>
            </w:r>
          </w:p>
        </w:tc>
      </w:tr>
    </w:tbl>
    <w:p w:rsidRPr="008D1918" w:rsidR="000E3523" w:rsidRDefault="000E3523" w14:paraId="6C4F8214" w14:textId="77777777">
      <w:pPr>
        <w:keepNext/>
        <w:spacing w:before="120" w:after="60" w:line="240" w:lineRule="atLeast"/>
        <w:rPr>
          <w:rFonts w:cs="Calibri" w:eastAsiaTheme="minorEastAsia"/>
          <w:b/>
          <w:sz w:val="20"/>
          <w:szCs w:val="18"/>
          <w:lang w:val="en-AU"/>
        </w:rPr>
      </w:pPr>
      <w:r w:rsidRPr="008D1918">
        <w:rPr>
          <w:rFonts w:cs="Calibri" w:eastAsiaTheme="minorEastAsia"/>
          <w:b/>
          <w:sz w:val="20"/>
          <w:szCs w:val="18"/>
          <w:lang w:val="en-AU"/>
        </w:rPr>
        <w:t>Source: NDIS internal administrative data </w:t>
      </w:r>
    </w:p>
    <w:p w:rsidRPr="008D1918" w:rsidR="000E3523" w:rsidP="002B66D6" w:rsidRDefault="000E3523" w14:paraId="413E2889" w14:textId="44A80E1C">
      <w:pPr>
        <w:spacing w:before="120" w:after="360" w:line="240" w:lineRule="atLeast"/>
        <w:rPr>
          <w:rFonts w:cs="Calibri" w:eastAsiaTheme="minorEastAsia"/>
          <w:sz w:val="20"/>
          <w:szCs w:val="18"/>
          <w:lang w:val="en-AU"/>
        </w:rPr>
      </w:pPr>
      <w:r w:rsidRPr="008D1918">
        <w:rPr>
          <w:rFonts w:cs="Calibri" w:eastAsiaTheme="minorEastAsia"/>
          <w:sz w:val="20"/>
          <w:szCs w:val="18"/>
          <w:lang w:val="en-AU"/>
        </w:rPr>
        <w:t xml:space="preserve">Note: All </w:t>
      </w:r>
      <w:r w:rsidRPr="008D1918" w:rsidR="00BA74B7">
        <w:rPr>
          <w:rFonts w:cs="Calibri" w:eastAsiaTheme="minorEastAsia"/>
          <w:sz w:val="20"/>
          <w:szCs w:val="18"/>
          <w:lang w:val="en-AU"/>
        </w:rPr>
        <w:t>p</w:t>
      </w:r>
      <w:r w:rsidRPr="008D1918">
        <w:rPr>
          <w:rFonts w:cs="Calibri" w:eastAsiaTheme="minorEastAsia"/>
          <w:sz w:val="20"/>
          <w:szCs w:val="18"/>
          <w:lang w:val="en-AU"/>
        </w:rPr>
        <w:t>roviders above are inclusive of providers with the unknown registration status at the time of the transaction.</w:t>
      </w:r>
    </w:p>
    <w:p w:rsidRPr="008D1918" w:rsidR="003B5112" w:rsidP="003B5112" w:rsidRDefault="007B7D73" w14:paraId="748A2596" w14:textId="3482168A">
      <w:pPr>
        <w:pStyle w:val="Caption"/>
        <w:rPr>
          <w:i w:val="0"/>
          <w:color w:val="6B2876" w:themeColor="accent5"/>
        </w:rPr>
      </w:pPr>
      <w:bookmarkStart w:name="_Ref227131937" w:id="999"/>
      <w:r w:rsidRPr="008D1918">
        <w:t xml:space="preserve">Figure </w:t>
      </w:r>
      <w:r>
        <w:fldChar w:fldCharType="begin"/>
      </w:r>
      <w:r>
        <w:instrText>SEQ Figure \* ARABIC</w:instrText>
      </w:r>
      <w:r>
        <w:fldChar w:fldCharType="separate"/>
      </w:r>
      <w:r w:rsidR="008F56A2">
        <w:rPr>
          <w:noProof/>
        </w:rPr>
        <w:t>16</w:t>
      </w:r>
      <w:r>
        <w:fldChar w:fldCharType="end"/>
      </w:r>
      <w:bookmarkEnd w:id="999"/>
      <w:r w:rsidRPr="008D1918">
        <w:t xml:space="preserve">: </w:t>
      </w:r>
      <w:r w:rsidRPr="008D1918" w:rsidR="003B5112">
        <w:rPr>
          <w:color w:val="6B2876" w:themeColor="accent5"/>
        </w:rPr>
        <w:t>Percentage of NDIS claims billed at various time durations across therapy support type</w:t>
      </w:r>
      <w:r w:rsidRPr="008D1918">
        <w:rPr>
          <w:color w:val="6B2876" w:themeColor="accent5"/>
        </w:rPr>
        <w:t>,</w:t>
      </w:r>
      <w:r w:rsidRPr="008D1918" w:rsidR="003B5112">
        <w:rPr>
          <w:color w:val="6B2876" w:themeColor="accent5"/>
        </w:rPr>
        <w:t xml:space="preserve"> July </w:t>
      </w:r>
      <w:r w:rsidRPr="008D1918">
        <w:rPr>
          <w:color w:val="6B2876" w:themeColor="accent5"/>
        </w:rPr>
        <w:t>to</w:t>
      </w:r>
      <w:r w:rsidRPr="008D1918" w:rsidR="003B5112">
        <w:rPr>
          <w:color w:val="6B2876" w:themeColor="accent5"/>
        </w:rPr>
        <w:t xml:space="preserve"> October 2025</w:t>
      </w:r>
    </w:p>
    <w:p w:rsidRPr="008D1918" w:rsidR="003B5112" w:rsidP="003B5112" w:rsidRDefault="003B5112" w14:paraId="72D0E3AD" w14:textId="77777777">
      <w:pPr>
        <w:keepNext/>
        <w:spacing w:before="360" w:after="180" w:line="240" w:lineRule="auto"/>
        <w:rPr>
          <w:rFonts w:eastAsiaTheme="minorEastAsia"/>
        </w:rPr>
      </w:pPr>
      <w:r w:rsidRPr="008D1918">
        <w:rPr>
          <w:rFonts w:eastAsiaTheme="minorEastAsia" w:cstheme="minorBidi"/>
          <w:i/>
          <w:noProof/>
          <w:color w:val="6B2876" w:themeColor="accent5"/>
          <w:lang w:val="en-AU"/>
        </w:rPr>
        <w:drawing>
          <wp:inline distT="0" distB="0" distL="0" distR="0" wp14:anchorId="763FC367" wp14:editId="28865790">
            <wp:extent cx="5808057" cy="3523129"/>
            <wp:effectExtent l="0" t="0" r="2540" b="1270"/>
            <wp:docPr id="1642184177" name="Picture 10" descr="Figure 16: A stacked bar graph showing the percentage of NDIS claims billed at various time durations across therapy support type for July 2025 – October 2025.&#10;The graph shows that most therapy supports are mostly billed at 46-60 minute intervals with the lowest ratio of 44% of OT claims, and the highest ratio of 82% of psychology claims. 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184177" name="Picture 10" descr="Figure 16: A stacked bar graph showing the percentage of NDIS claims billed at various time durations across therapy support type for July 2025 – October 2025.&#10;The graph shows that most therapy supports are mostly billed at 46-60 minute intervals with the lowest ratio of 44% of OT claims, and the highest ratio of 82% of psychology claims. Source: NDIS internal administrative data."/>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4914"/>
                    <a:stretch>
                      <a:fillRect/>
                    </a:stretch>
                  </pic:blipFill>
                  <pic:spPr bwMode="auto">
                    <a:xfrm>
                      <a:off x="0" y="0"/>
                      <a:ext cx="5808755" cy="3523552"/>
                    </a:xfrm>
                    <a:prstGeom prst="rect">
                      <a:avLst/>
                    </a:prstGeom>
                    <a:noFill/>
                    <a:ln>
                      <a:noFill/>
                    </a:ln>
                    <a:extLst>
                      <a:ext uri="{53640926-AAD7-44D8-BBD7-CCE9431645EC}">
                        <a14:shadowObscured xmlns:a14="http://schemas.microsoft.com/office/drawing/2010/main"/>
                      </a:ext>
                    </a:extLst>
                  </pic:spPr>
                </pic:pic>
              </a:graphicData>
            </a:graphic>
          </wp:inline>
        </w:drawing>
      </w:r>
    </w:p>
    <w:p w:rsidRPr="008D1918" w:rsidR="003B5112" w:rsidP="003B5112" w:rsidRDefault="003B5112" w14:paraId="52BB4B2C" w14:textId="77777777">
      <w:pPr>
        <w:spacing w:before="120" w:after="360" w:line="240" w:lineRule="atLeast"/>
        <w:rPr>
          <w:rFonts w:cs="Calibri" w:eastAsiaTheme="minorEastAsia"/>
          <w:sz w:val="20"/>
          <w:szCs w:val="18"/>
          <w:lang w:val="en-AU"/>
        </w:rPr>
      </w:pPr>
      <w:r w:rsidRPr="008D1918">
        <w:rPr>
          <w:rFonts w:cs="Calibri" w:eastAsiaTheme="minorEastAsia"/>
          <w:b/>
          <w:bCs/>
          <w:sz w:val="20"/>
          <w:szCs w:val="18"/>
          <w:lang w:val="en-AU"/>
        </w:rPr>
        <w:t>Source: NDIS internal administrative data</w:t>
      </w:r>
      <w:r w:rsidRPr="008D1918">
        <w:rPr>
          <w:rFonts w:cs="Calibri" w:eastAsiaTheme="minorEastAsia"/>
          <w:sz w:val="20"/>
          <w:szCs w:val="18"/>
          <w:lang w:val="en-AU"/>
        </w:rPr>
        <w:br/>
      </w:r>
      <w:r w:rsidRPr="008D1918">
        <w:rPr>
          <w:rFonts w:cs="Calibri" w:eastAsiaTheme="minorEastAsia"/>
          <w:sz w:val="20"/>
          <w:szCs w:val="18"/>
          <w:lang w:val="en-AU"/>
        </w:rPr>
        <w:t>Note: Data is on an accrual basis.</w:t>
      </w:r>
    </w:p>
    <w:p w:rsidRPr="008D1918" w:rsidR="003B5112" w:rsidP="002B66D6" w:rsidRDefault="003B5112" w14:paraId="31D209FC" w14:textId="77777777">
      <w:pPr>
        <w:spacing w:before="120" w:after="360" w:line="240" w:lineRule="atLeast"/>
        <w:rPr>
          <w:rFonts w:cs="Calibri" w:eastAsiaTheme="minorEastAsia"/>
          <w:sz w:val="20"/>
          <w:szCs w:val="18"/>
          <w:lang w:val="en-AU"/>
        </w:rPr>
      </w:pPr>
    </w:p>
    <w:p w:rsidRPr="008D1918" w:rsidR="000E3523" w:rsidP="00CD4EB4" w:rsidRDefault="000E3523" w14:paraId="08A5DF92" w14:textId="08DEB7FD">
      <w:pPr>
        <w:pStyle w:val="Heading31"/>
        <w:ind w:left="1077" w:hanging="720"/>
      </w:pPr>
      <w:bookmarkStart w:name="_Toc194939581" w:id="1000"/>
      <w:bookmarkStart w:name="_Toc195538928" w:id="1001"/>
      <w:bookmarkStart w:name="_Toc195538988" w:id="1002"/>
      <w:bookmarkStart w:name="_Toc196754632" w:id="1003"/>
      <w:bookmarkStart w:name="_Toc196758234" w:id="1004"/>
      <w:bookmarkStart w:name="_Toc197344310" w:id="1005"/>
      <w:bookmarkStart w:name="_Toc200271621" w:id="1006"/>
      <w:bookmarkStart w:name="_Toc223539683" w:id="1007"/>
      <w:bookmarkStart w:name="_Toc223539900" w:id="1008"/>
      <w:bookmarkStart w:name="_Toc223540368" w:id="1009"/>
      <w:bookmarkStart w:name="_Toc223540584" w:id="1010"/>
      <w:bookmarkStart w:name="_Toc223542120" w:id="1011"/>
      <w:bookmarkStart w:name="_Toc223604306" w:id="1012"/>
      <w:bookmarkStart w:name="_Toc223604517" w:id="1013"/>
      <w:bookmarkStart w:name="_Toc227337102" w:id="1014"/>
      <w:r w:rsidRPr="008D1918">
        <w:t xml:space="preserve">Business </w:t>
      </w:r>
      <w:r w:rsidRPr="008D1918" w:rsidR="00DD5F1B">
        <w:t>d</w:t>
      </w:r>
      <w:r w:rsidRPr="008D1918">
        <w:t>ynamism</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rsidRPr="008D1918" w:rsidR="000E3523" w:rsidP="00041468" w:rsidRDefault="000E3523" w14:paraId="3C19B703" w14:textId="77777777">
      <w:pPr>
        <w:pStyle w:val="StyleStyle112pt"/>
      </w:pPr>
      <w:bookmarkStart w:name="_Toc195538929" w:id="1015"/>
      <w:bookmarkStart w:name="_Toc200103509" w:id="1016"/>
      <w:bookmarkStart w:name="_Toc200271622" w:id="1017"/>
      <w:bookmarkStart w:name="_Toc223428435" w:id="1018"/>
      <w:bookmarkStart w:name="_Toc223445894" w:id="1019"/>
      <w:bookmarkStart w:name="_Toc223539684" w:id="1020"/>
      <w:bookmarkStart w:name="_Toc223539901" w:id="1021"/>
      <w:bookmarkStart w:name="_Toc223540369" w:id="1022"/>
      <w:bookmarkStart w:name="_Toc223540585" w:id="1023"/>
      <w:bookmarkStart w:name="_Toc223542121" w:id="1024"/>
      <w:bookmarkStart w:name="_Toc223604307" w:id="1025"/>
      <w:bookmarkStart w:name="_Toc223604518" w:id="1026"/>
      <w:bookmarkStart w:name="_Toc223604738" w:id="1027"/>
      <w:bookmarkStart w:name="_Toc223618600" w:id="1028"/>
      <w:bookmarkStart w:name="_Toc223702837" w:id="1029"/>
      <w:bookmarkStart w:name="_Toc227318735" w:id="1030"/>
      <w:bookmarkStart w:name="_Toc227337103" w:id="1031"/>
      <w:r w:rsidRPr="008D1918">
        <w:t xml:space="preserve">Payment </w:t>
      </w:r>
      <w:bookmarkEnd w:id="1015"/>
      <w:bookmarkEnd w:id="1016"/>
      <w:bookmarkEnd w:id="1017"/>
      <w:r w:rsidRPr="008D1918">
        <w:t>consistency</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rsidRPr="008D1918" w:rsidR="000E3523" w:rsidRDefault="000E3523" w14:paraId="418EB07A" w14:textId="0E58E918">
      <w:pPr>
        <w:rPr>
          <w:rFonts w:eastAsia="Arial" w:cs="Arial"/>
          <w:lang w:val="en-AU"/>
        </w:rPr>
      </w:pPr>
      <w:bookmarkStart w:name="_Ref195540746" w:id="1032"/>
      <w:r w:rsidRPr="008D1918">
        <w:rPr>
          <w:rFonts w:eastAsia="Arial" w:cs="Arial"/>
          <w:lang w:val="en-AU"/>
        </w:rPr>
        <w:t xml:space="preserve">As shown in </w:t>
      </w:r>
      <w:r w:rsidRPr="008D1918" w:rsidR="002F219E">
        <w:rPr>
          <w:rFonts w:eastAsia="Arial" w:cs="Arial"/>
          <w:lang w:val="en-AU"/>
        </w:rPr>
        <w:fldChar w:fldCharType="begin"/>
      </w:r>
      <w:r w:rsidRPr="008D1918" w:rsidR="002F219E">
        <w:rPr>
          <w:rFonts w:eastAsia="Arial" w:cs="Arial"/>
          <w:lang w:val="en-AU"/>
        </w:rPr>
        <w:instrText xml:space="preserve"> REF _Ref223624440 \h </w:instrText>
      </w:r>
      <w:r w:rsidRPr="008D1918" w:rsidR="00762DF8">
        <w:rPr>
          <w:rFonts w:eastAsia="Arial" w:cs="Arial"/>
          <w:lang w:val="en-AU"/>
        </w:rPr>
        <w:instrText xml:space="preserve"> \* MERGEFORMAT </w:instrText>
      </w:r>
      <w:r w:rsidRPr="008D1918" w:rsidR="002F219E">
        <w:rPr>
          <w:rFonts w:eastAsia="Arial" w:cs="Arial"/>
          <w:lang w:val="en-AU"/>
        </w:rPr>
      </w:r>
      <w:r w:rsidRPr="008D1918" w:rsidR="002F219E">
        <w:rPr>
          <w:rFonts w:eastAsia="Arial" w:cs="Arial"/>
          <w:lang w:val="en-AU"/>
        </w:rPr>
        <w:fldChar w:fldCharType="separate"/>
      </w:r>
      <w:r w:rsidRPr="008F56A2" w:rsidR="008F56A2">
        <w:rPr>
          <w:lang w:val="en-AU"/>
        </w:rPr>
        <w:t>Figure</w:t>
      </w:r>
      <w:r w:rsidRPr="008D1918" w:rsidR="008F56A2">
        <w:t xml:space="preserve"> </w:t>
      </w:r>
      <w:r w:rsidR="008F56A2">
        <w:rPr>
          <w:noProof/>
        </w:rPr>
        <w:t>17</w:t>
      </w:r>
      <w:r w:rsidRPr="008D1918" w:rsidR="002F219E">
        <w:rPr>
          <w:rFonts w:eastAsia="Arial" w:cs="Arial"/>
          <w:lang w:val="en-AU"/>
        </w:rPr>
        <w:fldChar w:fldCharType="end"/>
      </w:r>
      <w:r w:rsidRPr="008D1918">
        <w:rPr>
          <w:rFonts w:eastAsia="Arial" w:cs="Arial"/>
          <w:lang w:val="en-AU"/>
        </w:rPr>
        <w:t xml:space="preserve">, there is a clear distinction between registered and unregistered providers and payment consistencies, measured by the number of half‑year periods in which providers recorded at least one claim between January 2023 and December 2025. Amongst registered providers, 45% were active across all </w:t>
      </w:r>
      <w:r w:rsidRPr="008D1918" w:rsidR="00071B59">
        <w:rPr>
          <w:rFonts w:eastAsia="Arial" w:cs="Arial"/>
          <w:lang w:val="en-AU"/>
        </w:rPr>
        <w:t xml:space="preserve">6 </w:t>
      </w:r>
      <w:r w:rsidRPr="008D1918">
        <w:rPr>
          <w:rFonts w:eastAsia="Arial" w:cs="Arial"/>
          <w:lang w:val="en-AU"/>
        </w:rPr>
        <w:t>half-year periods from January 2023 to December 2025, accounting for 91% of total payments, representing a relatively stable base.</w:t>
      </w:r>
    </w:p>
    <w:p w:rsidRPr="008D1918" w:rsidR="000E3523" w:rsidRDefault="000E3523" w14:paraId="1A150F9D" w14:textId="1C5E6408">
      <w:pPr>
        <w:rPr>
          <w:rFonts w:eastAsia="Arial" w:cs="Arial"/>
          <w:lang w:val="en-AU"/>
        </w:rPr>
      </w:pPr>
      <w:r w:rsidRPr="008D1918">
        <w:rPr>
          <w:rFonts w:eastAsia="Arial" w:cs="Arial"/>
          <w:lang w:val="en-AU"/>
        </w:rPr>
        <w:t>Amongst unregistered providers, the largest group was active for only one</w:t>
      </w:r>
      <w:r w:rsidRPr="008D1918" w:rsidR="003B42EF">
        <w:rPr>
          <w:rFonts w:eastAsia="Arial" w:cs="Arial"/>
          <w:lang w:val="en-AU"/>
        </w:rPr>
        <w:t xml:space="preserve"> </w:t>
      </w:r>
      <w:r w:rsidRPr="008D1918">
        <w:rPr>
          <w:rFonts w:eastAsia="Arial" w:cs="Arial"/>
          <w:lang w:val="en-AU"/>
        </w:rPr>
        <w:t>half</w:t>
      </w:r>
      <w:r w:rsidRPr="008D1918" w:rsidR="003B42EF">
        <w:rPr>
          <w:rFonts w:eastAsia="Arial" w:cs="Arial"/>
          <w:lang w:val="en-AU"/>
        </w:rPr>
        <w:t>-</w:t>
      </w:r>
      <w:r w:rsidRPr="008D1918">
        <w:rPr>
          <w:rFonts w:eastAsia="Arial" w:cs="Arial"/>
          <w:lang w:val="en-AU"/>
        </w:rPr>
        <w:t xml:space="preserve">year period, although a stable base of 23% delivered therapy over all </w:t>
      </w:r>
      <w:r w:rsidRPr="008D1918" w:rsidR="00312391">
        <w:rPr>
          <w:rFonts w:eastAsia="Arial" w:cs="Arial"/>
          <w:lang w:val="en-AU"/>
        </w:rPr>
        <w:t xml:space="preserve">6 </w:t>
      </w:r>
      <w:r w:rsidRPr="008D1918">
        <w:rPr>
          <w:rFonts w:eastAsia="Arial" w:cs="Arial"/>
          <w:lang w:val="en-AU"/>
        </w:rPr>
        <w:t>periods and claimed over 75% of payments to unregistered providers.</w:t>
      </w:r>
      <w:bookmarkEnd w:id="1032"/>
    </w:p>
    <w:p w:rsidRPr="008D1918" w:rsidR="000E3523" w:rsidP="002F219E" w:rsidRDefault="000E3523" w14:paraId="3504C4F7" w14:textId="14AE2DA4">
      <w:pPr>
        <w:pStyle w:val="Caption"/>
        <w:rPr>
          <w:rFonts w:eastAsia="DengXian" w:cs="Cordia New"/>
          <w:i w:val="0"/>
          <w:color w:val="6B2876" w:themeColor="accent5"/>
        </w:rPr>
      </w:pPr>
      <w:bookmarkStart w:name="_Ref223624440" w:id="1033"/>
      <w:r w:rsidRPr="008D1918">
        <w:t xml:space="preserve">Figure </w:t>
      </w:r>
      <w:r>
        <w:fldChar w:fldCharType="begin"/>
      </w:r>
      <w:r>
        <w:instrText>SEQ Figure \* ARABIC</w:instrText>
      </w:r>
      <w:r>
        <w:fldChar w:fldCharType="separate"/>
      </w:r>
      <w:r w:rsidR="008F56A2">
        <w:rPr>
          <w:noProof/>
        </w:rPr>
        <w:t>17</w:t>
      </w:r>
      <w:r>
        <w:fldChar w:fldCharType="end"/>
      </w:r>
      <w:bookmarkEnd w:id="1033"/>
      <w:r w:rsidRPr="008D1918">
        <w:rPr>
          <w:rFonts w:eastAsia="DengXian" w:cs="Cordia New"/>
          <w:color w:val="6B2876" w:themeColor="accent5"/>
        </w:rPr>
        <w:t>: Provider continuity for therapy supports by registration status and percentage of total payments, January 2023 to December 2025</w:t>
      </w:r>
    </w:p>
    <w:p w:rsidRPr="008D1918" w:rsidR="000E3523" w:rsidP="007A6B8B" w:rsidRDefault="000E3523" w14:paraId="130503C9" w14:textId="77777777">
      <w:pPr>
        <w:pStyle w:val="paragraph"/>
        <w:spacing w:before="0" w:beforeAutospacing="0" w:after="360" w:afterAutospacing="0"/>
        <w:textAlignment w:val="baseline"/>
        <w:rPr>
          <w:rStyle w:val="eop"/>
          <w:rFonts w:ascii="Arial" w:hAnsi="Arial" w:cs="Arial"/>
          <w:i/>
          <w:iCs/>
        </w:rPr>
      </w:pPr>
      <w:r w:rsidRPr="008D1918">
        <w:rPr>
          <w:noProof/>
        </w:rPr>
        <w:drawing>
          <wp:inline distT="0" distB="0" distL="0" distR="0" wp14:anchorId="4B0F2C29" wp14:editId="2D1FBC2D">
            <wp:extent cx="5724525" cy="2477921"/>
            <wp:effectExtent l="0" t="0" r="0" b="0"/>
            <wp:docPr id="281378627" name="Picture 11" descr="Figure 17: Two bar graphs showing provider continuity for therapy supports by registration status and percentage of total payments, from January 2023 to December 2025 - Registered and unregistered providers.&#10;91% of payments to registered providers over the period were to providers who operated over all half years in the period (45%). &#10;75% of payments to registered providers over the period were to providers who operated over all half years in the period (23%). &#10;Source: NDIS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78627" name="Picture 11" descr="Figure 17: Two bar graphs showing provider continuity for therapy supports by registration status and percentage of total payments, from January 2023 to December 2025 - Registered and unregistered providers.&#10;91% of payments to registered providers over the period were to providers who operated over all half years in the period (45%). &#10;75% of payments to registered providers over the period were to providers who operated over all half years in the period (23%). &#10;Source: NDIS internal data"/>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5724525" cy="2477921"/>
                    </a:xfrm>
                    <a:prstGeom prst="rect">
                      <a:avLst/>
                    </a:prstGeom>
                    <a:noFill/>
                    <a:ln>
                      <a:noFill/>
                    </a:ln>
                  </pic:spPr>
                </pic:pic>
              </a:graphicData>
            </a:graphic>
          </wp:inline>
        </w:drawing>
      </w:r>
    </w:p>
    <w:p w:rsidRPr="008D1918" w:rsidR="000E3523" w:rsidP="00041468" w:rsidRDefault="000E3523" w14:paraId="426EF782" w14:textId="77777777">
      <w:pPr>
        <w:pStyle w:val="StyleStyle112pt"/>
      </w:pPr>
      <w:bookmarkStart w:name="_Toc223428436" w:id="1034"/>
      <w:bookmarkStart w:name="_Toc223445895" w:id="1035"/>
      <w:bookmarkStart w:name="_Toc223539685" w:id="1036"/>
      <w:bookmarkStart w:name="_Toc223539902" w:id="1037"/>
      <w:bookmarkStart w:name="_Toc223540370" w:id="1038"/>
      <w:bookmarkStart w:name="_Toc223540586" w:id="1039"/>
      <w:bookmarkStart w:name="_Toc223542122" w:id="1040"/>
      <w:bookmarkStart w:name="_Toc223604308" w:id="1041"/>
      <w:bookmarkStart w:name="_Toc223604519" w:id="1042"/>
      <w:bookmarkStart w:name="_Toc223604739" w:id="1043"/>
      <w:bookmarkStart w:name="_Toc223618601" w:id="1044"/>
      <w:bookmarkStart w:name="_Toc223702838" w:id="1045"/>
      <w:bookmarkStart w:name="_Toc227318736" w:id="1046"/>
      <w:bookmarkStart w:name="_Toc227337104" w:id="1047"/>
      <w:r w:rsidRPr="008D1918">
        <w:t>Comparison of provider payments for ‘new activity’ and ‘inactivity’</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r w:rsidRPr="008D1918">
        <w:t> </w:t>
      </w:r>
    </w:p>
    <w:p w:rsidRPr="008D1918" w:rsidR="000E3523" w:rsidRDefault="002F219E" w14:paraId="361A06A0" w14:textId="3110BE5D">
      <w:pPr>
        <w:rPr>
          <w:rFonts w:eastAsia="Arial" w:cs="Arial"/>
          <w:lang w:val="en-AU"/>
        </w:rPr>
      </w:pPr>
      <w:r w:rsidRPr="008D1918">
        <w:rPr>
          <w:rFonts w:eastAsia="Arial" w:cs="Arial"/>
          <w:lang w:val="en-AU"/>
        </w:rPr>
        <w:fldChar w:fldCharType="begin"/>
      </w:r>
      <w:r w:rsidRPr="008D1918">
        <w:rPr>
          <w:rFonts w:eastAsia="Arial" w:cs="Arial"/>
          <w:lang w:val="en-AU"/>
        </w:rPr>
        <w:instrText xml:space="preserve"> REF _Ref223624478 \h </w:instrText>
      </w:r>
      <w:r w:rsidRPr="008D1918" w:rsidR="00762DF8">
        <w:rPr>
          <w:rFonts w:eastAsia="Arial" w:cs="Arial"/>
          <w:lang w:val="en-AU"/>
        </w:rPr>
        <w:instrText xml:space="preserve"> \* MERGEFORMAT </w:instrText>
      </w:r>
      <w:r w:rsidRPr="008D1918">
        <w:rPr>
          <w:rFonts w:eastAsia="Arial" w:cs="Arial"/>
          <w:lang w:val="en-AU"/>
        </w:rPr>
      </w:r>
      <w:r w:rsidRPr="008D1918">
        <w:rPr>
          <w:rFonts w:eastAsia="Arial" w:cs="Arial"/>
          <w:lang w:val="en-AU"/>
        </w:rPr>
        <w:fldChar w:fldCharType="separate"/>
      </w:r>
      <w:r w:rsidRPr="008F56A2" w:rsidR="008F56A2">
        <w:rPr>
          <w:lang w:val="en-AU"/>
        </w:rPr>
        <w:t>Figure</w:t>
      </w:r>
      <w:r w:rsidRPr="008D1918" w:rsidR="008F56A2">
        <w:t xml:space="preserve"> </w:t>
      </w:r>
      <w:r w:rsidR="008F56A2">
        <w:rPr>
          <w:noProof/>
        </w:rPr>
        <w:t>18</w:t>
      </w:r>
      <w:r w:rsidRPr="008D1918">
        <w:rPr>
          <w:rFonts w:eastAsia="Arial" w:cs="Arial"/>
          <w:lang w:val="en-AU"/>
        </w:rPr>
        <w:fldChar w:fldCharType="end"/>
      </w:r>
      <w:r w:rsidRPr="008D1918" w:rsidDel="00826650" w:rsidR="000E3523">
        <w:rPr>
          <w:rFonts w:eastAsia="Arial" w:cs="Arial"/>
          <w:lang w:val="en-AU"/>
        </w:rPr>
        <w:t xml:space="preserve"> </w:t>
      </w:r>
      <w:r w:rsidRPr="008D1918" w:rsidR="000E3523">
        <w:rPr>
          <w:rFonts w:eastAsia="Arial" w:cs="Arial"/>
          <w:lang w:val="en-AU"/>
        </w:rPr>
        <w:t>shows new activity among registered providers has consistently exceeded inactivity across all periods. Newly active registered providers accounted for between 0.7–1.4%</w:t>
      </w:r>
      <w:r w:rsidRPr="008D1918" w:rsidDel="007C6315" w:rsidR="000E3523">
        <w:rPr>
          <w:rFonts w:eastAsia="Arial" w:cs="Arial"/>
          <w:lang w:val="en-AU"/>
        </w:rPr>
        <w:t xml:space="preserve"> </w:t>
      </w:r>
      <w:r w:rsidRPr="008D1918" w:rsidR="000E3523">
        <w:rPr>
          <w:rFonts w:eastAsia="Arial" w:cs="Arial"/>
          <w:lang w:val="en-AU"/>
        </w:rPr>
        <w:t>of total payments in each half‑year period, while inactive registered providers represented only 0.3–0.4%</w:t>
      </w:r>
      <w:r w:rsidRPr="008D1918" w:rsidDel="007C6315" w:rsidR="000E3523">
        <w:rPr>
          <w:rFonts w:eastAsia="Arial" w:cs="Arial"/>
          <w:lang w:val="en-AU"/>
        </w:rPr>
        <w:t xml:space="preserve"> </w:t>
      </w:r>
      <w:r w:rsidRPr="008D1918" w:rsidR="000E3523">
        <w:rPr>
          <w:rFonts w:eastAsia="Arial" w:cs="Arial"/>
          <w:lang w:val="en-AU"/>
        </w:rPr>
        <w:t xml:space="preserve">of payments. This pattern indicates </w:t>
      </w:r>
      <w:r w:rsidRPr="008D1918" w:rsidR="00027671">
        <w:rPr>
          <w:rFonts w:eastAsia="Arial" w:cs="Arial"/>
          <w:lang w:val="en-AU"/>
        </w:rPr>
        <w:t xml:space="preserve">a </w:t>
      </w:r>
      <w:r w:rsidRPr="008D1918" w:rsidR="000E3523">
        <w:rPr>
          <w:rFonts w:eastAsia="Arial" w:cs="Arial"/>
          <w:lang w:val="en-AU"/>
        </w:rPr>
        <w:t>steady entry of providers into the therapy market, with new activity consistently outweighing exits.</w:t>
      </w:r>
    </w:p>
    <w:p w:rsidRPr="008D1918" w:rsidR="000E3523" w:rsidP="002F219E" w:rsidRDefault="000E3523" w14:paraId="1F7CFE25" w14:textId="11DDF7B0">
      <w:pPr>
        <w:pStyle w:val="Caption"/>
        <w:rPr>
          <w:rFonts w:eastAsia="DengXian" w:cs="Cordia New"/>
          <w:i w:val="0"/>
          <w:color w:val="6B2876" w:themeColor="accent5"/>
        </w:rPr>
      </w:pPr>
      <w:bookmarkStart w:name="_Ref223624478" w:id="1048"/>
      <w:r w:rsidRPr="008D1918">
        <w:t>Figure</w:t>
      </w:r>
      <w:r w:rsidRPr="008D1918" w:rsidR="002F219E">
        <w:t xml:space="preserve"> </w:t>
      </w:r>
      <w:r>
        <w:fldChar w:fldCharType="begin"/>
      </w:r>
      <w:r>
        <w:instrText>SEQ Figure \* ARABIC</w:instrText>
      </w:r>
      <w:r>
        <w:fldChar w:fldCharType="separate"/>
      </w:r>
      <w:r w:rsidR="008F56A2">
        <w:rPr>
          <w:noProof/>
        </w:rPr>
        <w:t>18</w:t>
      </w:r>
      <w:r>
        <w:fldChar w:fldCharType="end"/>
      </w:r>
      <w:bookmarkEnd w:id="1048"/>
      <w:r w:rsidRPr="008D1918">
        <w:rPr>
          <w:rFonts w:eastAsia="DengXian" w:cs="Cordia New"/>
          <w:color w:val="6B2876" w:themeColor="accent5"/>
        </w:rPr>
        <w:t xml:space="preserve">: </w:t>
      </w:r>
      <w:r w:rsidRPr="008D1918" w:rsidR="00D96838">
        <w:rPr>
          <w:rFonts w:eastAsia="DengXian" w:cs="Cordia New"/>
          <w:color w:val="6B2876" w:themeColor="accent5"/>
        </w:rPr>
        <w:t>Registered t</w:t>
      </w:r>
      <w:r w:rsidRPr="008D1918">
        <w:rPr>
          <w:rFonts w:eastAsia="DengXian" w:cs="Cordia New"/>
          <w:color w:val="6B2876" w:themeColor="accent5"/>
        </w:rPr>
        <w:t>herapy provider activity movements, January 2023 to December 2025</w:t>
      </w:r>
    </w:p>
    <w:p w:rsidRPr="008D1918" w:rsidR="00064FFF" w:rsidP="002418C5" w:rsidRDefault="0003032A" w14:paraId="5F7E03F0" w14:textId="5BED9818">
      <w:pPr>
        <w:keepNext/>
        <w:spacing w:line="276" w:lineRule="auto"/>
        <w:rPr>
          <w:rFonts w:eastAsia="Arial" w:cs="Arial"/>
          <w:sz w:val="20"/>
          <w:szCs w:val="20"/>
          <w:lang w:val="en-AU"/>
        </w:rPr>
      </w:pPr>
      <w:r w:rsidRPr="008D1918">
        <w:rPr>
          <w:rFonts w:eastAsia="Arial" w:cs="Arial"/>
          <w:noProof/>
          <w:sz w:val="20"/>
          <w:szCs w:val="20"/>
          <w:lang w:val="en-AU"/>
        </w:rPr>
        <w:drawing>
          <wp:inline distT="0" distB="0" distL="0" distR="0" wp14:anchorId="69C4842A" wp14:editId="3552C3B5">
            <wp:extent cx="5680800" cy="3290400"/>
            <wp:effectExtent l="0" t="0" r="0" b="5715"/>
            <wp:docPr id="119295982" name="Picture 8" descr="Figure 18: A bar graph showing therapy provider activity movements, from January 2023 to December 2025.&#10;The graph shows that inactive therapy providers have remained stable over the period between 0.3% and 0.4%. New therapy provider activity has fluctuated between 0.7% an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5982" name="Picture 8" descr="Figure 18: A bar graph showing therapy provider activity movements, from January 2023 to December 2025.&#10;The graph shows that inactive therapy providers have remained stable over the period between 0.3% and 0.4%. New therapy provider activity has fluctuated between 0.7% and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0E3523" w:rsidP="002B66D6" w:rsidRDefault="000E3523" w14:paraId="2BB05A63" w14:textId="7D01771D">
      <w:pPr>
        <w:spacing w:before="120" w:after="360" w:line="240" w:lineRule="atLeast"/>
        <w:rPr>
          <w:rFonts w:eastAsia="Arial" w:cs="Arial"/>
          <w:sz w:val="20"/>
          <w:szCs w:val="20"/>
          <w:lang w:val="en-AU"/>
        </w:rPr>
      </w:pPr>
      <w:r w:rsidRPr="008D1918">
        <w:rPr>
          <w:rFonts w:eastAsia="Arial" w:cs="Arial"/>
          <w:sz w:val="20"/>
          <w:szCs w:val="20"/>
          <w:lang w:val="en-AU"/>
        </w:rPr>
        <w:t>Note: ‘New activity’ is characterised by providers receiving payments in the half-year who did not receive payments in the preceding half-year. ‘</w:t>
      </w:r>
      <w:r w:rsidRPr="008D1918" w:rsidR="0039265F">
        <w:rPr>
          <w:rFonts w:eastAsia="Arial" w:cs="Arial"/>
          <w:sz w:val="20"/>
          <w:szCs w:val="20"/>
          <w:lang w:val="en-AU"/>
        </w:rPr>
        <w:t xml:space="preserve">Inactivity’ </w:t>
      </w:r>
      <w:r w:rsidRPr="008D1918">
        <w:rPr>
          <w:rFonts w:eastAsia="Arial" w:cs="Arial"/>
          <w:sz w:val="20"/>
          <w:szCs w:val="20"/>
          <w:lang w:val="en-AU"/>
        </w:rPr>
        <w:t>refers to providers not receiving payments in a half-year after having received payments in the previous one. Each provider’s activity is quantified as a percentage of the total payments within that half-year for new activity, of the prior half-year for inactivity.</w:t>
      </w:r>
    </w:p>
    <w:p w:rsidRPr="008D1918" w:rsidR="000E3523" w:rsidP="00041468" w:rsidRDefault="000E3523" w14:paraId="27884316" w14:textId="77777777">
      <w:pPr>
        <w:pStyle w:val="StyleStyle112pt"/>
      </w:pPr>
      <w:bookmarkStart w:name="_Toc223428437" w:id="1049"/>
      <w:bookmarkStart w:name="_Toc223445896" w:id="1050"/>
      <w:bookmarkStart w:name="_Toc223539686" w:id="1051"/>
      <w:bookmarkStart w:name="_Toc223539903" w:id="1052"/>
      <w:bookmarkStart w:name="_Toc223540371" w:id="1053"/>
      <w:bookmarkStart w:name="_Toc223540587" w:id="1054"/>
      <w:bookmarkStart w:name="_Toc223542123" w:id="1055"/>
      <w:bookmarkStart w:name="_Toc223604309" w:id="1056"/>
      <w:bookmarkStart w:name="_Toc223604520" w:id="1057"/>
      <w:bookmarkStart w:name="_Toc223604740" w:id="1058"/>
      <w:bookmarkStart w:name="_Toc223618602" w:id="1059"/>
      <w:bookmarkStart w:name="_Toc223702839" w:id="1060"/>
      <w:bookmarkStart w:name="_Toc227318737" w:id="1061"/>
      <w:bookmarkStart w:name="_Toc227337105" w:id="1062"/>
      <w:r w:rsidRPr="008D1918">
        <w:t>Workforce constraints and price setting</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r w:rsidRPr="008D1918">
        <w:t> </w:t>
      </w:r>
    </w:p>
    <w:p w:rsidRPr="008D1918" w:rsidR="000E3523" w:rsidRDefault="000E3523" w14:paraId="31826288" w14:textId="07930AE5">
      <w:pPr>
        <w:rPr>
          <w:rFonts w:eastAsia="Arial" w:cs="Arial"/>
          <w:lang w:val="en-AU"/>
        </w:rPr>
      </w:pPr>
      <w:r w:rsidRPr="008D1918">
        <w:rPr>
          <w:rFonts w:eastAsia="Arial" w:cs="Arial"/>
          <w:lang w:val="en-AU"/>
        </w:rPr>
        <w:t xml:space="preserve">Market </w:t>
      </w:r>
      <w:r w:rsidRPr="008D1918" w:rsidR="0097281C">
        <w:rPr>
          <w:rFonts w:eastAsia="Arial" w:cs="Arial"/>
          <w:lang w:val="en-AU"/>
        </w:rPr>
        <w:t xml:space="preserve">capacity </w:t>
      </w:r>
      <w:r w:rsidRPr="008D1918">
        <w:rPr>
          <w:rFonts w:eastAsia="Arial" w:cs="Arial"/>
          <w:lang w:val="en-AU"/>
        </w:rPr>
        <w:t xml:space="preserve">is shaped by underlying labour market conditions that affect the availability </w:t>
      </w:r>
      <w:r w:rsidRPr="008D1918" w:rsidR="008D517B">
        <w:rPr>
          <w:rFonts w:eastAsia="Arial" w:cs="Arial"/>
          <w:lang w:val="en-AU"/>
        </w:rPr>
        <w:t>of supports</w:t>
      </w:r>
      <w:r w:rsidRPr="008D1918">
        <w:rPr>
          <w:rFonts w:eastAsia="Arial" w:cs="Arial"/>
          <w:lang w:val="en-AU"/>
        </w:rPr>
        <w:t>. These markets operate within the broader health and care economy, where workforce supply is influenced by training pipelines, competition across funding systems and structural constraints that limit short term responsiveness to price signals.</w:t>
      </w:r>
    </w:p>
    <w:p w:rsidRPr="008D1918" w:rsidR="000E3523" w:rsidP="00A52192" w:rsidRDefault="000E3523" w14:paraId="720AD671" w14:textId="5E415890">
      <w:pPr>
        <w:rPr>
          <w:rFonts w:eastAsia="Arial" w:cs="Arial"/>
          <w:lang w:val="en-AU"/>
        </w:rPr>
      </w:pPr>
      <w:r w:rsidRPr="008D1918">
        <w:rPr>
          <w:rFonts w:eastAsia="Arial" w:cs="Arial"/>
          <w:lang w:val="en-AU"/>
        </w:rPr>
        <w:t xml:space="preserve">Workforce shortages continue to constrain market responsiveness. Key therapy professions face persistent national shortages </w:t>
      </w:r>
      <w:r w:rsidRPr="008D1918" w:rsidR="005D7BD7">
        <w:rPr>
          <w:rFonts w:eastAsia="Arial" w:cs="Arial"/>
          <w:lang w:val="en-AU"/>
        </w:rPr>
        <w:t xml:space="preserve">with projected </w:t>
      </w:r>
      <w:r w:rsidRPr="008D1918">
        <w:rPr>
          <w:rFonts w:eastAsia="Arial" w:cs="Arial"/>
          <w:lang w:val="en-AU"/>
        </w:rPr>
        <w:t>strong future demand</w:t>
      </w:r>
      <w:r w:rsidRPr="008D1918" w:rsidR="00BB04E3">
        <w:rPr>
          <w:rFonts w:eastAsia="Arial" w:cs="Arial"/>
          <w:lang w:val="en-AU"/>
        </w:rPr>
        <w:t xml:space="preserve"> for services</w:t>
      </w:r>
      <w:r w:rsidRPr="008D1918">
        <w:rPr>
          <w:rFonts w:eastAsia="Arial" w:cs="Arial"/>
          <w:lang w:val="en-AU"/>
        </w:rPr>
        <w:t xml:space="preserve">, as identified by Jobs and Skills Australia. While the number of practitioners has increased across most therapy professions, this growth has not translated into a commensurate expansion of effective supply. Between 2023–24 and 2025, the number of therapy professionals increased from around 156,500 to approximately 198,100, with particularly large increases in </w:t>
      </w:r>
      <w:r w:rsidRPr="008D1918" w:rsidR="004E3102">
        <w:rPr>
          <w:rFonts w:eastAsia="Arial" w:cs="Arial"/>
          <w:lang w:val="en-AU"/>
        </w:rPr>
        <w:t>P</w:t>
      </w:r>
      <w:r w:rsidRPr="008D1918">
        <w:rPr>
          <w:rFonts w:eastAsia="Arial" w:cs="Arial"/>
          <w:lang w:val="en-AU"/>
        </w:rPr>
        <w:t>sycholog</w:t>
      </w:r>
      <w:r w:rsidRPr="008D1918" w:rsidR="004E3102">
        <w:rPr>
          <w:rFonts w:eastAsia="Arial" w:cs="Arial"/>
          <w:lang w:val="en-AU"/>
        </w:rPr>
        <w:t>ists</w:t>
      </w:r>
      <w:r w:rsidRPr="008D1918">
        <w:rPr>
          <w:rFonts w:eastAsia="Arial" w:cs="Arial"/>
          <w:lang w:val="en-AU"/>
        </w:rPr>
        <w:t xml:space="preserve">, </w:t>
      </w:r>
      <w:r w:rsidRPr="008D1918" w:rsidR="004E3102">
        <w:rPr>
          <w:rFonts w:eastAsia="Arial" w:cs="Arial"/>
          <w:lang w:val="en-AU"/>
        </w:rPr>
        <w:t>Physiotherapists</w:t>
      </w:r>
      <w:r w:rsidRPr="008D1918">
        <w:rPr>
          <w:rFonts w:eastAsia="Arial" w:cs="Arial"/>
          <w:lang w:val="en-AU"/>
        </w:rPr>
        <w:t xml:space="preserve">, </w:t>
      </w:r>
      <w:r w:rsidRPr="008D1918" w:rsidR="007C0080">
        <w:rPr>
          <w:rFonts w:eastAsia="Arial" w:cs="Arial"/>
          <w:lang w:val="en-AU"/>
        </w:rPr>
        <w:t>Counsellors</w:t>
      </w:r>
      <w:r w:rsidRPr="008D1918" w:rsidR="004E3102">
        <w:rPr>
          <w:rFonts w:eastAsia="Arial" w:cs="Arial"/>
          <w:lang w:val="en-AU"/>
        </w:rPr>
        <w:t xml:space="preserve"> </w:t>
      </w:r>
      <w:r w:rsidRPr="008D1918">
        <w:rPr>
          <w:rFonts w:eastAsia="Arial" w:cs="Arial"/>
          <w:lang w:val="en-AU"/>
        </w:rPr>
        <w:t xml:space="preserve">and </w:t>
      </w:r>
      <w:r w:rsidRPr="008D1918" w:rsidR="004E3102">
        <w:rPr>
          <w:rFonts w:eastAsia="Arial" w:cs="Arial"/>
          <w:lang w:val="en-AU"/>
        </w:rPr>
        <w:t xml:space="preserve">Occupational Therapists </w:t>
      </w:r>
      <w:r w:rsidRPr="008D1918">
        <w:rPr>
          <w:rFonts w:eastAsia="Arial" w:cs="Arial"/>
          <w:lang w:val="en-AU"/>
        </w:rPr>
        <w:t>(</w:t>
      </w:r>
      <w:r w:rsidRPr="008D1918" w:rsidR="00A26981">
        <w:rPr>
          <w:rFonts w:eastAsia="Arial" w:cs="Arial"/>
          <w:lang w:val="en-AU"/>
        </w:rPr>
        <w:fldChar w:fldCharType="begin"/>
      </w:r>
      <w:r w:rsidRPr="008D1918" w:rsidR="00A26981">
        <w:rPr>
          <w:rFonts w:eastAsia="Arial" w:cs="Arial"/>
          <w:lang w:val="en-AU"/>
        </w:rPr>
        <w:instrText xml:space="preserve"> REF _Ref223690697 \h </w:instrText>
      </w:r>
      <w:r w:rsidRPr="008D1918" w:rsidR="00762DF8">
        <w:rPr>
          <w:rFonts w:eastAsia="Arial" w:cs="Arial"/>
          <w:lang w:val="en-AU"/>
        </w:rPr>
        <w:instrText xml:space="preserve"> \* MERGEFORMAT </w:instrText>
      </w:r>
      <w:r w:rsidRPr="008D1918" w:rsidR="00A26981">
        <w:rPr>
          <w:rFonts w:eastAsia="Arial" w:cs="Arial"/>
          <w:lang w:val="en-AU"/>
        </w:rPr>
      </w:r>
      <w:r w:rsidRPr="008D1918" w:rsidR="00A26981">
        <w:rPr>
          <w:rFonts w:eastAsia="Arial" w:cs="Arial"/>
          <w:lang w:val="en-AU"/>
        </w:rPr>
        <w:fldChar w:fldCharType="separate"/>
      </w:r>
      <w:r w:rsidRPr="008F56A2" w:rsidR="008F56A2">
        <w:rPr>
          <w:lang w:val="en-AU"/>
        </w:rPr>
        <w:t>Table</w:t>
      </w:r>
      <w:r w:rsidRPr="008D1918" w:rsidR="008F56A2">
        <w:t xml:space="preserve"> </w:t>
      </w:r>
      <w:r w:rsidR="008F56A2">
        <w:rPr>
          <w:noProof/>
        </w:rPr>
        <w:t>24</w:t>
      </w:r>
      <w:r w:rsidRPr="008D1918" w:rsidR="00A26981">
        <w:rPr>
          <w:rFonts w:eastAsia="Arial" w:cs="Arial"/>
          <w:lang w:val="en-AU"/>
        </w:rPr>
        <w:fldChar w:fldCharType="end"/>
      </w:r>
      <w:r w:rsidRPr="008D1918">
        <w:rPr>
          <w:rFonts w:eastAsia="Arial" w:cs="Arial"/>
          <w:lang w:val="en-AU"/>
        </w:rPr>
        <w:t>). Despite this growth, shortages persist, reflecting long training pathways, competition across the broader health system and the concentration of practitioners in non</w:t>
      </w:r>
      <w:r w:rsidRPr="008D1918" w:rsidR="00A26981">
        <w:rPr>
          <w:rFonts w:eastAsia="Arial" w:cs="Arial"/>
          <w:lang w:val="en-AU"/>
        </w:rPr>
        <w:t>-</w:t>
      </w:r>
      <w:r w:rsidRPr="008D1918">
        <w:rPr>
          <w:rFonts w:eastAsia="Arial" w:cs="Arial"/>
          <w:lang w:val="en-AU"/>
        </w:rPr>
        <w:t>NDIS markets or lower complexity service settings. These factors limit the ability of the workforce to scale in response to price changes alone.</w:t>
      </w:r>
    </w:p>
    <w:p w:rsidRPr="008D1918" w:rsidR="00B10499" w:rsidP="00F97EF8" w:rsidRDefault="00A26981" w14:paraId="6A2AA3E9" w14:textId="2414717E">
      <w:pPr>
        <w:pStyle w:val="Caption"/>
        <w:rPr>
          <w:rFonts w:cs="Arial"/>
          <w:i w:val="0"/>
          <w:color w:val="6B2876" w:themeColor="accent5"/>
          <w:lang w:eastAsia="en-AU"/>
        </w:rPr>
      </w:pPr>
      <w:bookmarkStart w:name="_Ref223690697" w:id="1063"/>
      <w:r w:rsidRPr="008D1918">
        <w:t xml:space="preserve">Table </w:t>
      </w:r>
      <w:r>
        <w:fldChar w:fldCharType="begin"/>
      </w:r>
      <w:r>
        <w:instrText>SEQ Table \* ARABIC</w:instrText>
      </w:r>
      <w:r>
        <w:fldChar w:fldCharType="separate"/>
      </w:r>
      <w:r w:rsidR="008F56A2">
        <w:rPr>
          <w:noProof/>
        </w:rPr>
        <w:t>24</w:t>
      </w:r>
      <w:r>
        <w:fldChar w:fldCharType="end"/>
      </w:r>
      <w:bookmarkEnd w:id="1063"/>
      <w:r w:rsidRPr="008D1918" w:rsidR="00B10499">
        <w:rPr>
          <w:rFonts w:cs="Arial"/>
          <w:color w:val="6B2876" w:themeColor="accent5"/>
          <w:lang w:eastAsia="en-AU"/>
        </w:rPr>
        <w:t>: Number of therapy professionals, 2025</w:t>
      </w:r>
    </w:p>
    <w:tbl>
      <w:tblPr>
        <w:tblStyle w:val="GridTable4-Accent121"/>
        <w:tblW w:w="6088" w:type="dxa"/>
        <w:tblInd w:w="-5" w:type="dxa"/>
        <w:tblLook w:val="04A0" w:firstRow="1" w:lastRow="0" w:firstColumn="1" w:lastColumn="0" w:noHBand="0" w:noVBand="1"/>
      </w:tblPr>
      <w:tblGrid>
        <w:gridCol w:w="3253"/>
        <w:gridCol w:w="2835"/>
      </w:tblGrid>
      <w:tr w:rsidRPr="008D1918" w:rsidR="0043505C" w:rsidTr="00EE001B" w14:paraId="5337AB72"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253" w:type="dxa"/>
            <w:vAlign w:val="center"/>
            <w:hideMark/>
          </w:tcPr>
          <w:p w:rsidRPr="008D1918" w:rsidR="000E3523" w:rsidP="00CE1F18" w:rsidRDefault="000E3523" w14:paraId="6D155AF1" w14:textId="6EA94771">
            <w:pPr>
              <w:keepNext/>
              <w:spacing w:before="60" w:after="60"/>
              <w:rPr>
                <w:rFonts w:cs="Calibri" w:eastAsiaTheme="minorEastAsia"/>
                <w:b w:val="0"/>
                <w:bCs w:val="0"/>
                <w:sz w:val="20"/>
                <w:szCs w:val="18"/>
                <w:lang w:val="en-AU"/>
              </w:rPr>
            </w:pPr>
            <w:r w:rsidRPr="008D1918">
              <w:rPr>
                <w:rFonts w:cs="Calibri" w:eastAsiaTheme="minorEastAsia"/>
                <w:sz w:val="20"/>
                <w:szCs w:val="20"/>
                <w:lang w:val="en-AU"/>
              </w:rPr>
              <w:t xml:space="preserve">Type of </w:t>
            </w:r>
            <w:r w:rsidRPr="008D1918" w:rsidR="006073E6">
              <w:rPr>
                <w:rFonts w:cs="Calibri" w:eastAsiaTheme="minorEastAsia"/>
                <w:sz w:val="20"/>
                <w:szCs w:val="20"/>
                <w:lang w:val="en-AU"/>
              </w:rPr>
              <w:t>t</w:t>
            </w:r>
            <w:r w:rsidRPr="008D1918">
              <w:rPr>
                <w:rFonts w:cs="Calibri" w:eastAsiaTheme="minorEastAsia"/>
                <w:sz w:val="20"/>
                <w:szCs w:val="20"/>
                <w:lang w:val="en-AU"/>
              </w:rPr>
              <w:t>herapist</w:t>
            </w:r>
          </w:p>
        </w:tc>
        <w:tc>
          <w:tcPr>
            <w:tcW w:w="2835" w:type="dxa"/>
            <w:vAlign w:val="center"/>
            <w:hideMark/>
          </w:tcPr>
          <w:p w:rsidRPr="008D1918" w:rsidR="000E3523" w:rsidP="00CE1F18" w:rsidRDefault="000E3523" w14:paraId="674EC064" w14:textId="2B5B546B">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Calibri" w:eastAsiaTheme="minorEastAsia"/>
                <w:b w:val="0"/>
                <w:bCs w:val="0"/>
                <w:sz w:val="20"/>
                <w:szCs w:val="18"/>
                <w:lang w:val="en-AU"/>
              </w:rPr>
            </w:pPr>
            <w:r w:rsidRPr="008D1918">
              <w:rPr>
                <w:rFonts w:cs="Calibri" w:eastAsiaTheme="minorEastAsia"/>
                <w:sz w:val="20"/>
                <w:szCs w:val="18"/>
                <w:lang w:val="en-AU"/>
              </w:rPr>
              <w:t xml:space="preserve">Number of </w:t>
            </w:r>
            <w:r w:rsidRPr="008D1918" w:rsidR="00B91C5A">
              <w:rPr>
                <w:rFonts w:cs="Calibri" w:eastAsiaTheme="minorEastAsia"/>
                <w:sz w:val="20"/>
                <w:szCs w:val="18"/>
                <w:lang w:val="en-AU"/>
              </w:rPr>
              <w:t>p</w:t>
            </w:r>
            <w:r w:rsidRPr="008D1918">
              <w:rPr>
                <w:rFonts w:cs="Calibri" w:eastAsiaTheme="minorEastAsia"/>
                <w:sz w:val="20"/>
                <w:szCs w:val="18"/>
                <w:lang w:val="en-AU"/>
              </w:rPr>
              <w:t>ractitioners</w:t>
            </w:r>
          </w:p>
        </w:tc>
      </w:tr>
      <w:tr w:rsidRPr="008D1918" w:rsidR="00A41050" w:rsidTr="00EE001B" w14:paraId="55AEBC06"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253" w:type="dxa"/>
            <w:vAlign w:val="center"/>
            <w:hideMark/>
          </w:tcPr>
          <w:p w:rsidRPr="008D1918" w:rsidR="000E3523" w:rsidP="00CE1F18" w:rsidRDefault="000E3523" w14:paraId="19B91C91" w14:textId="784D9474">
            <w:pPr>
              <w:keepNext/>
              <w:spacing w:before="60" w:after="60"/>
              <w:rPr>
                <w:rFonts w:cs="Calibri" w:eastAsiaTheme="minorEastAsia"/>
                <w:bCs w:val="0"/>
                <w:sz w:val="20"/>
                <w:szCs w:val="18"/>
                <w:lang w:val="en-AU"/>
              </w:rPr>
            </w:pPr>
            <w:r w:rsidRPr="008D1918">
              <w:rPr>
                <w:rFonts w:cs="Calibri" w:eastAsiaTheme="minorEastAsia"/>
                <w:sz w:val="20"/>
                <w:szCs w:val="18"/>
                <w:lang w:val="en-AU"/>
              </w:rPr>
              <w:t>Physiotherapists</w:t>
            </w:r>
          </w:p>
        </w:tc>
        <w:tc>
          <w:tcPr>
            <w:tcW w:w="2835" w:type="dxa"/>
            <w:vAlign w:val="center"/>
            <w:hideMark/>
          </w:tcPr>
          <w:p w:rsidRPr="008D1918" w:rsidR="000E3523" w:rsidP="00CE1F18" w:rsidRDefault="000E3523" w14:paraId="6D89AC95" w14:textId="424BF828">
            <w:pPr>
              <w:keepNext/>
              <w:spacing w:before="60" w:after="60"/>
              <w:ind w:right="964"/>
              <w:jc w:val="right"/>
              <w:cnfStyle w:val="000000100000" w:firstRow="0" w:lastRow="0" w:firstColumn="0" w:lastColumn="0" w:oddVBand="0" w:evenVBand="0" w:oddHBand="1" w:evenHBand="0" w:firstRowFirstColumn="0" w:firstRowLastColumn="0" w:lastRowFirstColumn="0" w:lastRowLastColumn="0"/>
              <w:rPr>
                <w:rFonts w:eastAsia="Arial" w:cs="Arial"/>
                <w:sz w:val="20"/>
                <w:szCs w:val="20"/>
                <w:lang w:val="en-AU"/>
              </w:rPr>
            </w:pPr>
            <w:r w:rsidRPr="008D1918">
              <w:rPr>
                <w:rFonts w:eastAsia="Arial" w:cs="Arial"/>
                <w:sz w:val="20"/>
                <w:szCs w:val="20"/>
                <w:lang w:val="en-AU"/>
              </w:rPr>
              <w:t>45,900</w:t>
            </w:r>
          </w:p>
        </w:tc>
      </w:tr>
      <w:tr w:rsidRPr="008D1918" w:rsidR="00E928FF" w:rsidTr="00EE001B" w14:paraId="499FCE4F" w14:textId="77777777">
        <w:trPr>
          <w:trHeight w:val="330"/>
        </w:trPr>
        <w:tc>
          <w:tcPr>
            <w:cnfStyle w:val="001000000000" w:firstRow="0" w:lastRow="0" w:firstColumn="1" w:lastColumn="0" w:oddVBand="0" w:evenVBand="0" w:oddHBand="0" w:evenHBand="0" w:firstRowFirstColumn="0" w:firstRowLastColumn="0" w:lastRowFirstColumn="0" w:lastRowLastColumn="0"/>
            <w:tcW w:w="3253" w:type="dxa"/>
            <w:vAlign w:val="center"/>
            <w:hideMark/>
          </w:tcPr>
          <w:p w:rsidRPr="008D1918" w:rsidR="000E3523" w:rsidP="00CE1F18" w:rsidRDefault="000E3523" w14:paraId="2B70219A" w14:textId="1D4A5930">
            <w:pPr>
              <w:keepNext/>
              <w:spacing w:before="60" w:after="60"/>
              <w:rPr>
                <w:rFonts w:cs="Calibri" w:eastAsiaTheme="minorEastAsia"/>
                <w:bCs w:val="0"/>
                <w:sz w:val="20"/>
                <w:szCs w:val="18"/>
                <w:lang w:val="en-AU"/>
              </w:rPr>
            </w:pPr>
            <w:r w:rsidRPr="008D1918">
              <w:rPr>
                <w:rFonts w:cs="Calibri" w:eastAsiaTheme="minorEastAsia"/>
                <w:sz w:val="20"/>
                <w:szCs w:val="18"/>
                <w:lang w:val="en-AU"/>
              </w:rPr>
              <w:t>Psychologists</w:t>
            </w:r>
          </w:p>
        </w:tc>
        <w:tc>
          <w:tcPr>
            <w:tcW w:w="2835" w:type="dxa"/>
            <w:vAlign w:val="center"/>
            <w:hideMark/>
          </w:tcPr>
          <w:p w:rsidRPr="008D1918" w:rsidR="000E3523" w:rsidP="00CE1F18" w:rsidRDefault="000E3523" w14:paraId="07C5C83F" w14:textId="5BB0D021">
            <w:pPr>
              <w:keepNext/>
              <w:spacing w:before="60" w:after="60"/>
              <w:ind w:right="964"/>
              <w:jc w:val="right"/>
              <w:cnfStyle w:val="000000000000" w:firstRow="0" w:lastRow="0" w:firstColumn="0" w:lastColumn="0" w:oddVBand="0" w:evenVBand="0" w:oddHBand="0" w:evenHBand="0" w:firstRowFirstColumn="0" w:firstRowLastColumn="0" w:lastRowFirstColumn="0" w:lastRowLastColumn="0"/>
              <w:rPr>
                <w:rFonts w:eastAsia="Arial" w:cs="Arial"/>
                <w:sz w:val="20"/>
                <w:szCs w:val="20"/>
                <w:lang w:val="en-AU"/>
              </w:rPr>
            </w:pPr>
            <w:r w:rsidRPr="008D1918">
              <w:rPr>
                <w:rFonts w:eastAsia="Arial" w:cs="Arial"/>
                <w:sz w:val="20"/>
                <w:szCs w:val="20"/>
                <w:lang w:val="en-AU"/>
              </w:rPr>
              <w:t>48,900</w:t>
            </w:r>
          </w:p>
        </w:tc>
      </w:tr>
      <w:tr w:rsidRPr="008D1918" w:rsidR="00A41050" w:rsidTr="00EE001B" w14:paraId="405C06B0"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253" w:type="dxa"/>
            <w:vAlign w:val="center"/>
            <w:hideMark/>
          </w:tcPr>
          <w:p w:rsidRPr="008D1918" w:rsidR="000E3523" w:rsidP="00CE1F18" w:rsidRDefault="000E3523" w14:paraId="12BA9A19" w14:textId="25D37D31">
            <w:pPr>
              <w:keepNext/>
              <w:spacing w:before="60" w:after="60"/>
              <w:rPr>
                <w:rFonts w:cs="Calibri" w:eastAsiaTheme="minorEastAsia"/>
                <w:bCs w:val="0"/>
                <w:sz w:val="20"/>
                <w:szCs w:val="18"/>
                <w:lang w:val="en-AU"/>
              </w:rPr>
            </w:pPr>
            <w:r w:rsidRPr="008D1918">
              <w:rPr>
                <w:rFonts w:cs="Calibri" w:eastAsiaTheme="minorEastAsia"/>
                <w:sz w:val="20"/>
                <w:szCs w:val="18"/>
                <w:lang w:val="en-AU"/>
              </w:rPr>
              <w:t>Counsellors</w:t>
            </w:r>
          </w:p>
        </w:tc>
        <w:tc>
          <w:tcPr>
            <w:tcW w:w="2835" w:type="dxa"/>
            <w:vAlign w:val="center"/>
            <w:hideMark/>
          </w:tcPr>
          <w:p w:rsidRPr="008D1918" w:rsidR="000E3523" w:rsidP="00CE1F18" w:rsidRDefault="000E3523" w14:paraId="1BB66C0E" w14:textId="2DA8F8E8">
            <w:pPr>
              <w:keepNext/>
              <w:spacing w:before="60" w:after="60"/>
              <w:ind w:right="964"/>
              <w:jc w:val="right"/>
              <w:cnfStyle w:val="000000100000" w:firstRow="0" w:lastRow="0" w:firstColumn="0" w:lastColumn="0" w:oddVBand="0" w:evenVBand="0" w:oddHBand="1" w:evenHBand="0" w:firstRowFirstColumn="0" w:firstRowLastColumn="0" w:lastRowFirstColumn="0" w:lastRowLastColumn="0"/>
              <w:rPr>
                <w:rFonts w:eastAsia="Arial" w:cs="Arial"/>
                <w:sz w:val="20"/>
                <w:szCs w:val="20"/>
                <w:lang w:val="en-AU"/>
              </w:rPr>
            </w:pPr>
            <w:r w:rsidRPr="008D1918">
              <w:rPr>
                <w:rFonts w:eastAsia="Arial" w:cs="Arial"/>
                <w:sz w:val="20"/>
                <w:szCs w:val="20"/>
                <w:lang w:val="en-AU"/>
              </w:rPr>
              <w:t>43,400</w:t>
            </w:r>
          </w:p>
        </w:tc>
      </w:tr>
      <w:tr w:rsidRPr="008D1918" w:rsidR="00E928FF" w:rsidTr="00EE001B" w14:paraId="7AE61157" w14:textId="77777777">
        <w:trPr>
          <w:trHeight w:val="330"/>
        </w:trPr>
        <w:tc>
          <w:tcPr>
            <w:cnfStyle w:val="001000000000" w:firstRow="0" w:lastRow="0" w:firstColumn="1" w:lastColumn="0" w:oddVBand="0" w:evenVBand="0" w:oddHBand="0" w:evenHBand="0" w:firstRowFirstColumn="0" w:firstRowLastColumn="0" w:lastRowFirstColumn="0" w:lastRowLastColumn="0"/>
            <w:tcW w:w="3253" w:type="dxa"/>
            <w:vAlign w:val="center"/>
            <w:hideMark/>
          </w:tcPr>
          <w:p w:rsidRPr="008D1918" w:rsidR="000E3523" w:rsidP="00CE1F18" w:rsidRDefault="000E3523" w14:paraId="25797138" w14:textId="3E9B6DE5">
            <w:pPr>
              <w:keepNext/>
              <w:spacing w:before="60" w:after="60"/>
              <w:rPr>
                <w:rFonts w:cs="Calibri" w:eastAsiaTheme="minorEastAsia"/>
                <w:bCs w:val="0"/>
                <w:sz w:val="20"/>
                <w:szCs w:val="18"/>
                <w:lang w:val="en-AU"/>
              </w:rPr>
            </w:pPr>
            <w:r w:rsidRPr="008D1918">
              <w:rPr>
                <w:rFonts w:cs="Calibri" w:eastAsiaTheme="minorEastAsia"/>
                <w:sz w:val="20"/>
                <w:szCs w:val="18"/>
                <w:lang w:val="en-AU"/>
              </w:rPr>
              <w:t xml:space="preserve">Occupational </w:t>
            </w:r>
            <w:r w:rsidRPr="008D1918" w:rsidR="004E3102">
              <w:rPr>
                <w:rFonts w:cs="Calibri" w:eastAsiaTheme="minorEastAsia"/>
                <w:sz w:val="20"/>
                <w:szCs w:val="18"/>
                <w:lang w:val="en-AU"/>
              </w:rPr>
              <w:t>Therapists</w:t>
            </w:r>
          </w:p>
        </w:tc>
        <w:tc>
          <w:tcPr>
            <w:tcW w:w="2835" w:type="dxa"/>
            <w:vAlign w:val="center"/>
            <w:hideMark/>
          </w:tcPr>
          <w:p w:rsidRPr="008D1918" w:rsidR="000E3523" w:rsidP="00CE1F18" w:rsidRDefault="000E3523" w14:paraId="3EF93EAC" w14:textId="473A4A94">
            <w:pPr>
              <w:keepNext/>
              <w:spacing w:before="60" w:after="60"/>
              <w:ind w:right="964"/>
              <w:jc w:val="right"/>
              <w:cnfStyle w:val="000000000000" w:firstRow="0" w:lastRow="0" w:firstColumn="0" w:lastColumn="0" w:oddVBand="0" w:evenVBand="0" w:oddHBand="0" w:evenHBand="0" w:firstRowFirstColumn="0" w:firstRowLastColumn="0" w:lastRowFirstColumn="0" w:lastRowLastColumn="0"/>
              <w:rPr>
                <w:rFonts w:eastAsia="Arial" w:cs="Arial"/>
                <w:sz w:val="20"/>
                <w:szCs w:val="20"/>
                <w:lang w:val="en-AU"/>
              </w:rPr>
            </w:pPr>
            <w:r w:rsidRPr="008D1918">
              <w:rPr>
                <w:rFonts w:eastAsia="Arial" w:cs="Arial"/>
                <w:sz w:val="20"/>
                <w:szCs w:val="20"/>
                <w:lang w:val="en-AU"/>
              </w:rPr>
              <w:t>34,200</w:t>
            </w:r>
          </w:p>
        </w:tc>
      </w:tr>
      <w:tr w:rsidRPr="008D1918" w:rsidR="00A41050" w:rsidTr="00EE001B" w14:paraId="67584DC5"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253" w:type="dxa"/>
            <w:vAlign w:val="center"/>
          </w:tcPr>
          <w:p w:rsidRPr="008D1918" w:rsidR="00985FEE" w:rsidP="00CE1F18" w:rsidRDefault="00EC6DE0" w14:paraId="4FE7BA6E" w14:textId="7D0CFD54">
            <w:pPr>
              <w:keepNext/>
              <w:spacing w:before="60" w:after="60"/>
              <w:rPr>
                <w:rFonts w:cs="Calibri" w:eastAsiaTheme="minorEastAsia"/>
                <w:bCs w:val="0"/>
                <w:sz w:val="20"/>
                <w:szCs w:val="18"/>
                <w:lang w:val="en-AU"/>
              </w:rPr>
            </w:pPr>
            <w:r w:rsidRPr="008D1918">
              <w:rPr>
                <w:rFonts w:cs="Calibri" w:eastAsiaTheme="minorEastAsia"/>
                <w:sz w:val="20"/>
                <w:szCs w:val="18"/>
                <w:lang w:val="en-AU"/>
              </w:rPr>
              <w:t>Dietitians</w:t>
            </w:r>
          </w:p>
        </w:tc>
        <w:tc>
          <w:tcPr>
            <w:tcW w:w="2835" w:type="dxa"/>
            <w:vAlign w:val="center"/>
          </w:tcPr>
          <w:p w:rsidRPr="008D1918" w:rsidR="00985FEE" w:rsidP="00CE1F18" w:rsidRDefault="00EC6DE0" w14:paraId="07E7EC13" w14:textId="765F839C">
            <w:pPr>
              <w:keepNext/>
              <w:spacing w:before="60" w:after="60"/>
              <w:ind w:right="964"/>
              <w:jc w:val="right"/>
              <w:cnfStyle w:val="000000100000" w:firstRow="0" w:lastRow="0" w:firstColumn="0" w:lastColumn="0" w:oddVBand="0" w:evenVBand="0" w:oddHBand="1" w:evenHBand="0" w:firstRowFirstColumn="0" w:firstRowLastColumn="0" w:lastRowFirstColumn="0" w:lastRowLastColumn="0"/>
              <w:rPr>
                <w:rFonts w:eastAsia="Arial" w:cs="Arial"/>
                <w:sz w:val="20"/>
                <w:szCs w:val="20"/>
                <w:lang w:val="en-AU"/>
              </w:rPr>
            </w:pPr>
            <w:r w:rsidRPr="008D1918">
              <w:rPr>
                <w:rFonts w:eastAsia="Arial" w:cs="Arial"/>
                <w:sz w:val="20"/>
                <w:szCs w:val="20"/>
                <w:lang w:val="en-AU"/>
              </w:rPr>
              <w:t>5,400</w:t>
            </w:r>
          </w:p>
        </w:tc>
      </w:tr>
      <w:tr w:rsidRPr="008D1918" w:rsidR="00E928FF" w:rsidTr="00EE001B" w14:paraId="4DA31B22" w14:textId="77777777">
        <w:trPr>
          <w:trHeight w:val="330"/>
        </w:trPr>
        <w:tc>
          <w:tcPr>
            <w:cnfStyle w:val="001000000000" w:firstRow="0" w:lastRow="0" w:firstColumn="1" w:lastColumn="0" w:oddVBand="0" w:evenVBand="0" w:oddHBand="0" w:evenHBand="0" w:firstRowFirstColumn="0" w:firstRowLastColumn="0" w:lastRowFirstColumn="0" w:lastRowLastColumn="0"/>
            <w:tcW w:w="3253" w:type="dxa"/>
            <w:vAlign w:val="center"/>
          </w:tcPr>
          <w:p w:rsidRPr="008D1918" w:rsidR="00985FEE" w:rsidP="00CE1F18" w:rsidRDefault="00EC6DE0" w14:paraId="624E16A5" w14:textId="3A261188">
            <w:pPr>
              <w:keepNext/>
              <w:spacing w:before="60" w:after="60"/>
              <w:rPr>
                <w:rFonts w:cs="Calibri" w:eastAsiaTheme="minorEastAsia"/>
                <w:bCs w:val="0"/>
                <w:sz w:val="20"/>
                <w:szCs w:val="18"/>
                <w:lang w:val="en-AU"/>
              </w:rPr>
            </w:pPr>
            <w:r w:rsidRPr="008D1918">
              <w:rPr>
                <w:rFonts w:cs="Calibri" w:eastAsiaTheme="minorEastAsia"/>
                <w:sz w:val="20"/>
                <w:szCs w:val="18"/>
                <w:lang w:val="en-AU"/>
              </w:rPr>
              <w:t>Audiologists</w:t>
            </w:r>
          </w:p>
        </w:tc>
        <w:tc>
          <w:tcPr>
            <w:tcW w:w="2835" w:type="dxa"/>
            <w:vAlign w:val="center"/>
          </w:tcPr>
          <w:p w:rsidRPr="008D1918" w:rsidR="00985FEE" w:rsidP="00CE1F18" w:rsidRDefault="00EC6DE0" w14:paraId="68C7A21D" w14:textId="650CF602">
            <w:pPr>
              <w:keepNext/>
              <w:spacing w:before="60" w:after="60"/>
              <w:ind w:right="964"/>
              <w:jc w:val="right"/>
              <w:cnfStyle w:val="000000000000" w:firstRow="0" w:lastRow="0" w:firstColumn="0" w:lastColumn="0" w:oddVBand="0" w:evenVBand="0" w:oddHBand="0" w:evenHBand="0" w:firstRowFirstColumn="0" w:firstRowLastColumn="0" w:lastRowFirstColumn="0" w:lastRowLastColumn="0"/>
              <w:rPr>
                <w:rFonts w:eastAsia="Arial" w:cs="Arial"/>
                <w:sz w:val="20"/>
                <w:szCs w:val="20"/>
                <w:lang w:val="en-AU"/>
              </w:rPr>
            </w:pPr>
            <w:r w:rsidRPr="008D1918">
              <w:rPr>
                <w:rFonts w:eastAsia="Arial" w:cs="Arial"/>
                <w:sz w:val="20"/>
                <w:szCs w:val="20"/>
                <w:lang w:val="en-AU"/>
              </w:rPr>
              <w:t>2,600</w:t>
            </w:r>
          </w:p>
        </w:tc>
      </w:tr>
      <w:tr w:rsidRPr="008D1918" w:rsidR="00A41050" w:rsidTr="00EE001B" w14:paraId="3D7E00C8"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253" w:type="dxa"/>
            <w:vAlign w:val="center"/>
          </w:tcPr>
          <w:p w:rsidRPr="008D1918" w:rsidR="00985FEE" w:rsidP="00CE1F18" w:rsidRDefault="00EC6DE0" w14:paraId="78AD5A9C" w14:textId="6BD3CB5F">
            <w:pPr>
              <w:keepNext/>
              <w:spacing w:before="60" w:after="60"/>
              <w:rPr>
                <w:rFonts w:cs="Calibri" w:eastAsiaTheme="minorEastAsia"/>
                <w:bCs w:val="0"/>
                <w:sz w:val="20"/>
                <w:szCs w:val="18"/>
                <w:lang w:val="en-AU"/>
              </w:rPr>
            </w:pPr>
            <w:r w:rsidRPr="008D1918">
              <w:rPr>
                <w:rFonts w:cs="Calibri" w:eastAsiaTheme="minorEastAsia"/>
                <w:sz w:val="20"/>
                <w:szCs w:val="18"/>
                <w:lang w:val="en-AU"/>
              </w:rPr>
              <w:t xml:space="preserve">Speech </w:t>
            </w:r>
            <w:r w:rsidRPr="008D1918" w:rsidR="004E3102">
              <w:rPr>
                <w:rFonts w:cs="Calibri" w:eastAsiaTheme="minorEastAsia"/>
                <w:sz w:val="20"/>
                <w:szCs w:val="18"/>
                <w:lang w:val="en-AU"/>
              </w:rPr>
              <w:t>Pathologists</w:t>
            </w:r>
          </w:p>
        </w:tc>
        <w:tc>
          <w:tcPr>
            <w:tcW w:w="2835" w:type="dxa"/>
            <w:vAlign w:val="center"/>
          </w:tcPr>
          <w:p w:rsidRPr="008D1918" w:rsidR="00985FEE" w:rsidP="00CE1F18" w:rsidRDefault="00EC6DE0" w14:paraId="2D7A077D" w14:textId="7F0409FF">
            <w:pPr>
              <w:keepNext/>
              <w:spacing w:before="60" w:after="60"/>
              <w:ind w:right="964"/>
              <w:jc w:val="right"/>
              <w:cnfStyle w:val="000000100000" w:firstRow="0" w:lastRow="0" w:firstColumn="0" w:lastColumn="0" w:oddVBand="0" w:evenVBand="0" w:oddHBand="1" w:evenHBand="0" w:firstRowFirstColumn="0" w:firstRowLastColumn="0" w:lastRowFirstColumn="0" w:lastRowLastColumn="0"/>
              <w:rPr>
                <w:rFonts w:eastAsia="Arial" w:cs="Arial"/>
                <w:sz w:val="20"/>
                <w:szCs w:val="20"/>
                <w:lang w:val="en-AU"/>
              </w:rPr>
            </w:pPr>
            <w:r w:rsidRPr="008D1918">
              <w:rPr>
                <w:rFonts w:eastAsia="Arial" w:cs="Arial"/>
                <w:sz w:val="20"/>
                <w:szCs w:val="20"/>
                <w:lang w:val="en-AU"/>
              </w:rPr>
              <w:t>11,000</w:t>
            </w:r>
          </w:p>
        </w:tc>
      </w:tr>
      <w:tr w:rsidRPr="008D1918" w:rsidR="00E928FF" w:rsidTr="00EE001B" w14:paraId="4245A79B" w14:textId="77777777">
        <w:trPr>
          <w:trHeight w:val="330"/>
        </w:trPr>
        <w:tc>
          <w:tcPr>
            <w:cnfStyle w:val="001000000000" w:firstRow="0" w:lastRow="0" w:firstColumn="1" w:lastColumn="0" w:oddVBand="0" w:evenVBand="0" w:oddHBand="0" w:evenHBand="0" w:firstRowFirstColumn="0" w:firstRowLastColumn="0" w:lastRowFirstColumn="0" w:lastRowLastColumn="0"/>
            <w:tcW w:w="3253" w:type="dxa"/>
            <w:vAlign w:val="center"/>
          </w:tcPr>
          <w:p w:rsidRPr="008D1918" w:rsidR="00985FEE" w:rsidP="00CE1F18" w:rsidRDefault="00EC6DE0" w14:paraId="4A0A1BD0" w14:textId="0789A4C2">
            <w:pPr>
              <w:keepNext/>
              <w:spacing w:before="60" w:after="60"/>
              <w:rPr>
                <w:rFonts w:cs="Calibri" w:eastAsiaTheme="minorEastAsia"/>
                <w:bCs w:val="0"/>
                <w:sz w:val="20"/>
                <w:szCs w:val="18"/>
                <w:lang w:val="en-AU"/>
              </w:rPr>
            </w:pPr>
            <w:r w:rsidRPr="008D1918">
              <w:rPr>
                <w:rFonts w:cs="Calibri" w:eastAsiaTheme="minorEastAsia"/>
                <w:sz w:val="20"/>
                <w:szCs w:val="18"/>
                <w:lang w:val="en-AU"/>
              </w:rPr>
              <w:t>Podiatrists</w:t>
            </w:r>
          </w:p>
        </w:tc>
        <w:tc>
          <w:tcPr>
            <w:tcW w:w="2835" w:type="dxa"/>
            <w:vAlign w:val="center"/>
          </w:tcPr>
          <w:p w:rsidRPr="008D1918" w:rsidR="00985FEE" w:rsidP="00CE1F18" w:rsidRDefault="00EC6DE0" w14:paraId="00D9E57D" w14:textId="1B46C8F9">
            <w:pPr>
              <w:keepNext/>
              <w:spacing w:before="60" w:after="60"/>
              <w:ind w:right="964"/>
              <w:jc w:val="right"/>
              <w:cnfStyle w:val="000000000000" w:firstRow="0" w:lastRow="0" w:firstColumn="0" w:lastColumn="0" w:oddVBand="0" w:evenVBand="0" w:oddHBand="0" w:evenHBand="0" w:firstRowFirstColumn="0" w:firstRowLastColumn="0" w:lastRowFirstColumn="0" w:lastRowLastColumn="0"/>
              <w:rPr>
                <w:rFonts w:eastAsia="Arial" w:cs="Arial"/>
                <w:sz w:val="20"/>
                <w:szCs w:val="20"/>
                <w:lang w:val="en-AU"/>
              </w:rPr>
            </w:pPr>
            <w:r w:rsidRPr="008D1918">
              <w:rPr>
                <w:rFonts w:eastAsia="Arial" w:cs="Arial"/>
                <w:sz w:val="20"/>
                <w:szCs w:val="20"/>
                <w:lang w:val="en-AU"/>
              </w:rPr>
              <w:t>6,700</w:t>
            </w:r>
          </w:p>
        </w:tc>
      </w:tr>
      <w:tr w:rsidRPr="008D1918" w:rsidR="00A41050" w:rsidTr="00EE001B" w14:paraId="74D5C527"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253" w:type="dxa"/>
            <w:vAlign w:val="center"/>
          </w:tcPr>
          <w:p w:rsidRPr="008D1918" w:rsidR="00985FEE" w:rsidP="00CE1F18" w:rsidRDefault="00EC6DE0" w14:paraId="1CF00BDE" w14:textId="666646AB">
            <w:pPr>
              <w:keepNext/>
              <w:spacing w:before="60" w:after="60"/>
              <w:rPr>
                <w:rFonts w:cs="Calibri" w:eastAsiaTheme="minorEastAsia"/>
                <w:bCs w:val="0"/>
                <w:sz w:val="20"/>
                <w:szCs w:val="18"/>
                <w:lang w:val="en-AU"/>
              </w:rPr>
            </w:pPr>
            <w:r w:rsidRPr="008D1918">
              <w:rPr>
                <w:rFonts w:eastAsia="Arial" w:cs="Arial"/>
                <w:b/>
                <w:sz w:val="20"/>
                <w:szCs w:val="20"/>
                <w:lang w:val="en-AU"/>
              </w:rPr>
              <w:t>Total</w:t>
            </w:r>
          </w:p>
        </w:tc>
        <w:tc>
          <w:tcPr>
            <w:tcW w:w="2835" w:type="dxa"/>
            <w:vAlign w:val="center"/>
          </w:tcPr>
          <w:p w:rsidRPr="008D1918" w:rsidR="00985FEE" w:rsidP="00CE1F18" w:rsidRDefault="00EC6DE0" w14:paraId="40040237" w14:textId="1B614369">
            <w:pPr>
              <w:keepNext/>
              <w:spacing w:before="60" w:after="60"/>
              <w:ind w:right="964"/>
              <w:jc w:val="right"/>
              <w:cnfStyle w:val="000000100000" w:firstRow="0" w:lastRow="0" w:firstColumn="0" w:lastColumn="0" w:oddVBand="0" w:evenVBand="0" w:oddHBand="1" w:evenHBand="0" w:firstRowFirstColumn="0" w:firstRowLastColumn="0" w:lastRowFirstColumn="0" w:lastRowLastColumn="0"/>
              <w:rPr>
                <w:rFonts w:eastAsia="Arial" w:cs="Arial"/>
                <w:sz w:val="20"/>
                <w:szCs w:val="20"/>
                <w:lang w:val="en-AU"/>
              </w:rPr>
            </w:pPr>
            <w:r w:rsidRPr="008D1918">
              <w:rPr>
                <w:rFonts w:eastAsia="Arial" w:cs="Arial"/>
                <w:b/>
                <w:sz w:val="20"/>
                <w:szCs w:val="20"/>
                <w:lang w:val="en-AU"/>
              </w:rPr>
              <w:t>198,100</w:t>
            </w:r>
          </w:p>
        </w:tc>
      </w:tr>
    </w:tbl>
    <w:p w:rsidRPr="008D1918" w:rsidR="00810865" w:rsidP="001D163B" w:rsidRDefault="00810865" w14:paraId="7BE011D9" w14:textId="12F16997">
      <w:pPr>
        <w:spacing w:before="120" w:after="360" w:line="240" w:lineRule="atLeast"/>
        <w:rPr>
          <w:rFonts w:cs="Calibri" w:eastAsiaTheme="minorEastAsia"/>
          <w:b/>
          <w:sz w:val="20"/>
          <w:szCs w:val="18"/>
          <w:lang w:val="en-AU"/>
        </w:rPr>
      </w:pPr>
      <w:r w:rsidRPr="008D1918">
        <w:rPr>
          <w:rFonts w:cs="Calibri" w:eastAsiaTheme="minorEastAsia"/>
          <w:b/>
          <w:sz w:val="20"/>
          <w:szCs w:val="20"/>
          <w:lang w:val="en-AU"/>
        </w:rPr>
        <w:t xml:space="preserve">Source: </w:t>
      </w:r>
      <w:r w:rsidRPr="008D1918" w:rsidR="00D26762">
        <w:rPr>
          <w:rFonts w:cs="Calibri" w:eastAsiaTheme="minorEastAsia"/>
          <w:b/>
          <w:sz w:val="20"/>
          <w:szCs w:val="20"/>
          <w:lang w:val="en-AU"/>
        </w:rPr>
        <w:t>Jobs and Skills Australia</w:t>
      </w:r>
      <w:r w:rsidRPr="008D1918" w:rsidR="00EA7663">
        <w:rPr>
          <w:rStyle w:val="FootnoteReference"/>
          <w:rFonts w:cs="Calibri" w:eastAsiaTheme="minorEastAsia"/>
          <w:b/>
          <w:sz w:val="20"/>
          <w:szCs w:val="18"/>
          <w:lang w:val="en-AU"/>
        </w:rPr>
        <w:footnoteReference w:id="37"/>
      </w:r>
      <w:r w:rsidRPr="008D1918" w:rsidR="00A13FB3">
        <w:rPr>
          <w:rFonts w:cs="Calibri" w:eastAsiaTheme="minorEastAsia"/>
          <w:b/>
          <w:sz w:val="20"/>
          <w:szCs w:val="20"/>
          <w:lang w:val="en-AU"/>
        </w:rPr>
        <w:t>;</w:t>
      </w:r>
      <w:r w:rsidRPr="008D1918" w:rsidR="00D26762">
        <w:rPr>
          <w:rFonts w:cs="Calibri" w:eastAsiaTheme="minorEastAsia"/>
          <w:b/>
          <w:sz w:val="20"/>
          <w:szCs w:val="20"/>
          <w:lang w:val="en-AU"/>
        </w:rPr>
        <w:t xml:space="preserve"> </w:t>
      </w:r>
      <w:r w:rsidRPr="008D1918" w:rsidR="00C73508">
        <w:rPr>
          <w:rFonts w:cs="Calibri" w:eastAsiaTheme="minorEastAsia"/>
          <w:b/>
          <w:sz w:val="20"/>
          <w:szCs w:val="20"/>
          <w:lang w:val="en-AU"/>
        </w:rPr>
        <w:t>Psychology Board of Australia</w:t>
      </w:r>
      <w:r w:rsidRPr="008D1918" w:rsidR="00EA7663">
        <w:rPr>
          <w:rStyle w:val="FootnoteReference"/>
          <w:rFonts w:cs="Calibri" w:eastAsiaTheme="minorEastAsia"/>
          <w:b/>
          <w:sz w:val="20"/>
          <w:szCs w:val="18"/>
          <w:lang w:val="en-AU"/>
        </w:rPr>
        <w:footnoteReference w:id="38"/>
      </w:r>
    </w:p>
    <w:p w:rsidRPr="008D1918" w:rsidR="000E3523" w:rsidRDefault="000E3523" w14:paraId="2767885E" w14:textId="372DEBE8">
      <w:pPr>
        <w:rPr>
          <w:rFonts w:eastAsia="Arial" w:cs="Arial"/>
          <w:sz w:val="20"/>
          <w:szCs w:val="20"/>
          <w:lang w:val="en-AU"/>
        </w:rPr>
      </w:pPr>
      <w:r w:rsidRPr="008D1918">
        <w:rPr>
          <w:rFonts w:eastAsia="Arial" w:cs="Arial"/>
          <w:lang w:val="en-AU"/>
        </w:rPr>
        <w:t xml:space="preserve">These constraints operate within a labour market that is not primarily governed by </w:t>
      </w:r>
      <w:r w:rsidRPr="008D1918" w:rsidR="00D03C3D">
        <w:rPr>
          <w:rFonts w:eastAsia="Arial" w:cs="Arial"/>
          <w:lang w:val="en-AU"/>
        </w:rPr>
        <w:t>award-based</w:t>
      </w:r>
      <w:r w:rsidRPr="008D1918">
        <w:rPr>
          <w:rFonts w:eastAsia="Arial" w:cs="Arial"/>
          <w:lang w:val="en-AU"/>
        </w:rPr>
        <w:t xml:space="preserve"> wage setting. While the </w:t>
      </w:r>
      <w:r w:rsidRPr="008D1918">
        <w:rPr>
          <w:rFonts w:eastAsia="Arial" w:cs="Arial"/>
          <w:i/>
          <w:lang w:val="en-AU"/>
        </w:rPr>
        <w:t>Health Professionals and Support Services Award 2020</w:t>
      </w:r>
      <w:r w:rsidRPr="008D1918">
        <w:rPr>
          <w:rFonts w:eastAsia="Arial" w:cs="Arial"/>
          <w:lang w:val="en-AU"/>
        </w:rPr>
        <w:t xml:space="preserve"> </w:t>
      </w:r>
      <w:r w:rsidRPr="008D1918" w:rsidR="009C21BF">
        <w:rPr>
          <w:rFonts w:eastAsia="Arial" w:cs="Arial"/>
          <w:lang w:val="en-AU"/>
        </w:rPr>
        <w:t xml:space="preserve">(HPSS Award) </w:t>
      </w:r>
      <w:r w:rsidRPr="008D1918">
        <w:rPr>
          <w:rFonts w:eastAsia="Arial" w:cs="Arial"/>
          <w:lang w:val="en-AU"/>
        </w:rPr>
        <w:t>establishes a minimum wage framework, it applies to only a minority of the therapy workforce. Most therapists are engaged under enterprise bargaining agreements or individual arrangements, with remuneration typically around 36</w:t>
      </w:r>
      <w:r w:rsidRPr="008D1918" w:rsidR="003E00DF">
        <w:rPr>
          <w:rFonts w:eastAsia="Arial" w:cs="Arial"/>
          <w:lang w:val="en-AU"/>
        </w:rPr>
        <w:t>%</w:t>
      </w:r>
      <w:r w:rsidRPr="008D1918">
        <w:rPr>
          <w:rFonts w:eastAsia="Arial" w:cs="Arial"/>
          <w:lang w:val="en-AU"/>
        </w:rPr>
        <w:t xml:space="preserve"> higher than award rates. Pay levels are therefore shaped by pricing and demand across multiple funding systems, including Medicare</w:t>
      </w:r>
      <w:r w:rsidRPr="008D1918" w:rsidR="009C21BF">
        <w:rPr>
          <w:rFonts w:eastAsia="Arial" w:cs="Arial"/>
          <w:lang w:val="en-AU"/>
        </w:rPr>
        <w:t>, PHI</w:t>
      </w:r>
      <w:r w:rsidRPr="008D1918">
        <w:rPr>
          <w:rFonts w:eastAsia="Arial" w:cs="Arial"/>
          <w:lang w:val="en-AU"/>
        </w:rPr>
        <w:t xml:space="preserve"> and </w:t>
      </w:r>
      <w:r w:rsidRPr="008D1918" w:rsidR="00D03C3D">
        <w:rPr>
          <w:rFonts w:eastAsia="Arial" w:cs="Arial"/>
          <w:lang w:val="en-AU"/>
        </w:rPr>
        <w:t>state-based</w:t>
      </w:r>
      <w:r w:rsidRPr="008D1918">
        <w:rPr>
          <w:rFonts w:eastAsia="Arial" w:cs="Arial"/>
          <w:lang w:val="en-AU"/>
        </w:rPr>
        <w:t xml:space="preserve"> schemes, rather than by award conditions alone.</w:t>
      </w:r>
    </w:p>
    <w:p w:rsidRPr="008D1918" w:rsidR="000E3523" w:rsidRDefault="000E3523" w14:paraId="49E755D0" w14:textId="7176B3FE">
      <w:pPr>
        <w:rPr>
          <w:lang w:val="en-AU"/>
        </w:rPr>
      </w:pPr>
      <w:r w:rsidRPr="008D1918">
        <w:rPr>
          <w:rFonts w:eastAsia="Arial" w:cs="Arial"/>
          <w:lang w:val="en-AU"/>
        </w:rPr>
        <w:t>In this environment, earnings function as contextual information rather than a pricing input. They illustrate the structural gap between wages and market fees and help explain why NDIS therapy price</w:t>
      </w:r>
      <w:r w:rsidRPr="008D1918" w:rsidR="002A7F59">
        <w:rPr>
          <w:rFonts w:eastAsia="Arial" w:cs="Arial"/>
          <w:lang w:val="en-AU"/>
        </w:rPr>
        <w:t>s</w:t>
      </w:r>
      <w:r w:rsidRPr="008D1918">
        <w:rPr>
          <w:rFonts w:eastAsia="Arial" w:cs="Arial"/>
          <w:lang w:val="en-AU"/>
        </w:rPr>
        <w:t xml:space="preserve"> do not map directly to pay rates. Earnings do not capture the full cost structure of service provision, including administration, supervision, insurance, compliance obligations, business systems and non</w:t>
      </w:r>
      <w:r w:rsidRPr="008D1918" w:rsidR="00DF4AA2">
        <w:rPr>
          <w:rFonts w:eastAsia="Arial" w:cs="Arial"/>
          <w:lang w:val="en-AU"/>
        </w:rPr>
        <w:t>-</w:t>
      </w:r>
      <w:r w:rsidRPr="008D1918">
        <w:rPr>
          <w:rFonts w:eastAsia="Arial" w:cs="Arial"/>
          <w:lang w:val="en-AU"/>
        </w:rPr>
        <w:t>face</w:t>
      </w:r>
      <w:r w:rsidRPr="008D1918" w:rsidR="00DF4AA2">
        <w:rPr>
          <w:rFonts w:eastAsia="Arial" w:cs="Arial"/>
          <w:lang w:val="en-AU"/>
        </w:rPr>
        <w:t>-</w:t>
      </w:r>
      <w:r w:rsidRPr="008D1918">
        <w:rPr>
          <w:rFonts w:eastAsia="Arial" w:cs="Arial"/>
          <w:lang w:val="en-AU"/>
        </w:rPr>
        <w:t>to</w:t>
      </w:r>
      <w:r w:rsidRPr="008D1918" w:rsidR="00DF4AA2">
        <w:rPr>
          <w:rFonts w:eastAsia="Arial" w:cs="Arial"/>
          <w:lang w:val="en-AU"/>
        </w:rPr>
        <w:t>-</w:t>
      </w:r>
      <w:r w:rsidRPr="008D1918">
        <w:rPr>
          <w:rFonts w:eastAsia="Arial" w:cs="Arial"/>
          <w:lang w:val="en-AU"/>
        </w:rPr>
        <w:t>face activities</w:t>
      </w:r>
      <w:r w:rsidRPr="008D1918" w:rsidR="001E7B88">
        <w:rPr>
          <w:rFonts w:eastAsia="Arial" w:cs="Arial"/>
          <w:lang w:val="en-AU"/>
        </w:rPr>
        <w:t xml:space="preserve">. </w:t>
      </w:r>
      <w:r w:rsidRPr="008D1918" w:rsidR="008A390C">
        <w:rPr>
          <w:rFonts w:eastAsia="Arial" w:cs="Arial"/>
          <w:lang w:val="en-AU"/>
        </w:rPr>
        <w:t>Therefore,</w:t>
      </w:r>
      <w:r w:rsidRPr="008D1918" w:rsidR="001E7B88">
        <w:rPr>
          <w:rFonts w:eastAsia="Arial" w:cs="Arial"/>
          <w:lang w:val="en-AU"/>
        </w:rPr>
        <w:t xml:space="preserve"> they</w:t>
      </w:r>
      <w:r w:rsidRPr="008D1918">
        <w:rPr>
          <w:rFonts w:eastAsia="Arial" w:cs="Arial"/>
          <w:lang w:val="en-AU"/>
        </w:rPr>
        <w:t xml:space="preserve"> are an </w:t>
      </w:r>
      <w:r w:rsidRPr="008D1918" w:rsidR="00EB3595">
        <w:rPr>
          <w:rFonts w:eastAsia="Arial" w:cs="Arial"/>
          <w:lang w:val="en-AU"/>
        </w:rPr>
        <w:t>in</w:t>
      </w:r>
      <w:r w:rsidRPr="008D1918">
        <w:rPr>
          <w:rFonts w:eastAsia="Arial" w:cs="Arial"/>
          <w:lang w:val="en-AU"/>
        </w:rPr>
        <w:t xml:space="preserve">appropriate basis for </w:t>
      </w:r>
      <w:r w:rsidRPr="008D1918" w:rsidR="002A7F59">
        <w:rPr>
          <w:rFonts w:eastAsia="Arial" w:cs="Arial"/>
          <w:lang w:val="en-AU"/>
        </w:rPr>
        <w:t>recommending prices.</w:t>
      </w:r>
    </w:p>
    <w:p w:rsidRPr="008D1918" w:rsidR="000E3523" w:rsidRDefault="000E3523" w14:paraId="4AD3FA55" w14:textId="0370714A">
      <w:pPr>
        <w:rPr>
          <w:rFonts w:eastAsia="Arial"/>
          <w:lang w:val="en-AU"/>
        </w:rPr>
      </w:pPr>
      <w:r w:rsidRPr="008D1918">
        <w:rPr>
          <w:rFonts w:eastAsia="Arial" w:cs="Arial"/>
          <w:lang w:val="en-AU"/>
        </w:rPr>
        <w:t xml:space="preserve">Taken together, these workforce characteristics support </w:t>
      </w:r>
      <w:r w:rsidRPr="008D1918" w:rsidR="002A7F59">
        <w:rPr>
          <w:rFonts w:eastAsia="Arial" w:cs="Arial"/>
          <w:lang w:val="en-AU"/>
        </w:rPr>
        <w:t>recommending prices which are</w:t>
      </w:r>
      <w:r w:rsidRPr="008D1918">
        <w:rPr>
          <w:rFonts w:eastAsia="Arial" w:cs="Arial"/>
          <w:lang w:val="en-AU"/>
        </w:rPr>
        <w:t xml:space="preserve"> anchored to observable market prices rather than workforce composition or wage structures. </w:t>
      </w:r>
      <w:r w:rsidRPr="008D1918" w:rsidR="002A7F59">
        <w:rPr>
          <w:rFonts w:eastAsia="Arial" w:cs="Arial"/>
          <w:lang w:val="en-AU"/>
        </w:rPr>
        <w:t>Price recommendations should</w:t>
      </w:r>
      <w:r w:rsidRPr="008D1918">
        <w:rPr>
          <w:rFonts w:eastAsia="Arial" w:cs="Arial"/>
          <w:lang w:val="en-AU"/>
        </w:rPr>
        <w:t xml:space="preserve"> also account for broader stewardship considerations, including sustainability, access and alignment with comparable markets, recognising the limited role of price as a lever for addressing structural supply constraints. In this context, </w:t>
      </w:r>
      <w:r w:rsidRPr="008D1918" w:rsidR="002A7F59">
        <w:rPr>
          <w:rFonts w:eastAsia="Arial" w:cs="Arial"/>
          <w:lang w:val="en-AU"/>
        </w:rPr>
        <w:t>changes to pricing</w:t>
      </w:r>
      <w:r w:rsidRPr="008D1918">
        <w:rPr>
          <w:rFonts w:eastAsia="Arial" w:cs="Arial"/>
          <w:lang w:val="en-AU"/>
        </w:rPr>
        <w:t xml:space="preserve"> </w:t>
      </w:r>
      <w:r w:rsidRPr="008D1918" w:rsidR="002A7F59">
        <w:rPr>
          <w:rFonts w:eastAsia="Arial" w:cs="Arial"/>
          <w:lang w:val="en-AU"/>
        </w:rPr>
        <w:t>would be</w:t>
      </w:r>
      <w:r w:rsidRPr="008D1918">
        <w:rPr>
          <w:rFonts w:eastAsia="Arial" w:cs="Arial"/>
          <w:lang w:val="en-AU"/>
        </w:rPr>
        <w:t xml:space="preserve"> more likely </w:t>
      </w:r>
      <w:r w:rsidRPr="008D1918">
        <w:rPr>
          <w:rFonts w:eastAsia="Arial" w:cs="Arial"/>
          <w:lang w:val="en-AU"/>
        </w:rPr>
        <w:t>to support provider viability and workforce retention than to generate additional supply in the short term.</w:t>
      </w:r>
    </w:p>
    <w:p w:rsidRPr="008D1918" w:rsidR="00AE3B8E" w:rsidP="00041468" w:rsidRDefault="00AE3B8E" w14:paraId="7C513B99" w14:textId="016CDA60">
      <w:pPr>
        <w:pStyle w:val="StyleStyle112pt"/>
      </w:pPr>
      <w:bookmarkStart w:name="_Toc227318738" w:id="1064"/>
      <w:bookmarkStart w:name="_Toc227337106" w:id="1065"/>
      <w:r w:rsidRPr="008D1918">
        <w:t>Health Professionals and Support Services Award</w:t>
      </w:r>
      <w:bookmarkEnd w:id="1064"/>
      <w:bookmarkEnd w:id="1065"/>
    </w:p>
    <w:p w:rsidRPr="008D1918" w:rsidR="00AE3B8E" w:rsidP="00AE3B8E" w:rsidRDefault="00AE3B8E" w14:paraId="53686387" w14:textId="0BB6C84D">
      <w:pPr>
        <w:rPr>
          <w:rFonts w:eastAsia="Arial" w:cs="Arial"/>
          <w:lang w:val="en-AU"/>
        </w:rPr>
      </w:pPr>
      <w:r w:rsidRPr="008D1918">
        <w:rPr>
          <w:rFonts w:eastAsia="Arial" w:cs="Arial"/>
          <w:lang w:val="en-AU"/>
        </w:rPr>
        <w:t xml:space="preserve">The Fair Work Commission (FWC) </w:t>
      </w:r>
      <w:r w:rsidRPr="008D1918" w:rsidR="00B55693">
        <w:rPr>
          <w:rFonts w:eastAsia="Arial" w:cs="Arial"/>
          <w:lang w:val="en-AU"/>
        </w:rPr>
        <w:t>work includes</w:t>
      </w:r>
      <w:r w:rsidRPr="008D1918">
        <w:rPr>
          <w:rFonts w:eastAsia="Arial" w:cs="Arial"/>
          <w:lang w:val="en-AU"/>
        </w:rPr>
        <w:t xml:space="preserve"> considering gender-based undervaluation in the </w:t>
      </w:r>
      <w:r w:rsidRPr="008D1918" w:rsidR="00E66B8C">
        <w:rPr>
          <w:rFonts w:eastAsia="Arial" w:cs="Arial"/>
          <w:lang w:val="en-AU"/>
        </w:rPr>
        <w:t>HPSS Award, which is relevant to allied health professions</w:t>
      </w:r>
      <w:r w:rsidRPr="008D1918" w:rsidR="00E040B7">
        <w:rPr>
          <w:rFonts w:eastAsia="Arial" w:cs="Arial"/>
          <w:lang w:val="en-AU"/>
        </w:rPr>
        <w:t>,</w:t>
      </w:r>
      <w:r w:rsidRPr="008D1918" w:rsidR="00E66B8C">
        <w:rPr>
          <w:rFonts w:eastAsia="Arial" w:cs="Arial"/>
          <w:lang w:val="en-AU"/>
        </w:rPr>
        <w:t xml:space="preserve"> including several therapy disciplines funded by the NDI</w:t>
      </w:r>
      <w:r w:rsidRPr="008D1918" w:rsidR="00701C6F">
        <w:rPr>
          <w:rFonts w:eastAsia="Arial" w:cs="Arial"/>
          <w:lang w:val="en-AU"/>
        </w:rPr>
        <w:t>S</w:t>
      </w:r>
      <w:r w:rsidRPr="008D1918" w:rsidR="00E66B8C">
        <w:rPr>
          <w:rFonts w:eastAsia="Arial" w:cs="Arial"/>
          <w:lang w:val="en-AU"/>
        </w:rPr>
        <w:t>. Unlike DSW-</w:t>
      </w:r>
      <w:r w:rsidRPr="008D1918" w:rsidR="0031505E">
        <w:rPr>
          <w:rFonts w:eastAsia="Arial" w:cs="Arial"/>
          <w:lang w:val="en-AU"/>
        </w:rPr>
        <w:t>related</w:t>
      </w:r>
      <w:r w:rsidRPr="008D1918" w:rsidR="00E66B8C">
        <w:rPr>
          <w:rFonts w:eastAsia="Arial" w:cs="Arial"/>
          <w:lang w:val="en-AU"/>
        </w:rPr>
        <w:t xml:space="preserve"> supports, however, NDIS therapy </w:t>
      </w:r>
      <w:r w:rsidRPr="008D1918" w:rsidR="00725804">
        <w:rPr>
          <w:rFonts w:eastAsia="Arial" w:cs="Arial"/>
          <w:lang w:val="en-AU"/>
        </w:rPr>
        <w:t xml:space="preserve">recommended </w:t>
      </w:r>
      <w:r w:rsidRPr="008D1918" w:rsidR="00E66B8C">
        <w:rPr>
          <w:rFonts w:eastAsia="Arial" w:cs="Arial"/>
          <w:lang w:val="en-AU"/>
        </w:rPr>
        <w:t>price</w:t>
      </w:r>
      <w:r w:rsidRPr="008D1918" w:rsidR="00725804">
        <w:rPr>
          <w:rFonts w:eastAsia="Arial" w:cs="Arial"/>
          <w:lang w:val="en-AU"/>
        </w:rPr>
        <w:t>s</w:t>
      </w:r>
      <w:r w:rsidRPr="008D1918" w:rsidR="00E66B8C">
        <w:rPr>
          <w:rFonts w:eastAsia="Arial" w:cs="Arial"/>
          <w:lang w:val="en-AU"/>
        </w:rPr>
        <w:t xml:space="preserve"> are not directly </w:t>
      </w:r>
      <w:r w:rsidRPr="008D1918" w:rsidR="0031505E">
        <w:rPr>
          <w:rFonts w:eastAsia="Arial" w:cs="Arial"/>
          <w:lang w:val="en-AU"/>
        </w:rPr>
        <w:t>linked</w:t>
      </w:r>
      <w:r w:rsidRPr="008D1918" w:rsidR="00E66B8C">
        <w:rPr>
          <w:rFonts w:eastAsia="Arial" w:cs="Arial"/>
          <w:lang w:val="en-AU"/>
        </w:rPr>
        <w:t xml:space="preserve"> to award wage rates through a cost model.</w:t>
      </w:r>
    </w:p>
    <w:p w:rsidRPr="008D1918" w:rsidR="00E66B8C" w:rsidP="00AE3B8E" w:rsidRDefault="00E66B8C" w14:paraId="493B0091" w14:textId="10CE88C9">
      <w:pPr>
        <w:rPr>
          <w:rFonts w:eastAsia="Arial" w:cs="Arial"/>
          <w:lang w:val="en-AU"/>
        </w:rPr>
      </w:pPr>
      <w:r w:rsidRPr="008D1918">
        <w:rPr>
          <w:rFonts w:eastAsia="Arial" w:cs="Arial"/>
          <w:lang w:val="en-AU"/>
        </w:rPr>
        <w:t>The NDIA’s</w:t>
      </w:r>
      <w:r w:rsidRPr="008D1918" w:rsidR="00725804">
        <w:rPr>
          <w:rFonts w:eastAsia="Arial" w:cs="Arial"/>
          <w:lang w:val="en-AU"/>
        </w:rPr>
        <w:t xml:space="preserve"> approach to</w:t>
      </w:r>
      <w:r w:rsidRPr="008D1918">
        <w:rPr>
          <w:rFonts w:eastAsia="Arial" w:cs="Arial"/>
          <w:lang w:val="en-AU"/>
        </w:rPr>
        <w:t xml:space="preserve"> therapy pric</w:t>
      </w:r>
      <w:r w:rsidRPr="008D1918" w:rsidR="00725804">
        <w:rPr>
          <w:rFonts w:eastAsia="Arial" w:cs="Arial"/>
          <w:lang w:val="en-AU"/>
        </w:rPr>
        <w:t xml:space="preserve">e </w:t>
      </w:r>
      <w:r w:rsidRPr="008D1918" w:rsidR="00334B4B">
        <w:rPr>
          <w:rFonts w:eastAsia="Arial" w:cs="Arial"/>
          <w:lang w:val="en-AU"/>
        </w:rPr>
        <w:t>recommendations uses</w:t>
      </w:r>
      <w:r w:rsidRPr="008D1918">
        <w:rPr>
          <w:rFonts w:eastAsia="Arial" w:cs="Arial"/>
          <w:lang w:val="en-AU"/>
        </w:rPr>
        <w:t xml:space="preserve"> benchmarking </w:t>
      </w:r>
      <w:r w:rsidRPr="008D1918" w:rsidR="0031505E">
        <w:rPr>
          <w:rFonts w:eastAsia="Arial" w:cs="Arial"/>
          <w:lang w:val="en-AU"/>
        </w:rPr>
        <w:t>against</w:t>
      </w:r>
      <w:r w:rsidRPr="008D1918">
        <w:rPr>
          <w:rFonts w:eastAsia="Arial" w:cs="Arial"/>
          <w:lang w:val="en-AU"/>
        </w:rPr>
        <w:t xml:space="preserve"> observed market rates in Medicare, </w:t>
      </w:r>
      <w:r w:rsidRPr="008D1918" w:rsidR="007B7C0D">
        <w:rPr>
          <w:rFonts w:eastAsia="Arial" w:cs="Arial"/>
          <w:lang w:val="en-AU"/>
        </w:rPr>
        <w:t>PHI</w:t>
      </w:r>
      <w:r w:rsidRPr="008D1918">
        <w:rPr>
          <w:rFonts w:eastAsia="Arial" w:cs="Arial"/>
          <w:lang w:val="en-AU"/>
        </w:rPr>
        <w:t xml:space="preserve"> and comparable government schemes. For this reason, the appropriate response </w:t>
      </w:r>
      <w:r w:rsidRPr="008D1918" w:rsidR="00725804">
        <w:rPr>
          <w:rFonts w:eastAsia="Arial" w:cs="Arial"/>
          <w:lang w:val="en-AU"/>
        </w:rPr>
        <w:t xml:space="preserve">would </w:t>
      </w:r>
      <w:r w:rsidRPr="008D1918">
        <w:rPr>
          <w:rFonts w:eastAsia="Arial" w:cs="Arial"/>
          <w:lang w:val="en-AU"/>
        </w:rPr>
        <w:t xml:space="preserve">not </w:t>
      </w:r>
      <w:r w:rsidRPr="008D1918" w:rsidR="00725804">
        <w:rPr>
          <w:rFonts w:eastAsia="Arial" w:cs="Arial"/>
          <w:lang w:val="en-AU"/>
        </w:rPr>
        <w:t xml:space="preserve">be </w:t>
      </w:r>
      <w:r w:rsidRPr="008D1918">
        <w:rPr>
          <w:rFonts w:eastAsia="Arial" w:cs="Arial"/>
          <w:lang w:val="en-AU"/>
        </w:rPr>
        <w:t xml:space="preserve">to </w:t>
      </w:r>
      <w:r w:rsidRPr="008D1918" w:rsidR="0031505E">
        <w:rPr>
          <w:rFonts w:eastAsia="Arial" w:cs="Arial"/>
          <w:lang w:val="en-AU"/>
        </w:rPr>
        <w:t xml:space="preserve">pass through potential HPSS Award outcomes directly into </w:t>
      </w:r>
      <w:r w:rsidRPr="008D1918" w:rsidR="00725804">
        <w:rPr>
          <w:rFonts w:eastAsia="Arial" w:cs="Arial"/>
          <w:lang w:val="en-AU"/>
        </w:rPr>
        <w:t xml:space="preserve">the recommended price of </w:t>
      </w:r>
      <w:r w:rsidRPr="008D1918" w:rsidR="0031505E">
        <w:rPr>
          <w:rFonts w:eastAsia="Arial" w:cs="Arial"/>
          <w:lang w:val="en-AU"/>
        </w:rPr>
        <w:t xml:space="preserve">NDIS therapy. Rather, any sustained effect of HPSS Award changes on therapy labour markets should emerge over time through broader market rates and be captured through the established benchmarking approach in future pricing reviews. </w:t>
      </w:r>
    </w:p>
    <w:p w:rsidRPr="008D1918" w:rsidR="000E3523" w:rsidP="00CD4EB4" w:rsidRDefault="000E3523" w14:paraId="41376CB0" w14:textId="77777777">
      <w:pPr>
        <w:pStyle w:val="Heading31"/>
        <w:ind w:left="1077" w:hanging="720"/>
      </w:pPr>
      <w:bookmarkStart w:name="_Toc227130903" w:id="1066"/>
      <w:bookmarkStart w:name="_Toc223539687" w:id="1067"/>
      <w:bookmarkStart w:name="_Toc223539904" w:id="1068"/>
      <w:bookmarkStart w:name="_Toc223540372" w:id="1069"/>
      <w:bookmarkStart w:name="_Toc223540588" w:id="1070"/>
      <w:bookmarkStart w:name="_Toc223542124" w:id="1071"/>
      <w:bookmarkStart w:name="_Toc223604310" w:id="1072"/>
      <w:bookmarkStart w:name="_Toc223604521" w:id="1073"/>
      <w:bookmarkStart w:name="_Toc227337107" w:id="1074"/>
      <w:bookmarkEnd w:id="1066"/>
      <w:r w:rsidRPr="008D1918">
        <w:t>Benchmarking methodology</w:t>
      </w:r>
      <w:bookmarkEnd w:id="1067"/>
      <w:bookmarkEnd w:id="1068"/>
      <w:bookmarkEnd w:id="1069"/>
      <w:bookmarkEnd w:id="1070"/>
      <w:bookmarkEnd w:id="1071"/>
      <w:bookmarkEnd w:id="1072"/>
      <w:bookmarkEnd w:id="1073"/>
      <w:bookmarkEnd w:id="1074"/>
    </w:p>
    <w:p w:rsidRPr="008D1918" w:rsidR="002B5417" w:rsidRDefault="00586C94" w14:paraId="1243C36B" w14:textId="125B6BEE">
      <w:pPr>
        <w:rPr>
          <w:lang w:val="en-AU"/>
        </w:rPr>
      </w:pPr>
      <w:r w:rsidRPr="008D1918">
        <w:rPr>
          <w:lang w:val="en-AU"/>
        </w:rPr>
        <w:t xml:space="preserve">Therapy supports are priced in the context of broader professional labour markets. Psychologists, </w:t>
      </w:r>
      <w:r w:rsidR="00682E0B">
        <w:rPr>
          <w:lang w:val="en-AU"/>
        </w:rPr>
        <w:t>P</w:t>
      </w:r>
      <w:r w:rsidRPr="008D1918" w:rsidR="00682E0B">
        <w:rPr>
          <w:lang w:val="en-AU"/>
        </w:rPr>
        <w:t>hysiotherapists</w:t>
      </w:r>
      <w:r w:rsidRPr="008D1918">
        <w:rPr>
          <w:lang w:val="en-AU"/>
        </w:rPr>
        <w:t xml:space="preserve">, </w:t>
      </w:r>
      <w:r w:rsidR="00682E0B">
        <w:rPr>
          <w:lang w:val="en-AU"/>
        </w:rPr>
        <w:t>O</w:t>
      </w:r>
      <w:r w:rsidRPr="008D1918" w:rsidR="00682E0B">
        <w:rPr>
          <w:lang w:val="en-AU"/>
        </w:rPr>
        <w:t xml:space="preserve">ccupational </w:t>
      </w:r>
      <w:r w:rsidR="00682E0B">
        <w:rPr>
          <w:lang w:val="en-AU"/>
        </w:rPr>
        <w:t>T</w:t>
      </w:r>
      <w:r w:rsidRPr="008D1918" w:rsidR="00682E0B">
        <w:rPr>
          <w:lang w:val="en-AU"/>
        </w:rPr>
        <w:t>herapists</w:t>
      </w:r>
      <w:r w:rsidRPr="008D1918">
        <w:rPr>
          <w:lang w:val="en-AU"/>
        </w:rPr>
        <w:t xml:space="preserve">, </w:t>
      </w:r>
      <w:r w:rsidR="00682E0B">
        <w:rPr>
          <w:lang w:val="en-AU"/>
        </w:rPr>
        <w:t>S</w:t>
      </w:r>
      <w:r w:rsidRPr="008D1918" w:rsidR="00682E0B">
        <w:rPr>
          <w:lang w:val="en-AU"/>
        </w:rPr>
        <w:t xml:space="preserve">peech </w:t>
      </w:r>
      <w:r w:rsidR="00682E0B">
        <w:rPr>
          <w:lang w:val="en-AU"/>
        </w:rPr>
        <w:t>P</w:t>
      </w:r>
      <w:r w:rsidRPr="008D1918" w:rsidR="00682E0B">
        <w:rPr>
          <w:lang w:val="en-AU"/>
        </w:rPr>
        <w:t>athologists</w:t>
      </w:r>
      <w:r w:rsidRPr="008D1918" w:rsidR="00A902A9">
        <w:rPr>
          <w:lang w:val="en-AU"/>
        </w:rPr>
        <w:t xml:space="preserve"> and other therapy professionals </w:t>
      </w:r>
      <w:r w:rsidRPr="008D1918" w:rsidR="00200F1F">
        <w:rPr>
          <w:lang w:val="en-AU"/>
        </w:rPr>
        <w:t xml:space="preserve">work across multiple funding systems, including Medicare, </w:t>
      </w:r>
      <w:r w:rsidRPr="008D1918" w:rsidR="00100054">
        <w:rPr>
          <w:lang w:val="en-AU"/>
        </w:rPr>
        <w:t>PHI</w:t>
      </w:r>
      <w:r w:rsidRPr="008D1918" w:rsidR="00420261">
        <w:rPr>
          <w:lang w:val="en-AU"/>
        </w:rPr>
        <w:t xml:space="preserve">, </w:t>
      </w:r>
      <w:r w:rsidRPr="008D1918" w:rsidR="002B5417">
        <w:rPr>
          <w:lang w:val="en-AU"/>
        </w:rPr>
        <w:t>and selected government compensation schemes. For that reason, the NDIA assess therapy price</w:t>
      </w:r>
      <w:r w:rsidRPr="008D1918" w:rsidR="0008708B">
        <w:rPr>
          <w:lang w:val="en-AU"/>
        </w:rPr>
        <w:t xml:space="preserve">s </w:t>
      </w:r>
      <w:r w:rsidRPr="008D1918" w:rsidR="002B5417">
        <w:rPr>
          <w:lang w:val="en-AU"/>
        </w:rPr>
        <w:t xml:space="preserve"> against observed prices in those comparator systems, rather than against provider-reported costs or workforce earnings alone.</w:t>
      </w:r>
    </w:p>
    <w:p w:rsidRPr="008D1918" w:rsidR="00653C91" w:rsidRDefault="002B5417" w14:paraId="21652691" w14:textId="37167669">
      <w:pPr>
        <w:rPr>
          <w:lang w:val="en-AU"/>
        </w:rPr>
      </w:pPr>
      <w:r w:rsidRPr="008D1918">
        <w:rPr>
          <w:lang w:val="en-AU"/>
        </w:rPr>
        <w:t>Benchmarking is one input into pric</w:t>
      </w:r>
      <w:r w:rsidRPr="008D1918" w:rsidR="00725804">
        <w:rPr>
          <w:lang w:val="en-AU"/>
        </w:rPr>
        <w:t>e</w:t>
      </w:r>
      <w:r w:rsidRPr="008D1918">
        <w:rPr>
          <w:lang w:val="en-AU"/>
        </w:rPr>
        <w:t xml:space="preserve"> </w:t>
      </w:r>
      <w:r w:rsidRPr="008D1918" w:rsidR="00725804">
        <w:rPr>
          <w:lang w:val="en-AU"/>
        </w:rPr>
        <w:t>recommendations</w:t>
      </w:r>
      <w:r w:rsidRPr="008D1918">
        <w:rPr>
          <w:lang w:val="en-AU"/>
        </w:rPr>
        <w:t>. It is used alongside Scheme data, consultation evidence and broader market stewardship considerations</w:t>
      </w:r>
      <w:r w:rsidRPr="008D1918" w:rsidR="0027433E">
        <w:rPr>
          <w:lang w:val="en-AU"/>
        </w:rPr>
        <w:t xml:space="preserve">. For this </w:t>
      </w:r>
      <w:r w:rsidRPr="008D1918" w:rsidR="00DB44C9">
        <w:rPr>
          <w:lang w:val="en-AU"/>
        </w:rPr>
        <w:t xml:space="preserve">APR, the NDIA assessed more than </w:t>
      </w:r>
      <w:r w:rsidRPr="008D1918" w:rsidR="00774ED4">
        <w:rPr>
          <w:lang w:val="en-AU"/>
        </w:rPr>
        <w:t xml:space="preserve">16 million therapy transactions </w:t>
      </w:r>
      <w:r w:rsidRPr="008D1918" w:rsidR="00C27634">
        <w:rPr>
          <w:lang w:val="en-AU"/>
        </w:rPr>
        <w:t xml:space="preserve">across Medicare, </w:t>
      </w:r>
      <w:r w:rsidRPr="008D1918" w:rsidR="0027433E">
        <w:rPr>
          <w:lang w:val="en-AU"/>
        </w:rPr>
        <w:t>PHI</w:t>
      </w:r>
      <w:r w:rsidRPr="008D1918" w:rsidR="00C27634">
        <w:rPr>
          <w:lang w:val="en-AU"/>
        </w:rPr>
        <w:t xml:space="preserve"> and other government schemes.</w:t>
      </w:r>
      <w:r w:rsidRPr="008D1918" w:rsidR="00653C91">
        <w:rPr>
          <w:lang w:val="en-AU"/>
        </w:rPr>
        <w:t xml:space="preserve"> Data coverage, inclusion rules and source specific limitations are set out in Appendix B.</w:t>
      </w:r>
    </w:p>
    <w:p w:rsidRPr="008D1918" w:rsidR="00653C91" w:rsidRDefault="00653C91" w14:paraId="46506AB0" w14:textId="73C967FE">
      <w:pPr>
        <w:rPr>
          <w:lang w:val="en-AU"/>
        </w:rPr>
      </w:pPr>
      <w:r w:rsidRPr="008D1918">
        <w:rPr>
          <w:lang w:val="en-AU"/>
        </w:rPr>
        <w:t xml:space="preserve">Because </w:t>
      </w:r>
      <w:r w:rsidRPr="008D1918" w:rsidR="00725804">
        <w:rPr>
          <w:lang w:val="en-AU"/>
        </w:rPr>
        <w:t xml:space="preserve">recommendations </w:t>
      </w:r>
      <w:r w:rsidRPr="008D1918" w:rsidR="00012771">
        <w:rPr>
          <w:lang w:val="en-AU"/>
        </w:rPr>
        <w:t xml:space="preserve">for </w:t>
      </w:r>
      <w:r w:rsidRPr="008D1918">
        <w:rPr>
          <w:lang w:val="en-AU"/>
        </w:rPr>
        <w:t>NDIS therapy price</w:t>
      </w:r>
      <w:r w:rsidRPr="008D1918" w:rsidR="00012771">
        <w:rPr>
          <w:lang w:val="en-AU"/>
        </w:rPr>
        <w:t>s</w:t>
      </w:r>
      <w:r w:rsidRPr="008D1918">
        <w:rPr>
          <w:lang w:val="en-AU"/>
        </w:rPr>
        <w:t xml:space="preserve"> are expressed as hourly rates, while many comparator systems use session-based pricing, compar</w:t>
      </w:r>
      <w:r w:rsidRPr="008D1918" w:rsidR="00A30F9C">
        <w:rPr>
          <w:lang w:val="en-AU"/>
        </w:rPr>
        <w:t xml:space="preserve">ator fees were converted to hourly </w:t>
      </w:r>
      <w:r w:rsidRPr="008D1918" w:rsidR="00D56EBD">
        <w:rPr>
          <w:lang w:val="en-AU"/>
        </w:rPr>
        <w:t>equivalents</w:t>
      </w:r>
      <w:r w:rsidRPr="008D1918" w:rsidR="00A30F9C">
        <w:rPr>
          <w:lang w:val="en-AU"/>
        </w:rPr>
        <w:t xml:space="preserve"> using estimated session durations for each therapy type. The purpose of this conversion is not to treat </w:t>
      </w:r>
      <w:r w:rsidRPr="008D1918" w:rsidR="004C51E7">
        <w:rPr>
          <w:lang w:val="en-AU"/>
        </w:rPr>
        <w:t>different systems as identical, but to place observed prices on a common basis for comparison. Modality specific</w:t>
      </w:r>
      <w:r w:rsidRPr="008D1918" w:rsidR="00D56EBD">
        <w:rPr>
          <w:lang w:val="en-AU"/>
        </w:rPr>
        <w:t xml:space="preserve"> session duration assumptions, source coverage and sensitivity testing are provided in Appendix B. </w:t>
      </w:r>
    </w:p>
    <w:p w:rsidRPr="008D1918" w:rsidR="00415B6D" w:rsidRDefault="00415B6D" w14:paraId="23CC3BB6" w14:textId="54C0FED2">
      <w:pPr>
        <w:rPr>
          <w:lang w:val="en-AU"/>
        </w:rPr>
      </w:pPr>
      <w:r w:rsidRPr="008D1918">
        <w:rPr>
          <w:lang w:val="en-AU"/>
        </w:rPr>
        <w:t xml:space="preserve">Benchmark results are interpreted against a reference range </w:t>
      </w:r>
      <w:r w:rsidRPr="008D1918" w:rsidR="009C2C75">
        <w:rPr>
          <w:lang w:val="en-AU"/>
        </w:rPr>
        <w:t>from the median to the 75</w:t>
      </w:r>
      <w:r w:rsidRPr="008D1918" w:rsidR="009C2C75">
        <w:rPr>
          <w:vertAlign w:val="superscript"/>
          <w:lang w:val="en-AU"/>
        </w:rPr>
        <w:t>th</w:t>
      </w:r>
      <w:r w:rsidRPr="008D1918">
        <w:rPr>
          <w:lang w:val="en-AU"/>
        </w:rPr>
        <w:t xml:space="preserve"> </w:t>
      </w:r>
      <w:r w:rsidRPr="008D1918" w:rsidR="00AD2195">
        <w:rPr>
          <w:lang w:val="en-AU"/>
        </w:rPr>
        <w:t>percentile</w:t>
      </w:r>
      <w:r w:rsidRPr="008D1918">
        <w:rPr>
          <w:lang w:val="en-AU"/>
        </w:rPr>
        <w:t xml:space="preserve"> of observed comparator-market prices. In broad terms, where NDIS price</w:t>
      </w:r>
      <w:r w:rsidRPr="008D1918" w:rsidR="00012771">
        <w:rPr>
          <w:lang w:val="en-AU"/>
        </w:rPr>
        <w:t>s</w:t>
      </w:r>
      <w:r w:rsidRPr="008D1918">
        <w:rPr>
          <w:lang w:val="en-AU"/>
        </w:rPr>
        <w:t xml:space="preserve"> sit</w:t>
      </w:r>
      <w:r w:rsidRPr="008D1918" w:rsidR="002F0B0D">
        <w:rPr>
          <w:lang w:val="en-AU"/>
        </w:rPr>
        <w:t xml:space="preserve"> within or close to that range, the benchmark evidence does not </w:t>
      </w:r>
      <w:r w:rsidRPr="008D1918" w:rsidR="00136DD1">
        <w:rPr>
          <w:lang w:val="en-AU"/>
        </w:rPr>
        <w:t xml:space="preserve">support a </w:t>
      </w:r>
      <w:r w:rsidRPr="008D1918" w:rsidR="00012771">
        <w:rPr>
          <w:lang w:val="en-AU"/>
        </w:rPr>
        <w:t xml:space="preserve">recommendation for a price </w:t>
      </w:r>
      <w:r w:rsidRPr="008D1918" w:rsidR="00136DD1">
        <w:rPr>
          <w:lang w:val="en-AU"/>
        </w:rPr>
        <w:t xml:space="preserve">change. Where a </w:t>
      </w:r>
      <w:r w:rsidRPr="008D1918" w:rsidR="00012771">
        <w:rPr>
          <w:lang w:val="en-AU"/>
        </w:rPr>
        <w:t xml:space="preserve">recommended </w:t>
      </w:r>
      <w:r w:rsidRPr="008D1918" w:rsidR="00136DD1">
        <w:rPr>
          <w:lang w:val="en-AU"/>
        </w:rPr>
        <w:t xml:space="preserve">price sits materially above or below that range, the benchmark evidence may </w:t>
      </w:r>
      <w:r w:rsidRPr="008D1918" w:rsidR="00B60AA9">
        <w:rPr>
          <w:lang w:val="en-AU"/>
        </w:rPr>
        <w:t xml:space="preserve">support movement in the relevant direction. Where evidence is mixed, limited or materially uncertain, </w:t>
      </w:r>
      <w:r w:rsidRPr="008D1918" w:rsidR="0008708B">
        <w:rPr>
          <w:lang w:val="en-AU"/>
        </w:rPr>
        <w:t xml:space="preserve">the recommendation is that </w:t>
      </w:r>
      <w:r w:rsidRPr="008D1918" w:rsidR="00B60AA9">
        <w:rPr>
          <w:lang w:val="en-AU"/>
        </w:rPr>
        <w:t>current</w:t>
      </w:r>
      <w:r w:rsidRPr="008D1918" w:rsidR="00012771">
        <w:rPr>
          <w:lang w:val="en-AU"/>
        </w:rPr>
        <w:t xml:space="preserve"> prices</w:t>
      </w:r>
      <w:r w:rsidRPr="008D1918" w:rsidR="00B60AA9">
        <w:rPr>
          <w:lang w:val="en-AU"/>
        </w:rPr>
        <w:t xml:space="preserve"> are maintained pending further analysis. </w:t>
      </w:r>
    </w:p>
    <w:p w:rsidRPr="008D1918" w:rsidR="007F18C2" w:rsidRDefault="007F18C2" w14:paraId="5C65A449" w14:textId="45552104">
      <w:pPr>
        <w:rPr>
          <w:lang w:val="en-AU"/>
        </w:rPr>
      </w:pPr>
      <w:r w:rsidRPr="008D1918">
        <w:rPr>
          <w:lang w:val="en-AU"/>
        </w:rPr>
        <w:t xml:space="preserve">Comparator systems are not identical to the NDIS, and benchmark results must be interpreted with that in mind. Claimant mix differs across funding systems, private and publicly funded billing patterns are not the same, and some NDIS claiming arrangements differ structurally from those used in Medicare and </w:t>
      </w:r>
      <w:r w:rsidRPr="008D1918" w:rsidR="005D3707">
        <w:rPr>
          <w:lang w:val="en-AU"/>
        </w:rPr>
        <w:t>PHI</w:t>
      </w:r>
      <w:r w:rsidRPr="008D1918">
        <w:rPr>
          <w:lang w:val="en-AU"/>
        </w:rPr>
        <w:t xml:space="preserve">. These differences </w:t>
      </w:r>
      <w:r w:rsidRPr="008D1918" w:rsidR="00395C12">
        <w:rPr>
          <w:lang w:val="en-AU"/>
        </w:rPr>
        <w:t xml:space="preserve">do not make benchmarking inappropriate, but they do mean the benchmark should be read as a reference point for the core therapy rate rather than a complete equivalence </w:t>
      </w:r>
      <w:r w:rsidRPr="008D1918" w:rsidR="00B256FC">
        <w:rPr>
          <w:lang w:val="en-AU"/>
        </w:rPr>
        <w:t>of reimbursement structures across systems. The main interpretative caveats, including bulk billing, claimant mix and ancillary claiming differences, are summarised in Appendix B.</w:t>
      </w:r>
    </w:p>
    <w:p w:rsidRPr="008D1918" w:rsidR="00DC38F1" w:rsidRDefault="00D00EAC" w14:paraId="7D7ECB47" w14:textId="52E96BB7">
      <w:pPr>
        <w:rPr>
          <w:lang w:val="en-AU"/>
        </w:rPr>
      </w:pPr>
      <w:r w:rsidRPr="008D1918">
        <w:rPr>
          <w:lang w:val="en-AU"/>
        </w:rPr>
        <w:t xml:space="preserve">This benchmarking framework provides the basis for assessing whether therapy </w:t>
      </w:r>
      <w:r w:rsidRPr="008D1918" w:rsidR="00DE11C8">
        <w:rPr>
          <w:lang w:val="en-AU"/>
        </w:rPr>
        <w:t>prices are</w:t>
      </w:r>
      <w:r w:rsidRPr="008D1918">
        <w:rPr>
          <w:lang w:val="en-AU"/>
        </w:rPr>
        <w:t xml:space="preserve"> broadly aligned with observed market rates</w:t>
      </w:r>
      <w:r w:rsidRPr="008D1918" w:rsidR="00074C2F">
        <w:rPr>
          <w:lang w:val="en-AU"/>
        </w:rPr>
        <w:t>. It informs the direction of any recommended price movement. Separate judgement is then required on the pace and scale of the</w:t>
      </w:r>
      <w:r w:rsidRPr="008D1918" w:rsidR="00012771">
        <w:rPr>
          <w:lang w:val="en-AU"/>
        </w:rPr>
        <w:t xml:space="preserve"> recommended</w:t>
      </w:r>
      <w:r w:rsidRPr="008D1918" w:rsidR="00074C2F">
        <w:rPr>
          <w:lang w:val="en-AU"/>
        </w:rPr>
        <w:t xml:space="preserve"> change, taking account of workforce constraints, provider participation, transition risk and broader market stewardship considerations. </w:t>
      </w:r>
    </w:p>
    <w:p w:rsidRPr="008D1918" w:rsidR="000E3523" w:rsidP="00CD4EB4" w:rsidRDefault="000E3523" w14:paraId="03D4C020" w14:textId="6057E7E2">
      <w:pPr>
        <w:pStyle w:val="Heading31"/>
        <w:ind w:left="1077" w:hanging="720"/>
      </w:pPr>
      <w:bookmarkStart w:name="_Toc227130905" w:id="1075"/>
      <w:bookmarkStart w:name="_Toc227130906" w:id="1076"/>
      <w:bookmarkStart w:name="_Toc227130907" w:id="1077"/>
      <w:bookmarkStart w:name="_Toc227130908" w:id="1078"/>
      <w:bookmarkStart w:name="_Toc227130909" w:id="1079"/>
      <w:bookmarkStart w:name="_Toc227130910" w:id="1080"/>
      <w:bookmarkStart w:name="_Toc227130911" w:id="1081"/>
      <w:bookmarkStart w:name="_Toc227130912" w:id="1082"/>
      <w:bookmarkStart w:name="_Toc227130925" w:id="1083"/>
      <w:bookmarkStart w:name="_Toc227130931" w:id="1084"/>
      <w:bookmarkStart w:name="_Toc227130943" w:id="1085"/>
      <w:bookmarkStart w:name="_Toc227130949" w:id="1086"/>
      <w:bookmarkStart w:name="_Toc227130961" w:id="1087"/>
      <w:bookmarkStart w:name="_Toc227130973" w:id="1088"/>
      <w:bookmarkStart w:name="_Toc227130985" w:id="1089"/>
      <w:bookmarkStart w:name="_Toc227130991" w:id="1090"/>
      <w:bookmarkStart w:name="_Toc227131003" w:id="1091"/>
      <w:bookmarkStart w:name="_Toc227131009" w:id="1092"/>
      <w:bookmarkStart w:name="_Toc227131021" w:id="1093"/>
      <w:bookmarkStart w:name="_Toc227131045" w:id="1094"/>
      <w:bookmarkStart w:name="_Toc227131046" w:id="1095"/>
      <w:bookmarkStart w:name="_Toc227131047" w:id="1096"/>
      <w:bookmarkStart w:name="_Toc227131048" w:id="1097"/>
      <w:bookmarkStart w:name="_Toc227131049" w:id="1098"/>
      <w:bookmarkStart w:name="_Toc227131050" w:id="1099"/>
      <w:bookmarkStart w:name="_Toc227131051" w:id="1100"/>
      <w:bookmarkStart w:name="_Toc227131052" w:id="1101"/>
      <w:bookmarkStart w:name="_Toc227131053" w:id="1102"/>
      <w:bookmarkStart w:name="_Toc227131054" w:id="1103"/>
      <w:bookmarkStart w:name="_Toc227131055" w:id="1104"/>
      <w:bookmarkStart w:name="_Toc227131056" w:id="1105"/>
      <w:bookmarkStart w:name="_Toc227131057" w:id="1106"/>
      <w:bookmarkStart w:name="_Toc227131058" w:id="1107"/>
      <w:bookmarkStart w:name="_Toc227131059" w:id="1108"/>
      <w:bookmarkStart w:name="_Toc227131060" w:id="1109"/>
      <w:bookmarkStart w:name="_Toc227131061" w:id="1110"/>
      <w:bookmarkStart w:name="_Toc227131134" w:id="1111"/>
      <w:bookmarkStart w:name="_Toc227131135" w:id="1112"/>
      <w:bookmarkStart w:name="_Toc227131136" w:id="1113"/>
      <w:bookmarkStart w:name="_Toc227131137" w:id="1114"/>
      <w:bookmarkStart w:name="_Toc227131138" w:id="1115"/>
      <w:bookmarkStart w:name="_Toc227131139" w:id="1116"/>
      <w:bookmarkStart w:name="_Toc227131140" w:id="1117"/>
      <w:bookmarkStart w:name="_Toc227131141" w:id="1118"/>
      <w:bookmarkStart w:name="_Toc227131142" w:id="1119"/>
      <w:bookmarkStart w:name="_Toc227131143" w:id="1120"/>
      <w:bookmarkStart w:name="_Toc227131144" w:id="1121"/>
      <w:bookmarkStart w:name="_Toc227131145" w:id="1122"/>
      <w:bookmarkStart w:name="_Toc227131166" w:id="1123"/>
      <w:bookmarkStart w:name="_Toc227131173" w:id="1124"/>
      <w:bookmarkStart w:name="_Toc227131187" w:id="1125"/>
      <w:bookmarkStart w:name="_Toc227131194" w:id="1126"/>
      <w:bookmarkStart w:name="_Toc227131208" w:id="1127"/>
      <w:bookmarkStart w:name="_Toc227131222" w:id="1128"/>
      <w:bookmarkStart w:name="_Toc227131236" w:id="1129"/>
      <w:bookmarkStart w:name="_Toc227131243" w:id="1130"/>
      <w:bookmarkStart w:name="_Toc227131257" w:id="1131"/>
      <w:bookmarkStart w:name="_Toc227131264" w:id="1132"/>
      <w:bookmarkStart w:name="_Toc227131278" w:id="1133"/>
      <w:bookmarkStart w:name="_Toc227131306" w:id="1134"/>
      <w:bookmarkStart w:name="_Toc227131307" w:id="1135"/>
      <w:bookmarkStart w:name="_Toc227131308" w:id="1136"/>
      <w:bookmarkStart w:name="_Toc227131309" w:id="1137"/>
      <w:bookmarkStart w:name="_Toc227131310" w:id="1138"/>
      <w:bookmarkStart w:name="_Toc227131311" w:id="1139"/>
      <w:bookmarkStart w:name="_Toc227131312" w:id="1140"/>
      <w:bookmarkStart w:name="_Toc227131313" w:id="1141"/>
      <w:bookmarkStart w:name="_Toc227131314" w:id="1142"/>
      <w:bookmarkStart w:name="_Toc227131315" w:id="1143"/>
      <w:bookmarkStart w:name="_Toc227131316" w:id="1144"/>
      <w:bookmarkStart w:name="_Toc227131317" w:id="1145"/>
      <w:bookmarkStart w:name="_Toc227131318" w:id="1146"/>
      <w:bookmarkStart w:name="_Toc227131319" w:id="1147"/>
      <w:bookmarkStart w:name="_Toc196754635" w:id="1148"/>
      <w:bookmarkStart w:name="_Toc196758237" w:id="1149"/>
      <w:bookmarkStart w:name="_Toc197344313" w:id="1150"/>
      <w:bookmarkStart w:name="_Toc200271630" w:id="1151"/>
      <w:bookmarkStart w:name="_Toc223539698" w:id="1152"/>
      <w:bookmarkStart w:name="_Toc223539915" w:id="1153"/>
      <w:bookmarkStart w:name="_Toc223540383" w:id="1154"/>
      <w:bookmarkStart w:name="_Toc223540599" w:id="1155"/>
      <w:bookmarkStart w:name="_Toc223542135" w:id="1156"/>
      <w:bookmarkStart w:name="_Toc223604321" w:id="1157"/>
      <w:bookmarkStart w:name="_Toc223604532" w:id="1158"/>
      <w:bookmarkStart w:name="_Toc227337108" w:id="1159"/>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r w:rsidRPr="008D1918">
        <w:t xml:space="preserve">Interpreting </w:t>
      </w:r>
      <w:r w:rsidRPr="008D1918" w:rsidR="00B55B8D">
        <w:t>b</w:t>
      </w:r>
      <w:r w:rsidRPr="008D1918">
        <w:t xml:space="preserve">enchmarking </w:t>
      </w:r>
      <w:r w:rsidRPr="008D1918" w:rsidR="00B55B8D">
        <w:t>r</w:t>
      </w:r>
      <w:r w:rsidRPr="008D1918">
        <w:t>esults</w:t>
      </w:r>
      <w:bookmarkStart w:name="_Toc195538937" w:id="1160"/>
      <w:bookmarkStart w:name="_Toc195538991" w:id="1161"/>
      <w:bookmarkEnd w:id="1148"/>
      <w:bookmarkEnd w:id="1149"/>
      <w:bookmarkEnd w:id="1150"/>
      <w:bookmarkEnd w:id="1151"/>
      <w:bookmarkEnd w:id="1152"/>
      <w:bookmarkEnd w:id="1153"/>
      <w:bookmarkEnd w:id="1154"/>
      <w:bookmarkEnd w:id="1155"/>
      <w:bookmarkEnd w:id="1156"/>
      <w:bookmarkEnd w:id="1157"/>
      <w:bookmarkEnd w:id="1158"/>
      <w:bookmarkEnd w:id="1159"/>
      <w:r w:rsidRPr="008D1918">
        <w:t xml:space="preserve"> </w:t>
      </w:r>
      <w:bookmarkEnd w:id="1160"/>
      <w:bookmarkEnd w:id="1161"/>
    </w:p>
    <w:p w:rsidRPr="008D1918" w:rsidR="00CD7796" w:rsidRDefault="00A95991" w14:paraId="66BEA509" w14:textId="43B2E3A1">
      <w:pPr>
        <w:rPr>
          <w:lang w:val="en-AU"/>
        </w:rPr>
      </w:pPr>
      <w:r w:rsidRPr="008D1918">
        <w:rPr>
          <w:lang w:val="en-AU"/>
        </w:rPr>
        <w:t>Benchmarking is used in this chapter as a reference point for price adjustment</w:t>
      </w:r>
      <w:r w:rsidRPr="008D1918" w:rsidR="00FA622B">
        <w:rPr>
          <w:lang w:val="en-AU"/>
        </w:rPr>
        <w:t xml:space="preserve">, not as a mechanical rule. Its purpose is to assess whether </w:t>
      </w:r>
      <w:r w:rsidRPr="008D1918" w:rsidR="0008708B">
        <w:rPr>
          <w:lang w:val="en-AU"/>
        </w:rPr>
        <w:t xml:space="preserve">the </w:t>
      </w:r>
      <w:r w:rsidRPr="008D1918" w:rsidR="00012771">
        <w:rPr>
          <w:lang w:val="en-AU"/>
        </w:rPr>
        <w:t xml:space="preserve">recommended prices for </w:t>
      </w:r>
      <w:r w:rsidRPr="008D1918" w:rsidR="00FA622B">
        <w:rPr>
          <w:lang w:val="en-AU"/>
        </w:rPr>
        <w:t xml:space="preserve">NDIS therapy are </w:t>
      </w:r>
      <w:r w:rsidRPr="008D1918" w:rsidR="0057193B">
        <w:rPr>
          <w:lang w:val="en-AU"/>
        </w:rPr>
        <w:t>broadly</w:t>
      </w:r>
      <w:r w:rsidRPr="008D1918" w:rsidR="00FA622B">
        <w:rPr>
          <w:lang w:val="en-AU"/>
        </w:rPr>
        <w:t xml:space="preserve"> aligned with, materially above, or materially below observed rates in </w:t>
      </w:r>
      <w:r w:rsidRPr="008D1918" w:rsidR="0057193B">
        <w:rPr>
          <w:lang w:val="en-AU"/>
        </w:rPr>
        <w:t>comparator</w:t>
      </w:r>
      <w:r w:rsidRPr="008D1918" w:rsidR="00FA622B">
        <w:rPr>
          <w:lang w:val="en-AU"/>
        </w:rPr>
        <w:t xml:space="preserve"> syst</w:t>
      </w:r>
      <w:r w:rsidRPr="008D1918" w:rsidR="004C68C7">
        <w:rPr>
          <w:lang w:val="en-AU"/>
        </w:rPr>
        <w:t>e</w:t>
      </w:r>
      <w:r w:rsidRPr="008D1918" w:rsidR="00FA622B">
        <w:rPr>
          <w:lang w:val="en-AU"/>
        </w:rPr>
        <w:t>ms that draw on the same professional workforce. This provides an external anchor</w:t>
      </w:r>
      <w:r w:rsidRPr="008D1918" w:rsidR="00FB3288">
        <w:rPr>
          <w:lang w:val="en-AU"/>
        </w:rPr>
        <w:t xml:space="preserve"> for pricing </w:t>
      </w:r>
      <w:r w:rsidRPr="008D1918" w:rsidR="00012771">
        <w:rPr>
          <w:lang w:val="en-AU"/>
        </w:rPr>
        <w:t>recommendations</w:t>
      </w:r>
      <w:r w:rsidRPr="008D1918" w:rsidR="00FB3288">
        <w:rPr>
          <w:lang w:val="en-AU"/>
        </w:rPr>
        <w:t xml:space="preserve">, while still requiring judgement about data </w:t>
      </w:r>
      <w:r w:rsidRPr="008D1918" w:rsidR="0057193B">
        <w:rPr>
          <w:lang w:val="en-AU"/>
        </w:rPr>
        <w:t>limitation</w:t>
      </w:r>
      <w:r w:rsidRPr="008D1918" w:rsidR="00FB3288">
        <w:rPr>
          <w:lang w:val="en-AU"/>
        </w:rPr>
        <w:t xml:space="preserve">, market conditions and the appropriate pace of change. </w:t>
      </w:r>
    </w:p>
    <w:p w:rsidRPr="008D1918" w:rsidR="00FB3288" w:rsidP="00041468" w:rsidRDefault="00CD50E0" w14:paraId="620426F0" w14:textId="20E10153">
      <w:pPr>
        <w:pStyle w:val="StyleStyle112pt"/>
      </w:pPr>
      <w:bookmarkStart w:name="_Toc227318741" w:id="1162"/>
      <w:bookmarkStart w:name="_Toc227337109" w:id="1163"/>
      <w:r w:rsidRPr="008D1918">
        <w:t>Benchmarking reference range</w:t>
      </w:r>
      <w:bookmarkEnd w:id="1162"/>
      <w:bookmarkEnd w:id="1163"/>
    </w:p>
    <w:p w:rsidRPr="008D1918" w:rsidR="00FB3288" w:rsidP="00FB3288" w:rsidRDefault="00FB3288" w14:paraId="54569E20" w14:textId="6BA6C195">
      <w:pPr>
        <w:rPr>
          <w:lang w:val="en-AU"/>
        </w:rPr>
      </w:pPr>
      <w:r w:rsidRPr="008D1918">
        <w:rPr>
          <w:lang w:val="en-AU"/>
        </w:rPr>
        <w:t>For therapy supports, the Agency uses a reference range bounded by the median and 75</w:t>
      </w:r>
      <w:r w:rsidRPr="008D1918">
        <w:rPr>
          <w:vertAlign w:val="superscript"/>
          <w:lang w:val="en-AU"/>
        </w:rPr>
        <w:t>th</w:t>
      </w:r>
      <w:r w:rsidRPr="008D1918">
        <w:rPr>
          <w:lang w:val="en-AU"/>
        </w:rPr>
        <w:t xml:space="preserve"> percentile </w:t>
      </w:r>
      <w:r w:rsidRPr="008D1918" w:rsidR="00B9470E">
        <w:rPr>
          <w:lang w:val="en-AU"/>
        </w:rPr>
        <w:t xml:space="preserve">of observed comparator-market rates, converted to hourly </w:t>
      </w:r>
      <w:r w:rsidRPr="008D1918" w:rsidR="000A4872">
        <w:rPr>
          <w:lang w:val="en-AU"/>
        </w:rPr>
        <w:t>equivalents</w:t>
      </w:r>
      <w:r w:rsidRPr="008D1918" w:rsidR="00B9470E">
        <w:rPr>
          <w:lang w:val="en-AU"/>
        </w:rPr>
        <w:t xml:space="preserve">. This </w:t>
      </w:r>
      <w:r w:rsidRPr="008D1918" w:rsidR="00E20824">
        <w:rPr>
          <w:lang w:val="en-AU"/>
        </w:rPr>
        <w:t>price</w:t>
      </w:r>
      <w:r w:rsidRPr="008D1918" w:rsidR="00B9470E">
        <w:rPr>
          <w:lang w:val="en-AU"/>
        </w:rPr>
        <w:t xml:space="preserve"> range represents the upper half </w:t>
      </w:r>
      <w:r w:rsidRPr="008D1918" w:rsidR="00127761">
        <w:rPr>
          <w:lang w:val="en-AU"/>
        </w:rPr>
        <w:t xml:space="preserve">of the observed </w:t>
      </w:r>
      <w:r w:rsidRPr="008D1918" w:rsidR="00E20824">
        <w:rPr>
          <w:lang w:val="en-AU"/>
        </w:rPr>
        <w:t xml:space="preserve">interquartile </w:t>
      </w:r>
      <w:r w:rsidRPr="008D1918" w:rsidR="00127761">
        <w:rPr>
          <w:lang w:val="en-AU"/>
        </w:rPr>
        <w:t xml:space="preserve">market distribution and operates as the policy reference point for calibration. </w:t>
      </w:r>
    </w:p>
    <w:p w:rsidRPr="008D1918" w:rsidR="00127761" w:rsidP="00FB3288" w:rsidRDefault="00127761" w14:paraId="4B0C8AFF" w14:textId="601E0146">
      <w:pPr>
        <w:rPr>
          <w:lang w:val="en-AU"/>
        </w:rPr>
      </w:pPr>
      <w:r w:rsidRPr="008D1918">
        <w:rPr>
          <w:lang w:val="en-AU"/>
        </w:rPr>
        <w:t>Positioning in the upper half of the distribution, rather tha</w:t>
      </w:r>
      <w:r w:rsidRPr="008D1918" w:rsidR="00C914CA">
        <w:rPr>
          <w:lang w:val="en-AU"/>
        </w:rPr>
        <w:t>n</w:t>
      </w:r>
      <w:r w:rsidRPr="008D1918">
        <w:rPr>
          <w:lang w:val="en-AU"/>
        </w:rPr>
        <w:t xml:space="preserve"> at the median, reflects </w:t>
      </w:r>
      <w:r w:rsidRPr="008D1918" w:rsidR="00C914CA">
        <w:rPr>
          <w:lang w:val="en-AU"/>
        </w:rPr>
        <w:t>2</w:t>
      </w:r>
      <w:r w:rsidRPr="008D1918">
        <w:rPr>
          <w:lang w:val="en-AU"/>
        </w:rPr>
        <w:t xml:space="preserve"> considerations</w:t>
      </w:r>
      <w:r w:rsidRPr="008D1918" w:rsidR="00164403">
        <w:rPr>
          <w:lang w:val="en-AU"/>
        </w:rPr>
        <w:t xml:space="preserve">. First, NDIS participants often present with a broader range of clinical needs than the general population </w:t>
      </w:r>
      <w:r w:rsidRPr="008D1918" w:rsidR="00B31104">
        <w:rPr>
          <w:lang w:val="en-AU"/>
        </w:rPr>
        <w:t xml:space="preserve">represented in lower-priced benchmark transactions, including bulk-billed MBS services. Second, the MBS dataset includes lower-priced transactions that sit toward the bottom of observed market rates and </w:t>
      </w:r>
      <w:r w:rsidRPr="008D1918" w:rsidR="00B31104">
        <w:rPr>
          <w:lang w:val="en-AU"/>
        </w:rPr>
        <w:t xml:space="preserve">pull down the median relative to the rates at which most privately </w:t>
      </w:r>
      <w:r w:rsidRPr="008D1918" w:rsidR="000573AE">
        <w:rPr>
          <w:lang w:val="en-AU"/>
        </w:rPr>
        <w:t xml:space="preserve">billed therapy is delivered. </w:t>
      </w:r>
    </w:p>
    <w:p w:rsidRPr="008D1918" w:rsidR="000573AE" w:rsidP="00FB3288" w:rsidRDefault="000573AE" w14:paraId="1D7C9F74" w14:textId="68322C74">
      <w:pPr>
        <w:rPr>
          <w:lang w:val="en-AU"/>
        </w:rPr>
      </w:pPr>
      <w:r w:rsidRPr="008D1918">
        <w:rPr>
          <w:lang w:val="en-AU"/>
        </w:rPr>
        <w:t>A range</w:t>
      </w:r>
      <w:r w:rsidRPr="008D1918" w:rsidR="009A27C8">
        <w:rPr>
          <w:lang w:val="en-AU"/>
        </w:rPr>
        <w:t>,</w:t>
      </w:r>
      <w:r w:rsidRPr="008D1918">
        <w:rPr>
          <w:lang w:val="en-AU"/>
        </w:rPr>
        <w:t xml:space="preserve"> rather than a point target, better reflects the nature of the underlying data. Market distributions move between review periods, billing patterns vary across sources, and no single comparator price can be treated as the correct therapy rate for the NDIS. Prices within or close to the reference range are therefore treated as broadly aligned. Prices materially below the range may indicate risk to participant access. Prices materially above the upper bound indicate the NDIS rate sits above the upper end of observed comparator-market pricing and therefore </w:t>
      </w:r>
      <w:r w:rsidRPr="008D1918" w:rsidR="00012771">
        <w:rPr>
          <w:lang w:val="en-AU"/>
        </w:rPr>
        <w:t xml:space="preserve">would </w:t>
      </w:r>
      <w:r w:rsidRPr="008D1918">
        <w:rPr>
          <w:lang w:val="en-AU"/>
        </w:rPr>
        <w:t xml:space="preserve">require stronger justification. </w:t>
      </w:r>
    </w:p>
    <w:p w:rsidRPr="008D1918" w:rsidR="000A4872" w:rsidP="00041468" w:rsidRDefault="00C77D54" w14:paraId="7C0B4CF8" w14:textId="40D364D1">
      <w:pPr>
        <w:pStyle w:val="StyleStyle112pt"/>
      </w:pPr>
      <w:bookmarkStart w:name="_Toc227318742" w:id="1164"/>
      <w:bookmarkStart w:name="_Toc227337110" w:id="1165"/>
      <w:r w:rsidRPr="008D1918">
        <w:t xml:space="preserve">Applying the benchmark to price </w:t>
      </w:r>
      <w:bookmarkEnd w:id="1164"/>
      <w:bookmarkEnd w:id="1165"/>
      <w:r w:rsidRPr="008D1918" w:rsidR="00012771">
        <w:t>recommendations</w:t>
      </w:r>
      <w:r w:rsidRPr="008D1918">
        <w:t xml:space="preserve"> </w:t>
      </w:r>
    </w:p>
    <w:p w:rsidRPr="008D1918" w:rsidR="00FB3288" w:rsidP="000A4872" w:rsidRDefault="00175EEB" w14:paraId="6CB0936D" w14:textId="3B9FD5C9">
      <w:pPr>
        <w:rPr>
          <w:lang w:val="en-AU"/>
        </w:rPr>
      </w:pPr>
      <w:r w:rsidRPr="008D1918">
        <w:rPr>
          <w:lang w:val="en-AU"/>
        </w:rPr>
        <w:t>T</w:t>
      </w:r>
      <w:r w:rsidRPr="008D1918" w:rsidR="000A4872">
        <w:rPr>
          <w:lang w:val="en-AU"/>
        </w:rPr>
        <w:t>he Agency does not respond mechanically</w:t>
      </w:r>
      <w:r w:rsidRPr="008D1918">
        <w:rPr>
          <w:lang w:val="en-AU"/>
        </w:rPr>
        <w:t xml:space="preserve"> when </w:t>
      </w:r>
      <w:r w:rsidR="00F77F67">
        <w:rPr>
          <w:lang w:val="en-AU"/>
        </w:rPr>
        <w:t>an</w:t>
      </w:r>
      <w:r w:rsidRPr="008D1918" w:rsidR="0008708B">
        <w:rPr>
          <w:lang w:val="en-AU"/>
        </w:rPr>
        <w:t xml:space="preserve"> NDIS </w:t>
      </w:r>
      <w:r w:rsidRPr="008D1918">
        <w:rPr>
          <w:lang w:val="en-AU"/>
        </w:rPr>
        <w:t>price sits outside the reference range</w:t>
      </w:r>
      <w:r w:rsidRPr="008D1918" w:rsidR="000A4872">
        <w:rPr>
          <w:lang w:val="en-AU"/>
        </w:rPr>
        <w:t xml:space="preserve">. The benchmark result is considered together with the direction and magnitude of the misalignment, the robustness of the underlying data, and other decision-relevant evidence, including provider participation, access indicators and market conditions. In this way, the reference range anchors the pricing </w:t>
      </w:r>
      <w:r w:rsidRPr="008D1918" w:rsidR="00510769">
        <w:rPr>
          <w:lang w:val="en-AU"/>
        </w:rPr>
        <w:t>recommendation</w:t>
      </w:r>
      <w:r w:rsidRPr="008D1918" w:rsidR="00C77D54">
        <w:rPr>
          <w:lang w:val="en-AU"/>
        </w:rPr>
        <w:t xml:space="preserve"> but</w:t>
      </w:r>
      <w:r w:rsidRPr="008D1918" w:rsidR="000A4872">
        <w:rPr>
          <w:lang w:val="en-AU"/>
        </w:rPr>
        <w:t xml:space="preserve"> does not displace judgement about how that </w:t>
      </w:r>
      <w:r w:rsidRPr="008D1918" w:rsidR="00510769">
        <w:rPr>
          <w:lang w:val="en-AU"/>
        </w:rPr>
        <w:t>recommended price might</w:t>
      </w:r>
      <w:r w:rsidRPr="008D1918" w:rsidR="000A4872">
        <w:rPr>
          <w:lang w:val="en-AU"/>
        </w:rPr>
        <w:t xml:space="preserve"> be applied. </w:t>
      </w:r>
    </w:p>
    <w:p w:rsidRPr="008D1918" w:rsidR="000A4872" w:rsidP="000A4872" w:rsidRDefault="000A4872" w14:paraId="0A876125" w14:textId="1F095D97">
      <w:pPr>
        <w:rPr>
          <w:lang w:val="en-AU"/>
        </w:rPr>
      </w:pPr>
      <w:r w:rsidRPr="008D1918">
        <w:rPr>
          <w:lang w:val="en-AU"/>
        </w:rPr>
        <w:t xml:space="preserve">This matters particularly in therapy markets, where comparator evidence is strong enough to inform the direction of price adjustment, but not sufficient </w:t>
      </w:r>
      <w:r w:rsidRPr="008D1918" w:rsidR="00C77D54">
        <w:rPr>
          <w:lang w:val="en-AU"/>
        </w:rPr>
        <w:t>on its own to determine the scale and timing of change in every case. Benchmarking therefore carries substantial policy weight in this chapter, but it is not used as a catch-all justification for broader market or transparency decisions. Those questions are addressed separately.</w:t>
      </w:r>
    </w:p>
    <w:p w:rsidRPr="008D1918" w:rsidR="00C77D54" w:rsidP="001D163B" w:rsidRDefault="00C77D54" w14:paraId="512AFBD7" w14:textId="58DBFFA4">
      <w:pPr>
        <w:pStyle w:val="Heading31"/>
        <w:ind w:left="1077" w:hanging="720"/>
      </w:pPr>
      <w:bookmarkStart w:name="_Toc227337111" w:id="1166"/>
      <w:r w:rsidRPr="008D1918">
        <w:t>Summary results</w:t>
      </w:r>
      <w:bookmarkEnd w:id="1166"/>
      <w:r w:rsidRPr="008D1918">
        <w:t xml:space="preserve"> </w:t>
      </w:r>
    </w:p>
    <w:p w:rsidRPr="008D1918" w:rsidR="000E3523" w:rsidRDefault="00C77D54" w14:paraId="13DB2E05" w14:textId="3D085FDC">
      <w:pPr>
        <w:rPr>
          <w:lang w:val="en-AU"/>
        </w:rPr>
      </w:pPr>
      <w:r w:rsidRPr="008D1918">
        <w:rPr>
          <w:lang w:val="en-AU"/>
        </w:rPr>
        <w:t xml:space="preserve">Applied on that basis, the benchmark results fall into </w:t>
      </w:r>
      <w:r w:rsidRPr="008D1918" w:rsidR="00126F72">
        <w:rPr>
          <w:lang w:val="en-AU"/>
        </w:rPr>
        <w:t>3</w:t>
      </w:r>
      <w:r w:rsidRPr="008D1918">
        <w:rPr>
          <w:lang w:val="en-AU"/>
        </w:rPr>
        <w:t xml:space="preserve"> groups. For psychology, the current NDIS price sits below the reference range and supports </w:t>
      </w:r>
      <w:r w:rsidRPr="008D1918" w:rsidR="00F31E73">
        <w:rPr>
          <w:lang w:val="en-AU"/>
        </w:rPr>
        <w:t>an increase</w:t>
      </w:r>
      <w:r w:rsidRPr="008D1918">
        <w:rPr>
          <w:lang w:val="en-AU"/>
        </w:rPr>
        <w:t xml:space="preserve">. For dietetics and exercise </w:t>
      </w:r>
      <w:r w:rsidRPr="008D1918" w:rsidR="00072DC0">
        <w:rPr>
          <w:lang w:val="en-AU"/>
        </w:rPr>
        <w:t>physiology</w:t>
      </w:r>
      <w:r w:rsidRPr="008D1918">
        <w:rPr>
          <w:lang w:val="en-AU"/>
        </w:rPr>
        <w:t xml:space="preserve">, current </w:t>
      </w:r>
      <w:r w:rsidRPr="008D1918" w:rsidR="00510769">
        <w:rPr>
          <w:lang w:val="en-AU"/>
        </w:rPr>
        <w:t xml:space="preserve">prices </w:t>
      </w:r>
      <w:r w:rsidRPr="008D1918">
        <w:rPr>
          <w:lang w:val="en-AU"/>
        </w:rPr>
        <w:t>sit above the reference range and support downward adjustment. For occupational therapy, speech pathology, podiatry and audiolog</w:t>
      </w:r>
      <w:r w:rsidRPr="008D1918" w:rsidR="00072DC0">
        <w:rPr>
          <w:lang w:val="en-AU"/>
        </w:rPr>
        <w:t xml:space="preserve">y, </w:t>
      </w:r>
      <w:r w:rsidRPr="008D1918" w:rsidR="00A00228">
        <w:rPr>
          <w:lang w:val="en-AU"/>
        </w:rPr>
        <w:t>current prices</w:t>
      </w:r>
      <w:r w:rsidRPr="008D1918" w:rsidR="00072DC0">
        <w:rPr>
          <w:lang w:val="en-AU"/>
        </w:rPr>
        <w:t xml:space="preserve"> fall within or close to the reference range, or the comparator evidence is not sufficiently strong to support a change. The modality sections below set out how that benchmark signal is interpreted for each profession. </w:t>
      </w:r>
      <w:r w:rsidRPr="008D1918" w:rsidR="002F219E">
        <w:rPr>
          <w:lang w:val="en-AU"/>
        </w:rPr>
        <w:fldChar w:fldCharType="begin"/>
      </w:r>
      <w:r w:rsidRPr="008D1918" w:rsidR="002F219E">
        <w:rPr>
          <w:lang w:val="en-AU"/>
        </w:rPr>
        <w:instrText xml:space="preserve"> REF _Ref223624511 \h </w:instrText>
      </w:r>
      <w:r w:rsidRPr="008D1918" w:rsidR="00762DF8">
        <w:rPr>
          <w:lang w:val="en-AU"/>
        </w:rPr>
        <w:instrText xml:space="preserve"> \* MERGEFORMAT </w:instrText>
      </w:r>
      <w:r w:rsidRPr="008D1918" w:rsidR="002F219E">
        <w:rPr>
          <w:lang w:val="en-AU"/>
        </w:rPr>
      </w:r>
      <w:r w:rsidRPr="008D1918" w:rsidR="002F219E">
        <w:rPr>
          <w:lang w:val="en-AU"/>
        </w:rPr>
        <w:fldChar w:fldCharType="separate"/>
      </w:r>
      <w:r w:rsidRPr="008F56A2" w:rsidR="008F56A2">
        <w:rPr>
          <w:lang w:val="en-AU"/>
        </w:rPr>
        <w:t>Figure</w:t>
      </w:r>
      <w:r w:rsidRPr="008D1918" w:rsidR="008F56A2">
        <w:t xml:space="preserve"> </w:t>
      </w:r>
      <w:r w:rsidR="008F56A2">
        <w:rPr>
          <w:noProof/>
        </w:rPr>
        <w:t>19</w:t>
      </w:r>
      <w:r w:rsidRPr="008D1918" w:rsidR="002F219E">
        <w:rPr>
          <w:lang w:val="en-AU"/>
        </w:rPr>
        <w:fldChar w:fldCharType="end"/>
      </w:r>
      <w:r w:rsidRPr="008D1918" w:rsidR="000E3523">
        <w:rPr>
          <w:lang w:val="en-AU"/>
        </w:rPr>
        <w:t xml:space="preserve"> presents the summary results.</w:t>
      </w:r>
    </w:p>
    <w:p w:rsidRPr="008D1918" w:rsidR="000E3523" w:rsidP="002F219E" w:rsidRDefault="000E3523" w14:paraId="5A81379A" w14:textId="68DC6A14">
      <w:pPr>
        <w:pStyle w:val="Caption"/>
        <w:rPr>
          <w:rFonts w:eastAsia="DengXian" w:cs="Cordia New"/>
          <w:color w:val="6B2876" w:themeColor="accent5"/>
        </w:rPr>
      </w:pPr>
      <w:bookmarkStart w:name="_Ref223624511" w:id="1167"/>
      <w:r w:rsidRPr="008D1918">
        <w:t>Figure</w:t>
      </w:r>
      <w:r w:rsidRPr="008D1918" w:rsidR="002F219E">
        <w:t xml:space="preserve"> </w:t>
      </w:r>
      <w:r>
        <w:fldChar w:fldCharType="begin"/>
      </w:r>
      <w:r>
        <w:instrText>SEQ Figure \* ARABIC</w:instrText>
      </w:r>
      <w:r>
        <w:fldChar w:fldCharType="separate"/>
      </w:r>
      <w:r w:rsidR="008F56A2">
        <w:rPr>
          <w:noProof/>
        </w:rPr>
        <w:t>19</w:t>
      </w:r>
      <w:r>
        <w:fldChar w:fldCharType="end"/>
      </w:r>
      <w:bookmarkEnd w:id="1167"/>
      <w:r w:rsidRPr="008D1918">
        <w:rPr>
          <w:rFonts w:eastAsia="DengXian" w:cs="Cordia New"/>
          <w:color w:val="6B2876" w:themeColor="accent5"/>
        </w:rPr>
        <w:t xml:space="preserve">: MBS and PHI converted hourly rates for therapy </w:t>
      </w:r>
      <w:r w:rsidRPr="008D1918" w:rsidR="001134CB">
        <w:rPr>
          <w:rFonts w:eastAsia="DengXian" w:cs="Cordia New"/>
          <w:color w:val="6B2876" w:themeColor="accent5"/>
        </w:rPr>
        <w:t xml:space="preserve">professionals </w:t>
      </w:r>
      <w:r w:rsidRPr="008D1918">
        <w:rPr>
          <w:rFonts w:eastAsia="DengXian" w:cs="Cordia New"/>
          <w:color w:val="6B2876" w:themeColor="accent5"/>
        </w:rPr>
        <w:t>compared to the applicable NDIS price</w:t>
      </w:r>
      <w:r w:rsidRPr="008D1918" w:rsidR="00510769">
        <w:rPr>
          <w:rFonts w:eastAsia="DengXian" w:cs="Cordia New"/>
          <w:color w:val="6B2876" w:themeColor="accent5"/>
        </w:rPr>
        <w:t>s</w:t>
      </w:r>
      <w:r w:rsidRPr="008D1918" w:rsidR="00D97C5E">
        <w:rPr>
          <w:color w:val="6B2876" w:themeColor="accent5"/>
        </w:rPr>
        <w:t xml:space="preserve"> for 2025–26</w:t>
      </w:r>
    </w:p>
    <w:p w:rsidRPr="008D1918" w:rsidR="004F5382" w:rsidP="00D9358E" w:rsidRDefault="004F5706" w14:paraId="69F37D42" w14:textId="49F32EDF">
      <w:pPr>
        <w:rPr>
          <w:rFonts w:eastAsia="DengXian"/>
        </w:rPr>
      </w:pPr>
      <w:r>
        <w:rPr>
          <w:noProof/>
        </w:rPr>
        <w:drawing>
          <wp:inline distT="0" distB="0" distL="0" distR="0" wp14:anchorId="115612D6" wp14:editId="1EEE9F35">
            <wp:extent cx="6098543" cy="2471530"/>
            <wp:effectExtent l="0" t="0" r="0" b="5080"/>
            <wp:docPr id="1700664884" name="Picture 1" descr="Figure 19: A column chart showing the interquartile range of converted hourly rates charged for selected major therapy modalities for prices charged in the Medicare Benefits Scheme and up to two de-identified private health insurance schemes. There is a horizontal purple dashed line for each modality showing the position of the NDIS price limit in relation to the interquartile price range. The therapy modalities include psychology, speech pathology, occupational therapy, dietetics, podiatry, physiotherapy and exercise physiology. The NDIS price limit for psychology is close to or slightly below the median price for the various funding schemes. For dietetics and exercise physiology, the NDIS price limit is well above the 75th percentile for the various funding schemes. No other therapy modalities show a clear gap between its NDIS price limit and the representative market 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64884" name="Picture 1" descr="Figure 19: A column chart showing the interquartile range of converted hourly rates charged for selected major therapy modalities for prices charged in the Medicare Benefits Scheme and up to two de-identified private health insurance schemes. There is a horizontal purple dashed line for each modality showing the position of the NDIS price limit in relation to the interquartile price range. The therapy modalities include psychology, speech pathology, occupational therapy, dietetics, podiatry, physiotherapy and exercise physiology. The NDIS price limit for psychology is close to or slightly below the median price for the various funding schemes. For dietetics and exercise physiology, the NDIS price limit is well above the 75th percentile for the various funding schemes. No other therapy modalities show a clear gap between its NDIS price limit and the representative market prices."/>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6098543" cy="2471530"/>
                    </a:xfrm>
                    <a:prstGeom prst="rect">
                      <a:avLst/>
                    </a:prstGeom>
                    <a:noFill/>
                  </pic:spPr>
                </pic:pic>
              </a:graphicData>
            </a:graphic>
          </wp:inline>
        </w:drawing>
      </w:r>
    </w:p>
    <w:p w:rsidRPr="008D1918" w:rsidR="000E3523" w:rsidP="00041468" w:rsidRDefault="00124D2B" w14:paraId="21882E92" w14:textId="3CAE341B">
      <w:pPr>
        <w:pStyle w:val="StyleStyle112pt"/>
      </w:pPr>
      <w:bookmarkStart w:name="_Toc227131324" w:id="1168"/>
      <w:bookmarkStart w:name="_Toc227131325" w:id="1169"/>
      <w:bookmarkStart w:name="_Toc227131326" w:id="1170"/>
      <w:bookmarkStart w:name="_Toc227131327" w:id="1171"/>
      <w:bookmarkStart w:name="_Toc227131328" w:id="1172"/>
      <w:bookmarkStart w:name="_Toc227131329" w:id="1173"/>
      <w:bookmarkStart w:name="_Toc227131330" w:id="1174"/>
      <w:bookmarkStart w:name="_Toc227318744" w:id="1175"/>
      <w:bookmarkStart w:name="_Toc227337112" w:id="1176"/>
      <w:bookmarkEnd w:id="1168"/>
      <w:bookmarkEnd w:id="1169"/>
      <w:bookmarkEnd w:id="1170"/>
      <w:bookmarkEnd w:id="1171"/>
      <w:bookmarkEnd w:id="1172"/>
      <w:bookmarkEnd w:id="1173"/>
      <w:bookmarkEnd w:id="1174"/>
      <w:r w:rsidRPr="008D1918">
        <w:t>Psycholog</w:t>
      </w:r>
      <w:r w:rsidRPr="008D1918" w:rsidR="00701008">
        <w:t>i</w:t>
      </w:r>
      <w:r w:rsidRPr="008D1918">
        <w:t>sts</w:t>
      </w:r>
      <w:bookmarkEnd w:id="1175"/>
      <w:bookmarkEnd w:id="1176"/>
      <w:r w:rsidRPr="008D1918">
        <w:t> </w:t>
      </w:r>
    </w:p>
    <w:p w:rsidRPr="008D1918" w:rsidR="000E3523" w:rsidP="0013794A" w:rsidRDefault="000E3523" w14:paraId="4B78B9DF" w14:textId="3A3067BE">
      <w:pPr>
        <w:rPr>
          <w:rFonts w:cs="Arial"/>
          <w:lang w:val="en-AU"/>
        </w:rPr>
      </w:pPr>
      <w:r w:rsidRPr="008D1918">
        <w:rPr>
          <w:lang w:val="en-AU"/>
        </w:rPr>
        <w:t>The current NDIS price of $232.99 per hour sits below the median of observed market rates. The 75th percentile implied hourly rates are $260.00 (MBS), $250.00 (PHI 1) and $252.00 (PHI 2) for a 60-minute session (</w:t>
      </w:r>
      <w:r w:rsidRPr="008D1918" w:rsidR="00462F5B">
        <w:rPr>
          <w:lang w:val="en-AU"/>
        </w:rPr>
        <w:fldChar w:fldCharType="begin"/>
      </w:r>
      <w:r w:rsidRPr="008D1918" w:rsidR="00462F5B">
        <w:rPr>
          <w:lang w:val="en-AU"/>
        </w:rPr>
        <w:instrText xml:space="preserve"> REF _Ref223624629 \h </w:instrText>
      </w:r>
      <w:r w:rsidRPr="008D1918" w:rsidR="00762DF8">
        <w:rPr>
          <w:lang w:val="en-AU"/>
        </w:rPr>
        <w:instrText xml:space="preserve"> \* MERGEFORMAT </w:instrText>
      </w:r>
      <w:r w:rsidRPr="008D1918" w:rsidR="00462F5B">
        <w:rPr>
          <w:lang w:val="en-AU"/>
        </w:rPr>
      </w:r>
      <w:r w:rsidRPr="008D1918" w:rsidR="00462F5B">
        <w:rPr>
          <w:lang w:val="en-AU"/>
        </w:rPr>
        <w:fldChar w:fldCharType="separate"/>
      </w:r>
      <w:r w:rsidRPr="008F56A2" w:rsidR="008F56A2">
        <w:rPr>
          <w:lang w:val="en-AU"/>
        </w:rPr>
        <w:t>Figure</w:t>
      </w:r>
      <w:r w:rsidRPr="008D1918" w:rsidR="008F56A2">
        <w:t xml:space="preserve"> </w:t>
      </w:r>
      <w:r w:rsidR="008F56A2">
        <w:rPr>
          <w:noProof/>
        </w:rPr>
        <w:t>20</w:t>
      </w:r>
      <w:r w:rsidRPr="008D1918" w:rsidR="00462F5B">
        <w:rPr>
          <w:lang w:val="en-AU"/>
        </w:rPr>
        <w:fldChar w:fldCharType="end"/>
      </w:r>
      <w:r w:rsidRPr="008D1918">
        <w:rPr>
          <w:lang w:val="en-AU"/>
        </w:rPr>
        <w:t xml:space="preserve">). </w:t>
      </w:r>
      <w:r w:rsidRPr="008D1918" w:rsidR="00FA42C8">
        <w:rPr>
          <w:lang w:val="en-AU"/>
        </w:rPr>
        <w:t>The</w:t>
      </w:r>
      <w:r w:rsidRPr="008D1918" w:rsidR="0013794A">
        <w:rPr>
          <w:lang w:val="en-AU"/>
        </w:rPr>
        <w:t xml:space="preserve"> </w:t>
      </w:r>
      <w:r w:rsidRPr="008D1918" w:rsidR="004B1B96">
        <w:rPr>
          <w:lang w:val="en-AU"/>
        </w:rPr>
        <w:t>previous</w:t>
      </w:r>
      <w:r w:rsidRPr="008D1918" w:rsidR="0013794A">
        <w:rPr>
          <w:lang w:val="en-AU"/>
        </w:rPr>
        <w:t xml:space="preserve"> APR </w:t>
      </w:r>
      <w:r w:rsidRPr="008D1918" w:rsidR="00510769">
        <w:rPr>
          <w:lang w:val="en-AU"/>
        </w:rPr>
        <w:t>recommended an increase to the NDIS</w:t>
      </w:r>
      <w:r w:rsidRPr="008D1918" w:rsidR="00AC6142">
        <w:rPr>
          <w:lang w:val="en-AU"/>
        </w:rPr>
        <w:t xml:space="preserve"> price by $10 and </w:t>
      </w:r>
      <w:r w:rsidRPr="008D1918" w:rsidR="002209FE">
        <w:rPr>
          <w:lang w:val="en-AU"/>
        </w:rPr>
        <w:t xml:space="preserve">removed </w:t>
      </w:r>
      <w:r w:rsidRPr="008D1918" w:rsidR="001246F2">
        <w:rPr>
          <w:lang w:val="en-AU"/>
        </w:rPr>
        <w:t>state differentials</w:t>
      </w:r>
      <w:r w:rsidRPr="008D1918" w:rsidR="002209FE">
        <w:rPr>
          <w:lang w:val="en-AU"/>
        </w:rPr>
        <w:t xml:space="preserve"> </w:t>
      </w:r>
      <w:r w:rsidRPr="008D1918" w:rsidR="00AA593E">
        <w:rPr>
          <w:lang w:val="en-AU"/>
        </w:rPr>
        <w:t xml:space="preserve">to </w:t>
      </w:r>
      <w:r w:rsidRPr="008D1918" w:rsidR="002209FE">
        <w:rPr>
          <w:lang w:val="en-AU"/>
        </w:rPr>
        <w:t xml:space="preserve">consolidate the </w:t>
      </w:r>
      <w:r w:rsidRPr="008D1918" w:rsidR="00510769">
        <w:rPr>
          <w:lang w:val="en-AU"/>
        </w:rPr>
        <w:t xml:space="preserve">recommended </w:t>
      </w:r>
      <w:r w:rsidRPr="008D1918" w:rsidR="002209FE">
        <w:rPr>
          <w:lang w:val="en-AU"/>
        </w:rPr>
        <w:t>price into a single national rate</w:t>
      </w:r>
      <w:r w:rsidRPr="008D1918" w:rsidR="001246F2">
        <w:rPr>
          <w:lang w:val="en-AU"/>
        </w:rPr>
        <w:t xml:space="preserve">. Updated data </w:t>
      </w:r>
      <w:r w:rsidRPr="008D1918" w:rsidR="00BE6586">
        <w:rPr>
          <w:lang w:val="en-AU"/>
        </w:rPr>
        <w:t xml:space="preserve">in </w:t>
      </w:r>
      <w:r w:rsidRPr="008D1918" w:rsidR="004B1B96">
        <w:rPr>
          <w:lang w:val="en-AU"/>
        </w:rPr>
        <w:t>this</w:t>
      </w:r>
      <w:r w:rsidRPr="008D1918" w:rsidR="00BE6586">
        <w:rPr>
          <w:lang w:val="en-AU"/>
        </w:rPr>
        <w:t xml:space="preserve"> </w:t>
      </w:r>
      <w:r w:rsidRPr="008D1918" w:rsidR="00AA593E">
        <w:rPr>
          <w:lang w:val="en-AU"/>
        </w:rPr>
        <w:t>APR</w:t>
      </w:r>
      <w:r w:rsidRPr="008D1918" w:rsidR="00BE6586">
        <w:rPr>
          <w:lang w:val="en-AU"/>
        </w:rPr>
        <w:t xml:space="preserve"> </w:t>
      </w:r>
      <w:r w:rsidRPr="008D1918" w:rsidR="001246F2">
        <w:rPr>
          <w:lang w:val="en-AU"/>
        </w:rPr>
        <w:t xml:space="preserve">indicates the </w:t>
      </w:r>
      <w:r w:rsidRPr="008D1918" w:rsidR="00510769">
        <w:rPr>
          <w:lang w:val="en-AU"/>
        </w:rPr>
        <w:t xml:space="preserve">NDIS </w:t>
      </w:r>
      <w:r w:rsidRPr="008D1918" w:rsidR="001246F2">
        <w:rPr>
          <w:lang w:val="en-AU"/>
        </w:rPr>
        <w:t xml:space="preserve">price </w:t>
      </w:r>
      <w:r w:rsidRPr="008D1918" w:rsidR="00A2444E">
        <w:rPr>
          <w:lang w:val="en-AU"/>
        </w:rPr>
        <w:t xml:space="preserve">is </w:t>
      </w:r>
      <w:r w:rsidRPr="008D1918" w:rsidR="001246F2">
        <w:rPr>
          <w:lang w:val="en-AU"/>
        </w:rPr>
        <w:t xml:space="preserve">below the reference range. </w:t>
      </w:r>
    </w:p>
    <w:p w:rsidRPr="008D1918" w:rsidR="000E3523" w:rsidP="00462F5B" w:rsidRDefault="000E3523" w14:paraId="717F77FA" w14:textId="4A0E3F3A">
      <w:pPr>
        <w:pStyle w:val="Caption"/>
        <w:rPr>
          <w:i w:val="0"/>
          <w:color w:val="6B2876" w:themeColor="accent5"/>
        </w:rPr>
      </w:pPr>
      <w:bookmarkStart w:name="_Ref223624629" w:id="1177"/>
      <w:r w:rsidRPr="008D1918">
        <w:t>Figure</w:t>
      </w:r>
      <w:r w:rsidRPr="008D1918" w:rsidR="00462F5B">
        <w:t xml:space="preserve"> </w:t>
      </w:r>
      <w:r>
        <w:fldChar w:fldCharType="begin"/>
      </w:r>
      <w:r>
        <w:instrText>SEQ Figure \* ARABIC</w:instrText>
      </w:r>
      <w:r>
        <w:fldChar w:fldCharType="separate"/>
      </w:r>
      <w:r w:rsidR="008F56A2">
        <w:rPr>
          <w:noProof/>
        </w:rPr>
        <w:t>20</w:t>
      </w:r>
      <w:r>
        <w:fldChar w:fldCharType="end"/>
      </w:r>
      <w:bookmarkEnd w:id="1177"/>
      <w:r w:rsidRPr="008D1918">
        <w:rPr>
          <w:color w:val="6B2876" w:themeColor="accent5"/>
        </w:rPr>
        <w:t xml:space="preserve">: MBS and PHI converted hourly rates for </w:t>
      </w:r>
      <w:r w:rsidRPr="008D1918" w:rsidR="00E43E40">
        <w:rPr>
          <w:color w:val="6B2876" w:themeColor="accent5"/>
        </w:rPr>
        <w:t xml:space="preserve">Psychologists </w:t>
      </w:r>
      <w:r w:rsidRPr="008D1918">
        <w:rPr>
          <w:color w:val="6B2876" w:themeColor="accent5"/>
        </w:rPr>
        <w:t>compared to the applicable NDIS price</w:t>
      </w:r>
      <w:r w:rsidRPr="008D1918" w:rsidR="00510769">
        <w:rPr>
          <w:color w:val="6B2876" w:themeColor="accent5"/>
        </w:rPr>
        <w:t>s</w:t>
      </w:r>
    </w:p>
    <w:p w:rsidR="00BF170E" w:rsidP="00293831" w:rsidRDefault="00BF170E" w14:paraId="749CE5F2" w14:textId="3ABB7BB8">
      <w:pPr>
        <w:keepNext/>
        <w:spacing w:before="360" w:after="0" w:line="240" w:lineRule="auto"/>
        <w:rPr>
          <w:rFonts w:cs="Arial"/>
          <w:b/>
          <w:sz w:val="20"/>
          <w:szCs w:val="20"/>
          <w:lang w:val="en-AU"/>
        </w:rPr>
      </w:pPr>
      <w:bookmarkStart w:name="_Toc195538942" w:id="1178"/>
      <w:r>
        <w:rPr>
          <w:rFonts w:cs="Arial"/>
          <w:b/>
          <w:noProof/>
          <w:sz w:val="20"/>
          <w:szCs w:val="20"/>
          <w:lang w:val="en-AU"/>
        </w:rPr>
        <w:drawing>
          <wp:inline distT="0" distB="0" distL="0" distR="0" wp14:anchorId="45861072" wp14:editId="01A015A1">
            <wp:extent cx="5688000" cy="2997395"/>
            <wp:effectExtent l="0" t="0" r="8255" b="0"/>
            <wp:docPr id="2133838996" name="Picture 2" descr="Figure 20: A column chart showing MBS and PHI converted hourly rates for psychology compared to the applicable NDIS price limits.&#10;The graph shows that the current national NDIS price limit sits below the median of observed MBS and PHI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38996" name="Picture 2" descr="Figure 20: A column chart showing MBS and PHI converted hourly rates for psychology compared to the applicable NDIS price limits.&#10;The graph shows that the current national NDIS price limit sits below the median of observed MBS and PHI rates."/>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688000" cy="2997395"/>
                    </a:xfrm>
                    <a:prstGeom prst="rect">
                      <a:avLst/>
                    </a:prstGeom>
                    <a:noFill/>
                  </pic:spPr>
                </pic:pic>
              </a:graphicData>
            </a:graphic>
          </wp:inline>
        </w:drawing>
      </w:r>
    </w:p>
    <w:p w:rsidRPr="008D1918" w:rsidR="005221DD" w:rsidP="000A6F8A" w:rsidRDefault="005221DD" w14:paraId="62D62966" w14:textId="08E071F2">
      <w:pPr>
        <w:keepNext/>
        <w:spacing w:before="120" w:after="360" w:line="240" w:lineRule="auto"/>
        <w:rPr>
          <w:rFonts w:cs="Arial"/>
          <w:b/>
          <w:sz w:val="20"/>
          <w:szCs w:val="20"/>
          <w:lang w:val="en-AU"/>
        </w:rPr>
      </w:pPr>
      <w:r w:rsidRPr="008D1918">
        <w:rPr>
          <w:rFonts w:cs="Arial"/>
          <w:b/>
          <w:sz w:val="20"/>
          <w:szCs w:val="20"/>
          <w:lang w:val="en-AU"/>
        </w:rPr>
        <w:t>Source: MBS and PHI</w:t>
      </w:r>
    </w:p>
    <w:p w:rsidRPr="008D1918" w:rsidR="000E3523" w:rsidP="00041468" w:rsidRDefault="00E43E40" w14:paraId="613220CD" w14:textId="4CC0E094">
      <w:pPr>
        <w:pStyle w:val="StyleStyle112pt"/>
      </w:pPr>
      <w:bookmarkStart w:name="_Toc223428453" w:id="1179"/>
      <w:bookmarkStart w:name="_Toc223445912" w:id="1180"/>
      <w:bookmarkStart w:name="_Toc223532322" w:id="1181"/>
      <w:bookmarkStart w:name="_Toc223538836" w:id="1182"/>
      <w:bookmarkStart w:name="_Toc223539092" w:id="1183"/>
      <w:bookmarkStart w:name="_Toc223539451" w:id="1184"/>
      <w:bookmarkStart w:name="_Toc223539700" w:id="1185"/>
      <w:bookmarkStart w:name="_Toc223541473" w:id="1186"/>
      <w:bookmarkStart w:name="_Toc223541695" w:id="1187"/>
      <w:bookmarkStart w:name="_Toc223542137" w:id="1188"/>
      <w:bookmarkStart w:name="_Toc223604323" w:id="1189"/>
      <w:bookmarkStart w:name="_Toc223604534" w:id="1190"/>
      <w:bookmarkStart w:name="_Toc223604756" w:id="1191"/>
      <w:bookmarkStart w:name="_Toc223618616" w:id="1192"/>
      <w:bookmarkStart w:name="_Toc227318745" w:id="1193"/>
      <w:bookmarkStart w:name="_Toc227337113" w:id="1194"/>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r w:rsidRPr="008D1918">
        <w:t>Physiotherapists</w:t>
      </w:r>
      <w:bookmarkEnd w:id="1193"/>
      <w:bookmarkEnd w:id="1194"/>
      <w:r w:rsidRPr="008D1918">
        <w:t> </w:t>
      </w:r>
    </w:p>
    <w:p w:rsidRPr="008D1918" w:rsidR="009C629F" w:rsidRDefault="00A07CF9" w14:paraId="6A2DA569" w14:textId="73BAF585">
      <w:pPr>
        <w:rPr>
          <w:lang w:val="en-AU"/>
        </w:rPr>
      </w:pPr>
      <w:r w:rsidRPr="008D1918">
        <w:rPr>
          <w:lang w:val="en-AU"/>
        </w:rPr>
        <w:t xml:space="preserve">The </w:t>
      </w:r>
      <w:r w:rsidRPr="008D1918" w:rsidR="00EF6DC2">
        <w:rPr>
          <w:lang w:val="en-AU"/>
        </w:rPr>
        <w:t>previous</w:t>
      </w:r>
      <w:r w:rsidRPr="008D1918">
        <w:rPr>
          <w:lang w:val="en-AU"/>
        </w:rPr>
        <w:t xml:space="preserve"> APR </w:t>
      </w:r>
      <w:r w:rsidRPr="008D1918" w:rsidR="0008708B">
        <w:rPr>
          <w:lang w:val="en-AU"/>
        </w:rPr>
        <w:t xml:space="preserve">resulted in a </w:t>
      </w:r>
      <w:r w:rsidRPr="008D1918">
        <w:rPr>
          <w:lang w:val="en-AU"/>
        </w:rPr>
        <w:t>reduc</w:t>
      </w:r>
      <w:r w:rsidRPr="008D1918" w:rsidR="0008708B">
        <w:rPr>
          <w:lang w:val="en-AU"/>
        </w:rPr>
        <w:t xml:space="preserve">tion </w:t>
      </w:r>
      <w:r w:rsidRPr="00861781" w:rsidR="0008708B">
        <w:rPr>
          <w:lang w:val="en-AU"/>
        </w:rPr>
        <w:t>of</w:t>
      </w:r>
      <w:r w:rsidRPr="00861781">
        <w:rPr>
          <w:lang w:val="en-AU"/>
        </w:rPr>
        <w:t xml:space="preserve"> the</w:t>
      </w:r>
      <w:r w:rsidRPr="00861781" w:rsidR="00510769">
        <w:rPr>
          <w:lang w:val="en-AU"/>
        </w:rPr>
        <w:t xml:space="preserve"> </w:t>
      </w:r>
      <w:r w:rsidRPr="00861781" w:rsidR="0008708B">
        <w:rPr>
          <w:lang w:val="en-AU"/>
        </w:rPr>
        <w:t xml:space="preserve">maximum </w:t>
      </w:r>
      <w:r w:rsidRPr="00861781">
        <w:rPr>
          <w:lang w:val="en-AU"/>
        </w:rPr>
        <w:t xml:space="preserve">physiotherapy price by $10 per hour and </w:t>
      </w:r>
      <w:r w:rsidRPr="00861781" w:rsidR="00510769">
        <w:rPr>
          <w:lang w:val="en-AU"/>
        </w:rPr>
        <w:t xml:space="preserve">the </w:t>
      </w:r>
      <w:r w:rsidRPr="00861781">
        <w:rPr>
          <w:lang w:val="en-AU"/>
        </w:rPr>
        <w:t>consolidat</w:t>
      </w:r>
      <w:r w:rsidRPr="00861781" w:rsidR="00510769">
        <w:rPr>
          <w:lang w:val="en-AU"/>
        </w:rPr>
        <w:t>ion of</w:t>
      </w:r>
      <w:r w:rsidRPr="00861781">
        <w:rPr>
          <w:lang w:val="en-AU"/>
        </w:rPr>
        <w:t xml:space="preserve"> state-based differentials into a single national rate. Monitoring to 31 December 2025 does not indicate that this change disrupted </w:t>
      </w:r>
      <w:r w:rsidRPr="00861781" w:rsidR="00A54581">
        <w:rPr>
          <w:lang w:val="en-AU"/>
        </w:rPr>
        <w:t>participant</w:t>
      </w:r>
      <w:r w:rsidRPr="00861781">
        <w:rPr>
          <w:lang w:val="en-AU"/>
        </w:rPr>
        <w:t xml:space="preserve"> access or accelerated provider exit. </w:t>
      </w:r>
      <w:r w:rsidRPr="00861781" w:rsidR="00B72DFC">
        <w:rPr>
          <w:lang w:val="en-AU"/>
        </w:rPr>
        <w:t xml:space="preserve">Participant numbers remained consistent with pre-change trends across states and remoteness categories, </w:t>
      </w:r>
      <w:r w:rsidRPr="00861781" w:rsidR="00A54581">
        <w:rPr>
          <w:lang w:val="en-AU"/>
        </w:rPr>
        <w:t>average</w:t>
      </w:r>
      <w:r w:rsidRPr="00861781" w:rsidR="00B72DFC">
        <w:rPr>
          <w:lang w:val="en-AU"/>
        </w:rPr>
        <w:t xml:space="preserve"> participant per provider remained broadly stable, and provider</w:t>
      </w:r>
      <w:r w:rsidRPr="008D1918" w:rsidR="00B72DFC">
        <w:rPr>
          <w:lang w:val="en-AU"/>
        </w:rPr>
        <w:t xml:space="preserve"> numbers continued the gradual decline that predated </w:t>
      </w:r>
      <w:r w:rsidRPr="008D1918" w:rsidR="00A54581">
        <w:rPr>
          <w:lang w:val="en-AU"/>
        </w:rPr>
        <w:t>the pricing change. Payment levels in previously higher-rate jurisdictions converged toward the nation</w:t>
      </w:r>
      <w:r w:rsidR="00861781">
        <w:rPr>
          <w:lang w:val="en-AU"/>
        </w:rPr>
        <w:t>al</w:t>
      </w:r>
      <w:r w:rsidRPr="008D1918" w:rsidR="00A54581">
        <w:rPr>
          <w:lang w:val="en-AU"/>
        </w:rPr>
        <w:t xml:space="preserve"> rate as intended</w:t>
      </w:r>
      <w:r w:rsidR="00282F54">
        <w:rPr>
          <w:lang w:val="en-AU"/>
        </w:rPr>
        <w:t>.</w:t>
      </w:r>
      <w:r w:rsidRPr="008D1918" w:rsidR="009C629F">
        <w:rPr>
          <w:lang w:val="en-AU"/>
        </w:rPr>
        <w:t xml:space="preserve"> (</w:t>
      </w:r>
      <w:r w:rsidRPr="008D1918" w:rsidR="0010567B">
        <w:rPr>
          <w:lang w:val="en-AU"/>
        </w:rPr>
        <w:fldChar w:fldCharType="begin"/>
      </w:r>
      <w:r w:rsidRPr="008D1918" w:rsidR="0010567B">
        <w:rPr>
          <w:lang w:val="en-AU"/>
        </w:rPr>
        <w:instrText xml:space="preserve"> REF _Ref227132158 \h </w:instrText>
      </w:r>
      <w:r w:rsidR="008D1918">
        <w:rPr>
          <w:lang w:val="en-AU"/>
        </w:rPr>
        <w:instrText xml:space="preserve"> \* MERGEFORMAT </w:instrText>
      </w:r>
      <w:r w:rsidRPr="008D1918" w:rsidR="0010567B">
        <w:rPr>
          <w:lang w:val="en-AU"/>
        </w:rPr>
      </w:r>
      <w:r w:rsidRPr="008D1918" w:rsidR="0010567B">
        <w:rPr>
          <w:lang w:val="en-AU"/>
        </w:rPr>
        <w:fldChar w:fldCharType="separate"/>
      </w:r>
      <w:r w:rsidRPr="008D1918" w:rsidR="008F56A2">
        <w:t xml:space="preserve">Figure </w:t>
      </w:r>
      <w:r w:rsidR="008F56A2">
        <w:rPr>
          <w:noProof/>
        </w:rPr>
        <w:t>21</w:t>
      </w:r>
      <w:r w:rsidRPr="008D1918" w:rsidR="0010567B">
        <w:rPr>
          <w:lang w:val="en-AU"/>
        </w:rPr>
        <w:fldChar w:fldCharType="end"/>
      </w:r>
      <w:r w:rsidRPr="008D1918" w:rsidR="0050516D">
        <w:rPr>
          <w:lang w:val="en-AU"/>
        </w:rPr>
        <w:t xml:space="preserve"> </w:t>
      </w:r>
      <w:r w:rsidRPr="008D1918" w:rsidDel="00282F54" w:rsidR="0050516D">
        <w:rPr>
          <w:lang w:val="en-AU"/>
        </w:rPr>
        <w:t>and</w:t>
      </w:r>
      <w:r w:rsidR="007B296A">
        <w:rPr>
          <w:lang w:val="en-AU"/>
        </w:rPr>
        <w:t xml:space="preserve"> </w:t>
      </w:r>
      <w:r w:rsidRPr="008D1918" w:rsidR="0050516D">
        <w:rPr>
          <w:lang w:val="en-AU"/>
        </w:rPr>
        <w:fldChar w:fldCharType="begin"/>
      </w:r>
      <w:r w:rsidRPr="008D1918" w:rsidR="0050516D">
        <w:rPr>
          <w:lang w:val="en-AU"/>
        </w:rPr>
        <w:instrText xml:space="preserve"> REF _Ref227132160 \h </w:instrText>
      </w:r>
      <w:r w:rsidR="008D1918">
        <w:rPr>
          <w:lang w:val="en-AU"/>
        </w:rPr>
        <w:instrText xml:space="preserve"> \* MERGEFORMAT </w:instrText>
      </w:r>
      <w:r w:rsidRPr="008D1918" w:rsidR="0050516D">
        <w:rPr>
          <w:lang w:val="en-AU"/>
        </w:rPr>
      </w:r>
      <w:r w:rsidRPr="008D1918" w:rsidR="0050516D">
        <w:rPr>
          <w:lang w:val="en-AU"/>
        </w:rPr>
        <w:fldChar w:fldCharType="separate"/>
      </w:r>
      <w:r w:rsidRPr="008D1918" w:rsidR="008F56A2">
        <w:t xml:space="preserve">Figure </w:t>
      </w:r>
      <w:r w:rsidR="008F56A2">
        <w:rPr>
          <w:noProof/>
        </w:rPr>
        <w:t>22</w:t>
      </w:r>
      <w:r w:rsidRPr="008D1918" w:rsidR="0050516D">
        <w:rPr>
          <w:lang w:val="en-AU"/>
        </w:rPr>
        <w:fldChar w:fldCharType="end"/>
      </w:r>
      <w:r w:rsidRPr="008D1918" w:rsidR="009C629F">
        <w:rPr>
          <w:lang w:val="en-AU"/>
        </w:rPr>
        <w:t>).</w:t>
      </w:r>
    </w:p>
    <w:p w:rsidRPr="008D1918" w:rsidR="009C629F" w:rsidP="009C629F" w:rsidRDefault="009C629F" w14:paraId="217B30F0" w14:textId="26705FF3">
      <w:pPr>
        <w:pStyle w:val="Caption"/>
        <w:rPr>
          <w:rFonts w:eastAsia="Arial" w:cs="Arial"/>
          <w:color w:val="6B2876"/>
        </w:rPr>
      </w:pPr>
      <w:bookmarkStart w:name="_Ref227132158" w:id="1195"/>
      <w:r w:rsidRPr="008D1918">
        <w:t xml:space="preserve">Figure </w:t>
      </w:r>
      <w:r>
        <w:fldChar w:fldCharType="begin"/>
      </w:r>
      <w:r>
        <w:instrText>SEQ Figure \* ARABIC</w:instrText>
      </w:r>
      <w:r>
        <w:fldChar w:fldCharType="separate"/>
      </w:r>
      <w:r w:rsidR="008F56A2">
        <w:rPr>
          <w:noProof/>
        </w:rPr>
        <w:t>21</w:t>
      </w:r>
      <w:r>
        <w:fldChar w:fldCharType="end"/>
      </w:r>
      <w:bookmarkEnd w:id="1195"/>
      <w:r w:rsidRPr="008D1918">
        <w:rPr>
          <w:rFonts w:eastAsia="Arial" w:cs="Arial"/>
          <w:color w:val="6B2876" w:themeColor="accent5"/>
        </w:rPr>
        <w:t>: Average number of participants per provider of Physiotherapists, January 2023 to December 2025</w:t>
      </w:r>
    </w:p>
    <w:p w:rsidRPr="008D1918" w:rsidR="009C629F" w:rsidP="009C629F" w:rsidRDefault="009C629F" w14:paraId="0E11357E" w14:textId="77777777">
      <w:pPr>
        <w:rPr>
          <w:rFonts w:eastAsia="Arial" w:cs="Arial"/>
          <w:color w:val="6B2876" w:themeColor="text1"/>
          <w:lang w:val="en-AU"/>
        </w:rPr>
      </w:pPr>
      <w:r w:rsidRPr="008D1918">
        <w:rPr>
          <w:noProof/>
          <w:lang w:val="en-AU"/>
        </w:rPr>
        <w:drawing>
          <wp:inline distT="0" distB="0" distL="0" distR="0" wp14:anchorId="5D32A7BC" wp14:editId="5BE2FC47">
            <wp:extent cx="5680800" cy="3290400"/>
            <wp:effectExtent l="0" t="0" r="0" b="5715"/>
            <wp:docPr id="88650184" name="Picture 2" descr="Figure 21: A bar graph showing the average number of participants per physiotherapy providers, from January 2023 to December 2025.&#10;This graph shows that across all states and territories average participant numbers per physiotherapy provider have remained stable, between 42 and 45 across the period.&#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0184" name="Picture 2" descr="Figure 21: A bar graph showing the average number of participants per physiotherapy providers, from January 2023 to December 2025.&#10;This graph shows that across all states and territories average participant numbers per physiotherapy provider have remained stable, between 42 and 45 across the period.&#10;Source: NDIS internal administrative dat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9C629F" w:rsidP="009C629F" w:rsidRDefault="009C629F" w14:paraId="453DCF22" w14:textId="0E5354CF">
      <w:pPr>
        <w:pStyle w:val="Caption"/>
        <w:rPr>
          <w:rFonts w:eastAsia="Arial" w:cs="Arial"/>
          <w:color w:val="6B2876"/>
        </w:rPr>
      </w:pPr>
      <w:bookmarkStart w:name="_Ref227132160" w:id="1196"/>
      <w:r w:rsidRPr="008D1918">
        <w:t xml:space="preserve">Figure </w:t>
      </w:r>
      <w:r>
        <w:fldChar w:fldCharType="begin"/>
      </w:r>
      <w:r>
        <w:instrText>SEQ Figure \* ARABIC</w:instrText>
      </w:r>
      <w:r>
        <w:fldChar w:fldCharType="separate"/>
      </w:r>
      <w:r w:rsidR="008F56A2">
        <w:rPr>
          <w:noProof/>
        </w:rPr>
        <w:t>22</w:t>
      </w:r>
      <w:r>
        <w:fldChar w:fldCharType="end"/>
      </w:r>
      <w:bookmarkEnd w:id="1196"/>
      <w:r w:rsidRPr="008D1918">
        <w:rPr>
          <w:rFonts w:eastAsia="Arial" w:cs="Arial"/>
          <w:color w:val="6B2876" w:themeColor="accent5"/>
        </w:rPr>
        <w:t>: Average total payments per participant for supports delivered by Physiotherapists, January 2023 to December 2025</w:t>
      </w:r>
    </w:p>
    <w:p w:rsidRPr="008D1918" w:rsidR="009C629F" w:rsidP="009C629F" w:rsidRDefault="009C629F" w14:paraId="6F401335" w14:textId="77777777">
      <w:pPr>
        <w:keepNext/>
        <w:spacing w:after="360"/>
        <w:rPr>
          <w:rFonts w:eastAsia="Arial"/>
          <w:lang w:val="en-AU"/>
        </w:rPr>
      </w:pPr>
      <w:r w:rsidRPr="008D1918">
        <w:rPr>
          <w:noProof/>
          <w:lang w:val="en-AU"/>
        </w:rPr>
        <w:drawing>
          <wp:inline distT="0" distB="0" distL="0" distR="0" wp14:anchorId="3F0C4DED" wp14:editId="646078E7">
            <wp:extent cx="5677200" cy="3283200"/>
            <wp:effectExtent l="0" t="0" r="0" b="0"/>
            <wp:docPr id="5825111" name="Picture 5" descr="Figure 22: A line graph showing the average total payments per participant for physiotherapy supports, by provider, from January 2023 to December 2025.&#10;This graph shows that payment per participant for physiotherapy has remained stable across all states and territories throughout the period, ranging from $1,965 to $2,116 (ACT, QLD, NSW, VIC - No historical loadings). Payments per participant in WA, TAS, SA and NT have seen more of a fluctuation from $2,018, peaking at $2,415 and decreasing to $2,108 post loading removal, in line with other states and territories. 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111" name="Picture 5" descr="Figure 22: A line graph showing the average total payments per participant for physiotherapy supports, by provider, from January 2023 to December 2025.&#10;This graph shows that payment per participant for physiotherapy has remained stable across all states and territories throughout the period, ranging from $1,965 to $2,116 (ACT, QLD, NSW, VIC - No historical loadings). Payments per participant in WA, TAS, SA and NT have seen more of a fluctuation from $2,018, peaking at $2,415 and decreasing to $2,108 post loading removal, in line with other states and territories. Source: NDIS internal administrative dat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77200" cy="3283200"/>
                    </a:xfrm>
                    <a:prstGeom prst="rect">
                      <a:avLst/>
                    </a:prstGeom>
                    <a:noFill/>
                  </pic:spPr>
                </pic:pic>
              </a:graphicData>
            </a:graphic>
          </wp:inline>
        </w:drawing>
      </w:r>
    </w:p>
    <w:p w:rsidRPr="008D1918" w:rsidR="009C629F" w:rsidP="009C629F" w:rsidRDefault="001857BA" w14:paraId="082DB984" w14:textId="13FE4B39">
      <w:pPr>
        <w:rPr>
          <w:rFonts w:eastAsia="Segoe UI"/>
          <w:lang w:val="en-AU"/>
        </w:rPr>
      </w:pPr>
      <w:r w:rsidRPr="008D1918">
        <w:rPr>
          <w:rFonts w:eastAsia="Segoe UI"/>
          <w:lang w:val="en-AU"/>
        </w:rPr>
        <w:t>Benchmarking for physiotherapy remains materially sensitive to the session-length assumption used to convert comparator fees into hourly equivalents</w:t>
      </w:r>
      <w:r w:rsidRPr="008D1918" w:rsidR="003D2725">
        <w:rPr>
          <w:rFonts w:eastAsia="Segoe UI"/>
          <w:lang w:val="en-AU"/>
        </w:rPr>
        <w:t xml:space="preserve">. </w:t>
      </w:r>
      <w:r w:rsidRPr="008D1918" w:rsidR="00641297">
        <w:rPr>
          <w:rFonts w:eastAsia="Segoe UI"/>
          <w:lang w:val="en-AU"/>
        </w:rPr>
        <w:t xml:space="preserve">Relatively small changes in the assumed median </w:t>
      </w:r>
      <w:r w:rsidRPr="008D1918" w:rsidR="0079572C">
        <w:rPr>
          <w:rFonts w:eastAsia="Segoe UI"/>
          <w:lang w:val="en-AU"/>
        </w:rPr>
        <w:t>session length produce materially different benchmark positions</w:t>
      </w:r>
      <w:r w:rsidRPr="008D1918" w:rsidR="002154AA">
        <w:rPr>
          <w:rFonts w:eastAsia="Segoe UI"/>
          <w:lang w:val="en-AU"/>
        </w:rPr>
        <w:t xml:space="preserve">. Using plausible assumptions of </w:t>
      </w:r>
      <w:r w:rsidRPr="008D1918" w:rsidR="00497711">
        <w:rPr>
          <w:rFonts w:eastAsia="Segoe UI"/>
          <w:lang w:val="en-AU"/>
        </w:rPr>
        <w:t>32.5-, 35-and 37.5-minute</w:t>
      </w:r>
      <w:r w:rsidRPr="008D1918" w:rsidR="002154AA">
        <w:rPr>
          <w:rFonts w:eastAsia="Segoe UI"/>
          <w:lang w:val="en-AU"/>
        </w:rPr>
        <w:t xml:space="preserve"> </w:t>
      </w:r>
      <w:r w:rsidRPr="008D1918" w:rsidR="002154AA">
        <w:rPr>
          <w:rFonts w:eastAsia="Segoe UI"/>
          <w:lang w:val="en-AU"/>
        </w:rPr>
        <w:t>results in a benchmark range that s</w:t>
      </w:r>
      <w:r w:rsidRPr="008D1918" w:rsidR="000D6CE1">
        <w:rPr>
          <w:rFonts w:eastAsia="Segoe UI"/>
          <w:lang w:val="en-AU"/>
        </w:rPr>
        <w:t>p</w:t>
      </w:r>
      <w:r w:rsidRPr="008D1918" w:rsidR="002154AA">
        <w:rPr>
          <w:rFonts w:eastAsia="Segoe UI"/>
          <w:lang w:val="en-AU"/>
        </w:rPr>
        <w:t xml:space="preserve">ans outcomes both above and below the current NDIS price. This means the comparator evidence does not support a sufficiently robust case for a </w:t>
      </w:r>
      <w:r w:rsidRPr="008D1918" w:rsidR="0008708B">
        <w:rPr>
          <w:rFonts w:eastAsia="Segoe UI"/>
          <w:lang w:val="en-AU"/>
        </w:rPr>
        <w:t xml:space="preserve">recommendation of </w:t>
      </w:r>
      <w:r w:rsidRPr="008D1918" w:rsidR="002154AA">
        <w:rPr>
          <w:rFonts w:eastAsia="Segoe UI"/>
          <w:lang w:val="en-AU"/>
        </w:rPr>
        <w:t xml:space="preserve">further price adjustment on benchmarking grounds alone. </w:t>
      </w:r>
    </w:p>
    <w:p w:rsidRPr="008D1918" w:rsidR="00A54581" w:rsidRDefault="005B29A3" w14:paraId="7D00BDC5" w14:textId="26A28CE9">
      <w:pPr>
        <w:rPr>
          <w:lang w:val="en-AU"/>
        </w:rPr>
      </w:pPr>
      <w:r w:rsidRPr="008D1918">
        <w:rPr>
          <w:rFonts w:eastAsia="Segoe UI"/>
          <w:lang w:val="en-AU"/>
        </w:rPr>
        <w:t>T</w:t>
      </w:r>
      <w:r w:rsidRPr="008D1918" w:rsidR="00B34063">
        <w:rPr>
          <w:rFonts w:eastAsia="Segoe UI"/>
          <w:lang w:val="en-AU"/>
        </w:rPr>
        <w:t>he NDIA has adopted 35 minutes as the central conversion assumption</w:t>
      </w:r>
      <w:r w:rsidRPr="008D1918">
        <w:rPr>
          <w:rFonts w:eastAsia="Segoe UI"/>
          <w:lang w:val="en-AU"/>
        </w:rPr>
        <w:t xml:space="preserve"> for this review. This reflects </w:t>
      </w:r>
      <w:r w:rsidRPr="008D1918" w:rsidR="00B34063">
        <w:rPr>
          <w:rFonts w:eastAsia="Segoe UI"/>
          <w:lang w:val="en-AU"/>
        </w:rPr>
        <w:t xml:space="preserve">the midpoint of the conservative range tested. On that basis, the current physiotherapy </w:t>
      </w:r>
      <w:r w:rsidRPr="008D1918" w:rsidR="0096378A">
        <w:rPr>
          <w:rFonts w:eastAsia="Segoe UI"/>
          <w:lang w:val="en-AU"/>
        </w:rPr>
        <w:t xml:space="preserve">price sits broadly within the plausible benchmark range. Taken together, the monitoring evidence and the sensitivity of the comparator analysis do not support a </w:t>
      </w:r>
      <w:r w:rsidRPr="008D1918" w:rsidR="0008708B">
        <w:rPr>
          <w:rFonts w:eastAsia="Segoe UI"/>
          <w:lang w:val="en-AU"/>
        </w:rPr>
        <w:t xml:space="preserve">recommendation of a </w:t>
      </w:r>
      <w:r w:rsidRPr="008D1918" w:rsidR="0096378A">
        <w:rPr>
          <w:rFonts w:eastAsia="Segoe UI"/>
          <w:lang w:val="en-AU"/>
        </w:rPr>
        <w:t xml:space="preserve">further adjustment in </w:t>
      </w:r>
      <w:r w:rsidRPr="008D1918" w:rsidR="00630283">
        <w:rPr>
          <w:rFonts w:eastAsia="Segoe UI"/>
          <w:lang w:val="en-AU"/>
        </w:rPr>
        <w:t>this</w:t>
      </w:r>
      <w:r w:rsidRPr="008D1918" w:rsidR="0096378A">
        <w:rPr>
          <w:rFonts w:eastAsia="Segoe UI"/>
          <w:lang w:val="en-AU"/>
        </w:rPr>
        <w:t xml:space="preserve"> APR. The </w:t>
      </w:r>
      <w:r w:rsidRPr="008D1918" w:rsidR="00DF0FC9">
        <w:rPr>
          <w:rFonts w:eastAsia="Segoe UI"/>
          <w:lang w:val="en-AU"/>
        </w:rPr>
        <w:t xml:space="preserve">recommended </w:t>
      </w:r>
      <w:r w:rsidRPr="008D1918" w:rsidR="004E40D8">
        <w:rPr>
          <w:rFonts w:eastAsia="Segoe UI"/>
          <w:lang w:val="en-AU"/>
        </w:rPr>
        <w:t xml:space="preserve">maximum </w:t>
      </w:r>
      <w:r w:rsidRPr="008D1918" w:rsidR="0096378A">
        <w:rPr>
          <w:rFonts w:eastAsia="Segoe UI"/>
          <w:lang w:val="en-AU"/>
        </w:rPr>
        <w:t xml:space="preserve">physiotherapy price </w:t>
      </w:r>
      <w:r w:rsidRPr="008D1918" w:rsidR="00FD3370">
        <w:rPr>
          <w:rFonts w:eastAsia="Segoe UI"/>
          <w:lang w:val="en-AU"/>
        </w:rPr>
        <w:t xml:space="preserve">will therefore remain unchanged at $183.99 per hour. Appendix B sets out the derivation </w:t>
      </w:r>
      <w:r w:rsidRPr="008D1918" w:rsidR="00623077">
        <w:rPr>
          <w:rFonts w:eastAsia="Segoe UI"/>
          <w:lang w:val="en-AU"/>
        </w:rPr>
        <w:t xml:space="preserve">of the </w:t>
      </w:r>
      <w:r w:rsidRPr="008D1918" w:rsidR="00E364F8">
        <w:rPr>
          <w:rFonts w:eastAsia="Segoe UI"/>
          <w:lang w:val="en-AU"/>
        </w:rPr>
        <w:t>35-minute</w:t>
      </w:r>
      <w:r w:rsidRPr="008D1918" w:rsidR="00623077">
        <w:rPr>
          <w:rFonts w:eastAsia="Segoe UI"/>
          <w:lang w:val="en-AU"/>
        </w:rPr>
        <w:t xml:space="preserve"> assumption and the full </w:t>
      </w:r>
      <w:r w:rsidRPr="008D1918" w:rsidR="00E364F8">
        <w:rPr>
          <w:rFonts w:eastAsia="Segoe UI"/>
          <w:lang w:val="en-AU"/>
        </w:rPr>
        <w:t>sensitivity</w:t>
      </w:r>
      <w:r w:rsidRPr="008D1918" w:rsidR="00623077">
        <w:rPr>
          <w:rFonts w:eastAsia="Segoe UI"/>
          <w:lang w:val="en-AU"/>
        </w:rPr>
        <w:t xml:space="preserve"> analysis using 3</w:t>
      </w:r>
      <w:r w:rsidRPr="008D1918" w:rsidR="000D6CE1">
        <w:rPr>
          <w:rFonts w:eastAsia="Segoe UI"/>
          <w:lang w:val="en-AU"/>
        </w:rPr>
        <w:t>2.5</w:t>
      </w:r>
      <w:r w:rsidR="00D737A0">
        <w:rPr>
          <w:rFonts w:eastAsia="Segoe UI"/>
          <w:lang w:val="en-AU"/>
        </w:rPr>
        <w:t>-</w:t>
      </w:r>
      <w:r w:rsidRPr="008D1918" w:rsidR="00E364F8">
        <w:rPr>
          <w:rFonts w:eastAsia="Segoe UI"/>
          <w:lang w:val="en-AU"/>
        </w:rPr>
        <w:t>, 35-</w:t>
      </w:r>
      <w:r w:rsidRPr="008D1918" w:rsidR="00E74E0D">
        <w:rPr>
          <w:rFonts w:eastAsia="Segoe UI"/>
          <w:lang w:val="en-AU"/>
        </w:rPr>
        <w:t xml:space="preserve"> </w:t>
      </w:r>
      <w:r w:rsidRPr="008D1918" w:rsidR="00E364F8">
        <w:rPr>
          <w:rFonts w:eastAsia="Segoe UI"/>
          <w:lang w:val="en-AU"/>
        </w:rPr>
        <w:t>and 37.5-minute</w:t>
      </w:r>
      <w:r w:rsidRPr="008D1918" w:rsidR="00582E5E">
        <w:rPr>
          <w:rFonts w:eastAsia="Segoe UI"/>
          <w:lang w:val="en-AU"/>
        </w:rPr>
        <w:t xml:space="preserve"> </w:t>
      </w:r>
      <w:r w:rsidRPr="008D1918" w:rsidR="00623077">
        <w:rPr>
          <w:rFonts w:eastAsia="Segoe UI"/>
          <w:lang w:val="en-AU"/>
        </w:rPr>
        <w:t>assumptions (</w:t>
      </w:r>
      <w:r w:rsidRPr="008D1918" w:rsidR="0050516D">
        <w:rPr>
          <w:rFonts w:eastAsia="Segoe UI"/>
          <w:lang w:val="en-AU"/>
        </w:rPr>
        <w:fldChar w:fldCharType="begin"/>
      </w:r>
      <w:r w:rsidRPr="008D1918" w:rsidR="0050516D">
        <w:rPr>
          <w:rFonts w:eastAsia="Segoe UI"/>
          <w:lang w:val="en-AU"/>
        </w:rPr>
        <w:instrText xml:space="preserve"> REF _Ref223624771 \h </w:instrText>
      </w:r>
      <w:r w:rsidR="008D1918">
        <w:rPr>
          <w:rFonts w:eastAsia="Segoe UI"/>
          <w:lang w:val="en-AU"/>
        </w:rPr>
        <w:instrText xml:space="preserve"> \* MERGEFORMAT </w:instrText>
      </w:r>
      <w:r w:rsidRPr="008D1918" w:rsidR="0050516D">
        <w:rPr>
          <w:rFonts w:eastAsia="Segoe UI"/>
          <w:lang w:val="en-AU"/>
        </w:rPr>
      </w:r>
      <w:r w:rsidRPr="008D1918" w:rsidR="0050516D">
        <w:rPr>
          <w:rFonts w:eastAsia="Segoe UI"/>
          <w:lang w:val="en-AU"/>
        </w:rPr>
        <w:fldChar w:fldCharType="separate"/>
      </w:r>
      <w:r w:rsidRPr="008D1918" w:rsidR="008F56A2">
        <w:t xml:space="preserve">Figure </w:t>
      </w:r>
      <w:r w:rsidR="008F56A2">
        <w:rPr>
          <w:noProof/>
        </w:rPr>
        <w:t>23</w:t>
      </w:r>
      <w:r w:rsidRPr="008D1918" w:rsidR="0050516D">
        <w:rPr>
          <w:rFonts w:eastAsia="Segoe UI"/>
          <w:lang w:val="en-AU"/>
        </w:rPr>
        <w:fldChar w:fldCharType="end"/>
      </w:r>
      <w:r w:rsidRPr="008D1918" w:rsidR="0050516D">
        <w:rPr>
          <w:rFonts w:eastAsia="Segoe UI"/>
          <w:lang w:val="en-AU"/>
        </w:rPr>
        <w:t>).</w:t>
      </w:r>
    </w:p>
    <w:p w:rsidRPr="008D1918" w:rsidR="024394C9" w:rsidP="00462F5B" w:rsidRDefault="32B89A21" w14:paraId="289AC46D" w14:textId="363C2FA5">
      <w:pPr>
        <w:pStyle w:val="Caption"/>
        <w:rPr>
          <w:rFonts w:eastAsia="Arial" w:cs="Arial"/>
          <w:color w:val="6B2876" w:themeColor="accent5"/>
        </w:rPr>
      </w:pPr>
      <w:bookmarkStart w:name="_Ref223624771" w:id="1197"/>
      <w:r w:rsidRPr="008D1918">
        <w:t>Figure</w:t>
      </w:r>
      <w:r w:rsidRPr="008D1918" w:rsidR="00462F5B">
        <w:t xml:space="preserve"> </w:t>
      </w:r>
      <w:r>
        <w:fldChar w:fldCharType="begin"/>
      </w:r>
      <w:r>
        <w:instrText>SEQ Figure \* ARABIC</w:instrText>
      </w:r>
      <w:r>
        <w:fldChar w:fldCharType="separate"/>
      </w:r>
      <w:r w:rsidR="008F56A2">
        <w:rPr>
          <w:noProof/>
        </w:rPr>
        <w:t>23</w:t>
      </w:r>
      <w:r>
        <w:fldChar w:fldCharType="end"/>
      </w:r>
      <w:bookmarkEnd w:id="1197"/>
      <w:r w:rsidRPr="008D1918">
        <w:rPr>
          <w:rFonts w:eastAsia="Arial" w:cs="Arial"/>
          <w:color w:val="6B2876" w:themeColor="accent5"/>
        </w:rPr>
        <w:t xml:space="preserve">: </w:t>
      </w:r>
      <w:r w:rsidRPr="008D1918" w:rsidR="006A25FA">
        <w:rPr>
          <w:rFonts w:eastAsia="Arial" w:cs="Arial"/>
          <w:color w:val="6B2876" w:themeColor="accent5"/>
        </w:rPr>
        <w:t xml:space="preserve">MBS and PHI </w:t>
      </w:r>
      <w:r w:rsidRPr="008D1918" w:rsidR="00762EC9">
        <w:rPr>
          <w:rFonts w:eastAsia="Arial" w:cs="Arial"/>
          <w:color w:val="6B2876" w:themeColor="accent5"/>
        </w:rPr>
        <w:t xml:space="preserve">converted hourly rates </w:t>
      </w:r>
      <w:r w:rsidRPr="008D1918" w:rsidR="006A25FA">
        <w:rPr>
          <w:rFonts w:eastAsia="Arial" w:cs="Arial"/>
          <w:color w:val="6B2876" w:themeColor="accent5"/>
        </w:rPr>
        <w:t xml:space="preserve">for </w:t>
      </w:r>
      <w:r w:rsidRPr="008D1918" w:rsidR="00EE4DB2">
        <w:rPr>
          <w:rFonts w:eastAsia="Arial" w:cs="Arial"/>
          <w:color w:val="6B2876" w:themeColor="accent5"/>
        </w:rPr>
        <w:t xml:space="preserve">Physiotherapists </w:t>
      </w:r>
      <w:r w:rsidRPr="008D1918" w:rsidR="00762EC9">
        <w:rPr>
          <w:rFonts w:eastAsia="Arial" w:cs="Arial"/>
          <w:color w:val="6B2876" w:themeColor="accent5"/>
        </w:rPr>
        <w:t xml:space="preserve">compared </w:t>
      </w:r>
      <w:r w:rsidRPr="008D1918" w:rsidR="006A25FA">
        <w:rPr>
          <w:rFonts w:eastAsia="Arial" w:cs="Arial"/>
          <w:color w:val="6B2876" w:themeColor="accent5"/>
        </w:rPr>
        <w:t xml:space="preserve">to the </w:t>
      </w:r>
      <w:r w:rsidRPr="008D1918" w:rsidR="00762EC9">
        <w:rPr>
          <w:rFonts w:eastAsia="Arial" w:cs="Arial"/>
          <w:color w:val="6B2876" w:themeColor="accent5"/>
        </w:rPr>
        <w:t xml:space="preserve">applicable </w:t>
      </w:r>
      <w:r w:rsidRPr="008D1918" w:rsidR="006A25FA">
        <w:rPr>
          <w:rFonts w:eastAsia="Arial" w:cs="Arial"/>
          <w:color w:val="6B2876" w:themeColor="accent5"/>
        </w:rPr>
        <w:t xml:space="preserve">NDIS </w:t>
      </w:r>
      <w:r w:rsidRPr="008D1918" w:rsidR="00762EC9">
        <w:rPr>
          <w:rFonts w:eastAsia="Arial" w:cs="Arial"/>
          <w:color w:val="6B2876" w:themeColor="accent5"/>
        </w:rPr>
        <w:t xml:space="preserve">price </w:t>
      </w:r>
      <w:r w:rsidRPr="008D1918" w:rsidR="006A25FA">
        <w:rPr>
          <w:rFonts w:eastAsia="Arial" w:cs="Arial"/>
          <w:color w:val="6B2876" w:themeColor="accent5"/>
        </w:rPr>
        <w:t>(</w:t>
      </w:r>
      <w:r w:rsidRPr="008D1918" w:rsidR="00D97C5E">
        <w:rPr>
          <w:rFonts w:eastAsia="Arial" w:cs="Arial"/>
          <w:color w:val="6B2876" w:themeColor="accent5"/>
        </w:rPr>
        <w:t>s</w:t>
      </w:r>
      <w:r w:rsidRPr="008D1918" w:rsidR="006A25FA">
        <w:rPr>
          <w:rFonts w:eastAsia="Arial" w:cs="Arial"/>
          <w:color w:val="6B2876" w:themeColor="accent5"/>
        </w:rPr>
        <w:t xml:space="preserve">ensitivity </w:t>
      </w:r>
      <w:r w:rsidRPr="008D1918" w:rsidR="00D97C5E">
        <w:rPr>
          <w:rFonts w:eastAsia="Arial" w:cs="Arial"/>
          <w:color w:val="6B2876" w:themeColor="accent5"/>
        </w:rPr>
        <w:t>a</w:t>
      </w:r>
      <w:r w:rsidRPr="008D1918" w:rsidR="006A25FA">
        <w:rPr>
          <w:rFonts w:eastAsia="Arial" w:cs="Arial"/>
          <w:color w:val="6B2876" w:themeColor="accent5"/>
        </w:rPr>
        <w:t>nalysis)</w:t>
      </w:r>
      <w:r w:rsidRPr="008D1918" w:rsidR="009D4DC6">
        <w:rPr>
          <w:rFonts w:eastAsia="Arial" w:cs="Arial"/>
          <w:color w:val="6B2876" w:themeColor="accent5"/>
        </w:rPr>
        <w:t xml:space="preserve"> </w:t>
      </w:r>
      <w:r w:rsidRPr="008D1918" w:rsidR="00F57A1D">
        <w:rPr>
          <w:rFonts w:eastAsia="Arial" w:cs="Arial"/>
          <w:color w:val="6B2876" w:themeColor="accent5"/>
        </w:rPr>
        <w:t xml:space="preserve">for </w:t>
      </w:r>
      <w:r w:rsidRPr="008D1918" w:rsidR="00C21A24">
        <w:rPr>
          <w:rFonts w:eastAsia="Arial" w:cs="Arial"/>
          <w:color w:val="6B2876" w:themeColor="accent5"/>
        </w:rPr>
        <w:t>2025</w:t>
      </w:r>
      <w:r w:rsidRPr="008D1918" w:rsidR="00E74E0D">
        <w:rPr>
          <w:rFonts w:eastAsia="Arial" w:cs="Arial"/>
          <w:color w:val="6B2876" w:themeColor="accent5"/>
        </w:rPr>
        <w:t>–</w:t>
      </w:r>
      <w:r w:rsidRPr="008D1918" w:rsidR="00C21A24">
        <w:rPr>
          <w:rFonts w:eastAsia="Arial" w:cs="Arial"/>
          <w:color w:val="6B2876" w:themeColor="accent5"/>
        </w:rPr>
        <w:t>26</w:t>
      </w:r>
    </w:p>
    <w:p w:rsidR="00DE229B" w:rsidP="00DE229B" w:rsidRDefault="00DE229B" w14:paraId="6D6B32AA" w14:textId="269F49D2">
      <w:pPr>
        <w:rPr>
          <w:b/>
          <w:bCs/>
          <w:sz w:val="20"/>
          <w:szCs w:val="20"/>
          <w:lang w:val="en-AU"/>
        </w:rPr>
      </w:pPr>
      <w:r>
        <w:rPr>
          <w:b/>
          <w:bCs/>
          <w:noProof/>
          <w:sz w:val="20"/>
          <w:szCs w:val="20"/>
          <w:lang w:val="en-AU"/>
        </w:rPr>
        <w:drawing>
          <wp:inline distT="0" distB="0" distL="0" distR="0" wp14:anchorId="59D7DF5A" wp14:editId="45A09856">
            <wp:extent cx="5760000" cy="2216471"/>
            <wp:effectExtent l="0" t="0" r="0" b="0"/>
            <wp:docPr id="617643710" name="Picture 8" descr="Figure 23: A column chart comparing converted hourly rates for physiotherapy services from the Medicare Benefits Scheme and two private health insurance datasets across four typical session durations (30 minutes, 32.5 minutes, 35 minutes and 37.5 minutes). For each duration, three grouped bars show the 25th percentile, median and 75th percentile hourly rates. A horizontal purple dashed line marks the physiotherapy NDIS price limit of $183.99 for 2025-26. Across most session durations, the interquartile ranges fall below the NDIS limit, with some median and upper-quartile values approaching or exceeding the NDIS li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643710" name="Picture 8" descr="Figure 23: A column chart comparing converted hourly rates for physiotherapy services from the Medicare Benefits Scheme and two private health insurance datasets across four typical session durations (30 minutes, 32.5 minutes, 35 minutes and 37.5 minutes). For each duration, three grouped bars show the 25th percentile, median and 75th percentile hourly rates. A horizontal purple dashed line marks the physiotherapy NDIS price limit of $183.99 for 2025-26. Across most session durations, the interquartile ranges fall below the NDIS limit, with some median and upper-quartile values approaching or exceeding the NDIS limit."/>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760000" cy="2216471"/>
                    </a:xfrm>
                    <a:prstGeom prst="rect">
                      <a:avLst/>
                    </a:prstGeom>
                    <a:noFill/>
                  </pic:spPr>
                </pic:pic>
              </a:graphicData>
            </a:graphic>
          </wp:inline>
        </w:drawing>
      </w:r>
    </w:p>
    <w:p w:rsidRPr="008D1918" w:rsidR="00C21A24" w:rsidP="00C21A24" w:rsidRDefault="00C21A24" w14:paraId="1006A46E" w14:textId="555406EF">
      <w:pPr>
        <w:keepNext/>
        <w:rPr>
          <w:lang w:val="en-AU"/>
        </w:rPr>
      </w:pPr>
      <w:r w:rsidRPr="008D1918">
        <w:rPr>
          <w:b/>
          <w:bCs/>
          <w:sz w:val="20"/>
          <w:szCs w:val="20"/>
          <w:lang w:val="en-AU"/>
        </w:rPr>
        <w:t>Source: MBS and PHI data</w:t>
      </w:r>
    </w:p>
    <w:bookmarkStart w:name="_Toc223532328" w:id="1198"/>
    <w:bookmarkEnd w:id="1178"/>
    <w:bookmarkEnd w:id="1198"/>
    <w:p w:rsidRPr="008D1918" w:rsidR="000E3523" w:rsidP="00041468" w:rsidRDefault="002318EA" w14:paraId="592C6A50" w14:textId="2B9F7A4F">
      <w:pPr>
        <w:pStyle w:val="StyleStyle112pt"/>
      </w:pPr>
      <w:r w:rsidRPr="008D1918">
        <w:fldChar w:fldCharType="begin"/>
      </w:r>
      <w:r w:rsidRPr="008D1918">
        <w:fldChar w:fldCharType="separate"/>
      </w:r>
      <w:r w:rsidRPr="008D1918">
        <w:fldChar w:fldCharType="end"/>
      </w:r>
      <w:r>
        <w:t>Di</w:t>
      </w:r>
      <w:r w:rsidR="00524526">
        <w:t>etitian</w:t>
      </w:r>
    </w:p>
    <w:p w:rsidRPr="008D1918" w:rsidR="000E3523" w:rsidRDefault="000E3523" w14:paraId="06D84A91" w14:textId="5CE63846">
      <w:pPr>
        <w:rPr>
          <w:rFonts w:cs="Arial"/>
          <w:lang w:val="en-AU"/>
        </w:rPr>
      </w:pPr>
      <w:r w:rsidRPr="008D1918">
        <w:rPr>
          <w:rFonts w:cs="Arial"/>
          <w:lang w:val="en-AU"/>
        </w:rPr>
        <w:t xml:space="preserve">The current NDIS price of $188.99 per hour sits above the </w:t>
      </w:r>
      <w:r w:rsidRPr="008D1918" w:rsidR="00DE38FC">
        <w:rPr>
          <w:rFonts w:cs="Arial"/>
          <w:lang w:val="en-AU"/>
        </w:rPr>
        <w:t>reference range</w:t>
      </w:r>
      <w:r w:rsidRPr="008D1918">
        <w:rPr>
          <w:rFonts w:cs="Arial"/>
          <w:lang w:val="en-AU"/>
        </w:rPr>
        <w:t>. The NDIS hourly rate is 21.9% above the PHI</w:t>
      </w:r>
      <w:r w:rsidRPr="008D1918" w:rsidR="004C49C8">
        <w:rPr>
          <w:rFonts w:cs="Arial"/>
          <w:lang w:val="en-AU"/>
        </w:rPr>
        <w:t xml:space="preserve"> </w:t>
      </w:r>
      <w:r w:rsidRPr="008D1918">
        <w:rPr>
          <w:rFonts w:cs="Arial"/>
          <w:lang w:val="en-AU"/>
        </w:rPr>
        <w:t>2 75th percentile ($155.00) and 24.3% above the MBS 75th percentile ($152.00) (</w:t>
      </w:r>
      <w:r w:rsidRPr="008D1918" w:rsidR="00CE27D6">
        <w:rPr>
          <w:rFonts w:cs="Arial"/>
          <w:lang w:val="en-AU"/>
        </w:rPr>
        <w:fldChar w:fldCharType="begin"/>
      </w:r>
      <w:r w:rsidRPr="008D1918" w:rsidR="00CE27D6">
        <w:rPr>
          <w:rFonts w:cs="Arial"/>
          <w:lang w:val="en-AU"/>
        </w:rPr>
        <w:instrText xml:space="preserve"> REF _Ref223624799 \h </w:instrText>
      </w:r>
      <w:r w:rsidRPr="008D1918" w:rsidR="00762DF8">
        <w:rPr>
          <w:rFonts w:cs="Arial"/>
          <w:lang w:val="en-AU"/>
        </w:rPr>
        <w:instrText xml:space="preserve"> \* MERGEFORMAT </w:instrText>
      </w:r>
      <w:r w:rsidRPr="008D1918" w:rsidR="00CE27D6">
        <w:rPr>
          <w:rFonts w:cs="Arial"/>
          <w:lang w:val="en-AU"/>
        </w:rPr>
      </w:r>
      <w:r w:rsidRPr="008D1918" w:rsidR="00CE27D6">
        <w:rPr>
          <w:rFonts w:cs="Arial"/>
          <w:lang w:val="en-AU"/>
        </w:rPr>
        <w:fldChar w:fldCharType="separate"/>
      </w:r>
      <w:r w:rsidRPr="008F56A2" w:rsidR="008F56A2">
        <w:rPr>
          <w:lang w:val="en-AU"/>
        </w:rPr>
        <w:t>Figure</w:t>
      </w:r>
      <w:r w:rsidRPr="008D1918" w:rsidR="008F56A2">
        <w:t xml:space="preserve"> </w:t>
      </w:r>
      <w:r w:rsidR="008F56A2">
        <w:rPr>
          <w:noProof/>
        </w:rPr>
        <w:t>24</w:t>
      </w:r>
      <w:r w:rsidRPr="008D1918" w:rsidR="00CE27D6">
        <w:rPr>
          <w:rFonts w:cs="Arial"/>
          <w:lang w:val="en-AU"/>
        </w:rPr>
        <w:fldChar w:fldCharType="end"/>
      </w:r>
      <w:r w:rsidRPr="008D1918">
        <w:rPr>
          <w:rFonts w:cs="Arial"/>
          <w:lang w:val="en-AU"/>
        </w:rPr>
        <w:t xml:space="preserve">). The </w:t>
      </w:r>
      <w:r w:rsidRPr="008D1918" w:rsidR="004B7750">
        <w:rPr>
          <w:rFonts w:cs="Arial"/>
          <w:lang w:val="en-AU"/>
        </w:rPr>
        <w:t>previous</w:t>
      </w:r>
      <w:r w:rsidRPr="008D1918">
        <w:rPr>
          <w:rFonts w:cs="Arial"/>
          <w:lang w:val="en-AU"/>
        </w:rPr>
        <w:t xml:space="preserve"> APR </w:t>
      </w:r>
      <w:r w:rsidRPr="008D1918" w:rsidR="008F7D4A">
        <w:rPr>
          <w:rFonts w:cs="Arial"/>
          <w:lang w:val="en-AU"/>
        </w:rPr>
        <w:t xml:space="preserve">resulted in </w:t>
      </w:r>
      <w:r w:rsidRPr="008D1918" w:rsidR="00DF0FC9">
        <w:rPr>
          <w:rFonts w:cs="Arial"/>
          <w:lang w:val="en-AU"/>
        </w:rPr>
        <w:t xml:space="preserve">a </w:t>
      </w:r>
      <w:r w:rsidRPr="008D1918">
        <w:rPr>
          <w:rFonts w:cs="Arial"/>
          <w:lang w:val="en-AU"/>
        </w:rPr>
        <w:t>reduc</w:t>
      </w:r>
      <w:r w:rsidRPr="008D1918" w:rsidR="00DF0FC9">
        <w:rPr>
          <w:rFonts w:cs="Arial"/>
          <w:lang w:val="en-AU"/>
        </w:rPr>
        <w:t>tion</w:t>
      </w:r>
      <w:r w:rsidRPr="008D1918">
        <w:rPr>
          <w:rFonts w:cs="Arial"/>
          <w:lang w:val="en-AU"/>
        </w:rPr>
        <w:t xml:space="preserve"> </w:t>
      </w:r>
      <w:r w:rsidRPr="008D1918" w:rsidR="00DF0FC9">
        <w:rPr>
          <w:rFonts w:cs="Arial"/>
          <w:lang w:val="en-AU"/>
        </w:rPr>
        <w:t xml:space="preserve">in </w:t>
      </w:r>
      <w:r w:rsidRPr="008D1918">
        <w:rPr>
          <w:rFonts w:cs="Arial"/>
          <w:lang w:val="en-AU"/>
        </w:rPr>
        <w:t xml:space="preserve">the price </w:t>
      </w:r>
      <w:r w:rsidRPr="008D1918" w:rsidR="00EE4DB2">
        <w:rPr>
          <w:rFonts w:cs="Arial"/>
          <w:lang w:val="en-AU"/>
        </w:rPr>
        <w:t xml:space="preserve">for Dieticians </w:t>
      </w:r>
      <w:r w:rsidRPr="008D1918">
        <w:rPr>
          <w:rFonts w:cs="Arial"/>
          <w:lang w:val="en-AU"/>
        </w:rPr>
        <w:t xml:space="preserve">by $5 per hour. Updated data indicates the gap has narrowed only marginally. </w:t>
      </w:r>
    </w:p>
    <w:p w:rsidRPr="008D1918" w:rsidR="000E3523" w:rsidP="00CE27D6" w:rsidRDefault="000E3523" w14:paraId="32B161C3" w14:textId="2A4BBD65">
      <w:pPr>
        <w:pStyle w:val="Caption"/>
        <w:rPr>
          <w:rFonts w:eastAsia="DengXian" w:cs="Cordia New"/>
          <w:i w:val="0"/>
          <w:color w:val="6B2876" w:themeColor="accent5"/>
        </w:rPr>
      </w:pPr>
      <w:bookmarkStart w:name="_Ref223624799" w:id="1199"/>
      <w:r w:rsidRPr="008D1918">
        <w:t>Figure</w:t>
      </w:r>
      <w:r w:rsidRPr="008D1918" w:rsidR="00CE27D6">
        <w:t xml:space="preserve"> </w:t>
      </w:r>
      <w:r>
        <w:fldChar w:fldCharType="begin"/>
      </w:r>
      <w:r>
        <w:instrText>SEQ Figure \* ARABIC</w:instrText>
      </w:r>
      <w:r>
        <w:fldChar w:fldCharType="separate"/>
      </w:r>
      <w:r w:rsidR="008F56A2">
        <w:rPr>
          <w:noProof/>
        </w:rPr>
        <w:t>24</w:t>
      </w:r>
      <w:r>
        <w:fldChar w:fldCharType="end"/>
      </w:r>
      <w:bookmarkEnd w:id="1199"/>
      <w:r w:rsidRPr="008D1918">
        <w:rPr>
          <w:rFonts w:eastAsia="DengXian" w:cs="Cordia New"/>
          <w:color w:val="6B2876" w:themeColor="accent5"/>
        </w:rPr>
        <w:t>: MBS</w:t>
      </w:r>
      <w:r w:rsidRPr="008D1918" w:rsidR="001B49B9">
        <w:rPr>
          <w:rFonts w:eastAsia="DengXian" w:cs="Cordia New"/>
          <w:color w:val="6B2876" w:themeColor="accent5"/>
        </w:rPr>
        <w:t xml:space="preserve"> and</w:t>
      </w:r>
      <w:r w:rsidRPr="008D1918">
        <w:rPr>
          <w:rFonts w:eastAsia="DengXian" w:cs="Cordia New"/>
          <w:color w:val="6B2876" w:themeColor="accent5"/>
        </w:rPr>
        <w:t xml:space="preserve"> PHI converted hourly rates for </w:t>
      </w:r>
      <w:r w:rsidR="00004E22">
        <w:rPr>
          <w:rFonts w:eastAsia="DengXian" w:cs="Cordia New"/>
          <w:color w:val="6B2876" w:themeColor="accent5"/>
        </w:rPr>
        <w:t>Dietitians</w:t>
      </w:r>
      <w:r w:rsidRPr="008D1918" w:rsidR="007155A2">
        <w:rPr>
          <w:rFonts w:eastAsia="DengXian" w:cs="Cordia New"/>
          <w:color w:val="6B2876" w:themeColor="accent5"/>
        </w:rPr>
        <w:t xml:space="preserve"> </w:t>
      </w:r>
      <w:r w:rsidRPr="008D1918">
        <w:rPr>
          <w:rFonts w:eastAsia="DengXian" w:cs="Cordia New"/>
          <w:color w:val="6B2876" w:themeColor="accent5"/>
        </w:rPr>
        <w:t>compared to the applicable NDIS price</w:t>
      </w:r>
      <w:r w:rsidRPr="008D1918" w:rsidR="00DF0FC9">
        <w:rPr>
          <w:rFonts w:eastAsia="DengXian" w:cs="Cordia New"/>
          <w:color w:val="6B2876" w:themeColor="accent5"/>
        </w:rPr>
        <w:t>s</w:t>
      </w:r>
      <w:r w:rsidRPr="008D1918">
        <w:rPr>
          <w:rFonts w:eastAsia="DengXian" w:cs="Cordia New"/>
          <w:color w:val="6B2876" w:themeColor="accent5"/>
        </w:rPr>
        <w:t> </w:t>
      </w:r>
    </w:p>
    <w:p w:rsidRPr="008D1918" w:rsidR="000E3523" w:rsidP="00D52FA6" w:rsidRDefault="00004E22" w14:paraId="55F57ACD" w14:textId="29A8AE4E">
      <w:pPr>
        <w:keepNext/>
        <w:spacing w:after="0"/>
        <w:rPr>
          <w:lang w:val="en-AU"/>
        </w:rPr>
      </w:pPr>
      <w:r>
        <w:rPr>
          <w:rFonts w:cs="Arial"/>
          <w:b/>
          <w:noProof/>
          <w:sz w:val="20"/>
          <w:szCs w:val="20"/>
          <w:lang w:val="en-AU"/>
        </w:rPr>
        <w:drawing>
          <wp:inline distT="0" distB="0" distL="0" distR="0" wp14:anchorId="16B109CB" wp14:editId="28817344">
            <wp:extent cx="5818909" cy="3304390"/>
            <wp:effectExtent l="0" t="0" r="0" b="0"/>
            <wp:docPr id="1204720206" name="Picture 9" descr="Figure 24: A column graph showing MBS and PHI converted hourly rates for dietetics compared to the applicable NDIS price limits.&#10;The graph shows that the NDIS price limits for dietetics for 2024-25 and 2025-26 are significantly above the median for MBS and PHI. Source: MBS and PHI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720206" name="Picture 9" descr="Figure 24: A column graph showing MBS and PHI converted hourly rates for dietetics compared to the applicable NDIS price limits.&#10;The graph shows that the NDIS price limits for dietetics for 2024-25 and 2025-26 are significantly above the median for MBS and PHI. Source: MBS and PHI data."/>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818909" cy="3304390"/>
                    </a:xfrm>
                    <a:prstGeom prst="rect">
                      <a:avLst/>
                    </a:prstGeom>
                    <a:noFill/>
                  </pic:spPr>
                </pic:pic>
              </a:graphicData>
            </a:graphic>
          </wp:inline>
        </w:drawing>
      </w:r>
    </w:p>
    <w:p w:rsidRPr="008D1918" w:rsidR="005221DD" w:rsidP="005221DD" w:rsidRDefault="005221DD" w14:paraId="233BEAF0" w14:textId="6F81ABC8">
      <w:pPr>
        <w:spacing w:before="120" w:after="360"/>
        <w:rPr>
          <w:rFonts w:cs="Arial"/>
          <w:b/>
          <w:sz w:val="20"/>
          <w:szCs w:val="20"/>
          <w:lang w:val="en-AU"/>
        </w:rPr>
      </w:pPr>
      <w:r w:rsidRPr="008D1918">
        <w:rPr>
          <w:rFonts w:cs="Arial"/>
          <w:b/>
          <w:sz w:val="20"/>
          <w:szCs w:val="20"/>
          <w:lang w:val="en-AU"/>
        </w:rPr>
        <w:t>Source: MBS and PHI</w:t>
      </w:r>
      <w:r w:rsidRPr="008D1918" w:rsidR="00C21A24">
        <w:rPr>
          <w:rFonts w:cs="Arial"/>
          <w:b/>
          <w:sz w:val="20"/>
          <w:szCs w:val="20"/>
          <w:lang w:val="en-AU"/>
        </w:rPr>
        <w:t xml:space="preserve"> data</w:t>
      </w:r>
    </w:p>
    <w:p w:rsidRPr="008D1918" w:rsidR="000E3523" w:rsidP="00041468" w:rsidRDefault="000E3523" w14:paraId="4574E403" w14:textId="11FC7EE1">
      <w:pPr>
        <w:pStyle w:val="StyleStyle112pt"/>
      </w:pPr>
      <w:bookmarkStart w:name="_Toc223428457" w:id="1200"/>
      <w:bookmarkStart w:name="_Toc223445925" w:id="1201"/>
      <w:bookmarkStart w:name="_Toc223532340" w:id="1202"/>
      <w:bookmarkStart w:name="_Toc223538839" w:id="1203"/>
      <w:bookmarkStart w:name="_Toc223539095" w:id="1204"/>
      <w:bookmarkStart w:name="_Toc223539454" w:id="1205"/>
      <w:bookmarkStart w:name="_Toc223539703" w:id="1206"/>
      <w:bookmarkStart w:name="_Toc223541476" w:id="1207"/>
      <w:bookmarkStart w:name="_Toc223541698" w:id="1208"/>
      <w:bookmarkStart w:name="_Toc223542140" w:id="1209"/>
      <w:bookmarkStart w:name="_Toc223604326" w:id="1210"/>
      <w:bookmarkStart w:name="_Toc223604537" w:id="1211"/>
      <w:bookmarkStart w:name="_Toc223604759" w:id="1212"/>
      <w:bookmarkStart w:name="_Toc223618619" w:id="1213"/>
      <w:bookmarkStart w:name="_Toc223428458" w:id="1214"/>
      <w:bookmarkStart w:name="_Toc223445926" w:id="1215"/>
      <w:bookmarkStart w:name="_Toc223539704" w:id="1216"/>
      <w:bookmarkStart w:name="_Toc223539919" w:id="1217"/>
      <w:bookmarkStart w:name="_Toc223540387" w:id="1218"/>
      <w:bookmarkStart w:name="_Toc223540603" w:id="1219"/>
      <w:bookmarkStart w:name="_Toc223542141" w:id="1220"/>
      <w:bookmarkStart w:name="_Toc223604327" w:id="1221"/>
      <w:bookmarkStart w:name="_Toc223604538" w:id="1222"/>
      <w:bookmarkStart w:name="_Toc223604760" w:id="1223"/>
      <w:bookmarkStart w:name="_Toc223618620" w:id="1224"/>
      <w:bookmarkStart w:name="_Toc223702855" w:id="1225"/>
      <w:bookmarkStart w:name="_Toc227318747" w:id="1226"/>
      <w:bookmarkStart w:name="_Toc227337115" w:id="1227"/>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r w:rsidRPr="008D1918">
        <w:t xml:space="preserve">Exercise </w:t>
      </w:r>
      <w:bookmarkEnd w:id="1214"/>
      <w:bookmarkEnd w:id="1215"/>
      <w:bookmarkEnd w:id="1216"/>
      <w:bookmarkEnd w:id="1217"/>
      <w:bookmarkEnd w:id="1218"/>
      <w:bookmarkEnd w:id="1219"/>
      <w:bookmarkEnd w:id="1220"/>
      <w:bookmarkEnd w:id="1221"/>
      <w:bookmarkEnd w:id="1222"/>
      <w:bookmarkEnd w:id="1223"/>
      <w:bookmarkEnd w:id="1224"/>
      <w:bookmarkEnd w:id="1225"/>
      <w:r w:rsidRPr="008D1918" w:rsidR="00EE4DB2">
        <w:t>Physiologists</w:t>
      </w:r>
      <w:bookmarkEnd w:id="1226"/>
      <w:bookmarkEnd w:id="1227"/>
      <w:r w:rsidRPr="008D1918" w:rsidR="00EE4DB2">
        <w:t> </w:t>
      </w:r>
    </w:p>
    <w:p w:rsidRPr="008D1918" w:rsidR="000E3523" w:rsidRDefault="000E3523" w14:paraId="59C1381F" w14:textId="6DB4AB9A">
      <w:pPr>
        <w:rPr>
          <w:rFonts w:cs="Arial"/>
          <w:lang w:val="en-AU"/>
        </w:rPr>
      </w:pPr>
      <w:r w:rsidRPr="008D1918">
        <w:rPr>
          <w:lang w:val="en-AU"/>
        </w:rPr>
        <w:t xml:space="preserve">The current NDIS price of $166.99 per hour sits above the </w:t>
      </w:r>
      <w:r w:rsidRPr="008D1918" w:rsidR="00DE38FC">
        <w:rPr>
          <w:lang w:val="en-AU"/>
        </w:rPr>
        <w:t>reference range</w:t>
      </w:r>
      <w:r w:rsidRPr="008D1918">
        <w:rPr>
          <w:lang w:val="en-AU"/>
        </w:rPr>
        <w:t>. The NDIS hourly rate is 9.9% above the MBS 75th percentile ($152.00) and 26.5% above PHI 1 ($132.00) (</w:t>
      </w:r>
      <w:r w:rsidRPr="008D1918" w:rsidR="00535FD4">
        <w:rPr>
          <w:lang w:val="en-AU"/>
        </w:rPr>
        <w:fldChar w:fldCharType="begin"/>
      </w:r>
      <w:r w:rsidRPr="008D1918" w:rsidR="00535FD4">
        <w:rPr>
          <w:lang w:val="en-AU"/>
        </w:rPr>
        <w:instrText xml:space="preserve"> REF _Ref223624899 \h </w:instrText>
      </w:r>
      <w:r w:rsidRPr="008D1918" w:rsidR="00762DF8">
        <w:rPr>
          <w:lang w:val="en-AU"/>
        </w:rPr>
        <w:instrText xml:space="preserve"> \* MERGEFORMAT </w:instrText>
      </w:r>
      <w:r w:rsidRPr="008D1918" w:rsidR="00535FD4">
        <w:rPr>
          <w:lang w:val="en-AU"/>
        </w:rPr>
      </w:r>
      <w:r w:rsidRPr="008D1918" w:rsidR="00535FD4">
        <w:rPr>
          <w:lang w:val="en-AU"/>
        </w:rPr>
        <w:fldChar w:fldCharType="separate"/>
      </w:r>
      <w:r w:rsidRPr="008F56A2" w:rsidR="008F56A2">
        <w:rPr>
          <w:lang w:val="en-AU"/>
        </w:rPr>
        <w:t>Figure 25</w:t>
      </w:r>
      <w:r w:rsidRPr="008D1918" w:rsidR="00535FD4">
        <w:rPr>
          <w:lang w:val="en-AU"/>
        </w:rPr>
        <w:fldChar w:fldCharType="end"/>
      </w:r>
      <w:r w:rsidRPr="008D1918">
        <w:rPr>
          <w:lang w:val="en-AU"/>
        </w:rPr>
        <w:t>).</w:t>
      </w:r>
      <w:r w:rsidRPr="008D1918" w:rsidR="006726B8">
        <w:rPr>
          <w:lang w:val="en-AU"/>
        </w:rPr>
        <w:t xml:space="preserve"> </w:t>
      </w:r>
      <w:r w:rsidRPr="008D1918" w:rsidR="00B41A6F">
        <w:rPr>
          <w:lang w:val="en-AU"/>
        </w:rPr>
        <w:t>The NDIA’s finding is based on i</w:t>
      </w:r>
      <w:r w:rsidRPr="008D1918">
        <w:rPr>
          <w:lang w:val="en-AU"/>
        </w:rPr>
        <w:t xml:space="preserve">mproved data coverage, including PHI transactions data not previously available. </w:t>
      </w:r>
    </w:p>
    <w:p w:rsidRPr="008D1918" w:rsidR="000E3523" w:rsidP="00535FD4" w:rsidRDefault="000E3523" w14:paraId="6492F05A" w14:textId="464ED6C7">
      <w:pPr>
        <w:pStyle w:val="Caption"/>
        <w:rPr>
          <w:rFonts w:eastAsia="DengXian" w:cs="Cordia New"/>
          <w:i w:val="0"/>
          <w:color w:val="6B2876" w:themeColor="accent5"/>
        </w:rPr>
      </w:pPr>
      <w:bookmarkStart w:name="_Ref223624899" w:id="1228"/>
      <w:r w:rsidRPr="008D1918">
        <w:t xml:space="preserve">Figure </w:t>
      </w:r>
      <w:r>
        <w:fldChar w:fldCharType="begin"/>
      </w:r>
      <w:r>
        <w:instrText>SEQ Figure \* ARABIC</w:instrText>
      </w:r>
      <w:r>
        <w:fldChar w:fldCharType="separate"/>
      </w:r>
      <w:r w:rsidR="008F56A2">
        <w:rPr>
          <w:noProof/>
        </w:rPr>
        <w:t>25</w:t>
      </w:r>
      <w:r>
        <w:fldChar w:fldCharType="end"/>
      </w:r>
      <w:bookmarkEnd w:id="1228"/>
      <w:r w:rsidRPr="008D1918">
        <w:rPr>
          <w:rFonts w:eastAsia="DengXian" w:cs="Cordia New"/>
          <w:color w:val="6B2876" w:themeColor="accent5"/>
        </w:rPr>
        <w:t>: MBS</w:t>
      </w:r>
      <w:r w:rsidRPr="008D1918" w:rsidR="00C6350B">
        <w:rPr>
          <w:rFonts w:eastAsia="DengXian" w:cs="Cordia New"/>
          <w:color w:val="6B2876" w:themeColor="accent5"/>
        </w:rPr>
        <w:t xml:space="preserve"> and</w:t>
      </w:r>
      <w:r w:rsidRPr="008D1918">
        <w:rPr>
          <w:rFonts w:eastAsia="DengXian" w:cs="Cordia New"/>
          <w:color w:val="6B2876" w:themeColor="accent5"/>
        </w:rPr>
        <w:t xml:space="preserve"> PHI converted hourly rates for </w:t>
      </w:r>
      <w:r w:rsidRPr="008D1918" w:rsidR="00EE4DB2">
        <w:rPr>
          <w:rFonts w:eastAsia="DengXian" w:cs="Cordia New"/>
          <w:color w:val="6B2876" w:themeColor="accent5"/>
        </w:rPr>
        <w:t xml:space="preserve">Exercise Physiologists </w:t>
      </w:r>
      <w:r w:rsidRPr="008D1918">
        <w:rPr>
          <w:rFonts w:eastAsia="DengXian" w:cs="Cordia New"/>
          <w:color w:val="6B2876" w:themeColor="accent5"/>
        </w:rPr>
        <w:t>compared to the applicable NDIS price</w:t>
      </w:r>
      <w:r w:rsidRPr="008D1918" w:rsidR="00DF0FC9">
        <w:rPr>
          <w:rFonts w:eastAsia="DengXian" w:cs="Cordia New"/>
          <w:color w:val="6B2876" w:themeColor="accent5"/>
        </w:rPr>
        <w:t>s</w:t>
      </w:r>
    </w:p>
    <w:p w:rsidRPr="008D1918" w:rsidR="000E3523" w:rsidP="00D52FA6" w:rsidRDefault="00F7692C" w14:paraId="741B8688" w14:textId="7BD761B5">
      <w:pPr>
        <w:keepNext/>
        <w:spacing w:after="0"/>
        <w:rPr>
          <w:lang w:val="en-AU"/>
        </w:rPr>
      </w:pPr>
      <w:r>
        <w:rPr>
          <w:rFonts w:cs="Arial"/>
          <w:b/>
          <w:noProof/>
          <w:sz w:val="20"/>
          <w:szCs w:val="20"/>
          <w:lang w:val="en-AU"/>
        </w:rPr>
        <w:drawing>
          <wp:inline distT="0" distB="0" distL="0" distR="0" wp14:anchorId="2BD3D9A2" wp14:editId="59A2C260">
            <wp:extent cx="5696934" cy="3641442"/>
            <wp:effectExtent l="0" t="0" r="0" b="0"/>
            <wp:docPr id="1064691322" name="Picture 5" descr="Figure 25: A column graph showing MBS and PHI converted hourly rates for exercise physiology compared to the applicable NDIS price limits.&#10;The graph shows that the NDIS price limits for exercise physiology for 2024-25 and 2025-26 are above the median for MBS and PHI. Source: MBS and PHI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91322" name="Picture 5" descr="Figure 25: A column graph showing MBS and PHI converted hourly rates for exercise physiology compared to the applicable NDIS price limits.&#10;The graph shows that the NDIS price limits for exercise physiology for 2024-25 and 2025-26 are above the median for MBS and PHI. Source: MBS and PHI data."/>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696934" cy="3641442"/>
                    </a:xfrm>
                    <a:prstGeom prst="rect">
                      <a:avLst/>
                    </a:prstGeom>
                    <a:noFill/>
                  </pic:spPr>
                </pic:pic>
              </a:graphicData>
            </a:graphic>
          </wp:inline>
        </w:drawing>
      </w:r>
    </w:p>
    <w:p w:rsidRPr="008D1918" w:rsidR="005221DD" w:rsidP="005221DD" w:rsidRDefault="005221DD" w14:paraId="14EB2B4B" w14:textId="7B3DE6F7">
      <w:pPr>
        <w:spacing w:before="120" w:after="360"/>
        <w:rPr>
          <w:rFonts w:cs="Arial"/>
          <w:b/>
          <w:sz w:val="20"/>
          <w:szCs w:val="20"/>
          <w:lang w:val="en-AU"/>
        </w:rPr>
      </w:pPr>
      <w:r w:rsidRPr="008D1918">
        <w:rPr>
          <w:rFonts w:cs="Arial"/>
          <w:b/>
          <w:sz w:val="20"/>
          <w:szCs w:val="20"/>
          <w:lang w:val="en-AU"/>
        </w:rPr>
        <w:t>Source: MBS and PHI</w:t>
      </w:r>
    </w:p>
    <w:p w:rsidRPr="008D1918" w:rsidR="000E3523" w:rsidP="00041468" w:rsidRDefault="000E3523" w14:paraId="5EFB5397" w14:textId="3853B09D">
      <w:pPr>
        <w:pStyle w:val="StyleStyle112pt"/>
      </w:pPr>
      <w:bookmarkStart w:name="_Toc223428459" w:id="1229"/>
      <w:bookmarkStart w:name="_Toc223445927" w:id="1230"/>
      <w:bookmarkStart w:name="_Toc223532342" w:id="1231"/>
      <w:bookmarkStart w:name="_Toc223538841" w:id="1232"/>
      <w:bookmarkStart w:name="_Toc223539097" w:id="1233"/>
      <w:bookmarkStart w:name="_Toc223539456" w:id="1234"/>
      <w:bookmarkStart w:name="_Toc223539705" w:id="1235"/>
      <w:bookmarkStart w:name="_Toc223541478" w:id="1236"/>
      <w:bookmarkStart w:name="_Toc223541700" w:id="1237"/>
      <w:bookmarkStart w:name="_Toc223542142" w:id="1238"/>
      <w:bookmarkStart w:name="_Toc223604328" w:id="1239"/>
      <w:bookmarkStart w:name="_Toc223604539" w:id="1240"/>
      <w:bookmarkStart w:name="_Toc223604761" w:id="1241"/>
      <w:bookmarkStart w:name="_Toc223618621" w:id="1242"/>
      <w:bookmarkStart w:name="_Toc223428460" w:id="1243"/>
      <w:bookmarkStart w:name="_Toc223445928" w:id="1244"/>
      <w:bookmarkStart w:name="_Toc223539706" w:id="1245"/>
      <w:bookmarkStart w:name="_Toc223539920" w:id="1246"/>
      <w:bookmarkStart w:name="_Toc223540388" w:id="1247"/>
      <w:bookmarkStart w:name="_Toc223540604" w:id="1248"/>
      <w:bookmarkStart w:name="_Toc223542143" w:id="1249"/>
      <w:bookmarkStart w:name="_Toc223604329" w:id="1250"/>
      <w:bookmarkStart w:name="_Toc223604540" w:id="1251"/>
      <w:bookmarkStart w:name="_Toc223604762" w:id="1252"/>
      <w:bookmarkStart w:name="_Toc223618622" w:id="1253"/>
      <w:bookmarkStart w:name="_Toc223702856" w:id="1254"/>
      <w:bookmarkStart w:name="_Toc227318748" w:id="1255"/>
      <w:bookmarkStart w:name="_Toc227337116" w:id="1256"/>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r w:rsidRPr="008D1918">
        <w:t xml:space="preserve">Orientation and </w:t>
      </w:r>
      <w:r w:rsidRPr="008D1918" w:rsidR="00400C40">
        <w:t xml:space="preserve">Mobility </w:t>
      </w:r>
      <w:bookmarkEnd w:id="1243"/>
      <w:bookmarkEnd w:id="1244"/>
      <w:bookmarkEnd w:id="1245"/>
      <w:bookmarkEnd w:id="1246"/>
      <w:bookmarkEnd w:id="1247"/>
      <w:bookmarkEnd w:id="1248"/>
      <w:bookmarkEnd w:id="1249"/>
      <w:bookmarkEnd w:id="1250"/>
      <w:bookmarkEnd w:id="1251"/>
      <w:bookmarkEnd w:id="1252"/>
      <w:bookmarkEnd w:id="1253"/>
      <w:bookmarkEnd w:id="1254"/>
      <w:r w:rsidRPr="008D1918" w:rsidR="00400C40">
        <w:t>Specialists</w:t>
      </w:r>
      <w:bookmarkEnd w:id="1255"/>
      <w:bookmarkEnd w:id="1256"/>
      <w:r w:rsidRPr="008D1918" w:rsidR="00400C40">
        <w:t xml:space="preserve"> </w:t>
      </w:r>
    </w:p>
    <w:p w:rsidRPr="008D1918" w:rsidR="000E3523" w:rsidRDefault="00890AAF" w14:paraId="481B1754" w14:textId="683D1D4E">
      <w:pPr>
        <w:rPr>
          <w:lang w:val="en-AU"/>
        </w:rPr>
      </w:pPr>
      <w:r w:rsidRPr="008D1918">
        <w:rPr>
          <w:lang w:val="en-AU"/>
        </w:rPr>
        <w:t>The r</w:t>
      </w:r>
      <w:r w:rsidRPr="008D1918" w:rsidR="000E3523">
        <w:rPr>
          <w:lang w:val="en-AU"/>
        </w:rPr>
        <w:t>egistration of O</w:t>
      </w:r>
      <w:r w:rsidRPr="008D1918" w:rsidR="006726B8">
        <w:rPr>
          <w:lang w:val="en-AU"/>
        </w:rPr>
        <w:t xml:space="preserve">rientation and </w:t>
      </w:r>
      <w:r w:rsidRPr="008D1918" w:rsidR="000E3523">
        <w:rPr>
          <w:lang w:val="en-AU"/>
        </w:rPr>
        <w:t>M</w:t>
      </w:r>
      <w:r w:rsidRPr="008D1918" w:rsidR="006726B8">
        <w:rPr>
          <w:lang w:val="en-AU"/>
        </w:rPr>
        <w:t xml:space="preserve">obility </w:t>
      </w:r>
      <w:r w:rsidRPr="008D1918" w:rsidR="000E3523">
        <w:rPr>
          <w:lang w:val="en-AU"/>
        </w:rPr>
        <w:t>S</w:t>
      </w:r>
      <w:r w:rsidRPr="008D1918" w:rsidR="006726B8">
        <w:rPr>
          <w:lang w:val="en-AU"/>
        </w:rPr>
        <w:t>pecialists (OMS)</w:t>
      </w:r>
      <w:r w:rsidRPr="008D1918" w:rsidR="000E3523">
        <w:rPr>
          <w:lang w:val="en-AU"/>
        </w:rPr>
        <w:t xml:space="preserve"> was recognised by the NDIS </w:t>
      </w:r>
      <w:r w:rsidRPr="008D1918" w:rsidR="10CE6592">
        <w:rPr>
          <w:lang w:val="en-AU"/>
        </w:rPr>
        <w:t xml:space="preserve">Commission </w:t>
      </w:r>
      <w:r w:rsidRPr="008D1918" w:rsidR="000E3523">
        <w:rPr>
          <w:lang w:val="en-AU"/>
        </w:rPr>
        <w:t>in March 2025, but NDIS services have continued to be claimed under the residual ‘Other Professionals’ category</w:t>
      </w:r>
      <w:r w:rsidRPr="008D1918" w:rsidR="0086135B">
        <w:rPr>
          <w:lang w:val="en-AU"/>
        </w:rPr>
        <w:t>.</w:t>
      </w:r>
      <w:r w:rsidRPr="008D1918" w:rsidR="000E3523">
        <w:rPr>
          <w:lang w:val="en-AU"/>
        </w:rPr>
        <w:t xml:space="preserve"> </w:t>
      </w:r>
      <w:r w:rsidRPr="008D1918" w:rsidR="00DF0FC9">
        <w:rPr>
          <w:lang w:val="en-AU"/>
        </w:rPr>
        <w:t>The i</w:t>
      </w:r>
      <w:r w:rsidRPr="008D1918" w:rsidR="000E3523">
        <w:rPr>
          <w:lang w:val="en-AU"/>
        </w:rPr>
        <w:t>ntroduc</w:t>
      </w:r>
      <w:r w:rsidRPr="008D1918" w:rsidR="00DF0FC9">
        <w:rPr>
          <w:lang w:val="en-AU"/>
        </w:rPr>
        <w:t>tion of</w:t>
      </w:r>
      <w:r w:rsidRPr="008D1918" w:rsidR="000E3523">
        <w:rPr>
          <w:lang w:val="en-AU"/>
        </w:rPr>
        <w:t xml:space="preserve"> dedicated OMS support line items w</w:t>
      </w:r>
      <w:r w:rsidRPr="008D1918" w:rsidR="00DF0FC9">
        <w:rPr>
          <w:lang w:val="en-AU"/>
        </w:rPr>
        <w:t>ould</w:t>
      </w:r>
      <w:r w:rsidRPr="008D1918" w:rsidR="000E3523">
        <w:rPr>
          <w:lang w:val="en-AU"/>
        </w:rPr>
        <w:t xml:space="preserve"> improve claiming accuracy</w:t>
      </w:r>
      <w:r w:rsidRPr="008D1918" w:rsidR="00A074E9">
        <w:rPr>
          <w:lang w:val="en-AU"/>
        </w:rPr>
        <w:t>.</w:t>
      </w:r>
      <w:r w:rsidRPr="008D1918" w:rsidR="008565A5">
        <w:rPr>
          <w:lang w:val="en-AU"/>
        </w:rPr>
        <w:t xml:space="preserve"> </w:t>
      </w:r>
      <w:r w:rsidRPr="008D1918" w:rsidR="000E3523">
        <w:rPr>
          <w:lang w:val="en-AU"/>
        </w:rPr>
        <w:t>Evidence to support alignment with higher‑priced allied health disciplines is limited, with only a small number of comparable government schemes providing relevant pricing information. The available evidence from these schemes indicates materially lower pricing.</w:t>
      </w:r>
    </w:p>
    <w:p w:rsidRPr="008D1918" w:rsidR="000E3523" w:rsidRDefault="00D52FA6" w14:paraId="525ABE3E" w14:textId="1C895FD6">
      <w:pPr>
        <w:rPr>
          <w:lang w:val="en-AU"/>
        </w:rPr>
      </w:pPr>
      <w:r w:rsidRPr="008D1918">
        <w:rPr>
          <w:lang w:val="en-AU"/>
        </w:rPr>
        <w:t>The</w:t>
      </w:r>
      <w:r w:rsidRPr="008D1918" w:rsidR="000E3523">
        <w:rPr>
          <w:lang w:val="en-AU"/>
        </w:rPr>
        <w:t xml:space="preserve"> </w:t>
      </w:r>
      <w:r w:rsidRPr="008D1918" w:rsidR="00185DA9">
        <w:rPr>
          <w:lang w:val="en-AU"/>
        </w:rPr>
        <w:t xml:space="preserve">NDIA </w:t>
      </w:r>
      <w:r w:rsidRPr="008D1918" w:rsidR="00DF0FC9">
        <w:rPr>
          <w:lang w:val="en-AU"/>
        </w:rPr>
        <w:t>recommends</w:t>
      </w:r>
      <w:r w:rsidRPr="008D1918" w:rsidR="000E3523">
        <w:rPr>
          <w:lang w:val="en-AU"/>
        </w:rPr>
        <w:t xml:space="preserve"> aligning OMS price</w:t>
      </w:r>
      <w:r w:rsidRPr="008D1918" w:rsidR="00C675FD">
        <w:rPr>
          <w:lang w:val="en-AU"/>
        </w:rPr>
        <w:t>s</w:t>
      </w:r>
      <w:r w:rsidRPr="008D1918" w:rsidR="000E3523">
        <w:rPr>
          <w:lang w:val="en-AU"/>
        </w:rPr>
        <w:t xml:space="preserve"> with counselling supports, reflecting comparable sc</w:t>
      </w:r>
      <w:r w:rsidRPr="00CC4527" w:rsidR="000E3523">
        <w:rPr>
          <w:lang w:val="en-AU"/>
        </w:rPr>
        <w:t xml:space="preserve">ope and market positioning. </w:t>
      </w:r>
      <w:r w:rsidRPr="00CC4527" w:rsidR="00581317">
        <w:rPr>
          <w:lang w:val="en-AU"/>
        </w:rPr>
        <w:t>The evidence supports a</w:t>
      </w:r>
      <w:r w:rsidRPr="00CC4527" w:rsidR="000E3523">
        <w:rPr>
          <w:lang w:val="en-AU"/>
        </w:rPr>
        <w:t xml:space="preserve"> </w:t>
      </w:r>
      <w:r w:rsidRPr="00CC4527" w:rsidR="00DF0FC9">
        <w:rPr>
          <w:lang w:val="en-AU"/>
        </w:rPr>
        <w:t xml:space="preserve">recommended </w:t>
      </w:r>
      <w:r w:rsidRPr="00CC4527" w:rsidR="000E3523">
        <w:rPr>
          <w:lang w:val="en-AU"/>
        </w:rPr>
        <w:t xml:space="preserve">national hourly </w:t>
      </w:r>
      <w:r w:rsidRPr="00CC4527" w:rsidR="00DF2C7F">
        <w:rPr>
          <w:lang w:val="en-AU"/>
        </w:rPr>
        <w:t xml:space="preserve">maximum </w:t>
      </w:r>
      <w:r w:rsidRPr="00CC4527" w:rsidR="000E3523">
        <w:rPr>
          <w:lang w:val="en-AU"/>
        </w:rPr>
        <w:t>price</w:t>
      </w:r>
      <w:r w:rsidRPr="008D1918" w:rsidR="000E3523">
        <w:rPr>
          <w:lang w:val="en-AU"/>
        </w:rPr>
        <w:t xml:space="preserve"> of $156.16</w:t>
      </w:r>
      <w:r w:rsidRPr="008D1918" w:rsidR="00BF083E">
        <w:rPr>
          <w:lang w:val="en-AU"/>
        </w:rPr>
        <w:t xml:space="preserve"> </w:t>
      </w:r>
      <w:r w:rsidRPr="008D1918" w:rsidR="000E3523">
        <w:rPr>
          <w:lang w:val="en-AU"/>
        </w:rPr>
        <w:t>with applicable remote loadings</w:t>
      </w:r>
      <w:r w:rsidRPr="008D1918" w:rsidR="004B553C">
        <w:rPr>
          <w:lang w:val="en-AU"/>
        </w:rPr>
        <w:t xml:space="preserve"> to be implemented </w:t>
      </w:r>
      <w:r w:rsidRPr="008D1918" w:rsidR="000E3523">
        <w:rPr>
          <w:lang w:val="en-AU"/>
        </w:rPr>
        <w:t>from 1 July 2026.</w:t>
      </w:r>
    </w:p>
    <w:p w:rsidRPr="008D1918" w:rsidR="000E3523" w:rsidP="00041468" w:rsidRDefault="000E3523" w14:paraId="7E412A5C" w14:textId="39B4C184">
      <w:pPr>
        <w:pStyle w:val="StyleStyle112pt"/>
      </w:pPr>
      <w:bookmarkStart w:name="_Toc223428461" w:id="1257"/>
      <w:bookmarkStart w:name="_Toc223445929" w:id="1258"/>
      <w:bookmarkStart w:name="_Toc223539707" w:id="1259"/>
      <w:bookmarkStart w:name="_Toc223539921" w:id="1260"/>
      <w:bookmarkStart w:name="_Toc223540389" w:id="1261"/>
      <w:bookmarkStart w:name="_Toc223540605" w:id="1262"/>
      <w:bookmarkStart w:name="_Toc223542144" w:id="1263"/>
      <w:bookmarkStart w:name="_Toc223604330" w:id="1264"/>
      <w:bookmarkStart w:name="_Toc223604541" w:id="1265"/>
      <w:bookmarkStart w:name="_Toc223604763" w:id="1266"/>
      <w:bookmarkStart w:name="_Toc223618623" w:id="1267"/>
      <w:bookmarkStart w:name="_Toc223702857" w:id="1268"/>
      <w:bookmarkStart w:name="_Toc227318749" w:id="1269"/>
      <w:bookmarkStart w:name="_Toc227337117" w:id="1270"/>
      <w:r w:rsidRPr="008D1918">
        <w:t xml:space="preserve">Other </w:t>
      </w:r>
      <w:bookmarkEnd w:id="1257"/>
      <w:bookmarkEnd w:id="1258"/>
      <w:bookmarkEnd w:id="1259"/>
      <w:bookmarkEnd w:id="1260"/>
      <w:bookmarkEnd w:id="1261"/>
      <w:bookmarkEnd w:id="1262"/>
      <w:bookmarkEnd w:id="1263"/>
      <w:bookmarkEnd w:id="1264"/>
      <w:bookmarkEnd w:id="1265"/>
      <w:bookmarkEnd w:id="1266"/>
      <w:bookmarkEnd w:id="1267"/>
      <w:bookmarkEnd w:id="1268"/>
      <w:r w:rsidRPr="008D1918" w:rsidR="004725D9">
        <w:t>therapists</w:t>
      </w:r>
      <w:bookmarkEnd w:id="1269"/>
      <w:bookmarkEnd w:id="1270"/>
    </w:p>
    <w:p w:rsidRPr="008D1918" w:rsidR="000E3523" w:rsidRDefault="000E3523" w14:paraId="09A0D954" w14:textId="477C26DE">
      <w:pPr>
        <w:rPr>
          <w:lang w:val="en-AU"/>
        </w:rPr>
      </w:pPr>
      <w:r w:rsidRPr="008D1918">
        <w:rPr>
          <w:lang w:val="en-AU"/>
        </w:rPr>
        <w:t xml:space="preserve">Occupational </w:t>
      </w:r>
      <w:r w:rsidRPr="008D1918" w:rsidR="004725D9">
        <w:rPr>
          <w:lang w:val="en-AU"/>
        </w:rPr>
        <w:t>Therapists</w:t>
      </w:r>
      <w:r w:rsidRPr="008D1918" w:rsidDel="00865547">
        <w:rPr>
          <w:lang w:val="en-AU"/>
        </w:rPr>
        <w:t xml:space="preserve">, </w:t>
      </w:r>
      <w:r w:rsidRPr="008D1918" w:rsidR="004725D9">
        <w:rPr>
          <w:lang w:val="en-AU"/>
        </w:rPr>
        <w:t>S</w:t>
      </w:r>
      <w:r w:rsidRPr="008D1918" w:rsidDel="00865547" w:rsidR="004725D9">
        <w:rPr>
          <w:lang w:val="en-AU"/>
        </w:rPr>
        <w:t xml:space="preserve">peech </w:t>
      </w:r>
      <w:r w:rsidRPr="008D1918" w:rsidR="004725D9">
        <w:rPr>
          <w:lang w:val="en-AU"/>
        </w:rPr>
        <w:t>P</w:t>
      </w:r>
      <w:r w:rsidRPr="008D1918" w:rsidDel="00865547" w:rsidR="004725D9">
        <w:rPr>
          <w:lang w:val="en-AU"/>
        </w:rPr>
        <w:t>atholog</w:t>
      </w:r>
      <w:r w:rsidRPr="008D1918" w:rsidR="004725D9">
        <w:rPr>
          <w:lang w:val="en-AU"/>
        </w:rPr>
        <w:t>ists</w:t>
      </w:r>
      <w:r w:rsidRPr="008D1918" w:rsidDel="00865547">
        <w:rPr>
          <w:lang w:val="en-AU"/>
        </w:rPr>
        <w:t xml:space="preserve">, </w:t>
      </w:r>
      <w:r w:rsidRPr="008D1918" w:rsidR="004725D9">
        <w:rPr>
          <w:lang w:val="en-AU"/>
        </w:rPr>
        <w:t>P</w:t>
      </w:r>
      <w:r w:rsidRPr="008D1918" w:rsidDel="00865547" w:rsidR="004725D9">
        <w:rPr>
          <w:lang w:val="en-AU"/>
        </w:rPr>
        <w:t>odiatr</w:t>
      </w:r>
      <w:r w:rsidRPr="008D1918" w:rsidR="004725D9">
        <w:rPr>
          <w:lang w:val="en-AU"/>
        </w:rPr>
        <w:t xml:space="preserve">ists </w:t>
      </w:r>
      <w:r w:rsidRPr="008D1918" w:rsidDel="00865547">
        <w:rPr>
          <w:lang w:val="en-AU"/>
        </w:rPr>
        <w:t xml:space="preserve">and </w:t>
      </w:r>
      <w:r w:rsidRPr="008D1918" w:rsidR="004725D9">
        <w:rPr>
          <w:lang w:val="en-AU"/>
        </w:rPr>
        <w:t>A</w:t>
      </w:r>
      <w:r w:rsidRPr="008D1918" w:rsidDel="00865547" w:rsidR="004725D9">
        <w:rPr>
          <w:lang w:val="en-AU"/>
        </w:rPr>
        <w:t>udiolog</w:t>
      </w:r>
      <w:r w:rsidRPr="008D1918" w:rsidR="004725D9">
        <w:rPr>
          <w:lang w:val="en-AU"/>
        </w:rPr>
        <w:t>ists</w:t>
      </w:r>
      <w:r w:rsidRPr="008D1918" w:rsidDel="00865547" w:rsidR="004725D9">
        <w:rPr>
          <w:lang w:val="en-AU"/>
        </w:rPr>
        <w:t xml:space="preserve"> </w:t>
      </w:r>
      <w:r w:rsidRPr="008D1918" w:rsidDel="00865547">
        <w:rPr>
          <w:lang w:val="en-AU"/>
        </w:rPr>
        <w:t xml:space="preserve">were included in the benchmarking analysis. </w:t>
      </w:r>
      <w:r w:rsidRPr="008D1918">
        <w:rPr>
          <w:lang w:val="en-AU"/>
        </w:rPr>
        <w:t xml:space="preserve">It found </w:t>
      </w:r>
      <w:r w:rsidRPr="008D1918" w:rsidR="00DF2C7F">
        <w:rPr>
          <w:lang w:val="en-AU"/>
        </w:rPr>
        <w:t xml:space="preserve">NDIS </w:t>
      </w:r>
      <w:r w:rsidRPr="008D1918" w:rsidR="00D20BAA">
        <w:rPr>
          <w:lang w:val="en-AU"/>
        </w:rPr>
        <w:t>prices for</w:t>
      </w:r>
      <w:r w:rsidRPr="008D1918">
        <w:rPr>
          <w:lang w:val="en-AU"/>
        </w:rPr>
        <w:t xml:space="preserve"> these </w:t>
      </w:r>
      <w:r w:rsidRPr="008D1918" w:rsidR="004725D9">
        <w:rPr>
          <w:lang w:val="en-AU"/>
        </w:rPr>
        <w:t xml:space="preserve">professionals </w:t>
      </w:r>
      <w:r w:rsidRPr="008D1918">
        <w:rPr>
          <w:lang w:val="en-AU"/>
        </w:rPr>
        <w:t xml:space="preserve">fall within or close to the </w:t>
      </w:r>
      <w:r w:rsidRPr="008D1918" w:rsidR="00DE38FC">
        <w:rPr>
          <w:lang w:val="en-AU"/>
        </w:rPr>
        <w:t>reference range</w:t>
      </w:r>
      <w:r w:rsidRPr="008D1918" w:rsidR="002176E5">
        <w:rPr>
          <w:lang w:val="en-AU"/>
        </w:rPr>
        <w:t xml:space="preserve"> and no adjustments are recommended. </w:t>
      </w:r>
      <w:r w:rsidRPr="008D1918">
        <w:rPr>
          <w:lang w:val="en-AU"/>
        </w:rPr>
        <w:t xml:space="preserve">Speech </w:t>
      </w:r>
      <w:r w:rsidRPr="008D1918" w:rsidR="004725D9">
        <w:rPr>
          <w:lang w:val="en-AU"/>
        </w:rPr>
        <w:t>Pathologists</w:t>
      </w:r>
      <w:r w:rsidRPr="008D1918">
        <w:rPr>
          <w:lang w:val="en-AU"/>
        </w:rPr>
        <w:t xml:space="preserve"> ($193.99 per hour) shows close alignment with observed market rates</w:t>
      </w:r>
      <w:r w:rsidRPr="008D1918" w:rsidR="00E96DFA">
        <w:rPr>
          <w:lang w:val="en-AU"/>
        </w:rPr>
        <w:t>.</w:t>
      </w:r>
      <w:r w:rsidRPr="008D1918">
        <w:rPr>
          <w:lang w:val="en-AU"/>
        </w:rPr>
        <w:t xml:space="preserve"> Occupational </w:t>
      </w:r>
      <w:r w:rsidRPr="008D1918" w:rsidR="006403D9">
        <w:rPr>
          <w:lang w:val="en-AU"/>
        </w:rPr>
        <w:t>Therapists</w:t>
      </w:r>
      <w:r w:rsidRPr="008D1918">
        <w:rPr>
          <w:lang w:val="en-AU"/>
        </w:rPr>
        <w:t xml:space="preserve"> ($193.99 per hour) presents mixed signals: </w:t>
      </w:r>
      <w:r w:rsidRPr="008D1918">
        <w:rPr>
          <w:lang w:val="en-AU"/>
        </w:rPr>
        <w:t>above the PHI 75th percentile, below the MBS 75th percentile</w:t>
      </w:r>
      <w:r w:rsidRPr="008D1918" w:rsidR="00E96DFA">
        <w:rPr>
          <w:lang w:val="en-AU"/>
        </w:rPr>
        <w:t>, but</w:t>
      </w:r>
      <w:r w:rsidRPr="008D1918">
        <w:rPr>
          <w:lang w:val="en-AU"/>
        </w:rPr>
        <w:t xml:space="preserve"> falls within a reasonable range</w:t>
      </w:r>
      <w:r w:rsidRPr="008D1918" w:rsidR="00E96DFA">
        <w:rPr>
          <w:lang w:val="en-AU"/>
        </w:rPr>
        <w:t xml:space="preserve"> given </w:t>
      </w:r>
      <w:r w:rsidR="00B34648">
        <w:rPr>
          <w:lang w:val="en-AU"/>
        </w:rPr>
        <w:t xml:space="preserve">the </w:t>
      </w:r>
      <w:r w:rsidRPr="008D1918" w:rsidR="00E96DFA">
        <w:rPr>
          <w:lang w:val="en-AU"/>
        </w:rPr>
        <w:t>robust sample size</w:t>
      </w:r>
      <w:r w:rsidRPr="008D1918">
        <w:rPr>
          <w:lang w:val="en-AU"/>
        </w:rPr>
        <w:t xml:space="preserve">. </w:t>
      </w:r>
      <w:r w:rsidRPr="008D1918" w:rsidR="006403D9">
        <w:rPr>
          <w:lang w:val="en-AU"/>
        </w:rPr>
        <w:t>Audiologists</w:t>
      </w:r>
      <w:r w:rsidRPr="008D1918">
        <w:rPr>
          <w:lang w:val="en-AU"/>
        </w:rPr>
        <w:t xml:space="preserve"> ($193.99) produced</w:t>
      </w:r>
      <w:r w:rsidR="00B34648">
        <w:rPr>
          <w:lang w:val="en-AU"/>
        </w:rPr>
        <w:t xml:space="preserve"> </w:t>
      </w:r>
      <w:r w:rsidRPr="008D1918">
        <w:rPr>
          <w:lang w:val="en-AU"/>
        </w:rPr>
        <w:t>mixed result</w:t>
      </w:r>
      <w:r w:rsidR="00EF6F16">
        <w:rPr>
          <w:lang w:val="en-AU"/>
        </w:rPr>
        <w:t>s</w:t>
      </w:r>
      <w:r w:rsidRPr="008D1918">
        <w:rPr>
          <w:lang w:val="en-AU"/>
        </w:rPr>
        <w:t xml:space="preserve"> with limited observations</w:t>
      </w:r>
      <w:r w:rsidRPr="008D1918" w:rsidR="008D03A1">
        <w:rPr>
          <w:lang w:val="en-AU"/>
        </w:rPr>
        <w:t xml:space="preserve"> </w:t>
      </w:r>
      <w:r w:rsidRPr="008D1918" w:rsidR="009E4E5B">
        <w:rPr>
          <w:lang w:val="en-AU"/>
        </w:rPr>
        <w:t xml:space="preserve">and does not </w:t>
      </w:r>
      <w:r w:rsidRPr="008D1918">
        <w:rPr>
          <w:lang w:val="en-AU"/>
        </w:rPr>
        <w:t>support an adjustment</w:t>
      </w:r>
      <w:r w:rsidRPr="008D1918" w:rsidR="00732AFC">
        <w:rPr>
          <w:lang w:val="en-AU"/>
        </w:rPr>
        <w:t xml:space="preserve">. </w:t>
      </w:r>
      <w:r w:rsidRPr="008D1918" w:rsidR="006403D9">
        <w:rPr>
          <w:lang w:val="en-AU"/>
        </w:rPr>
        <w:t xml:space="preserve">Podiatrists </w:t>
      </w:r>
      <w:r w:rsidRPr="008D1918">
        <w:rPr>
          <w:lang w:val="en-AU"/>
        </w:rPr>
        <w:t xml:space="preserve">($188.99) exceed the 75th percentile but sit closer to PHI rates. The current </w:t>
      </w:r>
      <w:r w:rsidRPr="008D1918" w:rsidR="00DF2C7F">
        <w:rPr>
          <w:lang w:val="en-AU"/>
        </w:rPr>
        <w:t>NDIS price</w:t>
      </w:r>
      <w:r w:rsidRPr="008D1918">
        <w:rPr>
          <w:lang w:val="en-AU"/>
        </w:rPr>
        <w:t xml:space="preserve"> remains within an acceptable range.</w:t>
      </w:r>
    </w:p>
    <w:p w:rsidRPr="008D1918" w:rsidR="000E3523" w:rsidRDefault="00C03857" w14:paraId="7ABE1DCA" w14:textId="79964BA3">
      <w:pPr>
        <w:rPr>
          <w:lang w:val="en-AU"/>
        </w:rPr>
      </w:pPr>
      <w:r w:rsidRPr="008D1918">
        <w:rPr>
          <w:lang w:val="en-AU"/>
        </w:rPr>
        <w:fldChar w:fldCharType="begin"/>
      </w:r>
      <w:r w:rsidRPr="008D1918">
        <w:rPr>
          <w:lang w:val="en-AU"/>
        </w:rPr>
        <w:instrText xml:space="preserve"> REF _Ref223624999 \h </w:instrText>
      </w:r>
      <w:r w:rsidRPr="008D1918" w:rsidR="00762DF8">
        <w:rPr>
          <w:lang w:val="en-AU"/>
        </w:rPr>
        <w:instrText xml:space="preserve"> \* MERGEFORMAT </w:instrText>
      </w:r>
      <w:r w:rsidRPr="008D1918">
        <w:rPr>
          <w:lang w:val="en-AU"/>
        </w:rPr>
      </w:r>
      <w:r w:rsidRPr="008D1918">
        <w:rPr>
          <w:lang w:val="en-AU"/>
        </w:rPr>
        <w:fldChar w:fldCharType="separate"/>
      </w:r>
      <w:r w:rsidRPr="008F56A2" w:rsidR="008F56A2">
        <w:rPr>
          <w:lang w:val="en-AU"/>
        </w:rPr>
        <w:t>Figure 26</w:t>
      </w:r>
      <w:r w:rsidRPr="008D1918">
        <w:rPr>
          <w:lang w:val="en-AU"/>
        </w:rPr>
        <w:fldChar w:fldCharType="end"/>
      </w:r>
      <w:r w:rsidRPr="008D1918" w:rsidR="003835DD">
        <w:rPr>
          <w:lang w:val="en-AU"/>
        </w:rPr>
        <w:t xml:space="preserve"> presents </w:t>
      </w:r>
      <w:r w:rsidRPr="008D1918" w:rsidR="00742E7E">
        <w:rPr>
          <w:lang w:val="en-AU"/>
        </w:rPr>
        <w:t xml:space="preserve">the </w:t>
      </w:r>
      <w:r w:rsidRPr="008D1918" w:rsidR="006928F6">
        <w:rPr>
          <w:lang w:val="en-AU"/>
        </w:rPr>
        <w:t>professionals</w:t>
      </w:r>
      <w:r w:rsidRPr="008D1918" w:rsidR="00742E7E">
        <w:rPr>
          <w:lang w:val="en-AU"/>
        </w:rPr>
        <w:t xml:space="preserve"> where n</w:t>
      </w:r>
      <w:r w:rsidRPr="008D1918" w:rsidR="000E3523">
        <w:rPr>
          <w:lang w:val="en-AU"/>
        </w:rPr>
        <w:t xml:space="preserve">o price adjustments are recommended. </w:t>
      </w:r>
    </w:p>
    <w:p w:rsidRPr="008D1918" w:rsidR="002C63DF" w:rsidP="00C03857" w:rsidRDefault="002C63DF" w14:paraId="216CFFA4" w14:textId="0B127DD2">
      <w:pPr>
        <w:pStyle w:val="Caption"/>
        <w:rPr>
          <w:rFonts w:eastAsia="DengXian" w:cs="Cordia New"/>
          <w:color w:val="6B2876" w:themeColor="accent5"/>
        </w:rPr>
      </w:pPr>
      <w:bookmarkStart w:name="_Ref223624999" w:id="1271"/>
      <w:r w:rsidRPr="008D1918">
        <w:t>Figure</w:t>
      </w:r>
      <w:r w:rsidRPr="008D1918" w:rsidR="00A45A76">
        <w:t xml:space="preserve"> </w:t>
      </w:r>
      <w:r>
        <w:fldChar w:fldCharType="begin"/>
      </w:r>
      <w:r>
        <w:instrText>SEQ Figure \* ARABIC</w:instrText>
      </w:r>
      <w:r>
        <w:fldChar w:fldCharType="separate"/>
      </w:r>
      <w:r w:rsidR="008F56A2">
        <w:rPr>
          <w:noProof/>
        </w:rPr>
        <w:t>26</w:t>
      </w:r>
      <w:r>
        <w:fldChar w:fldCharType="end"/>
      </w:r>
      <w:bookmarkEnd w:id="1271"/>
      <w:r w:rsidRPr="008D1918" w:rsidR="0089293F">
        <w:rPr>
          <w:rFonts w:eastAsia="DengXian" w:cs="Cordia New"/>
          <w:color w:val="6B2876" w:themeColor="accent5"/>
        </w:rPr>
        <w:t xml:space="preserve">: </w:t>
      </w:r>
      <w:r w:rsidRPr="008D1918" w:rsidR="006928F6">
        <w:rPr>
          <w:rFonts w:eastAsia="DengXian" w:cs="Cordia New"/>
          <w:color w:val="6B2876" w:themeColor="accent5"/>
        </w:rPr>
        <w:t>Professionals</w:t>
      </w:r>
      <w:r w:rsidRPr="008D1918" w:rsidR="00947228">
        <w:rPr>
          <w:rFonts w:eastAsia="DengXian" w:cs="Cordia New"/>
          <w:color w:val="6B2876" w:themeColor="accent5"/>
        </w:rPr>
        <w:t xml:space="preserve"> with no recommended changes to price</w:t>
      </w:r>
      <w:r w:rsidRPr="008D1918" w:rsidR="0024681E">
        <w:rPr>
          <w:rFonts w:eastAsia="DengXian" w:cs="Cordia New"/>
          <w:color w:val="6B2876" w:themeColor="accent5"/>
        </w:rPr>
        <w:t>s</w:t>
      </w:r>
      <w:r w:rsidRPr="008D1918" w:rsidR="00FA61DE">
        <w:rPr>
          <w:rFonts w:eastAsia="DengXian" w:cs="Cordia New"/>
          <w:color w:val="6B2876" w:themeColor="accent5"/>
        </w:rPr>
        <w:t xml:space="preserve"> for</w:t>
      </w:r>
      <w:r w:rsidRPr="008D1918" w:rsidR="007E526A">
        <w:rPr>
          <w:rFonts w:eastAsia="DengXian" w:cs="Cordia New"/>
          <w:color w:val="6B2876" w:themeColor="accent5"/>
        </w:rPr>
        <w:t xml:space="preserve"> 2025</w:t>
      </w:r>
      <w:r w:rsidRPr="008D1918" w:rsidR="009A6B4E">
        <w:rPr>
          <w:rFonts w:eastAsia="DengXian" w:cs="Cordia New"/>
          <w:color w:val="6B2876" w:themeColor="accent5"/>
        </w:rPr>
        <w:t>–</w:t>
      </w:r>
      <w:r w:rsidRPr="008D1918" w:rsidR="007E526A">
        <w:rPr>
          <w:rFonts w:eastAsia="DengXian" w:cs="Cordia New"/>
          <w:color w:val="6B2876" w:themeColor="accent5"/>
        </w:rPr>
        <w:t xml:space="preserve">26 </w:t>
      </w:r>
    </w:p>
    <w:p w:rsidRPr="008D1918" w:rsidR="002D35A5" w:rsidP="00F6096E" w:rsidRDefault="00F6096E" w14:paraId="618F68E9" w14:textId="35FB1BD4">
      <w:pPr>
        <w:rPr>
          <w:lang w:val="en-AU"/>
        </w:rPr>
      </w:pPr>
      <w:r>
        <w:rPr>
          <w:noProof/>
          <w:lang w:val="en-AU"/>
        </w:rPr>
        <w:drawing>
          <wp:inline distT="0" distB="0" distL="0" distR="0" wp14:anchorId="0470AEC8" wp14:editId="1D5EA4BE">
            <wp:extent cx="5868000" cy="2761759"/>
            <wp:effectExtent l="0" t="0" r="0" b="635"/>
            <wp:docPr id="2076756471" name="Picture 10" descr="Figure 26: A column chart showing the interquartile range of converted hourly rates charged for selected therapy modalities that do not have a recommendation for a change to their price limits in this Annual Pricing Review. The therapy modalities on this chart include speech pathology, occupational therapy, audiology, podiatry, physiotherapy and counselling. The interquartile price ranges for each modality have a horizontal purple dashed line showing the position of the NDIS price limit in relation to the interquartile price range. For each modality, there are two or three columns representing the interquartile price ranges of transactions conducted in the Medicare Benefits Scheme and for up to two de-identified private health insurers. All therapy modalities in this chart do not show a material gap between its NDIS price limit and the representative market prices paid in various sch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756471" name="Picture 10" descr="Figure 26: A column chart showing the interquartile range of converted hourly rates charged for selected therapy modalities that do not have a recommendation for a change to their price limits in this Annual Pricing Review. The therapy modalities on this chart include speech pathology, occupational therapy, audiology, podiatry, physiotherapy and counselling. The interquartile price ranges for each modality have a horizontal purple dashed line showing the position of the NDIS price limit in relation to the interquartile price range. For each modality, there are two or three columns representing the interquartile price ranges of transactions conducted in the Medicare Benefits Scheme and for up to two de-identified private health insurers. All therapy modalities in this chart do not show a material gap between its NDIS price limit and the representative market prices paid in various schemes."/>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868000" cy="2761759"/>
                    </a:xfrm>
                    <a:prstGeom prst="rect">
                      <a:avLst/>
                    </a:prstGeom>
                    <a:noFill/>
                  </pic:spPr>
                </pic:pic>
              </a:graphicData>
            </a:graphic>
          </wp:inline>
        </w:drawing>
      </w:r>
    </w:p>
    <w:p w:rsidRPr="008D1918" w:rsidR="00EC7DD0" w:rsidP="00EC7DD0" w:rsidRDefault="00EC7DD0" w14:paraId="020A1A16" w14:textId="1F2517FC">
      <w:pPr>
        <w:spacing w:before="120" w:after="360"/>
        <w:rPr>
          <w:rFonts w:cs="Arial"/>
          <w:b/>
          <w:sz w:val="20"/>
          <w:szCs w:val="20"/>
          <w:lang w:val="en-AU"/>
        </w:rPr>
      </w:pPr>
      <w:r w:rsidRPr="008D1918">
        <w:rPr>
          <w:rFonts w:cs="Arial"/>
          <w:b/>
          <w:sz w:val="20"/>
          <w:szCs w:val="20"/>
          <w:lang w:val="en-AU"/>
        </w:rPr>
        <w:t xml:space="preserve">Source: </w:t>
      </w:r>
      <w:r w:rsidRPr="008D1918" w:rsidR="4B79982A">
        <w:rPr>
          <w:rFonts w:cs="Arial"/>
          <w:b/>
          <w:bCs/>
          <w:sz w:val="20"/>
          <w:szCs w:val="20"/>
          <w:lang w:val="en-AU"/>
        </w:rPr>
        <w:t>MBS and PHI</w:t>
      </w:r>
      <w:r w:rsidRPr="008D1918">
        <w:rPr>
          <w:rFonts w:cs="Arial"/>
          <w:b/>
          <w:bCs/>
          <w:sz w:val="20"/>
          <w:szCs w:val="20"/>
          <w:lang w:val="en-AU"/>
        </w:rPr>
        <w:t xml:space="preserve"> </w:t>
      </w:r>
      <w:r w:rsidRPr="008D1918" w:rsidR="00082C64">
        <w:rPr>
          <w:rFonts w:cs="Arial"/>
          <w:b/>
          <w:bCs/>
          <w:sz w:val="20"/>
          <w:szCs w:val="20"/>
          <w:lang w:val="en-AU"/>
        </w:rPr>
        <w:t>data</w:t>
      </w:r>
    </w:p>
    <w:p w:rsidRPr="008D1918" w:rsidR="000E3523" w:rsidP="00041468" w:rsidRDefault="000E3523" w14:paraId="6A89CA03" w14:textId="76167B6A">
      <w:pPr>
        <w:pStyle w:val="StyleStyle112pt"/>
      </w:pPr>
      <w:bookmarkStart w:name="_Toc223428462" w:id="1272"/>
      <w:bookmarkStart w:name="_Toc223445930" w:id="1273"/>
      <w:bookmarkStart w:name="_Toc223539708" w:id="1274"/>
      <w:bookmarkStart w:name="_Toc223539922" w:id="1275"/>
      <w:bookmarkStart w:name="_Toc223540390" w:id="1276"/>
      <w:bookmarkStart w:name="_Toc223540606" w:id="1277"/>
      <w:bookmarkStart w:name="_Toc223542145" w:id="1278"/>
      <w:bookmarkStart w:name="_Toc223604331" w:id="1279"/>
      <w:bookmarkStart w:name="_Toc223604542" w:id="1280"/>
      <w:bookmarkStart w:name="_Toc223604764" w:id="1281"/>
      <w:bookmarkStart w:name="_Toc223618624" w:id="1282"/>
      <w:bookmarkStart w:name="_Toc223702858" w:id="1283"/>
      <w:bookmarkStart w:name="_Toc227318750" w:id="1284"/>
      <w:bookmarkStart w:name="_Toc227337118" w:id="1285"/>
      <w:r w:rsidRPr="008D1918">
        <w:t xml:space="preserve">Other </w:t>
      </w:r>
      <w:bookmarkEnd w:id="1272"/>
      <w:bookmarkEnd w:id="1273"/>
      <w:bookmarkEnd w:id="1274"/>
      <w:bookmarkEnd w:id="1275"/>
      <w:bookmarkEnd w:id="1276"/>
      <w:bookmarkEnd w:id="1277"/>
      <w:bookmarkEnd w:id="1278"/>
      <w:bookmarkEnd w:id="1279"/>
      <w:bookmarkEnd w:id="1280"/>
      <w:bookmarkEnd w:id="1281"/>
      <w:bookmarkEnd w:id="1282"/>
      <w:bookmarkEnd w:id="1283"/>
      <w:r w:rsidRPr="008D1918" w:rsidR="004B553C">
        <w:t>Professionals</w:t>
      </w:r>
      <w:bookmarkEnd w:id="1284"/>
      <w:bookmarkEnd w:id="1285"/>
    </w:p>
    <w:p w:rsidRPr="008D1918" w:rsidR="000E3523" w:rsidRDefault="008C2B6B" w14:paraId="27602974" w14:textId="5F71A805">
      <w:pPr>
        <w:rPr>
          <w:lang w:val="en-AU"/>
        </w:rPr>
      </w:pPr>
      <w:r w:rsidRPr="008D1918">
        <w:rPr>
          <w:lang w:val="en-AU"/>
        </w:rPr>
        <w:t xml:space="preserve">The ‘Other Professionals’ category aggregates </w:t>
      </w:r>
      <w:r w:rsidRPr="008D1918" w:rsidR="00F10CA0">
        <w:rPr>
          <w:lang w:val="en-AU"/>
        </w:rPr>
        <w:t>a wide range of professional services under a single price</w:t>
      </w:r>
      <w:r w:rsidRPr="008D1918" w:rsidR="00DF2C7F">
        <w:rPr>
          <w:lang w:val="en-AU"/>
        </w:rPr>
        <w:t xml:space="preserve"> structure</w:t>
      </w:r>
      <w:r w:rsidRPr="008D1918" w:rsidR="00F10CA0">
        <w:rPr>
          <w:lang w:val="en-AU"/>
        </w:rPr>
        <w:t xml:space="preserve"> without identifying the practitioner’s discipline at the point of claim. Robust benchmarking is not possible because the underlying discipline is unknown. </w:t>
      </w:r>
    </w:p>
    <w:p w:rsidRPr="008D1918" w:rsidR="00F10CA0" w:rsidRDefault="00F10CA0" w14:paraId="098DDDE4" w14:textId="0CC6C78B">
      <w:pPr>
        <w:rPr>
          <w:lang w:val="en-AU"/>
        </w:rPr>
      </w:pPr>
      <w:r w:rsidRPr="0050696E">
        <w:rPr>
          <w:lang w:val="en-AU"/>
        </w:rPr>
        <w:t xml:space="preserve">The Agency recommends aligning the ‘Other Professionals’ price with comparable, lower-priced therapy supports where practitioner scope and market positioning are broadly similar, specifically counselling and creative therapies. A </w:t>
      </w:r>
      <w:r w:rsidRPr="0050696E" w:rsidR="00DF2C7F">
        <w:rPr>
          <w:lang w:val="en-AU"/>
        </w:rPr>
        <w:t xml:space="preserve">maximum </w:t>
      </w:r>
      <w:r w:rsidRPr="0050696E">
        <w:rPr>
          <w:lang w:val="en-AU"/>
        </w:rPr>
        <w:t>price of $156.16 per hour is recommended. This will not apply to Early Childhood</w:t>
      </w:r>
      <w:r w:rsidRPr="0050696E" w:rsidR="00753B6E">
        <w:rPr>
          <w:lang w:val="en-AU"/>
        </w:rPr>
        <w:t xml:space="preserve"> supports, which </w:t>
      </w:r>
      <w:r w:rsidRPr="0050696E" w:rsidR="00F32AE9">
        <w:rPr>
          <w:lang w:val="en-AU"/>
        </w:rPr>
        <w:t>should</w:t>
      </w:r>
      <w:r w:rsidRPr="0050696E" w:rsidR="00753B6E">
        <w:rPr>
          <w:lang w:val="en-AU"/>
        </w:rPr>
        <w:t xml:space="preserve"> remain at $193.99 per hour. The Agency also proposes introducing practitioner identification at the claim level to enable future benchmarking.</w:t>
      </w:r>
      <w:r w:rsidRPr="008D1918" w:rsidR="00753B6E">
        <w:rPr>
          <w:lang w:val="en-AU"/>
        </w:rPr>
        <w:t xml:space="preserve"> </w:t>
      </w:r>
    </w:p>
    <w:p w:rsidRPr="008D1918" w:rsidR="000E3523" w:rsidP="00CD4EB4" w:rsidRDefault="000E3523" w14:paraId="2F231C30" w14:textId="48FA5CF7">
      <w:pPr>
        <w:pStyle w:val="Heading31"/>
        <w:ind w:left="1077" w:hanging="720"/>
      </w:pPr>
      <w:r w:rsidRPr="008D1918">
        <w:t xml:space="preserve"> </w:t>
      </w:r>
      <w:bookmarkStart w:name="_Toc195538948" w:id="1286"/>
      <w:bookmarkStart w:name="_Toc195538992" w:id="1287"/>
      <w:bookmarkStart w:name="_Toc196754636" w:id="1288"/>
      <w:bookmarkStart w:name="_Toc196758238" w:id="1289"/>
      <w:bookmarkStart w:name="_Toc197344314" w:id="1290"/>
      <w:bookmarkStart w:name="_Toc200271641" w:id="1291"/>
      <w:bookmarkStart w:name="_Toc223539709" w:id="1292"/>
      <w:bookmarkStart w:name="_Toc223539923" w:id="1293"/>
      <w:bookmarkStart w:name="_Toc223540391" w:id="1294"/>
      <w:bookmarkStart w:name="_Toc223540607" w:id="1295"/>
      <w:bookmarkStart w:name="_Toc223542146" w:id="1296"/>
      <w:bookmarkStart w:name="_Toc223604332" w:id="1297"/>
      <w:bookmarkStart w:name="_Toc223604543" w:id="1298"/>
      <w:bookmarkStart w:name="_Toc227337119" w:id="1299"/>
      <w:r w:rsidRPr="008D1918">
        <w:t xml:space="preserve">Geographic </w:t>
      </w:r>
      <w:r w:rsidRPr="008D1918" w:rsidR="002D20F7">
        <w:t>p</w:t>
      </w:r>
      <w:r w:rsidRPr="008D1918">
        <w:t xml:space="preserve">atterns in </w:t>
      </w:r>
      <w:r w:rsidRPr="008D1918" w:rsidR="002D20F7">
        <w:t>m</w:t>
      </w:r>
      <w:r w:rsidRPr="008D1918">
        <w:t xml:space="preserve">arket </w:t>
      </w:r>
      <w:r w:rsidRPr="008D1918" w:rsidR="002D20F7">
        <w:t>r</w:t>
      </w:r>
      <w:r w:rsidRPr="008D1918">
        <w:t>ates</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r w:rsidRPr="008D1918">
        <w:t xml:space="preserve"> </w:t>
      </w:r>
    </w:p>
    <w:p w:rsidRPr="008D1918" w:rsidR="000E3523" w:rsidRDefault="000E3523" w14:paraId="70FD1721" w14:textId="40E1D48C">
      <w:pPr>
        <w:rPr>
          <w:rFonts w:eastAsia="Segoe UI"/>
          <w:lang w:val="en-AU"/>
        </w:rPr>
      </w:pPr>
      <w:r w:rsidRPr="008D1918">
        <w:rPr>
          <w:rFonts w:eastAsia="Segoe UI"/>
          <w:lang w:val="en-AU"/>
        </w:rPr>
        <w:t>The NDIA continues to support standardised national price</w:t>
      </w:r>
      <w:r w:rsidRPr="008D1918" w:rsidR="00F32AE9">
        <w:rPr>
          <w:rFonts w:eastAsia="Segoe UI"/>
          <w:lang w:val="en-AU"/>
        </w:rPr>
        <w:t>s</w:t>
      </w:r>
      <w:r w:rsidRPr="008D1918">
        <w:rPr>
          <w:rFonts w:eastAsia="Segoe UI"/>
          <w:lang w:val="en-AU"/>
        </w:rPr>
        <w:t xml:space="preserve"> for therapy supports following the removal of state‑based price differentials </w:t>
      </w:r>
      <w:r w:rsidRPr="008D1918" w:rsidR="00DF2C7F">
        <w:rPr>
          <w:rFonts w:eastAsia="Segoe UI"/>
          <w:lang w:val="en-AU"/>
        </w:rPr>
        <w:t xml:space="preserve">as set out </w:t>
      </w:r>
      <w:r w:rsidRPr="008D1918">
        <w:rPr>
          <w:rFonts w:eastAsia="Segoe UI"/>
          <w:lang w:val="en-AU"/>
        </w:rPr>
        <w:t xml:space="preserve">in the </w:t>
      </w:r>
      <w:r w:rsidRPr="008D1918" w:rsidR="00CF4DCC">
        <w:rPr>
          <w:rFonts w:eastAsia="Segoe UI"/>
          <w:lang w:val="en-AU"/>
        </w:rPr>
        <w:t>previous</w:t>
      </w:r>
      <w:r w:rsidRPr="008D1918">
        <w:rPr>
          <w:rFonts w:eastAsia="Segoe UI"/>
          <w:lang w:val="en-AU"/>
        </w:rPr>
        <w:t xml:space="preserve"> </w:t>
      </w:r>
      <w:r w:rsidRPr="008D1918" w:rsidR="00D07245">
        <w:rPr>
          <w:rFonts w:eastAsia="Segoe UI"/>
          <w:lang w:val="en-AU"/>
        </w:rPr>
        <w:t>APR</w:t>
      </w:r>
      <w:r w:rsidRPr="008D1918">
        <w:rPr>
          <w:rFonts w:eastAsia="Segoe UI"/>
          <w:lang w:val="en-AU"/>
        </w:rPr>
        <w:t xml:space="preserve">. </w:t>
      </w:r>
    </w:p>
    <w:p w:rsidRPr="008D1918" w:rsidR="000E3523" w:rsidRDefault="000E3523" w14:paraId="386D47F2" w14:textId="0F86BA41">
      <w:pPr>
        <w:rPr>
          <w:lang w:val="en-AU"/>
        </w:rPr>
      </w:pPr>
      <w:r w:rsidRPr="008D1918">
        <w:rPr>
          <w:rFonts w:eastAsia="Segoe UI"/>
          <w:lang w:val="en-AU"/>
        </w:rPr>
        <w:t xml:space="preserve">Updated </w:t>
      </w:r>
      <w:r w:rsidRPr="008D1918" w:rsidR="00F8767B">
        <w:rPr>
          <w:rFonts w:eastAsia="Segoe UI"/>
          <w:lang w:val="en-AU"/>
        </w:rPr>
        <w:t xml:space="preserve">MBS </w:t>
      </w:r>
      <w:r w:rsidRPr="008D1918">
        <w:rPr>
          <w:rFonts w:eastAsia="Segoe UI"/>
          <w:lang w:val="en-AU"/>
        </w:rPr>
        <w:t>evidence indicates average</w:t>
      </w:r>
      <w:r w:rsidRPr="008D1918" w:rsidR="00F8767B">
        <w:rPr>
          <w:rFonts w:eastAsia="Segoe UI"/>
          <w:lang w:val="en-AU"/>
        </w:rPr>
        <w:t xml:space="preserve"> therapy</w:t>
      </w:r>
      <w:r w:rsidRPr="008D1918">
        <w:rPr>
          <w:rFonts w:eastAsia="Segoe UI"/>
          <w:lang w:val="en-AU"/>
        </w:rPr>
        <w:t xml:space="preserve"> prices</w:t>
      </w:r>
      <w:r w:rsidRPr="008D1918" w:rsidR="001477F1">
        <w:rPr>
          <w:rFonts w:eastAsia="Segoe UI"/>
          <w:lang w:val="en-AU"/>
        </w:rPr>
        <w:t xml:space="preserve"> remain </w:t>
      </w:r>
      <w:r w:rsidRPr="008D1918">
        <w:rPr>
          <w:rFonts w:eastAsia="Segoe UI"/>
          <w:lang w:val="en-AU"/>
        </w:rPr>
        <w:t xml:space="preserve">broadly consistent across states and territories, indicating no underlying geographic price variation that would justify </w:t>
      </w:r>
      <w:r w:rsidR="00EA6AD6">
        <w:rPr>
          <w:rFonts w:eastAsia="Segoe UI"/>
          <w:lang w:val="en-AU"/>
        </w:rPr>
        <w:t>differentiated</w:t>
      </w:r>
      <w:r w:rsidRPr="008D1918" w:rsidR="00EA6AD6">
        <w:rPr>
          <w:rFonts w:eastAsia="Segoe UI"/>
          <w:lang w:val="en-AU"/>
        </w:rPr>
        <w:t xml:space="preserve"> </w:t>
      </w:r>
      <w:r w:rsidRPr="008D1918">
        <w:rPr>
          <w:rFonts w:eastAsia="Segoe UI"/>
          <w:lang w:val="en-AU"/>
        </w:rPr>
        <w:t>NDIS price</w:t>
      </w:r>
      <w:r w:rsidRPr="008D1918" w:rsidR="00F32AE9">
        <w:rPr>
          <w:rFonts w:eastAsia="Segoe UI"/>
          <w:lang w:val="en-AU"/>
        </w:rPr>
        <w:t>s</w:t>
      </w:r>
      <w:r w:rsidRPr="008D1918">
        <w:rPr>
          <w:rFonts w:eastAsia="Segoe UI"/>
          <w:lang w:val="en-AU"/>
        </w:rPr>
        <w:t xml:space="preserve"> (</w:t>
      </w:r>
      <w:r w:rsidRPr="008D1918" w:rsidR="006F206B">
        <w:rPr>
          <w:rFonts w:eastAsia="Segoe UI"/>
          <w:lang w:val="en-AU"/>
        </w:rPr>
        <w:fldChar w:fldCharType="begin"/>
      </w:r>
      <w:r w:rsidRPr="008D1918" w:rsidR="006F206B">
        <w:rPr>
          <w:rFonts w:eastAsia="Segoe UI"/>
          <w:lang w:val="en-AU"/>
        </w:rPr>
        <w:instrText xml:space="preserve"> REF _Ref228183046 \h </w:instrText>
      </w:r>
      <w:r w:rsidR="008D1918">
        <w:rPr>
          <w:rFonts w:eastAsia="Segoe UI"/>
          <w:lang w:val="en-AU"/>
        </w:rPr>
        <w:instrText xml:space="preserve"> \* MERGEFORMAT </w:instrText>
      </w:r>
      <w:r w:rsidRPr="008D1918" w:rsidR="006F206B">
        <w:rPr>
          <w:rFonts w:eastAsia="Segoe UI"/>
          <w:lang w:val="en-AU"/>
        </w:rPr>
      </w:r>
      <w:r w:rsidRPr="008D1918" w:rsidR="006F206B">
        <w:rPr>
          <w:rFonts w:eastAsia="Segoe UI"/>
          <w:lang w:val="en-AU"/>
        </w:rPr>
        <w:fldChar w:fldCharType="separate"/>
      </w:r>
      <w:r w:rsidRPr="008D1918" w:rsidR="008F56A2">
        <w:t xml:space="preserve">Figure </w:t>
      </w:r>
      <w:r w:rsidR="008F56A2">
        <w:rPr>
          <w:noProof/>
        </w:rPr>
        <w:t>27</w:t>
      </w:r>
      <w:r w:rsidRPr="008D1918" w:rsidR="006F206B">
        <w:rPr>
          <w:rFonts w:eastAsia="Segoe UI"/>
          <w:lang w:val="en-AU"/>
        </w:rPr>
        <w:fldChar w:fldCharType="end"/>
      </w:r>
      <w:r w:rsidRPr="008D1918">
        <w:rPr>
          <w:rFonts w:eastAsia="Segoe UI"/>
          <w:lang w:val="en-AU"/>
        </w:rPr>
        <w:t>). Post</w:t>
      </w:r>
      <w:r w:rsidRPr="008D1918">
        <w:rPr>
          <w:rFonts w:ascii="Cambria Math" w:hAnsi="Cambria Math" w:eastAsia="Segoe UI" w:cs="Cambria Math"/>
          <w:lang w:val="en-AU"/>
        </w:rPr>
        <w:t>‑</w:t>
      </w:r>
      <w:r w:rsidRPr="008D1918">
        <w:rPr>
          <w:rFonts w:eastAsia="Segoe UI"/>
          <w:lang w:val="en-AU"/>
        </w:rPr>
        <w:t xml:space="preserve">implementation monitoring </w:t>
      </w:r>
      <w:r w:rsidRPr="008D1918" w:rsidR="009520E1">
        <w:rPr>
          <w:rFonts w:eastAsia="Segoe UI"/>
          <w:lang w:val="en-AU"/>
        </w:rPr>
        <w:t xml:space="preserve">confirms payment </w:t>
      </w:r>
      <w:r w:rsidRPr="008D1918">
        <w:rPr>
          <w:rFonts w:eastAsia="Segoe UI"/>
          <w:lang w:val="en-AU"/>
        </w:rPr>
        <w:t>levels in</w:t>
      </w:r>
      <w:r w:rsidRPr="008D1918" w:rsidR="00917CB6">
        <w:rPr>
          <w:rFonts w:eastAsia="Segoe UI"/>
          <w:lang w:val="en-AU"/>
        </w:rPr>
        <w:t xml:space="preserve"> </w:t>
      </w:r>
      <w:r w:rsidRPr="008D1918">
        <w:rPr>
          <w:rFonts w:eastAsia="Segoe UI"/>
          <w:lang w:val="en-AU"/>
        </w:rPr>
        <w:t xml:space="preserve">previously </w:t>
      </w:r>
      <w:r w:rsidRPr="008D1918" w:rsidR="00897A35">
        <w:rPr>
          <w:rFonts w:eastAsia="Segoe UI"/>
          <w:lang w:val="en-AU"/>
        </w:rPr>
        <w:t xml:space="preserve">higher-rate jurisdictions </w:t>
      </w:r>
      <w:r w:rsidRPr="008D1918" w:rsidR="00713182">
        <w:rPr>
          <w:rFonts w:eastAsia="Segoe UI"/>
          <w:lang w:val="en-AU"/>
        </w:rPr>
        <w:t>have converged towards the national rate</w:t>
      </w:r>
      <w:r w:rsidRPr="008D1918" w:rsidR="00EC2FB5">
        <w:rPr>
          <w:rFonts w:eastAsia="Segoe UI"/>
          <w:lang w:val="en-AU"/>
        </w:rPr>
        <w:t xml:space="preserve"> without disruption </w:t>
      </w:r>
      <w:r w:rsidRPr="008D1918">
        <w:rPr>
          <w:rFonts w:eastAsia="Segoe UI"/>
          <w:lang w:val="en-AU"/>
        </w:rPr>
        <w:t>to participant access</w:t>
      </w:r>
      <w:r w:rsidRPr="008D1918" w:rsidR="00EC2FB5">
        <w:rPr>
          <w:rFonts w:eastAsia="Segoe UI"/>
          <w:lang w:val="en-AU"/>
        </w:rPr>
        <w:t xml:space="preserve">. </w:t>
      </w:r>
      <w:r w:rsidRPr="008D1918">
        <w:rPr>
          <w:lang w:val="en-AU"/>
        </w:rPr>
        <w:t xml:space="preserve">Remote and very remote loadings of 40% and 50% respectively continue to be supported by the evidence and </w:t>
      </w:r>
      <w:r w:rsidRPr="008D1918" w:rsidR="007B65F6">
        <w:rPr>
          <w:lang w:val="en-AU"/>
        </w:rPr>
        <w:t xml:space="preserve">no changes </w:t>
      </w:r>
      <w:r w:rsidRPr="008D1918">
        <w:rPr>
          <w:lang w:val="en-AU"/>
        </w:rPr>
        <w:t xml:space="preserve">are proposed. </w:t>
      </w:r>
    </w:p>
    <w:p w:rsidRPr="008D1918" w:rsidR="000E3523" w:rsidP="0071360E" w:rsidRDefault="000E3523" w14:paraId="3AF440DF" w14:textId="477299FF">
      <w:pPr>
        <w:pStyle w:val="Caption"/>
      </w:pPr>
      <w:bookmarkStart w:name="_Ref195540799" w:id="1300"/>
      <w:bookmarkStart w:name="_Ref228183046" w:id="1301"/>
      <w:r w:rsidRPr="008D1918">
        <w:t xml:space="preserve">Figure </w:t>
      </w:r>
      <w:bookmarkEnd w:id="1300"/>
      <w:r w:rsidRPr="008D1918" w:rsidR="0071360E">
        <w:rPr>
          <w:i w:val="0"/>
          <w:iCs w:val="0"/>
        </w:rPr>
        <w:fldChar w:fldCharType="begin"/>
      </w:r>
      <w:r w:rsidRPr="008D1918" w:rsidR="0071360E">
        <w:instrText xml:space="preserve"> SEQ Figure \* ARABIC </w:instrText>
      </w:r>
      <w:r w:rsidRPr="008D1918" w:rsidR="0071360E">
        <w:rPr>
          <w:i w:val="0"/>
          <w:iCs w:val="0"/>
        </w:rPr>
        <w:fldChar w:fldCharType="separate"/>
      </w:r>
      <w:r w:rsidR="008F56A2">
        <w:rPr>
          <w:noProof/>
        </w:rPr>
        <w:t>27</w:t>
      </w:r>
      <w:r w:rsidRPr="008D1918" w:rsidR="0071360E">
        <w:rPr>
          <w:i w:val="0"/>
          <w:iCs w:val="0"/>
        </w:rPr>
        <w:fldChar w:fldCharType="end"/>
      </w:r>
      <w:bookmarkEnd w:id="1301"/>
      <w:r w:rsidRPr="008D1918">
        <w:rPr>
          <w:rFonts w:eastAsia="DengXian" w:cs="Cordia New"/>
          <w:color w:val="6B2876" w:themeColor="accent5"/>
        </w:rPr>
        <w:t>: Average price for Medicare-subsided services by state and territory</w:t>
      </w:r>
    </w:p>
    <w:p w:rsidRPr="008D1918" w:rsidR="0011364A" w:rsidRDefault="00FC200D" w14:paraId="47DC7EE8" w14:textId="3A8EA44F">
      <w:pPr>
        <w:spacing w:before="60" w:after="60" w:line="276" w:lineRule="auto"/>
        <w:rPr>
          <w:lang w:val="en-AU"/>
        </w:rPr>
      </w:pPr>
      <w:r w:rsidRPr="008D1918">
        <w:rPr>
          <w:noProof/>
          <w:lang w:val="en-AU"/>
        </w:rPr>
        <w:drawing>
          <wp:inline distT="0" distB="0" distL="0" distR="0" wp14:anchorId="28D10A3A" wp14:editId="0F9420A8">
            <wp:extent cx="6049887" cy="3343255"/>
            <wp:effectExtent l="0" t="0" r="8255" b="0"/>
            <wp:docPr id="1696687159" name="Picture 3" descr="Figure 27: A bar chart showing the average price for Medicare-subsided services by state and territory.&#10;The graph shows the Medicare average price of Psychology, speech pathology, occupational therapy, audiology, dietetics, podiatry, physiotherapy and exercise physiology by state/territory. The data shows that ACT prices are generally higher across all supports, except for audiology where the highest price is in SA.&#10;Source: NDIA calculations of MBS data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87159" name="Picture 3" descr="Figure 27: A bar chart showing the average price for Medicare-subsided services by state and territory.&#10;The graph shows the Medicare average price of Psychology, speech pathology, occupational therapy, audiology, dietetics, podiatry, physiotherapy and exercise physiology by state/territory. The data shows that ACT prices are generally higher across all supports, except for audiology where the highest price is in SA.&#10;Source: NDIA calculations of MBS dataset."/>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6049887" cy="3343255"/>
                    </a:xfrm>
                    <a:prstGeom prst="rect">
                      <a:avLst/>
                    </a:prstGeom>
                    <a:noFill/>
                  </pic:spPr>
                </pic:pic>
              </a:graphicData>
            </a:graphic>
          </wp:inline>
        </w:drawing>
      </w:r>
    </w:p>
    <w:p w:rsidRPr="008D1918" w:rsidR="000E3523" w:rsidRDefault="000E3523" w14:paraId="47698141" w14:textId="77777777">
      <w:pPr>
        <w:spacing w:before="120" w:after="60" w:line="240" w:lineRule="atLeast"/>
        <w:rPr>
          <w:b/>
          <w:sz w:val="20"/>
          <w:szCs w:val="20"/>
          <w:lang w:val="en-AU"/>
        </w:rPr>
      </w:pPr>
      <w:r w:rsidRPr="008D1918">
        <w:rPr>
          <w:b/>
          <w:sz w:val="20"/>
          <w:szCs w:val="20"/>
          <w:lang w:val="en-AU"/>
        </w:rPr>
        <w:t>Source: NDIA calculations of MBS dataset.</w:t>
      </w:r>
    </w:p>
    <w:p w:rsidRPr="008D1918" w:rsidR="000E3523" w:rsidP="002B66D6" w:rsidRDefault="000E3523" w14:paraId="35907713" w14:textId="77777777">
      <w:pPr>
        <w:spacing w:before="120" w:after="360" w:line="240" w:lineRule="atLeast"/>
        <w:rPr>
          <w:rFonts w:cs="Calibri" w:eastAsiaTheme="minorEastAsia"/>
          <w:sz w:val="20"/>
          <w:szCs w:val="18"/>
          <w:lang w:val="en-AU"/>
        </w:rPr>
      </w:pPr>
      <w:r w:rsidRPr="008D1918">
        <w:rPr>
          <w:rFonts w:cs="Calibri" w:eastAsiaTheme="minorEastAsia"/>
          <w:sz w:val="20"/>
          <w:szCs w:val="18"/>
          <w:lang w:val="en-AU"/>
        </w:rPr>
        <w:t>Note: This figure represents the average price charged per session from MBS data. It is different from the hourly rates as it has not been adjusted for time.</w:t>
      </w:r>
    </w:p>
    <w:p w:rsidRPr="008D1918" w:rsidR="000E3523" w:rsidP="00CD4EB4" w:rsidRDefault="000E3523" w14:paraId="0234F34A" w14:textId="4D2774A8">
      <w:pPr>
        <w:pStyle w:val="Heading31"/>
        <w:ind w:left="1077" w:hanging="720"/>
      </w:pPr>
      <w:bookmarkStart w:name="_Toc195538950" w:id="1302"/>
      <w:bookmarkStart w:name="_Toc195538993" w:id="1303"/>
      <w:bookmarkStart w:name="_Toc196754637" w:id="1304"/>
      <w:bookmarkStart w:name="_Toc196758239" w:id="1305"/>
      <w:bookmarkStart w:name="_Toc197344315" w:id="1306"/>
      <w:bookmarkStart w:name="_Toc200271643" w:id="1307"/>
      <w:bookmarkStart w:name="_Toc223539710" w:id="1308"/>
      <w:bookmarkStart w:name="_Toc223539924" w:id="1309"/>
      <w:bookmarkStart w:name="_Toc223540392" w:id="1310"/>
      <w:bookmarkStart w:name="_Toc223540608" w:id="1311"/>
      <w:bookmarkStart w:name="_Toc223542147" w:id="1312"/>
      <w:bookmarkStart w:name="_Toc223604333" w:id="1313"/>
      <w:bookmarkStart w:name="_Toc223604544" w:id="1314"/>
      <w:bookmarkStart w:name="_Toc227337120" w:id="1315"/>
      <w:r w:rsidRPr="008D1918">
        <w:t xml:space="preserve">Other </w:t>
      </w:r>
      <w:r w:rsidRPr="008D1918" w:rsidR="0013531D">
        <w:t>g</w:t>
      </w:r>
      <w:r w:rsidRPr="008D1918">
        <w:t xml:space="preserve">overnment </w:t>
      </w:r>
      <w:r w:rsidRPr="008D1918" w:rsidR="0013531D">
        <w:t>s</w:t>
      </w:r>
      <w:r w:rsidRPr="008D1918">
        <w:t>chemes</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p>
    <w:p w:rsidRPr="008D1918" w:rsidR="000E3523" w:rsidRDefault="000E3523" w14:paraId="44661A20" w14:textId="7E56AC41">
      <w:pPr>
        <w:rPr>
          <w:lang w:val="en-AU"/>
        </w:rPr>
      </w:pPr>
      <w:r w:rsidRPr="008D1918">
        <w:rPr>
          <w:lang w:val="en-AU"/>
        </w:rPr>
        <w:t>This section presents benchmarking data from selected Commonwealth</w:t>
      </w:r>
      <w:r w:rsidR="00AA3481">
        <w:rPr>
          <w:lang w:val="en-AU"/>
        </w:rPr>
        <w:t>-</w:t>
      </w:r>
      <w:r w:rsidRPr="008D1918">
        <w:rPr>
          <w:lang w:val="en-AU"/>
        </w:rPr>
        <w:t xml:space="preserve"> and state-funded schemes, including: </w:t>
      </w:r>
    </w:p>
    <w:p w:rsidRPr="008D1918" w:rsidR="000E3523" w:rsidP="009F6459" w:rsidRDefault="000E3523" w14:paraId="1C0518F8" w14:textId="395D320A">
      <w:pPr>
        <w:numPr>
          <w:ilvl w:val="0"/>
          <w:numId w:val="14"/>
        </w:numPr>
        <w:contextualSpacing/>
        <w:rPr>
          <w:lang w:val="en-AU"/>
        </w:rPr>
      </w:pPr>
      <w:r w:rsidRPr="008D1918">
        <w:rPr>
          <w:lang w:val="en-AU"/>
        </w:rPr>
        <w:t>Com</w:t>
      </w:r>
      <w:r w:rsidRPr="008D1918" w:rsidR="00E93F04">
        <w:rPr>
          <w:lang w:val="en-AU"/>
        </w:rPr>
        <w:t>C</w:t>
      </w:r>
      <w:r w:rsidRPr="008D1918">
        <w:rPr>
          <w:lang w:val="en-AU"/>
        </w:rPr>
        <w:t>are</w:t>
      </w:r>
    </w:p>
    <w:p w:rsidRPr="008D1918" w:rsidR="000E3523" w:rsidP="009F6459" w:rsidRDefault="000E3523" w14:paraId="0A9B9653" w14:textId="77777777">
      <w:pPr>
        <w:numPr>
          <w:ilvl w:val="0"/>
          <w:numId w:val="14"/>
        </w:numPr>
        <w:contextualSpacing/>
        <w:rPr>
          <w:lang w:val="en-AU"/>
        </w:rPr>
      </w:pPr>
      <w:r w:rsidRPr="008D1918">
        <w:rPr>
          <w:lang w:val="en-AU"/>
        </w:rPr>
        <w:t>Department of Veterans’ Affairs (DVA)</w:t>
      </w:r>
    </w:p>
    <w:p w:rsidRPr="008D1918" w:rsidR="000E3523" w:rsidP="009F6459" w:rsidRDefault="000E3523" w14:paraId="0DE2926C" w14:textId="7195B044">
      <w:pPr>
        <w:numPr>
          <w:ilvl w:val="0"/>
          <w:numId w:val="14"/>
        </w:numPr>
        <w:contextualSpacing/>
        <w:rPr>
          <w:lang w:val="en-AU"/>
        </w:rPr>
      </w:pPr>
      <w:r w:rsidRPr="008D1918">
        <w:rPr>
          <w:lang w:val="en-AU"/>
        </w:rPr>
        <w:t>Home and Community Care Program for Younger People (HACC</w:t>
      </w:r>
      <w:r w:rsidRPr="008D1918" w:rsidR="004F6E0B">
        <w:rPr>
          <w:lang w:val="en-AU"/>
        </w:rPr>
        <w:t xml:space="preserve"> </w:t>
      </w:r>
      <w:r w:rsidRPr="008D1918">
        <w:rPr>
          <w:lang w:val="en-AU"/>
        </w:rPr>
        <w:t>PYP)</w:t>
      </w:r>
    </w:p>
    <w:p w:rsidRPr="008D1918" w:rsidR="000E3523" w:rsidP="009F6459" w:rsidRDefault="000E3523" w14:paraId="4817E96A" w14:textId="77777777">
      <w:pPr>
        <w:numPr>
          <w:ilvl w:val="0"/>
          <w:numId w:val="14"/>
        </w:numPr>
        <w:contextualSpacing/>
        <w:rPr>
          <w:lang w:val="en-AU"/>
        </w:rPr>
      </w:pPr>
      <w:r w:rsidRPr="008D1918">
        <w:rPr>
          <w:lang w:val="en-AU"/>
        </w:rPr>
        <w:t>Lifetime Support Authority (LSA)</w:t>
      </w:r>
    </w:p>
    <w:p w:rsidRPr="008D1918" w:rsidR="000E3523" w:rsidP="009F6459" w:rsidRDefault="000E3523" w14:paraId="5862597A" w14:textId="77777777">
      <w:pPr>
        <w:numPr>
          <w:ilvl w:val="0"/>
          <w:numId w:val="14"/>
        </w:numPr>
        <w:contextualSpacing/>
        <w:rPr>
          <w:lang w:val="en-AU"/>
        </w:rPr>
      </w:pPr>
      <w:r w:rsidRPr="008D1918">
        <w:rPr>
          <w:lang w:val="en-AU"/>
        </w:rPr>
        <w:t>Motor Accidents Insurance Board (MAIB)</w:t>
      </w:r>
    </w:p>
    <w:p w:rsidRPr="008D1918" w:rsidR="000E3523" w:rsidP="009F6459" w:rsidRDefault="000E3523" w14:paraId="500F9295" w14:textId="77777777">
      <w:pPr>
        <w:numPr>
          <w:ilvl w:val="0"/>
          <w:numId w:val="14"/>
        </w:numPr>
        <w:contextualSpacing/>
        <w:rPr>
          <w:lang w:val="en-AU"/>
        </w:rPr>
      </w:pPr>
      <w:r w:rsidRPr="008D1918">
        <w:rPr>
          <w:lang w:val="en-AU"/>
        </w:rPr>
        <w:t>National Injury Insurance Scheme Queensland (NIISQ)</w:t>
      </w:r>
    </w:p>
    <w:p w:rsidRPr="008D1918" w:rsidR="000E3523" w:rsidP="009F6459" w:rsidRDefault="000E3523" w14:paraId="0077423D" w14:textId="7C2AF4AA">
      <w:pPr>
        <w:numPr>
          <w:ilvl w:val="0"/>
          <w:numId w:val="14"/>
        </w:numPr>
        <w:contextualSpacing/>
        <w:rPr>
          <w:lang w:val="en-AU"/>
        </w:rPr>
      </w:pPr>
      <w:r w:rsidRPr="008D1918">
        <w:rPr>
          <w:lang w:val="en-AU"/>
        </w:rPr>
        <w:t>ReturnToWorkS</w:t>
      </w:r>
      <w:r w:rsidRPr="008D1918" w:rsidR="00B13441">
        <w:rPr>
          <w:lang w:val="en-AU"/>
        </w:rPr>
        <w:t>A</w:t>
      </w:r>
    </w:p>
    <w:p w:rsidRPr="008D1918" w:rsidR="000E3523" w:rsidP="009F6459" w:rsidRDefault="000E3523" w14:paraId="7A34C50B" w14:textId="77777777">
      <w:pPr>
        <w:numPr>
          <w:ilvl w:val="0"/>
          <w:numId w:val="14"/>
        </w:numPr>
        <w:contextualSpacing/>
        <w:rPr>
          <w:lang w:val="en-AU"/>
        </w:rPr>
      </w:pPr>
      <w:r w:rsidRPr="008D1918">
        <w:rPr>
          <w:lang w:val="en-AU"/>
        </w:rPr>
        <w:t>State Insurance Regulatory Authority (S</w:t>
      </w:r>
      <w:r w:rsidRPr="008D1918">
        <w:rPr>
          <w:spacing w:val="-60"/>
          <w:lang w:val="en-AU"/>
        </w:rPr>
        <w:t xml:space="preserve"> </w:t>
      </w:r>
      <w:r w:rsidRPr="008D1918">
        <w:rPr>
          <w:lang w:val="en-AU"/>
        </w:rPr>
        <w:t>I</w:t>
      </w:r>
      <w:r w:rsidRPr="008D1918">
        <w:rPr>
          <w:spacing w:val="-60"/>
          <w:lang w:val="en-AU"/>
        </w:rPr>
        <w:t xml:space="preserve"> </w:t>
      </w:r>
      <w:r w:rsidRPr="008D1918">
        <w:rPr>
          <w:lang w:val="en-AU"/>
        </w:rPr>
        <w:t>R</w:t>
      </w:r>
      <w:r w:rsidRPr="008D1918">
        <w:rPr>
          <w:spacing w:val="-60"/>
          <w:lang w:val="en-AU"/>
        </w:rPr>
        <w:t xml:space="preserve"> </w:t>
      </w:r>
      <w:r w:rsidRPr="008D1918">
        <w:rPr>
          <w:lang w:val="en-AU"/>
        </w:rPr>
        <w:t>A)</w:t>
      </w:r>
    </w:p>
    <w:p w:rsidRPr="008D1918" w:rsidR="000E3523" w:rsidP="009F6459" w:rsidRDefault="000E3523" w14:paraId="5578419D" w14:textId="16F91F89">
      <w:pPr>
        <w:numPr>
          <w:ilvl w:val="0"/>
          <w:numId w:val="14"/>
        </w:numPr>
        <w:contextualSpacing/>
        <w:rPr>
          <w:lang w:val="en-AU"/>
        </w:rPr>
      </w:pPr>
      <w:r w:rsidRPr="008D1918">
        <w:rPr>
          <w:lang w:val="en-AU"/>
        </w:rPr>
        <w:t>Transport Accident Commission (T</w:t>
      </w:r>
      <w:r w:rsidRPr="008D1918">
        <w:rPr>
          <w:spacing w:val="-60"/>
          <w:lang w:val="en-AU"/>
        </w:rPr>
        <w:t xml:space="preserve"> </w:t>
      </w:r>
      <w:r w:rsidRPr="008D1918">
        <w:rPr>
          <w:lang w:val="en-AU"/>
        </w:rPr>
        <w:t>A</w:t>
      </w:r>
      <w:r w:rsidRPr="008D1918">
        <w:rPr>
          <w:spacing w:val="-60"/>
          <w:lang w:val="en-AU"/>
        </w:rPr>
        <w:t xml:space="preserve"> </w:t>
      </w:r>
      <w:r w:rsidRPr="008D1918">
        <w:rPr>
          <w:lang w:val="en-AU"/>
        </w:rPr>
        <w:t>C)</w:t>
      </w:r>
    </w:p>
    <w:p w:rsidRPr="008D1918" w:rsidR="000E3523" w:rsidP="009F6459" w:rsidRDefault="000E3523" w14:paraId="017A0AC4" w14:textId="77777777">
      <w:pPr>
        <w:numPr>
          <w:ilvl w:val="0"/>
          <w:numId w:val="14"/>
        </w:numPr>
        <w:contextualSpacing/>
        <w:rPr>
          <w:lang w:val="en-AU"/>
        </w:rPr>
      </w:pPr>
      <w:r w:rsidRPr="008D1918">
        <w:rPr>
          <w:lang w:val="en-AU"/>
        </w:rPr>
        <w:t>WorkCover Queensland</w:t>
      </w:r>
    </w:p>
    <w:p w:rsidRPr="008D1918" w:rsidR="000E3523" w:rsidP="009F6459" w:rsidRDefault="000E3523" w14:paraId="41FBB5CE" w14:textId="6E3B9552">
      <w:pPr>
        <w:numPr>
          <w:ilvl w:val="0"/>
          <w:numId w:val="14"/>
        </w:numPr>
        <w:contextualSpacing/>
        <w:rPr>
          <w:lang w:val="en-AU"/>
        </w:rPr>
      </w:pPr>
      <w:r w:rsidRPr="008D1918">
        <w:rPr>
          <w:lang w:val="en-AU"/>
        </w:rPr>
        <w:t xml:space="preserve">WorkCover </w:t>
      </w:r>
      <w:r w:rsidRPr="008D1918" w:rsidR="009948BF">
        <w:rPr>
          <w:lang w:val="en-AU"/>
        </w:rPr>
        <w:t>WA</w:t>
      </w:r>
    </w:p>
    <w:p w:rsidRPr="008D1918" w:rsidR="000E3523" w:rsidP="009F6459" w:rsidRDefault="000E3523" w14:paraId="707A66F1" w14:textId="50FF9952">
      <w:pPr>
        <w:numPr>
          <w:ilvl w:val="0"/>
          <w:numId w:val="14"/>
        </w:numPr>
        <w:ind w:left="714" w:hanging="357"/>
        <w:rPr>
          <w:lang w:val="en-AU"/>
        </w:rPr>
      </w:pPr>
      <w:r w:rsidRPr="008D1918">
        <w:rPr>
          <w:lang w:val="en-AU"/>
        </w:rPr>
        <w:t>WorkSafe Victoria</w:t>
      </w:r>
      <w:r w:rsidRPr="008D1918" w:rsidR="0050516D">
        <w:rPr>
          <w:lang w:val="en-AU"/>
        </w:rPr>
        <w:t>.</w:t>
      </w:r>
    </w:p>
    <w:p w:rsidRPr="008D1918" w:rsidR="000E3523" w:rsidRDefault="000E3523" w14:paraId="22CC1F51" w14:textId="187FDF84">
      <w:pPr>
        <w:rPr>
          <w:lang w:val="en-AU"/>
        </w:rPr>
      </w:pPr>
      <w:r w:rsidRPr="008D1918">
        <w:rPr>
          <w:lang w:val="en-AU"/>
        </w:rPr>
        <w:t xml:space="preserve">Seven provided transaction-level data </w:t>
      </w:r>
      <w:r w:rsidRPr="008D1918" w:rsidR="00B603C7">
        <w:rPr>
          <w:lang w:val="en-AU"/>
        </w:rPr>
        <w:t>meeting the NDIA’s benchmarking criteria</w:t>
      </w:r>
      <w:r w:rsidRPr="008D1918" w:rsidR="008A4424">
        <w:rPr>
          <w:lang w:val="en-AU"/>
        </w:rPr>
        <w:t xml:space="preserve">. The </w:t>
      </w:r>
      <w:r w:rsidRPr="008D1918" w:rsidR="00DD3566">
        <w:rPr>
          <w:lang w:val="en-AU"/>
        </w:rPr>
        <w:t xml:space="preserve">remainder provided published rate schedules. </w:t>
      </w:r>
    </w:p>
    <w:p w:rsidRPr="008D1918" w:rsidR="000E3523" w:rsidRDefault="000E3523" w14:paraId="0BDA3255" w14:textId="355C3ABC">
      <w:pPr>
        <w:rPr>
          <w:lang w:val="en-AU"/>
        </w:rPr>
      </w:pPr>
      <w:r w:rsidRPr="008D1918">
        <w:rPr>
          <w:lang w:val="en-AU"/>
        </w:rPr>
        <w:t xml:space="preserve">These schemes fund allied health services for specific populations (for example, injured workers, veterans, motor accident claimants). Unlike MBS or PHI, </w:t>
      </w:r>
      <w:r w:rsidRPr="008D1918" w:rsidR="0002557B">
        <w:rPr>
          <w:lang w:val="en-AU"/>
        </w:rPr>
        <w:t xml:space="preserve">many </w:t>
      </w:r>
      <w:r w:rsidRPr="008D1918">
        <w:rPr>
          <w:lang w:val="en-AU"/>
        </w:rPr>
        <w:t xml:space="preserve">set explicit time-based rates and some </w:t>
      </w:r>
      <w:r w:rsidRPr="008D1918" w:rsidR="00083B44">
        <w:rPr>
          <w:lang w:val="en-AU"/>
        </w:rPr>
        <w:t xml:space="preserve">include allowances for </w:t>
      </w:r>
      <w:r w:rsidRPr="008D1918">
        <w:rPr>
          <w:lang w:val="en-AU"/>
        </w:rPr>
        <w:t xml:space="preserve">indirect service delivery. </w:t>
      </w:r>
    </w:p>
    <w:p w:rsidRPr="008D1918" w:rsidR="000E3523" w:rsidRDefault="0071360E" w14:paraId="4CC99A6E" w14:textId="2E45FC30">
      <w:pPr>
        <w:rPr>
          <w:lang w:val="en-AU"/>
        </w:rPr>
      </w:pPr>
      <w:r w:rsidRPr="008D1918">
        <w:rPr>
          <w:lang w:val="en-AU"/>
        </w:rPr>
        <w:fldChar w:fldCharType="begin"/>
      </w:r>
      <w:r w:rsidRPr="008D1918">
        <w:rPr>
          <w:lang w:val="en-AU"/>
        </w:rPr>
        <w:instrText xml:space="preserve"> REF _Ref223625220 \h </w:instrText>
      </w:r>
      <w:r w:rsidRPr="008D1918" w:rsidR="00762DF8">
        <w:rPr>
          <w:lang w:val="en-AU"/>
        </w:rPr>
        <w:instrText xml:space="preserve"> \* MERGEFORMAT </w:instrText>
      </w:r>
      <w:r w:rsidRPr="008D1918">
        <w:rPr>
          <w:lang w:val="en-AU"/>
        </w:rPr>
      </w:r>
      <w:r w:rsidRPr="008D1918">
        <w:rPr>
          <w:lang w:val="en-AU"/>
        </w:rPr>
        <w:fldChar w:fldCharType="separate"/>
      </w:r>
      <w:r w:rsidRPr="008F56A2" w:rsidR="008F56A2">
        <w:rPr>
          <w:lang w:val="en-AU"/>
        </w:rPr>
        <w:t>Figure 28</w:t>
      </w:r>
      <w:r w:rsidRPr="008D1918">
        <w:rPr>
          <w:lang w:val="en-AU"/>
        </w:rPr>
        <w:fldChar w:fldCharType="end"/>
      </w:r>
      <w:r w:rsidRPr="008D1918" w:rsidR="000E3523">
        <w:rPr>
          <w:lang w:val="en-AU"/>
        </w:rPr>
        <w:t xml:space="preserve"> presents NDIS prices compared to other </w:t>
      </w:r>
      <w:r w:rsidR="003768AD">
        <w:rPr>
          <w:lang w:val="en-AU"/>
        </w:rPr>
        <w:t>government-funded</w:t>
      </w:r>
      <w:r w:rsidRPr="008D1918" w:rsidR="000E3523">
        <w:rPr>
          <w:lang w:val="en-AU"/>
        </w:rPr>
        <w:t xml:space="preserve"> schemes’ pricing for therapy supports. This has been calculated at a comparable hourly rate and presented in a similar </w:t>
      </w:r>
      <w:r w:rsidRPr="008D1918" w:rsidR="00F1208F">
        <w:rPr>
          <w:lang w:val="en-AU"/>
        </w:rPr>
        <w:t xml:space="preserve">way </w:t>
      </w:r>
      <w:r w:rsidRPr="008D1918" w:rsidR="000E3523">
        <w:rPr>
          <w:lang w:val="en-AU"/>
        </w:rPr>
        <w:t>to previous APRs for consistency.</w:t>
      </w:r>
    </w:p>
    <w:p w:rsidRPr="008D1918" w:rsidR="000E3523" w:rsidP="0071360E" w:rsidRDefault="000E3523" w14:paraId="6D364699" w14:textId="53FC9E8F">
      <w:pPr>
        <w:pStyle w:val="Caption"/>
        <w:rPr>
          <w:rFonts w:eastAsia="DengXian" w:cs="Cordia New"/>
          <w:i w:val="0"/>
          <w:color w:val="6B2876" w:themeColor="accent5"/>
        </w:rPr>
      </w:pPr>
      <w:bookmarkStart w:name="_Ref195540848" w:id="1316"/>
      <w:bookmarkStart w:name="_Ref223625220" w:id="1317"/>
      <w:r w:rsidRPr="008D1918">
        <w:t xml:space="preserve">Figure </w:t>
      </w:r>
      <w:r>
        <w:fldChar w:fldCharType="begin"/>
      </w:r>
      <w:r>
        <w:instrText>SEQ Figure \* ARABIC</w:instrText>
      </w:r>
      <w:r>
        <w:fldChar w:fldCharType="separate"/>
      </w:r>
      <w:r w:rsidR="008F56A2">
        <w:rPr>
          <w:noProof/>
        </w:rPr>
        <w:t>28</w:t>
      </w:r>
      <w:r>
        <w:fldChar w:fldCharType="end"/>
      </w:r>
      <w:bookmarkEnd w:id="1316"/>
      <w:bookmarkEnd w:id="1317"/>
      <w:r w:rsidRPr="008D1918">
        <w:rPr>
          <w:color w:val="6B2876" w:themeColor="accent5"/>
        </w:rPr>
        <w:t>: Comparison of NDIS prices to other government schemes</w:t>
      </w:r>
    </w:p>
    <w:p w:rsidRPr="008D1918" w:rsidR="000460A0" w:rsidRDefault="00573FE9" w14:paraId="4F4C9B52" w14:textId="6CF28F2A">
      <w:pPr>
        <w:spacing w:after="0" w:line="276" w:lineRule="auto"/>
        <w:rPr>
          <w:lang w:val="en-AU"/>
        </w:rPr>
      </w:pPr>
      <w:r w:rsidRPr="00B0370E">
        <w:rPr>
          <w:noProof/>
        </w:rPr>
        <w:drawing>
          <wp:inline distT="0" distB="0" distL="0" distR="0" wp14:anchorId="654E0AD5" wp14:editId="4F7DC531">
            <wp:extent cx="5713111" cy="4479464"/>
            <wp:effectExtent l="0" t="0" r="1905" b="0"/>
            <wp:docPr id="121649640" name="Picture 1" descr="Figure 28: A box and whisker chart showing the comparison of NDIS price limits to other government schemes.&#10;The graph shows NDIS price limits compared to other government funding schemes’ pricing for therapy supp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49640" name="Picture 1" descr="Figure 28: A box and whisker chart showing the comparison of NDIS price limits to other government schemes.&#10;The graph shows NDIS price limits compared to other government funding schemes’ pricing for therapy supports. "/>
                    <pic:cNvPicPr/>
                  </pic:nvPicPr>
                  <pic:blipFill>
                    <a:blip r:embed="rId46"/>
                    <a:stretch>
                      <a:fillRect/>
                    </a:stretch>
                  </pic:blipFill>
                  <pic:spPr>
                    <a:xfrm>
                      <a:off x="0" y="0"/>
                      <a:ext cx="5722858" cy="4487106"/>
                    </a:xfrm>
                    <a:prstGeom prst="rect">
                      <a:avLst/>
                    </a:prstGeom>
                  </pic:spPr>
                </pic:pic>
              </a:graphicData>
            </a:graphic>
          </wp:inline>
        </w:drawing>
      </w:r>
    </w:p>
    <w:p w:rsidRPr="008D1918" w:rsidR="000E3523" w:rsidRDefault="000E3523" w14:paraId="758C8719" w14:textId="77777777">
      <w:pPr>
        <w:spacing w:before="120" w:after="60" w:line="240" w:lineRule="atLeast"/>
        <w:rPr>
          <w:b/>
          <w:sz w:val="20"/>
          <w:szCs w:val="20"/>
          <w:lang w:val="en-AU"/>
        </w:rPr>
      </w:pPr>
      <w:r w:rsidRPr="008D1918">
        <w:rPr>
          <w:b/>
          <w:sz w:val="20"/>
          <w:szCs w:val="20"/>
          <w:lang w:val="en-AU"/>
        </w:rPr>
        <w:t>Source: NDIA calculations using prices received from other government funding schemes</w:t>
      </w:r>
    </w:p>
    <w:p w:rsidRPr="008D1918" w:rsidR="000E3523" w:rsidP="002B66D6" w:rsidRDefault="000E3523" w14:paraId="2B27C5F1" w14:textId="1D5BB5CF">
      <w:pPr>
        <w:spacing w:before="120" w:after="360" w:line="240" w:lineRule="atLeast"/>
        <w:rPr>
          <w:rFonts w:cs="Calibri" w:eastAsiaTheme="minorEastAsia"/>
          <w:sz w:val="20"/>
          <w:szCs w:val="20"/>
          <w:lang w:val="en-AU"/>
        </w:rPr>
      </w:pPr>
      <w:bookmarkStart w:name="_Toc195538951" w:id="1318"/>
      <w:bookmarkStart w:name="_Toc200103531" w:id="1319"/>
      <w:r w:rsidRPr="008D1918">
        <w:rPr>
          <w:rFonts w:cs="Calibri" w:eastAsiaTheme="minorEastAsia"/>
          <w:sz w:val="20"/>
          <w:szCs w:val="20"/>
          <w:lang w:val="en-AU"/>
        </w:rPr>
        <w:t>Note: The multiple NDIS data points per therapy type indicates prices for non-remote, remote and very remote areas.</w:t>
      </w:r>
    </w:p>
    <w:p w:rsidRPr="008D1918" w:rsidR="000E3523" w:rsidRDefault="0014184A" w14:paraId="4EF73D36" w14:textId="3578C3C9">
      <w:pPr>
        <w:rPr>
          <w:rFonts w:cs="Calibri" w:eastAsiaTheme="minorEastAsia"/>
          <w:sz w:val="32"/>
          <w:szCs w:val="32"/>
          <w:lang w:val="en-AU"/>
        </w:rPr>
      </w:pPr>
      <w:r w:rsidRPr="008D1918">
        <w:rPr>
          <w:lang w:val="en-AU" w:bidi="th-TH"/>
        </w:rPr>
        <w:t>NDIS prices are generally comparable with these schemes</w:t>
      </w:r>
      <w:r w:rsidRPr="008D1918" w:rsidR="00CA3F76">
        <w:rPr>
          <w:lang w:val="en-AU" w:bidi="th-TH"/>
        </w:rPr>
        <w:t xml:space="preserve">, with broad overall alignment. Psychology pricing </w:t>
      </w:r>
      <w:r w:rsidRPr="008D1918" w:rsidR="00411D44">
        <w:rPr>
          <w:lang w:val="en-AU" w:bidi="th-TH"/>
        </w:rPr>
        <w:t>sits below the median across comparative schemes, supporting the case for</w:t>
      </w:r>
      <w:r w:rsidRPr="008D1918" w:rsidR="00B92C7A">
        <w:rPr>
          <w:lang w:val="en-AU" w:bidi="th-TH"/>
        </w:rPr>
        <w:t xml:space="preserve"> an increase. Occupational </w:t>
      </w:r>
      <w:r w:rsidR="000E7B76">
        <w:rPr>
          <w:lang w:val="en-AU" w:bidi="th-TH"/>
        </w:rPr>
        <w:t>t</w:t>
      </w:r>
      <w:r w:rsidRPr="008D1918" w:rsidR="000E7B76">
        <w:rPr>
          <w:lang w:val="en-AU" w:bidi="th-TH"/>
        </w:rPr>
        <w:t xml:space="preserve">herapy </w:t>
      </w:r>
      <w:r w:rsidRPr="008D1918" w:rsidR="00B92C7A">
        <w:rPr>
          <w:lang w:val="en-AU" w:bidi="th-TH"/>
        </w:rPr>
        <w:t xml:space="preserve">and </w:t>
      </w:r>
      <w:r w:rsidR="000E7B76">
        <w:rPr>
          <w:lang w:val="en-AU" w:bidi="th-TH"/>
        </w:rPr>
        <w:t>s</w:t>
      </w:r>
      <w:r w:rsidRPr="008D1918" w:rsidR="000E7B76">
        <w:rPr>
          <w:lang w:val="en-AU" w:bidi="th-TH"/>
        </w:rPr>
        <w:t xml:space="preserve">peech </w:t>
      </w:r>
      <w:r w:rsidR="000E7B76">
        <w:rPr>
          <w:lang w:val="en-AU" w:bidi="th-TH"/>
        </w:rPr>
        <w:t>p</w:t>
      </w:r>
      <w:r w:rsidRPr="008D1918" w:rsidR="000E7B76">
        <w:rPr>
          <w:lang w:val="en-AU" w:bidi="th-TH"/>
        </w:rPr>
        <w:t xml:space="preserve">athology </w:t>
      </w:r>
      <w:r w:rsidRPr="008D1918" w:rsidR="00FD15B7">
        <w:rPr>
          <w:lang w:val="en-AU" w:bidi="th-TH"/>
        </w:rPr>
        <w:t xml:space="preserve">are priced consistently lower under these schemes. These schemes often incorporate defined billing rules and tighter controls on indirect activity. </w:t>
      </w:r>
    </w:p>
    <w:p w:rsidRPr="008D1918" w:rsidR="000E3523" w:rsidP="00041468" w:rsidRDefault="000E3523" w14:paraId="7DF42F35" w14:textId="77777777">
      <w:pPr>
        <w:pStyle w:val="StyleStyle112pt"/>
      </w:pPr>
      <w:bookmarkStart w:name="_Toc223428466" w:id="1320"/>
      <w:bookmarkStart w:name="_Toc223445934" w:id="1321"/>
      <w:bookmarkStart w:name="_Toc223539712" w:id="1322"/>
      <w:bookmarkStart w:name="_Toc223539926" w:id="1323"/>
      <w:bookmarkStart w:name="_Toc223540394" w:id="1324"/>
      <w:bookmarkStart w:name="_Toc223540610" w:id="1325"/>
      <w:bookmarkStart w:name="_Toc223542149" w:id="1326"/>
      <w:bookmarkStart w:name="_Toc223604335" w:id="1327"/>
      <w:bookmarkStart w:name="_Toc223604546" w:id="1328"/>
      <w:bookmarkStart w:name="_Toc223604768" w:id="1329"/>
      <w:bookmarkStart w:name="_Toc223618628" w:id="1330"/>
      <w:bookmarkStart w:name="_Toc223702862" w:id="1331"/>
      <w:bookmarkStart w:name="_Toc227318753" w:id="1332"/>
      <w:bookmarkStart w:name="_Toc227337121" w:id="1333"/>
      <w:r w:rsidRPr="008D1918">
        <w:t>Transaction-level price benchmarking</w:t>
      </w:r>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p>
    <w:p w:rsidRPr="008D1918" w:rsidR="000E3523" w:rsidRDefault="000E3523" w14:paraId="1BC4085B" w14:textId="2E56B969">
      <w:pPr>
        <w:rPr>
          <w:lang w:val="en-AU"/>
        </w:rPr>
      </w:pPr>
      <w:r w:rsidRPr="008D1918">
        <w:rPr>
          <w:lang w:val="en-AU"/>
        </w:rPr>
        <w:t xml:space="preserve">Transaction-level data from </w:t>
      </w:r>
      <w:r w:rsidRPr="008D1918" w:rsidR="00186248">
        <w:rPr>
          <w:lang w:val="en-AU"/>
        </w:rPr>
        <w:t xml:space="preserve">7 </w:t>
      </w:r>
      <w:r w:rsidRPr="008D1918">
        <w:rPr>
          <w:lang w:val="en-AU"/>
        </w:rPr>
        <w:t xml:space="preserve">Commonwealth and relevant state-funded government schemes were analysed using the NDIA’s benchmarking method. </w:t>
      </w:r>
      <w:r w:rsidRPr="008D1918" w:rsidR="000B1844">
        <w:rPr>
          <w:lang w:val="en-AU"/>
        </w:rPr>
        <w:t>O</w:t>
      </w:r>
      <w:r w:rsidRPr="008D1918">
        <w:rPr>
          <w:lang w:val="en-AU"/>
        </w:rPr>
        <w:t xml:space="preserve">nly 7 of the 13 schemes provided data </w:t>
      </w:r>
      <w:r w:rsidRPr="008D1918" w:rsidR="00612833">
        <w:rPr>
          <w:lang w:val="en-AU"/>
        </w:rPr>
        <w:t>with</w:t>
      </w:r>
      <w:r w:rsidRPr="008D1918" w:rsidR="00EE5A9E">
        <w:rPr>
          <w:lang w:val="en-AU"/>
        </w:rPr>
        <w:t xml:space="preserve"> visibility of the </w:t>
      </w:r>
      <w:r w:rsidRPr="008D1918" w:rsidR="00D97531">
        <w:rPr>
          <w:lang w:val="en-AU"/>
        </w:rPr>
        <w:t xml:space="preserve">providers full charge per visit </w:t>
      </w:r>
      <w:r w:rsidRPr="008D1918" w:rsidR="00BF46AC">
        <w:rPr>
          <w:lang w:val="en-AU"/>
        </w:rPr>
        <w:t>including gap payments. Aggregate expenditures of claim amounts without visit-level breakdown were excluded.</w:t>
      </w:r>
    </w:p>
    <w:p w:rsidRPr="008D1918" w:rsidR="00BF46AC" w:rsidRDefault="00BF46AC" w14:paraId="3DDD4095" w14:textId="341CDB09">
      <w:pPr>
        <w:rPr>
          <w:lang w:val="en-AU"/>
        </w:rPr>
      </w:pPr>
      <w:r w:rsidRPr="008D1918">
        <w:rPr>
          <w:lang w:val="en-AU"/>
        </w:rPr>
        <w:t>When grouped by scheme type, CTP (moto</w:t>
      </w:r>
      <w:r w:rsidRPr="008D1918" w:rsidR="00340597">
        <w:rPr>
          <w:lang w:val="en-AU"/>
        </w:rPr>
        <w:t>r</w:t>
      </w:r>
      <w:r w:rsidRPr="008D1918">
        <w:rPr>
          <w:lang w:val="en-AU"/>
        </w:rPr>
        <w:t xml:space="preserve"> accident) schemes pay systematically higher rates than workers’ compensation schemes across all therapy types except </w:t>
      </w:r>
      <w:r w:rsidR="00AC4F4A">
        <w:rPr>
          <w:lang w:val="en-AU"/>
        </w:rPr>
        <w:t>s</w:t>
      </w:r>
      <w:r w:rsidRPr="008D1918" w:rsidR="00AC4F4A">
        <w:rPr>
          <w:lang w:val="en-AU"/>
        </w:rPr>
        <w:t xml:space="preserve">peech </w:t>
      </w:r>
      <w:r w:rsidR="00AC4F4A">
        <w:rPr>
          <w:lang w:val="en-AU"/>
        </w:rPr>
        <w:t>p</w:t>
      </w:r>
      <w:r w:rsidRPr="008D1918" w:rsidR="00AC4F4A">
        <w:rPr>
          <w:lang w:val="en-AU"/>
        </w:rPr>
        <w:t>atholog</w:t>
      </w:r>
      <w:r w:rsidR="00756822">
        <w:rPr>
          <w:lang w:val="en-AU"/>
        </w:rPr>
        <w:t>y</w:t>
      </w:r>
      <w:r w:rsidRPr="008D1918" w:rsidR="00473D1D">
        <w:rPr>
          <w:lang w:val="en-AU"/>
        </w:rPr>
        <w:t xml:space="preserve"> (</w:t>
      </w:r>
      <w:r w:rsidRPr="008D1918" w:rsidR="00473D1D">
        <w:rPr>
          <w:lang w:val="en-AU"/>
        </w:rPr>
        <w:fldChar w:fldCharType="begin"/>
      </w:r>
      <w:r w:rsidRPr="008D1918" w:rsidR="00473D1D">
        <w:rPr>
          <w:lang w:val="en-AU"/>
        </w:rPr>
        <w:instrText xml:space="preserve"> REF _Ref223625297 \h  \* MERGEFORMAT </w:instrText>
      </w:r>
      <w:r w:rsidRPr="008D1918" w:rsidR="00473D1D">
        <w:rPr>
          <w:lang w:val="en-AU"/>
        </w:rPr>
      </w:r>
      <w:r w:rsidRPr="008D1918" w:rsidR="00473D1D">
        <w:rPr>
          <w:lang w:val="en-AU"/>
        </w:rPr>
        <w:fldChar w:fldCharType="separate"/>
      </w:r>
      <w:r w:rsidRPr="008F56A2" w:rsidR="008F56A2">
        <w:rPr>
          <w:lang w:val="en-AU"/>
        </w:rPr>
        <w:t>Figure 29</w:t>
      </w:r>
      <w:r w:rsidRPr="008D1918" w:rsidR="00473D1D">
        <w:rPr>
          <w:lang w:val="en-AU"/>
        </w:rPr>
        <w:fldChar w:fldCharType="end"/>
      </w:r>
      <w:r w:rsidRPr="008D1918" w:rsidR="00A83580">
        <w:rPr>
          <w:lang w:val="en-AU"/>
        </w:rPr>
        <w:t xml:space="preserve"> </w:t>
      </w:r>
      <w:r w:rsidRPr="008D1918" w:rsidR="00473D1D">
        <w:rPr>
          <w:lang w:val="en-AU"/>
        </w:rPr>
        <w:t xml:space="preserve">and </w:t>
      </w:r>
      <w:r w:rsidRPr="008D1918" w:rsidR="00473D1D">
        <w:rPr>
          <w:lang w:val="en-AU"/>
        </w:rPr>
        <w:fldChar w:fldCharType="begin"/>
      </w:r>
      <w:r w:rsidRPr="008D1918" w:rsidR="00473D1D">
        <w:rPr>
          <w:lang w:val="en-AU"/>
        </w:rPr>
        <w:instrText xml:space="preserve"> REF _Ref223625424 \h  \* MERGEFORMAT </w:instrText>
      </w:r>
      <w:r w:rsidRPr="008D1918" w:rsidR="00473D1D">
        <w:rPr>
          <w:lang w:val="en-AU"/>
        </w:rPr>
      </w:r>
      <w:r w:rsidRPr="008D1918" w:rsidR="00473D1D">
        <w:rPr>
          <w:lang w:val="en-AU"/>
        </w:rPr>
        <w:fldChar w:fldCharType="separate"/>
      </w:r>
      <w:r w:rsidRPr="008F56A2" w:rsidR="008F56A2">
        <w:rPr>
          <w:lang w:val="en-AU"/>
        </w:rPr>
        <w:t>Figure 30</w:t>
      </w:r>
      <w:r w:rsidRPr="008D1918" w:rsidR="00473D1D">
        <w:rPr>
          <w:lang w:val="en-AU"/>
        </w:rPr>
        <w:fldChar w:fldCharType="end"/>
      </w:r>
      <w:r w:rsidRPr="008D1918" w:rsidR="00473D1D">
        <w:rPr>
          <w:lang w:val="en-AU"/>
        </w:rPr>
        <w:t>). This is consistent with the higher complexity and severity of motor accident claimants.</w:t>
      </w:r>
    </w:p>
    <w:p w:rsidRPr="008D1918" w:rsidR="000E3523" w:rsidP="008C74FE" w:rsidRDefault="000E3523" w14:paraId="463F149C" w14:textId="69D589B0">
      <w:pPr>
        <w:pStyle w:val="Caption"/>
        <w:rPr>
          <w:i w:val="0"/>
          <w:iCs w:val="0"/>
          <w:color w:val="6B2876" w:themeColor="accent5"/>
        </w:rPr>
      </w:pPr>
      <w:bookmarkStart w:name="_Ref223625297" w:id="1334"/>
      <w:r w:rsidRPr="008D1918">
        <w:rPr>
          <w:rFonts w:eastAsia="DengXian" w:cs="Cordia New"/>
          <w:color w:val="6B2876" w:themeColor="accent5"/>
        </w:rPr>
        <w:t xml:space="preserve">Figure </w:t>
      </w:r>
      <w:r w:rsidRPr="008D1918" w:rsidR="008C74FE">
        <w:rPr>
          <w:rFonts w:eastAsia="DengXian" w:cs="Cordia New"/>
          <w:color w:val="6B2876" w:themeColor="accent5"/>
        </w:rPr>
        <w:fldChar w:fldCharType="begin"/>
      </w:r>
      <w:r w:rsidRPr="008D1918" w:rsidR="008C74FE">
        <w:rPr>
          <w:rFonts w:eastAsia="DengXian" w:cs="Cordia New"/>
          <w:color w:val="6B2876" w:themeColor="accent5"/>
        </w:rPr>
        <w:instrText xml:space="preserve"> SEQ Figure \* ARABIC </w:instrText>
      </w:r>
      <w:r w:rsidRPr="008D1918" w:rsidR="008C74FE">
        <w:rPr>
          <w:rFonts w:eastAsia="DengXian" w:cs="Cordia New"/>
          <w:color w:val="6B2876" w:themeColor="accent5"/>
        </w:rPr>
        <w:fldChar w:fldCharType="separate"/>
      </w:r>
      <w:r w:rsidR="008F56A2">
        <w:rPr>
          <w:rFonts w:eastAsia="DengXian" w:cs="Cordia New"/>
          <w:noProof/>
          <w:color w:val="6B2876" w:themeColor="accent5"/>
        </w:rPr>
        <w:t>29</w:t>
      </w:r>
      <w:r w:rsidRPr="008D1918" w:rsidR="008C74FE">
        <w:rPr>
          <w:rFonts w:eastAsia="DengXian" w:cs="Cordia New"/>
          <w:color w:val="6B2876" w:themeColor="accent5"/>
        </w:rPr>
        <w:fldChar w:fldCharType="end"/>
      </w:r>
      <w:bookmarkEnd w:id="1334"/>
      <w:r w:rsidRPr="008D1918">
        <w:rPr>
          <w:rFonts w:eastAsia="DengXian" w:cs="Cordia New"/>
          <w:color w:val="6B2876" w:themeColor="accent5"/>
        </w:rPr>
        <w:t>: Individual state and Commonwealth schemes</w:t>
      </w:r>
      <w:r w:rsidRPr="008D1918">
        <w:rPr>
          <w:color w:val="6B2876" w:themeColor="accent5"/>
        </w:rPr>
        <w:t xml:space="preserve"> converted hourly rates</w:t>
      </w:r>
    </w:p>
    <w:p w:rsidRPr="008D1918" w:rsidR="00FC200D" w:rsidRDefault="00B72717" w14:paraId="640177B3" w14:textId="6D1A77F0">
      <w:pPr>
        <w:keepNext/>
        <w:spacing w:before="360" w:after="180" w:line="240" w:lineRule="auto"/>
        <w:rPr>
          <w:rFonts w:eastAsiaTheme="minorEastAsia" w:cstheme="minorBidi"/>
          <w:i/>
          <w:iCs/>
          <w:color w:val="6B2876" w:themeColor="accent5"/>
          <w:lang w:val="en-AU"/>
        </w:rPr>
      </w:pPr>
      <w:r w:rsidRPr="008D1918">
        <w:rPr>
          <w:rFonts w:eastAsiaTheme="minorEastAsia" w:cstheme="minorBidi"/>
          <w:i/>
          <w:iCs/>
          <w:noProof/>
          <w:color w:val="6B2876" w:themeColor="accent5"/>
          <w:lang w:val="en-AU"/>
        </w:rPr>
        <w:drawing>
          <wp:inline distT="0" distB="0" distL="0" distR="0" wp14:anchorId="16F1DE3D" wp14:editId="31C0A165">
            <wp:extent cx="6120000" cy="2814787"/>
            <wp:effectExtent l="0" t="0" r="0" b="5080"/>
            <wp:docPr id="262313288" name="Picture 5" descr="Figure 29: A graph showing Individual state and Commonwealth schemes converted hourly rates.&#10;The graph shows that the interquartile ranges and medians of estimated hourly prices by therapy for each de-identified government scheme where the therapy modality is covered, grouped into work cover schemes (WC) and motor accident schemes (CTP). At first glance, prices may appear varied and volatile. However, when the price benchmarking analysis is grouped by WC and CTP, the amounts paid by CTP schemes are systematically higher than for WC schemes, except for speech pathology.&#10;Source: State and Commonwealth schemes - Comcare, State Insurance Regulatory Authority, Insurance Commission of Western Australia, ReturnToWorkSA and Motor Accidents Insurance 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3288" name="Picture 5" descr="Figure 29: A graph showing Individual state and Commonwealth schemes converted hourly rates.&#10;The graph shows that the interquartile ranges and medians of estimated hourly prices by therapy for each de-identified government scheme where the therapy modality is covered, grouped into work cover schemes (WC) and motor accident schemes (CTP). At first glance, prices may appear varied and volatile. However, when the price benchmarking analysis is grouped by WC and CTP, the amounts paid by CTP schemes are systematically higher than for WC schemes, except for speech pathology.&#10;Source: State and Commonwealth schemes - Comcare, State Insurance Regulatory Authority, Insurance Commission of Western Australia, ReturnToWorkSA and Motor Accidents Insurance Board. "/>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6120000" cy="2814787"/>
                    </a:xfrm>
                    <a:prstGeom prst="rect">
                      <a:avLst/>
                    </a:prstGeom>
                    <a:noFill/>
                  </pic:spPr>
                </pic:pic>
              </a:graphicData>
            </a:graphic>
          </wp:inline>
        </w:drawing>
      </w:r>
    </w:p>
    <w:p w:rsidRPr="008D1918" w:rsidR="00276985" w:rsidP="001642F1" w:rsidRDefault="00276985" w14:paraId="1C0F11EE" w14:textId="2A5421DC">
      <w:pPr>
        <w:spacing w:before="360" w:after="360"/>
        <w:rPr>
          <w:rFonts w:cs="Arial"/>
          <w:b/>
          <w:sz w:val="20"/>
          <w:szCs w:val="20"/>
          <w:lang w:val="en-AU"/>
        </w:rPr>
      </w:pPr>
      <w:r w:rsidRPr="008D1918">
        <w:rPr>
          <w:rFonts w:cs="Arial"/>
          <w:b/>
          <w:bCs/>
          <w:sz w:val="20"/>
          <w:szCs w:val="20"/>
          <w:lang w:val="en-AU"/>
        </w:rPr>
        <w:t xml:space="preserve">Source: </w:t>
      </w:r>
      <w:r w:rsidRPr="008D1918" w:rsidR="645CFE6E">
        <w:rPr>
          <w:rFonts w:cs="Arial"/>
          <w:b/>
          <w:bCs/>
          <w:sz w:val="20"/>
          <w:szCs w:val="20"/>
          <w:lang w:val="en-AU"/>
        </w:rPr>
        <w:t xml:space="preserve">State and Commonwealth schemes </w:t>
      </w:r>
    </w:p>
    <w:p w:rsidRPr="008D1918" w:rsidR="000E3523" w:rsidP="00B50304" w:rsidRDefault="000E3523" w14:paraId="7AFCD29B" w14:textId="0C18F640">
      <w:pPr>
        <w:pStyle w:val="Caption"/>
        <w:rPr>
          <w:i w:val="0"/>
          <w:iCs w:val="0"/>
          <w:color w:val="6B2876" w:themeColor="accent5"/>
        </w:rPr>
      </w:pPr>
      <w:bookmarkStart w:name="_Ref223625424" w:id="1335"/>
      <w:r w:rsidRPr="008D1918">
        <w:t xml:space="preserve">Figure </w:t>
      </w:r>
      <w:r>
        <w:fldChar w:fldCharType="begin"/>
      </w:r>
      <w:r>
        <w:instrText>SEQ Figure \* ARABIC</w:instrText>
      </w:r>
      <w:r>
        <w:fldChar w:fldCharType="separate"/>
      </w:r>
      <w:r w:rsidR="008F56A2">
        <w:rPr>
          <w:noProof/>
        </w:rPr>
        <w:t>30</w:t>
      </w:r>
      <w:r>
        <w:fldChar w:fldCharType="end"/>
      </w:r>
      <w:bookmarkEnd w:id="1335"/>
      <w:r w:rsidRPr="008D1918" w:rsidR="00B50304">
        <w:t>:</w:t>
      </w:r>
      <w:r w:rsidRPr="008D1918">
        <w:t xml:space="preserve"> </w:t>
      </w:r>
      <w:r w:rsidRPr="008D1918">
        <w:rPr>
          <w:rFonts w:eastAsia="DengXian" w:cs="Cordia New"/>
          <w:color w:val="6B2876" w:themeColor="accent5"/>
        </w:rPr>
        <w:t>State and Commonwealth schemes</w:t>
      </w:r>
      <w:r w:rsidRPr="008D1918">
        <w:rPr>
          <w:color w:val="6B2876" w:themeColor="accent5"/>
        </w:rPr>
        <w:t xml:space="preserve"> aggregated by work cover and motor accident converted hourly rates</w:t>
      </w:r>
    </w:p>
    <w:p w:rsidRPr="008D1918" w:rsidR="00B72717" w:rsidRDefault="00DB7D80" w14:paraId="3FDEBE91" w14:textId="2052397E">
      <w:pPr>
        <w:keepNext/>
        <w:spacing w:before="360" w:after="180" w:line="240" w:lineRule="auto"/>
        <w:rPr>
          <w:rFonts w:eastAsiaTheme="minorEastAsia" w:cstheme="minorBidi"/>
          <w:i/>
          <w:iCs/>
          <w:color w:val="6B2876" w:themeColor="accent5"/>
          <w:lang w:val="en-AU"/>
        </w:rPr>
      </w:pPr>
      <w:r w:rsidRPr="008D1918">
        <w:rPr>
          <w:rFonts w:eastAsiaTheme="minorEastAsia" w:cstheme="minorBidi"/>
          <w:i/>
          <w:iCs/>
          <w:noProof/>
          <w:color w:val="6B2876" w:themeColor="accent5"/>
          <w:lang w:val="en-AU"/>
        </w:rPr>
        <w:drawing>
          <wp:inline distT="0" distB="0" distL="0" distR="0" wp14:anchorId="61C9BD05" wp14:editId="63CF78FB">
            <wp:extent cx="5832000" cy="3081469"/>
            <wp:effectExtent l="0" t="0" r="0" b="5080"/>
            <wp:docPr id="41881547" name="Picture 6" descr="Figure 30: A column graph showing the State and Commonwealth schemes aggregated by work cover and motor accident converted hourly rates.&#10;The graph shows price ranges for work cover and motor accident cover across various therapy supports. The data shows that the amounts paid by CTP schemes (Motor accident schemes) are systematically higher than for WC schemes (Work cover schemes).&#10;Source: State and Commonwealth schemes - Comcare, State Insurance Regulatory Authority, Insurance Commission of Western Australia, ReturnToWorkSA and Motor Accidents Insurance 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1547" name="Picture 6" descr="Figure 30: A column graph showing the State and Commonwealth schemes aggregated by work cover and motor accident converted hourly rates.&#10;The graph shows price ranges for work cover and motor accident cover across various therapy supports. The data shows that the amounts paid by CTP schemes (Motor accident schemes) are systematically higher than for WC schemes (Work cover schemes).&#10;Source: State and Commonwealth schemes - Comcare, State Insurance Regulatory Authority, Insurance Commission of Western Australia, ReturnToWorkSA and Motor Accidents Insurance Board. "/>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832000" cy="3081469"/>
                    </a:xfrm>
                    <a:prstGeom prst="rect">
                      <a:avLst/>
                    </a:prstGeom>
                    <a:noFill/>
                  </pic:spPr>
                </pic:pic>
              </a:graphicData>
            </a:graphic>
          </wp:inline>
        </w:drawing>
      </w:r>
    </w:p>
    <w:p w:rsidRPr="008D1918" w:rsidR="00874218" w:rsidP="00B82099" w:rsidRDefault="00B82099" w14:paraId="0DC04C81" w14:textId="5E8EC45A">
      <w:pPr>
        <w:spacing w:before="120" w:after="360"/>
        <w:rPr>
          <w:rFonts w:cs="Arial"/>
          <w:b/>
          <w:sz w:val="20"/>
          <w:szCs w:val="20"/>
          <w:lang w:val="en-AU"/>
        </w:rPr>
      </w:pPr>
      <w:r w:rsidRPr="008D1918">
        <w:rPr>
          <w:rFonts w:cs="Arial"/>
          <w:b/>
          <w:bCs/>
          <w:sz w:val="20"/>
          <w:szCs w:val="20"/>
          <w:lang w:val="en-AU"/>
        </w:rPr>
        <w:t>Source:</w:t>
      </w:r>
      <w:r w:rsidRPr="008D1918" w:rsidR="15561184">
        <w:rPr>
          <w:rFonts w:cs="Arial"/>
          <w:b/>
          <w:bCs/>
          <w:sz w:val="20"/>
          <w:szCs w:val="20"/>
          <w:lang w:val="en-AU"/>
        </w:rPr>
        <w:t xml:space="preserve"> State and Commonwealth schemes </w:t>
      </w:r>
    </w:p>
    <w:p w:rsidRPr="008D1918" w:rsidR="000E3523" w:rsidP="00900870" w:rsidRDefault="000E3523" w14:paraId="3DB5643C" w14:textId="77777777">
      <w:pPr>
        <w:pStyle w:val="Heading31"/>
      </w:pPr>
      <w:bookmarkStart w:name="_Toc223428467" w:id="1336"/>
      <w:bookmarkStart w:name="_Toc223445935" w:id="1337"/>
      <w:bookmarkStart w:name="_Toc223532350" w:id="1338"/>
      <w:bookmarkStart w:name="_Toc223538849" w:id="1339"/>
      <w:bookmarkStart w:name="_Toc223539105" w:id="1340"/>
      <w:bookmarkStart w:name="_Toc223539464" w:id="1341"/>
      <w:bookmarkStart w:name="_Toc223539713" w:id="1342"/>
      <w:bookmarkStart w:name="_Toc223541486" w:id="1343"/>
      <w:bookmarkStart w:name="_Toc223541708" w:id="1344"/>
      <w:bookmarkStart w:name="_Toc223542150" w:id="1345"/>
      <w:bookmarkStart w:name="_Toc223604336" w:id="1346"/>
      <w:bookmarkStart w:name="_Toc223604547" w:id="1347"/>
      <w:bookmarkStart w:name="_Toc223604769" w:id="1348"/>
      <w:bookmarkStart w:name="_Toc223618629" w:id="1349"/>
      <w:bookmarkStart w:name="_Toc223539714" w:id="1350"/>
      <w:bookmarkStart w:name="_Toc223539927" w:id="1351"/>
      <w:bookmarkStart w:name="_Toc223540395" w:id="1352"/>
      <w:bookmarkStart w:name="_Toc223540611" w:id="1353"/>
      <w:bookmarkStart w:name="_Toc223542151" w:id="1354"/>
      <w:bookmarkStart w:name="_Toc223604337" w:id="1355"/>
      <w:bookmarkStart w:name="_Toc223604548" w:id="1356"/>
      <w:bookmarkStart w:name="_Toc227337122" w:id="1357"/>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r w:rsidRPr="008D1918">
        <w:t>Consultation</w:t>
      </w:r>
      <w:bookmarkEnd w:id="1350"/>
      <w:bookmarkEnd w:id="1351"/>
      <w:bookmarkEnd w:id="1352"/>
      <w:bookmarkEnd w:id="1353"/>
      <w:bookmarkEnd w:id="1354"/>
      <w:bookmarkEnd w:id="1355"/>
      <w:bookmarkEnd w:id="1356"/>
      <w:bookmarkEnd w:id="1357"/>
      <w:r w:rsidRPr="008D1918">
        <w:t xml:space="preserve"> </w:t>
      </w:r>
    </w:p>
    <w:p w:rsidRPr="008D1918" w:rsidR="000E3523" w:rsidP="00041468" w:rsidRDefault="000E3523" w14:paraId="72D31BF9" w14:textId="038B3D28">
      <w:pPr>
        <w:pStyle w:val="StyleStyle112pt"/>
      </w:pPr>
      <w:bookmarkStart w:name="_Toc223428469" w:id="1358"/>
      <w:bookmarkStart w:name="_Toc223445937" w:id="1359"/>
      <w:bookmarkStart w:name="_Toc223539715" w:id="1360"/>
      <w:bookmarkStart w:name="_Toc223539928" w:id="1361"/>
      <w:bookmarkStart w:name="_Toc223540396" w:id="1362"/>
      <w:bookmarkStart w:name="_Toc223540612" w:id="1363"/>
      <w:bookmarkStart w:name="_Toc223542152" w:id="1364"/>
      <w:bookmarkStart w:name="_Toc223604338" w:id="1365"/>
      <w:bookmarkStart w:name="_Toc223604549" w:id="1366"/>
      <w:bookmarkStart w:name="_Toc223604771" w:id="1367"/>
      <w:bookmarkStart w:name="_Toc223618631" w:id="1368"/>
      <w:bookmarkStart w:name="_Toc223702864" w:id="1369"/>
      <w:bookmarkStart w:name="_Toc227318755" w:id="1370"/>
      <w:bookmarkStart w:name="_Toc227337123" w:id="1371"/>
      <w:r w:rsidRPr="008D1918">
        <w:t xml:space="preserve">Participant </w:t>
      </w:r>
      <w:r w:rsidRPr="008D1918" w:rsidR="00CB015B">
        <w:t>c</w:t>
      </w:r>
      <w:r w:rsidRPr="008D1918">
        <w:t>onsultation</w:t>
      </w:r>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r w:rsidRPr="008D1918">
        <w:t xml:space="preserve"> </w:t>
      </w:r>
    </w:p>
    <w:p w:rsidRPr="008D1918" w:rsidR="000E3523" w:rsidRDefault="001D6010" w14:paraId="3280BFBD" w14:textId="35F7CEA2">
      <w:pPr>
        <w:rPr>
          <w:lang w:val="en-AU"/>
        </w:rPr>
      </w:pPr>
      <w:r w:rsidRPr="008D1918">
        <w:rPr>
          <w:lang w:val="en-AU"/>
        </w:rPr>
        <w:t xml:space="preserve">Participant </w:t>
      </w:r>
      <w:r w:rsidRPr="008D1918" w:rsidR="006E0632">
        <w:rPr>
          <w:lang w:val="en-AU"/>
        </w:rPr>
        <w:t>consultation provides useful insight into how therapy supports are experienced and valued, but it is not treated in this chapter as a substitute for empirical pricing evidence. Participants reported that therapist capability, disability-specific experience, rapport and convenience matter more than price when selecting a provider. At the same time, respondents were clear that pric</w:t>
      </w:r>
      <w:r w:rsidRPr="008D1918" w:rsidR="00D9477F">
        <w:rPr>
          <w:lang w:val="en-AU"/>
        </w:rPr>
        <w:t>es</w:t>
      </w:r>
      <w:r w:rsidRPr="008D1918" w:rsidR="006E0632">
        <w:rPr>
          <w:lang w:val="en-AU"/>
        </w:rPr>
        <w:t xml:space="preserve"> matter where they affect </w:t>
      </w:r>
      <w:r w:rsidRPr="008D1918" w:rsidR="00974376">
        <w:rPr>
          <w:lang w:val="en-AU"/>
        </w:rPr>
        <w:t xml:space="preserve">how many therapy hours a plan can purchase or whether providers are willing to travel. Concerns about losing hours, losing an existing provider, or having more plan funds absorbed by travel </w:t>
      </w:r>
      <w:r w:rsidRPr="008D1918" w:rsidR="00FA5C9D">
        <w:rPr>
          <w:lang w:val="en-AU"/>
        </w:rPr>
        <w:t xml:space="preserve">were prominent, particularly for </w:t>
      </w:r>
      <w:r w:rsidRPr="008D1918" w:rsidR="00B8065B">
        <w:rPr>
          <w:lang w:val="en-AU"/>
        </w:rPr>
        <w:t>plan</w:t>
      </w:r>
      <w:r w:rsidR="00B8065B">
        <w:rPr>
          <w:lang w:val="en-AU"/>
        </w:rPr>
        <w:t>-</w:t>
      </w:r>
      <w:r w:rsidRPr="008D1918" w:rsidR="00FA5C9D">
        <w:rPr>
          <w:lang w:val="en-AU"/>
        </w:rPr>
        <w:t xml:space="preserve">managed </w:t>
      </w:r>
      <w:r w:rsidRPr="008D1918" w:rsidR="001B024D">
        <w:rPr>
          <w:lang w:val="en-AU"/>
        </w:rPr>
        <w:t xml:space="preserve">participants, rural and remote participants, and families with younger children. </w:t>
      </w:r>
    </w:p>
    <w:p w:rsidRPr="008D1918" w:rsidR="001B024D" w:rsidRDefault="001B024D" w14:paraId="3DF6A7CB" w14:textId="24E631FB">
      <w:pPr>
        <w:rPr>
          <w:lang w:val="en-AU"/>
        </w:rPr>
      </w:pPr>
      <w:r w:rsidRPr="008D1918">
        <w:rPr>
          <w:lang w:val="en-AU"/>
        </w:rPr>
        <w:t>These responses indicate participant choice in therapy is real but constrained by budget effects. They also reinforce that practical consequences of pricing reform are experienced less through headline price levels than through purchasing power</w:t>
      </w:r>
      <w:r w:rsidRPr="008D1918" w:rsidR="007C64D7">
        <w:rPr>
          <w:lang w:val="en-AU"/>
        </w:rPr>
        <w:t xml:space="preserve">, </w:t>
      </w:r>
      <w:r w:rsidRPr="008D1918" w:rsidR="00C4451C">
        <w:rPr>
          <w:lang w:val="en-AU"/>
        </w:rPr>
        <w:t>continuity</w:t>
      </w:r>
      <w:r w:rsidRPr="008D1918" w:rsidR="007C64D7">
        <w:rPr>
          <w:lang w:val="en-AU"/>
        </w:rPr>
        <w:t xml:space="preserve"> and access to home-based delivery. </w:t>
      </w:r>
      <w:r w:rsidRPr="008D1918" w:rsidR="00C4451C">
        <w:rPr>
          <w:lang w:val="en-AU"/>
        </w:rPr>
        <w:t>Consultation</w:t>
      </w:r>
      <w:r w:rsidRPr="008D1918" w:rsidR="007C64D7">
        <w:rPr>
          <w:lang w:val="en-AU"/>
        </w:rPr>
        <w:t xml:space="preserve"> therefore helps identify </w:t>
      </w:r>
      <w:r w:rsidRPr="008D1918" w:rsidR="00C4451C">
        <w:rPr>
          <w:lang w:val="en-AU"/>
        </w:rPr>
        <w:t xml:space="preserve">participant risks that should be considered when </w:t>
      </w:r>
      <w:r w:rsidRPr="008D1918" w:rsidR="00E2522F">
        <w:rPr>
          <w:lang w:val="en-AU"/>
        </w:rPr>
        <w:t>recommending changes</w:t>
      </w:r>
      <w:r w:rsidRPr="008D1918" w:rsidR="00C4451C">
        <w:rPr>
          <w:lang w:val="en-AU"/>
        </w:rPr>
        <w:t xml:space="preserve"> and when designing claiming reforms. </w:t>
      </w:r>
    </w:p>
    <w:p w:rsidRPr="008D1918" w:rsidR="000E3523" w:rsidP="00041468" w:rsidRDefault="000E3523" w14:paraId="10489220" w14:textId="190A84B1">
      <w:pPr>
        <w:pStyle w:val="StyleStyle112pt"/>
      </w:pPr>
      <w:bookmarkStart w:name="_Toc223428470" w:id="1372"/>
      <w:bookmarkStart w:name="_Toc223445938" w:id="1373"/>
      <w:bookmarkStart w:name="_Toc223539716" w:id="1374"/>
      <w:bookmarkStart w:name="_Toc223539929" w:id="1375"/>
      <w:bookmarkStart w:name="_Toc223540397" w:id="1376"/>
      <w:bookmarkStart w:name="_Toc223540613" w:id="1377"/>
      <w:bookmarkStart w:name="_Toc223542153" w:id="1378"/>
      <w:bookmarkStart w:name="_Toc223604339" w:id="1379"/>
      <w:bookmarkStart w:name="_Toc223604550" w:id="1380"/>
      <w:bookmarkStart w:name="_Toc223604772" w:id="1381"/>
      <w:bookmarkStart w:name="_Toc223618632" w:id="1382"/>
      <w:bookmarkStart w:name="_Toc223702865" w:id="1383"/>
      <w:bookmarkStart w:name="_Toc227318756" w:id="1384"/>
      <w:bookmarkStart w:name="_Toc227337124" w:id="1385"/>
      <w:r w:rsidRPr="008D1918">
        <w:t xml:space="preserve">Provider </w:t>
      </w:r>
      <w:r w:rsidRPr="008D1918" w:rsidR="00CB015B">
        <w:t>c</w:t>
      </w:r>
      <w:r w:rsidRPr="008D1918">
        <w:t>onsultation</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r w:rsidRPr="008D1918">
        <w:t xml:space="preserve"> </w:t>
      </w:r>
    </w:p>
    <w:p w:rsidRPr="008D1918" w:rsidR="00A36A2E" w:rsidP="00C4451C" w:rsidRDefault="00C4451C" w14:paraId="549B217F" w14:textId="130F79CA">
      <w:pPr>
        <w:rPr>
          <w:lang w:val="en-AU"/>
        </w:rPr>
      </w:pPr>
      <w:r w:rsidRPr="008D1918">
        <w:rPr>
          <w:lang w:val="en-AU"/>
        </w:rPr>
        <w:t>Provider consultation similarly informs interpretation rather than determining conclusions</w:t>
      </w:r>
      <w:r w:rsidRPr="008D1918" w:rsidR="00517051">
        <w:rPr>
          <w:lang w:val="en-AU"/>
        </w:rPr>
        <w:t>.</w:t>
      </w:r>
      <w:r w:rsidRPr="008D1918" w:rsidR="00663754">
        <w:rPr>
          <w:lang w:val="en-AU"/>
        </w:rPr>
        <w:t xml:space="preserve"> Therapy providers </w:t>
      </w:r>
      <w:r w:rsidRPr="008D1918" w:rsidR="0079558C">
        <w:rPr>
          <w:lang w:val="en-AU"/>
        </w:rPr>
        <w:t>reported delivering service</w:t>
      </w:r>
      <w:r w:rsidRPr="008D1918" w:rsidR="00EF4A25">
        <w:rPr>
          <w:lang w:val="en-AU"/>
        </w:rPr>
        <w:t>s</w:t>
      </w:r>
      <w:r w:rsidRPr="008D1918" w:rsidR="0079558C">
        <w:rPr>
          <w:lang w:val="en-AU"/>
        </w:rPr>
        <w:t xml:space="preserve"> under the NDIS requires more effort than under comparator systems, particularly </w:t>
      </w:r>
      <w:r w:rsidRPr="008D1918" w:rsidR="00A36A2E">
        <w:rPr>
          <w:lang w:val="en-AU"/>
        </w:rPr>
        <w:t>in documentation, assessment, family consultation and compliance. Providers also reported that a typical claimed session includes a material non-direct component, with average time allocations across all respondents of approximately 73</w:t>
      </w:r>
      <w:r w:rsidRPr="008D1918" w:rsidR="001E4164">
        <w:rPr>
          <w:lang w:val="en-AU"/>
        </w:rPr>
        <w:t>%</w:t>
      </w:r>
      <w:r w:rsidRPr="008D1918" w:rsidR="00A36A2E">
        <w:rPr>
          <w:lang w:val="en-AU"/>
        </w:rPr>
        <w:t xml:space="preserve"> direct therapy, 16</w:t>
      </w:r>
      <w:r w:rsidRPr="008D1918" w:rsidR="001E4164">
        <w:rPr>
          <w:lang w:val="en-AU"/>
        </w:rPr>
        <w:t>%</w:t>
      </w:r>
      <w:r w:rsidRPr="008D1918" w:rsidR="00A36A2E">
        <w:rPr>
          <w:lang w:val="en-AU"/>
        </w:rPr>
        <w:t xml:space="preserve"> documentation, 8</w:t>
      </w:r>
      <w:r w:rsidRPr="008D1918" w:rsidR="001E4164">
        <w:rPr>
          <w:lang w:val="en-AU"/>
        </w:rPr>
        <w:t>%</w:t>
      </w:r>
      <w:r w:rsidRPr="008D1918" w:rsidR="00A36A2E">
        <w:rPr>
          <w:lang w:val="en-AU"/>
        </w:rPr>
        <w:t xml:space="preserve"> coordination and 5</w:t>
      </w:r>
      <w:r w:rsidRPr="008D1918" w:rsidR="001E4164">
        <w:rPr>
          <w:lang w:val="en-AU"/>
        </w:rPr>
        <w:t>%</w:t>
      </w:r>
      <w:r w:rsidRPr="008D1918" w:rsidR="00A36A2E">
        <w:rPr>
          <w:lang w:val="en-AU"/>
        </w:rPr>
        <w:t xml:space="preserve"> other activities. Responses were broadly consistent across provider size and registration status. </w:t>
      </w:r>
    </w:p>
    <w:p w:rsidRPr="008D1918" w:rsidR="000E3523" w:rsidP="00C4451C" w:rsidRDefault="00A36A2E" w14:paraId="17511738" w14:textId="5945502C">
      <w:pPr>
        <w:rPr>
          <w:lang w:val="en-AU"/>
        </w:rPr>
      </w:pPr>
      <w:r w:rsidRPr="008D1918">
        <w:rPr>
          <w:lang w:val="en-AU"/>
        </w:rPr>
        <w:t xml:space="preserve">Provider views are useful in </w:t>
      </w:r>
      <w:r w:rsidRPr="008D1918" w:rsidR="00733BB3">
        <w:rPr>
          <w:lang w:val="en-AU"/>
        </w:rPr>
        <w:t>2</w:t>
      </w:r>
      <w:r w:rsidRPr="008D1918">
        <w:rPr>
          <w:lang w:val="en-AU"/>
        </w:rPr>
        <w:t xml:space="preserve"> ways. First, they provide context for interpreting comparator evidence in a market where the NDIS operates with different administrative and claiming arrangements. Second, they help explain why session </w:t>
      </w:r>
      <w:r w:rsidRPr="008D1918" w:rsidR="006F3149">
        <w:rPr>
          <w:lang w:val="en-AU"/>
        </w:rPr>
        <w:t xml:space="preserve">structure and transparency have become a policy issue in their own right. </w:t>
      </w:r>
      <w:r w:rsidRPr="008D1918" w:rsidR="00D87736">
        <w:rPr>
          <w:lang w:val="en-AU"/>
        </w:rPr>
        <w:t>P</w:t>
      </w:r>
      <w:r w:rsidRPr="008D1918" w:rsidR="006F3149">
        <w:rPr>
          <w:lang w:val="en-AU"/>
        </w:rPr>
        <w:t xml:space="preserve">rovider consultation </w:t>
      </w:r>
      <w:r w:rsidRPr="008D1918" w:rsidR="0050212F">
        <w:rPr>
          <w:lang w:val="en-AU"/>
        </w:rPr>
        <w:t xml:space="preserve">should be interpreted </w:t>
      </w:r>
      <w:r w:rsidRPr="008D1918" w:rsidR="00224187">
        <w:rPr>
          <w:lang w:val="en-AU"/>
        </w:rPr>
        <w:t>with this context in mind</w:t>
      </w:r>
      <w:r w:rsidRPr="008D1918" w:rsidR="007937F8">
        <w:rPr>
          <w:lang w:val="en-AU"/>
        </w:rPr>
        <w:t>, b</w:t>
      </w:r>
      <w:r w:rsidRPr="008D1918" w:rsidR="00224187">
        <w:rPr>
          <w:lang w:val="en-AU"/>
        </w:rPr>
        <w:t xml:space="preserve">ecause it reflects experience and incentives </w:t>
      </w:r>
      <w:r w:rsidRPr="008D1918" w:rsidR="00182A01">
        <w:rPr>
          <w:lang w:val="en-AU"/>
        </w:rPr>
        <w:t>within the current framework</w:t>
      </w:r>
      <w:r w:rsidR="00ED1B86">
        <w:rPr>
          <w:lang w:val="en-AU"/>
        </w:rPr>
        <w:t>. I</w:t>
      </w:r>
      <w:r w:rsidRPr="008D1918" w:rsidR="00182A01">
        <w:rPr>
          <w:lang w:val="en-AU"/>
        </w:rPr>
        <w:t xml:space="preserve">t is better read </w:t>
      </w:r>
      <w:r w:rsidRPr="008D1918" w:rsidR="006F3149">
        <w:rPr>
          <w:lang w:val="en-AU"/>
        </w:rPr>
        <w:t xml:space="preserve">as </w:t>
      </w:r>
      <w:r w:rsidRPr="008D1918" w:rsidR="00182A01">
        <w:rPr>
          <w:lang w:val="en-AU"/>
        </w:rPr>
        <w:t xml:space="preserve">informing the calibration of pricing </w:t>
      </w:r>
      <w:r w:rsidRPr="008D1918" w:rsidR="007C6882">
        <w:rPr>
          <w:lang w:val="en-AU"/>
        </w:rPr>
        <w:t xml:space="preserve">recommendations </w:t>
      </w:r>
      <w:r w:rsidRPr="008D1918" w:rsidR="00182A01">
        <w:rPr>
          <w:lang w:val="en-AU"/>
        </w:rPr>
        <w:t>than as an independent measure</w:t>
      </w:r>
      <w:r w:rsidRPr="008D1918" w:rsidR="006F3149">
        <w:rPr>
          <w:lang w:val="en-AU"/>
        </w:rPr>
        <w:t xml:space="preserve"> of the appropriate price level</w:t>
      </w:r>
      <w:r w:rsidRPr="008D1918" w:rsidR="00182A01">
        <w:rPr>
          <w:lang w:val="en-AU"/>
        </w:rPr>
        <w:t>.</w:t>
      </w:r>
      <w:r w:rsidRPr="008D1918" w:rsidR="00313651">
        <w:rPr>
          <w:lang w:val="en-AU"/>
        </w:rPr>
        <w:t xml:space="preserve"> That distinction is </w:t>
      </w:r>
      <w:r w:rsidRPr="008D1918" w:rsidR="00182A01">
        <w:rPr>
          <w:lang w:val="en-AU"/>
        </w:rPr>
        <w:t xml:space="preserve">worth preserving when drawing conclusions from the consultation evidence. </w:t>
      </w:r>
    </w:p>
    <w:p w:rsidRPr="008D1918" w:rsidR="00F53288" w:rsidP="00041468" w:rsidRDefault="00313651" w14:paraId="64242593" w14:textId="58E6ED5B">
      <w:pPr>
        <w:pStyle w:val="StyleStyle112pt"/>
      </w:pPr>
      <w:bookmarkStart w:name="_Toc227318757" w:id="1386"/>
      <w:bookmarkStart w:name="_Toc227337125" w:id="1387"/>
      <w:r w:rsidRPr="008D1918">
        <w:t xml:space="preserve">How consultation informs </w:t>
      </w:r>
      <w:r w:rsidRPr="008D1918" w:rsidR="00DF6405">
        <w:t>interpretation</w:t>
      </w:r>
      <w:bookmarkEnd w:id="1386"/>
      <w:bookmarkEnd w:id="1387"/>
    </w:p>
    <w:p w:rsidRPr="008D1918" w:rsidR="00D77BAF" w:rsidRDefault="00DF6405" w14:paraId="4EF380C7" w14:textId="03A4AEAD">
      <w:pPr>
        <w:rPr>
          <w:lang w:val="en-AU"/>
        </w:rPr>
      </w:pPr>
      <w:r w:rsidRPr="008D1918">
        <w:rPr>
          <w:lang w:val="en-AU"/>
        </w:rPr>
        <w:t>Participant responses are consistent with th</w:t>
      </w:r>
      <w:r w:rsidRPr="008D1918" w:rsidR="00FC0769">
        <w:rPr>
          <w:lang w:val="en-AU"/>
        </w:rPr>
        <w:t>is</w:t>
      </w:r>
      <w:r w:rsidRPr="008D1918">
        <w:rPr>
          <w:lang w:val="en-AU"/>
        </w:rPr>
        <w:t xml:space="preserve"> chapter’s market data in showing that therapy is a support category where access, continuity and home</w:t>
      </w:r>
      <w:r w:rsidRPr="008D1918" w:rsidR="00745708">
        <w:rPr>
          <w:lang w:val="en-AU"/>
        </w:rPr>
        <w:t>-</w:t>
      </w:r>
      <w:r w:rsidRPr="008D1918">
        <w:rPr>
          <w:lang w:val="en-AU"/>
        </w:rPr>
        <w:t xml:space="preserve">based delivery matter materially to </w:t>
      </w:r>
      <w:r w:rsidRPr="008D1918" w:rsidR="00745708">
        <w:rPr>
          <w:lang w:val="en-AU"/>
        </w:rPr>
        <w:t>participants</w:t>
      </w:r>
      <w:r w:rsidRPr="008D1918">
        <w:rPr>
          <w:lang w:val="en-AU"/>
        </w:rPr>
        <w:t xml:space="preserve">. Provider responses are consistent with the claim structure evidence in showing that therapy sessions often include a mix of direct and non-direct activity that is not clearly visible in current claims. Both sets of consultation therefore support </w:t>
      </w:r>
      <w:r w:rsidRPr="008D1918" w:rsidR="00D92D65">
        <w:rPr>
          <w:lang w:val="en-AU"/>
        </w:rPr>
        <w:t>t</w:t>
      </w:r>
      <w:r w:rsidRPr="008D1918">
        <w:rPr>
          <w:lang w:val="en-AU"/>
        </w:rPr>
        <w:t xml:space="preserve">he need for careful calibration of </w:t>
      </w:r>
      <w:r w:rsidRPr="008D1918" w:rsidR="007C6882">
        <w:rPr>
          <w:lang w:val="en-AU"/>
        </w:rPr>
        <w:t xml:space="preserve">recommended </w:t>
      </w:r>
      <w:r w:rsidRPr="008D1918">
        <w:rPr>
          <w:lang w:val="en-AU"/>
        </w:rPr>
        <w:t xml:space="preserve">price changes and for improvements to claiming transparency. </w:t>
      </w:r>
    </w:p>
    <w:p w:rsidRPr="008D1918" w:rsidR="00560E49" w:rsidP="001D163B" w:rsidRDefault="00DF6405" w14:paraId="1FA41BC7" w14:textId="4F638CD5">
      <w:pPr>
        <w:rPr>
          <w:lang w:val="en-AU"/>
        </w:rPr>
      </w:pPr>
      <w:r w:rsidRPr="008D1918">
        <w:rPr>
          <w:lang w:val="en-AU"/>
        </w:rPr>
        <w:t xml:space="preserve">At the same time, consultation should not be </w:t>
      </w:r>
      <w:r w:rsidRPr="008D1918" w:rsidR="001B2A3C">
        <w:rPr>
          <w:lang w:val="en-AU"/>
        </w:rPr>
        <w:t>used</w:t>
      </w:r>
      <w:r w:rsidRPr="008D1918">
        <w:rPr>
          <w:lang w:val="en-AU"/>
        </w:rPr>
        <w:t xml:space="preserve"> to do more than it can reasonably support. Participant concerns about access do not establish that a given </w:t>
      </w:r>
      <w:r w:rsidRPr="008D1918" w:rsidR="007C6882">
        <w:rPr>
          <w:lang w:val="en-AU"/>
        </w:rPr>
        <w:t xml:space="preserve">recommended </w:t>
      </w:r>
      <w:r w:rsidRPr="008D1918">
        <w:rPr>
          <w:lang w:val="en-AU"/>
        </w:rPr>
        <w:t>pr</w:t>
      </w:r>
      <w:r w:rsidRPr="008D1918" w:rsidR="00FE74D3">
        <w:rPr>
          <w:lang w:val="en-AU"/>
        </w:rPr>
        <w:t>ice is correct. Provider reports of greater effort under the NDIS do not, by themselves demonstrate that benchmark</w:t>
      </w:r>
      <w:r w:rsidRPr="008D1918" w:rsidR="007C6882">
        <w:rPr>
          <w:lang w:val="en-AU"/>
        </w:rPr>
        <w:t>s</w:t>
      </w:r>
      <w:r w:rsidRPr="008D1918" w:rsidR="00FE74D3">
        <w:rPr>
          <w:lang w:val="en-AU"/>
        </w:rPr>
        <w:t xml:space="preserve"> a</w:t>
      </w:r>
      <w:r w:rsidRPr="008D1918" w:rsidR="0027018B">
        <w:rPr>
          <w:lang w:val="en-AU"/>
        </w:rPr>
        <w:t>re inappropriate. The role of consultation in this chapter i</w:t>
      </w:r>
      <w:r w:rsidRPr="008D1918" w:rsidR="009D694E">
        <w:rPr>
          <w:lang w:val="en-AU"/>
        </w:rPr>
        <w:t>s</w:t>
      </w:r>
      <w:r w:rsidRPr="008D1918" w:rsidR="0027018B">
        <w:rPr>
          <w:lang w:val="en-AU"/>
        </w:rPr>
        <w:t xml:space="preserve"> to identify implementation risks, explain stakeholder experience, and help prioritise structural reform where existing data visibility is poor. </w:t>
      </w:r>
    </w:p>
    <w:p w:rsidRPr="008D1918" w:rsidR="000E3523" w:rsidP="00CD4EB4" w:rsidRDefault="000E3523" w14:paraId="1CF46EDA" w14:textId="1FB0902B">
      <w:pPr>
        <w:pStyle w:val="Heading31"/>
        <w:ind w:left="1077" w:hanging="720"/>
      </w:pPr>
      <w:bookmarkStart w:name="_Toc195538953" w:id="1388"/>
      <w:bookmarkStart w:name="_Toc195538995" w:id="1389"/>
      <w:bookmarkStart w:name="_Toc196754639" w:id="1390"/>
      <w:bookmarkStart w:name="_Toc196758241" w:id="1391"/>
      <w:bookmarkStart w:name="_Toc197344317" w:id="1392"/>
      <w:bookmarkStart w:name="_Toc200271646" w:id="1393"/>
      <w:bookmarkStart w:name="_Toc223539717" w:id="1394"/>
      <w:bookmarkStart w:name="_Toc223539930" w:id="1395"/>
      <w:bookmarkStart w:name="_Toc223540398" w:id="1396"/>
      <w:bookmarkStart w:name="_Toc223540614" w:id="1397"/>
      <w:bookmarkStart w:name="_Toc223542154" w:id="1398"/>
      <w:bookmarkStart w:name="_Toc223604340" w:id="1399"/>
      <w:bookmarkStart w:name="_Toc223604551" w:id="1400"/>
      <w:bookmarkStart w:name="_Toc227337126" w:id="1401"/>
      <w:bookmarkEnd w:id="1318"/>
      <w:bookmarkEnd w:id="1319"/>
      <w:r w:rsidRPr="008D1918">
        <w:t>Discussion</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rsidRPr="008D1918" w:rsidR="000E3523" w:rsidRDefault="00D12EA7" w14:paraId="4BF4B428" w14:textId="659A8458">
      <w:pPr>
        <w:rPr>
          <w:lang w:val="en-AU"/>
        </w:rPr>
      </w:pPr>
      <w:r w:rsidRPr="008D1918">
        <w:rPr>
          <w:lang w:val="en-AU"/>
        </w:rPr>
        <w:t xml:space="preserve">This chapter applies a </w:t>
      </w:r>
      <w:r w:rsidRPr="008D1918" w:rsidR="00C23F1C">
        <w:rPr>
          <w:lang w:val="en-AU"/>
        </w:rPr>
        <w:t>comparator</w:t>
      </w:r>
      <w:r w:rsidRPr="008D1918">
        <w:rPr>
          <w:lang w:val="en-AU"/>
        </w:rPr>
        <w:t>-based pricing approach to a support category that operates in broader professional labour markets. The benchmark</w:t>
      </w:r>
      <w:r w:rsidRPr="008D1918" w:rsidR="00DA3950">
        <w:rPr>
          <w:lang w:val="en-AU"/>
        </w:rPr>
        <w:t>ing</w:t>
      </w:r>
      <w:r w:rsidRPr="008D1918">
        <w:rPr>
          <w:lang w:val="en-AU"/>
        </w:rPr>
        <w:t xml:space="preserve"> results indicate </w:t>
      </w:r>
      <w:r w:rsidRPr="008D1918" w:rsidR="004D791C">
        <w:rPr>
          <w:lang w:val="en-AU"/>
        </w:rPr>
        <w:t>most therapy price</w:t>
      </w:r>
      <w:r w:rsidRPr="008D1918" w:rsidR="007C6882">
        <w:rPr>
          <w:lang w:val="en-AU"/>
        </w:rPr>
        <w:t>s</w:t>
      </w:r>
      <w:r w:rsidRPr="008D1918" w:rsidR="004D791C">
        <w:rPr>
          <w:lang w:val="en-AU"/>
        </w:rPr>
        <w:t xml:space="preserve"> remain broadly aligned with the Agency’s reference</w:t>
      </w:r>
      <w:r w:rsidRPr="008D1918" w:rsidR="00691A09">
        <w:rPr>
          <w:lang w:val="en-AU"/>
        </w:rPr>
        <w:t xml:space="preserve"> data</w:t>
      </w:r>
      <w:r w:rsidRPr="008D1918" w:rsidR="004D791C">
        <w:rPr>
          <w:lang w:val="en-AU"/>
        </w:rPr>
        <w:t xml:space="preserve">, with targeted movement supported only for a smaller number of modalities. The </w:t>
      </w:r>
      <w:r w:rsidRPr="008D1918" w:rsidR="00315397">
        <w:rPr>
          <w:lang w:val="en-AU"/>
        </w:rPr>
        <w:t>Agency</w:t>
      </w:r>
      <w:r w:rsidRPr="008D1918" w:rsidR="004D791C">
        <w:rPr>
          <w:lang w:val="en-AU"/>
        </w:rPr>
        <w:t xml:space="preserve"> </w:t>
      </w:r>
      <w:r w:rsidRPr="008D1918" w:rsidR="004D791C">
        <w:rPr>
          <w:lang w:val="en-AU"/>
        </w:rPr>
        <w:t>re</w:t>
      </w:r>
      <w:r w:rsidRPr="008D1918" w:rsidR="00F50400">
        <w:rPr>
          <w:lang w:val="en-AU"/>
        </w:rPr>
        <w:t>commendation</w:t>
      </w:r>
      <w:r w:rsidRPr="008D1918" w:rsidR="004D791C">
        <w:rPr>
          <w:lang w:val="en-AU"/>
        </w:rPr>
        <w:t xml:space="preserve"> is therefore selective adjustment</w:t>
      </w:r>
      <w:r w:rsidRPr="008D1918" w:rsidR="00750B48">
        <w:rPr>
          <w:lang w:val="en-AU"/>
        </w:rPr>
        <w:t>s</w:t>
      </w:r>
      <w:r w:rsidRPr="008D1918" w:rsidR="004D791C">
        <w:rPr>
          <w:lang w:val="en-AU"/>
        </w:rPr>
        <w:t xml:space="preserve"> where comparator evidence is clearest, rather than broad repricing across the therapy market. </w:t>
      </w:r>
    </w:p>
    <w:p w:rsidRPr="008D1918" w:rsidR="004D791C" w:rsidRDefault="00C23F1C" w14:paraId="2FFD8AC5" w14:textId="73D40C7E">
      <w:pPr>
        <w:rPr>
          <w:lang w:val="en-AU"/>
        </w:rPr>
      </w:pPr>
      <w:r w:rsidRPr="008D1918">
        <w:rPr>
          <w:lang w:val="en-AU"/>
        </w:rPr>
        <w:t>The chapter also finds how the Agency responds to the benchmark</w:t>
      </w:r>
      <w:r w:rsidRPr="008D1918" w:rsidR="00DA3950">
        <w:rPr>
          <w:lang w:val="en-AU"/>
        </w:rPr>
        <w:t>ing</w:t>
      </w:r>
      <w:r w:rsidRPr="008D1918">
        <w:rPr>
          <w:lang w:val="en-AU"/>
        </w:rPr>
        <w:t xml:space="preserve"> </w:t>
      </w:r>
      <w:r w:rsidRPr="008D1918" w:rsidR="00DA3950">
        <w:rPr>
          <w:lang w:val="en-AU"/>
        </w:rPr>
        <w:t xml:space="preserve">results </w:t>
      </w:r>
      <w:r w:rsidRPr="008D1918">
        <w:rPr>
          <w:lang w:val="en-AU"/>
        </w:rPr>
        <w:t xml:space="preserve">matters. Therapy markets remain capacity-constrained, provider numbers have recently declined in the unregistered market while demand has grown, and billing continues to cluster strongly at the </w:t>
      </w:r>
      <w:r w:rsidRPr="008D1918" w:rsidR="00391EF5">
        <w:rPr>
          <w:lang w:val="en-AU"/>
        </w:rPr>
        <w:t>60-minute</w:t>
      </w:r>
      <w:r w:rsidRPr="008D1918">
        <w:rPr>
          <w:lang w:val="en-AU"/>
        </w:rPr>
        <w:t xml:space="preserve"> </w:t>
      </w:r>
      <w:r w:rsidRPr="002B1A60" w:rsidR="00DF2C7F">
        <w:rPr>
          <w:lang w:val="en-AU"/>
        </w:rPr>
        <w:t>maximum</w:t>
      </w:r>
      <w:r w:rsidRPr="008D1918" w:rsidR="00DF2C7F">
        <w:rPr>
          <w:lang w:val="en-AU"/>
        </w:rPr>
        <w:t xml:space="preserve"> </w:t>
      </w:r>
      <w:r w:rsidRPr="008D1918">
        <w:rPr>
          <w:lang w:val="en-AU"/>
        </w:rPr>
        <w:t>price</w:t>
      </w:r>
      <w:r w:rsidRPr="008D1918" w:rsidR="00DF2C7F">
        <w:rPr>
          <w:lang w:val="en-AU"/>
        </w:rPr>
        <w:t xml:space="preserve"> promulgated by the NDIA</w:t>
      </w:r>
      <w:r w:rsidRPr="008D1918">
        <w:rPr>
          <w:lang w:val="en-AU"/>
        </w:rPr>
        <w:t xml:space="preserve">. These conditions do not displace the benchmark signal but support a measured approach to implementation rather than mechanical movement to any particular point within the comparator range. </w:t>
      </w:r>
    </w:p>
    <w:p w:rsidRPr="008D1918" w:rsidR="00C23F1C" w:rsidP="00041468" w:rsidRDefault="00480612" w14:paraId="0FBD1EA8" w14:textId="15C74764">
      <w:pPr>
        <w:pStyle w:val="StyleStyle112pt"/>
      </w:pPr>
      <w:bookmarkStart w:name="_Toc227318759" w:id="1402"/>
      <w:bookmarkStart w:name="_Toc227337127" w:id="1403"/>
      <w:r w:rsidRPr="008D1918">
        <w:t>Therapy activity composition</w:t>
      </w:r>
      <w:bookmarkEnd w:id="1402"/>
      <w:bookmarkEnd w:id="1403"/>
    </w:p>
    <w:p w:rsidRPr="008D1918" w:rsidR="00937DA7" w:rsidP="001D163B" w:rsidRDefault="00C23F1C" w14:paraId="1D55FA1D" w14:textId="64945EC8">
      <w:pPr>
        <w:rPr>
          <w:rFonts w:cs="Arial"/>
          <w:sz w:val="20"/>
          <w:szCs w:val="20"/>
          <w:lang w:val="en-AU"/>
        </w:rPr>
      </w:pPr>
      <w:r w:rsidRPr="008D1918">
        <w:rPr>
          <w:lang w:val="en-AU"/>
        </w:rPr>
        <w:t>APR consultation gives the Agency its clearest indication to date of what is commonly included within a claimed therapy session. Across 1,930 valid responses, providers reported that a typical claimed session comprised, on average, 73</w:t>
      </w:r>
      <w:r w:rsidRPr="008D1918" w:rsidR="001E4164">
        <w:rPr>
          <w:lang w:val="en-AU"/>
        </w:rPr>
        <w:t>%</w:t>
      </w:r>
      <w:r w:rsidRPr="008D1918">
        <w:rPr>
          <w:lang w:val="en-AU"/>
        </w:rPr>
        <w:t xml:space="preserve"> direct therapy, 15</w:t>
      </w:r>
      <w:r w:rsidRPr="008D1918" w:rsidR="001E4164">
        <w:rPr>
          <w:lang w:val="en-AU"/>
        </w:rPr>
        <w:t>%</w:t>
      </w:r>
      <w:r w:rsidRPr="008D1918">
        <w:rPr>
          <w:lang w:val="en-AU"/>
        </w:rPr>
        <w:t xml:space="preserve"> documentation, 8</w:t>
      </w:r>
      <w:r w:rsidRPr="008D1918" w:rsidR="001E4164">
        <w:rPr>
          <w:lang w:val="en-AU"/>
        </w:rPr>
        <w:t>%</w:t>
      </w:r>
      <w:r w:rsidRPr="008D1918">
        <w:rPr>
          <w:lang w:val="en-AU"/>
        </w:rPr>
        <w:t xml:space="preserve"> coordination and 5</w:t>
      </w:r>
      <w:r w:rsidRPr="008D1918" w:rsidR="001E4164">
        <w:rPr>
          <w:lang w:val="en-AU"/>
        </w:rPr>
        <w:t>%</w:t>
      </w:r>
      <w:r w:rsidRPr="008D1918">
        <w:rPr>
          <w:lang w:val="en-AU"/>
        </w:rPr>
        <w:t xml:space="preserve"> other activity. This indicates that a material share of claimed therapy time is commonly allocated to activities other than direct clinical contact</w:t>
      </w:r>
      <w:r w:rsidRPr="008D1918" w:rsidR="00F11049">
        <w:rPr>
          <w:lang w:val="en-AU"/>
        </w:rPr>
        <w:t>.</w:t>
      </w:r>
    </w:p>
    <w:p w:rsidRPr="008D1918" w:rsidR="00391EF5" w:rsidP="00391EF5" w:rsidRDefault="00C33F2F" w14:paraId="514DC937" w14:textId="15A58C02">
      <w:pPr>
        <w:rPr>
          <w:lang w:val="en-AU"/>
        </w:rPr>
      </w:pPr>
      <w:r w:rsidRPr="008D1918">
        <w:rPr>
          <w:lang w:val="en-AU"/>
        </w:rPr>
        <w:t xml:space="preserve">This has an important transparency implication. A participant, planner or reviewer may </w:t>
      </w:r>
      <w:r w:rsidRPr="008D1918" w:rsidR="00391EF5">
        <w:rPr>
          <w:lang w:val="en-AU"/>
        </w:rPr>
        <w:t>reasonably</w:t>
      </w:r>
      <w:r w:rsidRPr="008D1918">
        <w:rPr>
          <w:lang w:val="en-AU"/>
        </w:rPr>
        <w:t xml:space="preserve"> read a one-hour </w:t>
      </w:r>
      <w:r w:rsidRPr="008D1918" w:rsidR="00391EF5">
        <w:rPr>
          <w:lang w:val="en-AU"/>
        </w:rPr>
        <w:t>therapy</w:t>
      </w:r>
      <w:r w:rsidRPr="008D1918">
        <w:rPr>
          <w:lang w:val="en-AU"/>
        </w:rPr>
        <w:t xml:space="preserve"> claim as broadly equivalent to one hour of direct therapy. The survey results suggest this is often </w:t>
      </w:r>
      <w:r w:rsidRPr="008D1918" w:rsidR="00391EF5">
        <w:rPr>
          <w:lang w:val="en-AU"/>
        </w:rPr>
        <w:t>not</w:t>
      </w:r>
      <w:r w:rsidRPr="008D1918">
        <w:rPr>
          <w:lang w:val="en-AU"/>
        </w:rPr>
        <w:t xml:space="preserve"> the case. On the reported mean composition, a 60</w:t>
      </w:r>
      <w:r w:rsidRPr="008D1918" w:rsidR="00391EF5">
        <w:rPr>
          <w:lang w:val="en-AU"/>
        </w:rPr>
        <w:t>-</w:t>
      </w:r>
      <w:r w:rsidRPr="008D1918">
        <w:rPr>
          <w:lang w:val="en-AU"/>
        </w:rPr>
        <w:t xml:space="preserve">minute claimed session equates to approximately 45 minutes of direct therapy, with the remaining time typically </w:t>
      </w:r>
      <w:r w:rsidRPr="008D1918" w:rsidR="00391EF5">
        <w:rPr>
          <w:lang w:val="en-AU"/>
        </w:rPr>
        <w:t>allocated</w:t>
      </w:r>
      <w:r w:rsidRPr="008D1918">
        <w:rPr>
          <w:lang w:val="en-AU"/>
        </w:rPr>
        <w:t xml:space="preserve"> across documentation, coordination and other related activity</w:t>
      </w:r>
      <w:r w:rsidRPr="008D1918" w:rsidR="00391EF5">
        <w:rPr>
          <w:lang w:val="en-AU"/>
        </w:rPr>
        <w:t>. Longer claimed sessions also appear to have a progressively larger non-direct component (</w:t>
      </w:r>
      <w:r w:rsidRPr="008D1918" w:rsidR="00605E09">
        <w:rPr>
          <w:lang w:val="en-AU"/>
        </w:rPr>
        <w:fldChar w:fldCharType="begin"/>
      </w:r>
      <w:r w:rsidRPr="008D1918" w:rsidR="00605E09">
        <w:rPr>
          <w:lang w:val="en-AU"/>
        </w:rPr>
        <w:instrText xml:space="preserve"> REF _Ref228182338 \h </w:instrText>
      </w:r>
      <w:r w:rsidR="008D1918">
        <w:rPr>
          <w:lang w:val="en-AU"/>
        </w:rPr>
        <w:instrText xml:space="preserve"> \* MERGEFORMAT </w:instrText>
      </w:r>
      <w:r w:rsidRPr="008D1918" w:rsidR="00605E09">
        <w:rPr>
          <w:lang w:val="en-AU"/>
        </w:rPr>
      </w:r>
      <w:r w:rsidRPr="008D1918" w:rsidR="00605E09">
        <w:rPr>
          <w:lang w:val="en-AU"/>
        </w:rPr>
        <w:fldChar w:fldCharType="separate"/>
      </w:r>
      <w:r w:rsidRPr="008D1918" w:rsidR="008F56A2">
        <w:t>Tabl</w:t>
      </w:r>
      <w:bookmarkStart w:name="_Hlt231563183" w:id="1404"/>
      <w:r w:rsidRPr="008D1918" w:rsidR="008F56A2">
        <w:t>e</w:t>
      </w:r>
      <w:bookmarkEnd w:id="1404"/>
      <w:r w:rsidRPr="008D1918" w:rsidR="008F56A2">
        <w:t xml:space="preserve"> </w:t>
      </w:r>
      <w:r w:rsidR="008F56A2">
        <w:rPr>
          <w:noProof/>
        </w:rPr>
        <w:t>25</w:t>
      </w:r>
      <w:r w:rsidRPr="008D1918" w:rsidR="00605E09">
        <w:rPr>
          <w:lang w:val="en-AU"/>
        </w:rPr>
        <w:fldChar w:fldCharType="end"/>
      </w:r>
      <w:r w:rsidR="002D4A27">
        <w:rPr>
          <w:lang w:val="en-AU"/>
        </w:rPr>
        <w:t>).</w:t>
      </w:r>
      <w:r w:rsidRPr="008D1918" w:rsidR="00391EF5">
        <w:rPr>
          <w:lang w:val="en-AU"/>
        </w:rPr>
        <w:t xml:space="preserve"> </w:t>
      </w:r>
    </w:p>
    <w:p w:rsidRPr="008D1918" w:rsidR="00391EF5" w:rsidP="00391EF5" w:rsidRDefault="00391EF5" w14:paraId="302D28F6" w14:textId="75DA1E51">
      <w:pPr>
        <w:pStyle w:val="Caption"/>
        <w:rPr>
          <w:i w:val="0"/>
          <w:color w:val="6B2876" w:themeColor="accent5"/>
        </w:rPr>
      </w:pPr>
      <w:bookmarkStart w:name="_Ref228182338" w:id="1405"/>
      <w:r w:rsidRPr="008D1918">
        <w:t xml:space="preserve">Table </w:t>
      </w:r>
      <w:r>
        <w:fldChar w:fldCharType="begin"/>
      </w:r>
      <w:r>
        <w:instrText>SEQ Table \* ARABIC</w:instrText>
      </w:r>
      <w:r>
        <w:fldChar w:fldCharType="separate"/>
      </w:r>
      <w:r w:rsidR="008F56A2">
        <w:rPr>
          <w:noProof/>
        </w:rPr>
        <w:t>25</w:t>
      </w:r>
      <w:r>
        <w:fldChar w:fldCharType="end"/>
      </w:r>
      <w:bookmarkEnd w:id="1405"/>
      <w:r w:rsidRPr="008D1918">
        <w:rPr>
          <w:color w:val="6B2876" w:themeColor="accent5"/>
        </w:rPr>
        <w:t xml:space="preserve">: Reported </w:t>
      </w:r>
      <w:r w:rsidRPr="008D1918" w:rsidR="007D4ED3">
        <w:rPr>
          <w:color w:val="6B2876" w:themeColor="accent5"/>
        </w:rPr>
        <w:t xml:space="preserve">therapy </w:t>
      </w:r>
      <w:r w:rsidRPr="008D1918">
        <w:rPr>
          <w:color w:val="6B2876" w:themeColor="accent5"/>
        </w:rPr>
        <w:t>activity composition and session length</w:t>
      </w:r>
    </w:p>
    <w:tbl>
      <w:tblPr>
        <w:tblStyle w:val="GridTable4-Accent121"/>
        <w:tblW w:w="9109" w:type="dxa"/>
        <w:tblInd w:w="5" w:type="dxa"/>
        <w:tblLayout w:type="fixed"/>
        <w:tblLook w:val="04A0" w:firstRow="1" w:lastRow="0" w:firstColumn="1" w:lastColumn="0" w:noHBand="0" w:noVBand="1"/>
      </w:tblPr>
      <w:tblGrid>
        <w:gridCol w:w="1814"/>
        <w:gridCol w:w="1588"/>
        <w:gridCol w:w="1134"/>
        <w:gridCol w:w="1814"/>
        <w:gridCol w:w="1588"/>
        <w:gridCol w:w="1171"/>
      </w:tblGrid>
      <w:tr w:rsidRPr="008D1918" w:rsidR="00391EF5" w14:paraId="4473D1A4" w14:textId="77777777">
        <w:trPr>
          <w:cnfStyle w:val="100000000000" w:firstRow="1" w:lastRow="0" w:firstColumn="0" w:lastColumn="0" w:oddVBand="0" w:evenVBand="0" w:oddHBand="0" w:evenHBand="0" w:firstRowFirstColumn="0" w:firstRowLastColumn="0" w:lastRowFirstColumn="0" w:lastRowLastColumn="0"/>
          <w:trHeight w:val="940"/>
          <w:tblHeader/>
        </w:trPr>
        <w:tc>
          <w:tcPr>
            <w:cnfStyle w:val="001000000000" w:firstRow="0" w:lastRow="0" w:firstColumn="1" w:lastColumn="0" w:oddVBand="0" w:evenVBand="0" w:oddHBand="0" w:evenHBand="0" w:firstRowFirstColumn="0" w:firstRowLastColumn="0" w:lastRowFirstColumn="0" w:lastRowLastColumn="0"/>
            <w:tcW w:w="1814" w:type="dxa"/>
            <w:vAlign w:val="center"/>
          </w:tcPr>
          <w:p w:rsidRPr="008D1918" w:rsidR="00391EF5" w:rsidRDefault="00391EF5" w14:paraId="4F892102" w14:textId="77777777">
            <w:pPr>
              <w:keepNext/>
              <w:spacing w:before="60" w:after="60"/>
              <w:rPr>
                <w:rFonts w:cs="Arial"/>
                <w:sz w:val="20"/>
                <w:szCs w:val="20"/>
                <w:lang w:val="en-AU" w:eastAsia="en-AU"/>
              </w:rPr>
            </w:pPr>
            <w:r w:rsidRPr="008D1918">
              <w:rPr>
                <w:rFonts w:cs="Arial"/>
                <w:sz w:val="20"/>
                <w:szCs w:val="20"/>
                <w:lang w:val="en-AU" w:eastAsia="en-AU"/>
              </w:rPr>
              <w:t>Session length (minutes)</w:t>
            </w:r>
          </w:p>
        </w:tc>
        <w:tc>
          <w:tcPr>
            <w:tcW w:w="1588" w:type="dxa"/>
            <w:vAlign w:val="center"/>
          </w:tcPr>
          <w:p w:rsidRPr="008D1918" w:rsidR="00391EF5" w:rsidRDefault="00391EF5" w14:paraId="5AC43A0B" w14:textId="77777777">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Number of respondents</w:t>
            </w:r>
          </w:p>
        </w:tc>
        <w:tc>
          <w:tcPr>
            <w:tcW w:w="1134" w:type="dxa"/>
            <w:vAlign w:val="center"/>
          </w:tcPr>
          <w:p w:rsidRPr="008D1918" w:rsidR="00391EF5" w:rsidRDefault="00391EF5" w14:paraId="34F39C8D" w14:textId="77777777">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bCs w:val="0"/>
                <w:sz w:val="20"/>
                <w:szCs w:val="20"/>
                <w:lang w:val="en-AU" w:eastAsia="en-AU"/>
              </w:rPr>
            </w:pPr>
            <w:r w:rsidRPr="008D1918">
              <w:rPr>
                <w:rFonts w:cs="Arial"/>
                <w:bCs w:val="0"/>
                <w:sz w:val="20"/>
                <w:szCs w:val="20"/>
                <w:lang w:val="en-AU" w:eastAsia="en-AU"/>
              </w:rPr>
              <w:t>Direct therapy</w:t>
            </w:r>
          </w:p>
        </w:tc>
        <w:tc>
          <w:tcPr>
            <w:tcW w:w="1814" w:type="dxa"/>
            <w:vAlign w:val="center"/>
          </w:tcPr>
          <w:p w:rsidRPr="008D1918" w:rsidR="00391EF5" w:rsidRDefault="00391EF5" w14:paraId="00C99DED" w14:textId="77777777">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bCs w:val="0"/>
                <w:sz w:val="20"/>
                <w:szCs w:val="20"/>
                <w:lang w:val="en-AU" w:eastAsia="en-AU"/>
              </w:rPr>
            </w:pPr>
            <w:r w:rsidRPr="008D1918">
              <w:rPr>
                <w:rFonts w:cs="Arial"/>
                <w:bCs w:val="0"/>
                <w:sz w:val="20"/>
                <w:szCs w:val="20"/>
                <w:lang w:val="en-AU" w:eastAsia="en-AU"/>
              </w:rPr>
              <w:t>Documentation</w:t>
            </w:r>
          </w:p>
        </w:tc>
        <w:tc>
          <w:tcPr>
            <w:tcW w:w="1588" w:type="dxa"/>
            <w:vAlign w:val="center"/>
          </w:tcPr>
          <w:p w:rsidRPr="008D1918" w:rsidR="00391EF5" w:rsidRDefault="00391EF5" w14:paraId="51BC3243" w14:textId="77777777">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Coordination</w:t>
            </w:r>
          </w:p>
        </w:tc>
        <w:tc>
          <w:tcPr>
            <w:tcW w:w="1171" w:type="dxa"/>
            <w:vAlign w:val="center"/>
          </w:tcPr>
          <w:p w:rsidRPr="008D1918" w:rsidR="00391EF5" w:rsidRDefault="00391EF5" w14:paraId="3BE111C7" w14:textId="77777777">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bCs w:val="0"/>
                <w:sz w:val="20"/>
                <w:szCs w:val="20"/>
                <w:lang w:val="en-AU" w:eastAsia="en-AU"/>
              </w:rPr>
            </w:pPr>
            <w:r w:rsidRPr="008D1918">
              <w:rPr>
                <w:rFonts w:cs="Arial"/>
                <w:bCs w:val="0"/>
                <w:sz w:val="20"/>
                <w:szCs w:val="20"/>
                <w:lang w:val="en-AU" w:eastAsia="en-AU"/>
              </w:rPr>
              <w:t>Other activities</w:t>
            </w:r>
          </w:p>
        </w:tc>
      </w:tr>
      <w:tr w:rsidRPr="008D1918" w:rsidR="00391EF5" w14:paraId="569C38A5"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14" w:type="dxa"/>
            <w:vAlign w:val="center"/>
          </w:tcPr>
          <w:p w:rsidRPr="008D1918" w:rsidR="00391EF5" w:rsidRDefault="00391EF5" w14:paraId="2A3E4BF5" w14:textId="77777777">
            <w:pPr>
              <w:keepNext/>
              <w:spacing w:before="60" w:after="60"/>
              <w:rPr>
                <w:rFonts w:cs="Arial"/>
                <w:color w:val="000000" w:themeColor="accent6"/>
                <w:sz w:val="20"/>
                <w:szCs w:val="20"/>
                <w:lang w:val="en-AU" w:eastAsia="en-AU"/>
              </w:rPr>
            </w:pPr>
            <w:r w:rsidRPr="008D1918">
              <w:rPr>
                <w:rFonts w:cs="Arial"/>
                <w:color w:val="000000" w:themeColor="accent6"/>
                <w:sz w:val="20"/>
                <w:szCs w:val="20"/>
                <w:lang w:val="en-AU" w:eastAsia="en-AU"/>
              </w:rPr>
              <w:t>30–45</w:t>
            </w:r>
          </w:p>
        </w:tc>
        <w:tc>
          <w:tcPr>
            <w:tcW w:w="1588" w:type="dxa"/>
            <w:vAlign w:val="center"/>
          </w:tcPr>
          <w:p w:rsidRPr="008D1918" w:rsidR="00391EF5" w:rsidRDefault="00391EF5" w14:paraId="32F4C581" w14:textId="77777777">
            <w:pPr>
              <w:keepNext/>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57</w:t>
            </w:r>
          </w:p>
        </w:tc>
        <w:tc>
          <w:tcPr>
            <w:tcW w:w="1134" w:type="dxa"/>
            <w:vAlign w:val="center"/>
          </w:tcPr>
          <w:p w:rsidRPr="008D1918" w:rsidR="00391EF5" w:rsidRDefault="00391EF5" w14:paraId="7349B4FC" w14:textId="77777777">
            <w:pPr>
              <w:keepNext/>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 xml:space="preserve">77.4% </w:t>
            </w:r>
          </w:p>
        </w:tc>
        <w:tc>
          <w:tcPr>
            <w:tcW w:w="1814" w:type="dxa"/>
            <w:vAlign w:val="center"/>
          </w:tcPr>
          <w:p w:rsidRPr="008D1918" w:rsidR="00391EF5" w:rsidRDefault="00391EF5" w14:paraId="6DB1208E" w14:textId="77777777">
            <w:pPr>
              <w:keepNext/>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14%</w:t>
            </w:r>
          </w:p>
        </w:tc>
        <w:tc>
          <w:tcPr>
            <w:tcW w:w="1588" w:type="dxa"/>
            <w:vAlign w:val="center"/>
          </w:tcPr>
          <w:p w:rsidRPr="008D1918" w:rsidR="00391EF5" w:rsidRDefault="00391EF5" w14:paraId="3F3ACEEA"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 xml:space="preserve">6.4% </w:t>
            </w:r>
          </w:p>
        </w:tc>
        <w:tc>
          <w:tcPr>
            <w:tcW w:w="1171" w:type="dxa"/>
            <w:vAlign w:val="center"/>
          </w:tcPr>
          <w:p w:rsidRPr="008D1918" w:rsidR="00391EF5" w:rsidRDefault="00391EF5" w14:paraId="4E20AD11" w14:textId="77777777">
            <w:pPr>
              <w:keepNext/>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2.7%</w:t>
            </w:r>
          </w:p>
        </w:tc>
      </w:tr>
      <w:tr w:rsidRPr="008D1918" w:rsidR="00391EF5" w14:paraId="65FF2A45" w14:textId="77777777">
        <w:trPr>
          <w:trHeight w:val="320"/>
        </w:trPr>
        <w:tc>
          <w:tcPr>
            <w:cnfStyle w:val="001000000000" w:firstRow="0" w:lastRow="0" w:firstColumn="1" w:lastColumn="0" w:oddVBand="0" w:evenVBand="0" w:oddHBand="0" w:evenHBand="0" w:firstRowFirstColumn="0" w:firstRowLastColumn="0" w:lastRowFirstColumn="0" w:lastRowLastColumn="0"/>
            <w:tcW w:w="1814" w:type="dxa"/>
            <w:vAlign w:val="center"/>
          </w:tcPr>
          <w:p w:rsidRPr="008D1918" w:rsidR="00391EF5" w:rsidRDefault="00391EF5" w14:paraId="4235F91E" w14:textId="77777777">
            <w:pPr>
              <w:keepNext/>
              <w:spacing w:before="60" w:after="60"/>
              <w:rPr>
                <w:rFonts w:cs="Arial"/>
                <w:color w:val="000000" w:themeColor="accent6"/>
                <w:sz w:val="20"/>
                <w:szCs w:val="20"/>
                <w:lang w:val="en-AU" w:eastAsia="en-AU"/>
              </w:rPr>
            </w:pPr>
            <w:r w:rsidRPr="008D1918">
              <w:rPr>
                <w:rFonts w:cs="Arial"/>
                <w:color w:val="000000" w:themeColor="accent6"/>
                <w:sz w:val="20"/>
                <w:szCs w:val="20"/>
                <w:lang w:val="en-AU" w:eastAsia="en-AU"/>
              </w:rPr>
              <w:t>45–60</w:t>
            </w:r>
          </w:p>
        </w:tc>
        <w:tc>
          <w:tcPr>
            <w:tcW w:w="1588" w:type="dxa"/>
            <w:vAlign w:val="center"/>
          </w:tcPr>
          <w:p w:rsidRPr="008D1918" w:rsidR="00391EF5" w:rsidRDefault="00391EF5" w14:paraId="2BA2D24F" w14:textId="77777777">
            <w:pPr>
              <w:keepNext/>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753</w:t>
            </w:r>
          </w:p>
        </w:tc>
        <w:tc>
          <w:tcPr>
            <w:tcW w:w="1134" w:type="dxa"/>
            <w:vAlign w:val="center"/>
          </w:tcPr>
          <w:p w:rsidRPr="008D1918" w:rsidR="00391EF5" w:rsidRDefault="00391EF5" w14:paraId="206AF572" w14:textId="77777777">
            <w:pPr>
              <w:keepNext/>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78.2%</w:t>
            </w:r>
          </w:p>
        </w:tc>
        <w:tc>
          <w:tcPr>
            <w:tcW w:w="1814" w:type="dxa"/>
            <w:vAlign w:val="center"/>
          </w:tcPr>
          <w:p w:rsidRPr="008D1918" w:rsidR="00391EF5" w:rsidRDefault="00391EF5" w14:paraId="4256DA99" w14:textId="77777777">
            <w:pPr>
              <w:keepNext/>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13.6%</w:t>
            </w:r>
          </w:p>
        </w:tc>
        <w:tc>
          <w:tcPr>
            <w:tcW w:w="1588" w:type="dxa"/>
            <w:vAlign w:val="center"/>
          </w:tcPr>
          <w:p w:rsidRPr="008D1918" w:rsidR="00391EF5" w:rsidRDefault="00391EF5" w14:paraId="190D04AA"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5.6%</w:t>
            </w:r>
          </w:p>
        </w:tc>
        <w:tc>
          <w:tcPr>
            <w:tcW w:w="1171" w:type="dxa"/>
            <w:vAlign w:val="center"/>
          </w:tcPr>
          <w:p w:rsidRPr="008D1918" w:rsidR="00391EF5" w:rsidRDefault="00391EF5" w14:paraId="2378A282" w14:textId="77777777">
            <w:pPr>
              <w:keepNext/>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3.1%</w:t>
            </w:r>
          </w:p>
        </w:tc>
      </w:tr>
      <w:tr w:rsidRPr="008D1918" w:rsidR="00391EF5" w14:paraId="6343577B"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14" w:type="dxa"/>
            <w:vAlign w:val="center"/>
          </w:tcPr>
          <w:p w:rsidRPr="008D1918" w:rsidR="00391EF5" w:rsidRDefault="00391EF5" w14:paraId="09057921" w14:textId="77777777">
            <w:pPr>
              <w:keepNext/>
              <w:spacing w:before="60" w:after="60"/>
              <w:rPr>
                <w:rFonts w:cs="Arial"/>
                <w:color w:val="000000" w:themeColor="accent6"/>
                <w:sz w:val="20"/>
                <w:szCs w:val="20"/>
                <w:lang w:val="en-AU" w:eastAsia="en-AU"/>
              </w:rPr>
            </w:pPr>
            <w:r w:rsidRPr="008D1918">
              <w:rPr>
                <w:rFonts w:cs="Arial"/>
                <w:color w:val="000000" w:themeColor="accent6"/>
                <w:sz w:val="20"/>
                <w:szCs w:val="20"/>
                <w:lang w:val="en-AU" w:eastAsia="en-AU"/>
              </w:rPr>
              <w:t>60–90</w:t>
            </w:r>
          </w:p>
        </w:tc>
        <w:tc>
          <w:tcPr>
            <w:tcW w:w="1588" w:type="dxa"/>
            <w:vAlign w:val="center"/>
          </w:tcPr>
          <w:p w:rsidRPr="008D1918" w:rsidR="00391EF5" w:rsidRDefault="00391EF5" w14:paraId="32049538" w14:textId="77777777">
            <w:pPr>
              <w:keepNext/>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946</w:t>
            </w:r>
          </w:p>
        </w:tc>
        <w:tc>
          <w:tcPr>
            <w:tcW w:w="1134" w:type="dxa"/>
            <w:vAlign w:val="center"/>
          </w:tcPr>
          <w:p w:rsidRPr="008D1918" w:rsidR="00391EF5" w:rsidRDefault="00391EF5" w14:paraId="74DD61F4" w14:textId="77777777">
            <w:pPr>
              <w:keepNext/>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72%</w:t>
            </w:r>
          </w:p>
        </w:tc>
        <w:tc>
          <w:tcPr>
            <w:tcW w:w="1814" w:type="dxa"/>
            <w:vAlign w:val="center"/>
          </w:tcPr>
          <w:p w:rsidRPr="008D1918" w:rsidR="00391EF5" w:rsidRDefault="00391EF5" w14:paraId="6C03BAF5" w14:textId="77777777">
            <w:pPr>
              <w:keepNext/>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15.8%</w:t>
            </w:r>
          </w:p>
        </w:tc>
        <w:tc>
          <w:tcPr>
            <w:tcW w:w="1588" w:type="dxa"/>
            <w:vAlign w:val="center"/>
          </w:tcPr>
          <w:p w:rsidRPr="008D1918" w:rsidR="00391EF5" w:rsidRDefault="00391EF5" w14:paraId="662849CE"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8.5%</w:t>
            </w:r>
          </w:p>
        </w:tc>
        <w:tc>
          <w:tcPr>
            <w:tcW w:w="1171" w:type="dxa"/>
            <w:vAlign w:val="center"/>
          </w:tcPr>
          <w:p w:rsidRPr="008D1918" w:rsidR="00391EF5" w:rsidRDefault="00391EF5" w14:paraId="32A446F8" w14:textId="77777777">
            <w:pPr>
              <w:keepNext/>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4.8%</w:t>
            </w:r>
          </w:p>
        </w:tc>
      </w:tr>
      <w:tr w:rsidRPr="008D1918" w:rsidR="00391EF5" w14:paraId="0C83D529" w14:textId="77777777">
        <w:trPr>
          <w:trHeight w:val="320"/>
        </w:trPr>
        <w:tc>
          <w:tcPr>
            <w:cnfStyle w:val="001000000000" w:firstRow="0" w:lastRow="0" w:firstColumn="1" w:lastColumn="0" w:oddVBand="0" w:evenVBand="0" w:oddHBand="0" w:evenHBand="0" w:firstRowFirstColumn="0" w:firstRowLastColumn="0" w:lastRowFirstColumn="0" w:lastRowLastColumn="0"/>
            <w:tcW w:w="1814" w:type="dxa"/>
            <w:vAlign w:val="center"/>
          </w:tcPr>
          <w:p w:rsidRPr="008D1918" w:rsidR="00391EF5" w:rsidRDefault="00391EF5" w14:paraId="297FFD26" w14:textId="77777777">
            <w:pPr>
              <w:keepNext/>
              <w:spacing w:before="60" w:after="60"/>
              <w:rPr>
                <w:rFonts w:cs="Arial"/>
                <w:color w:val="000000" w:themeColor="accent6"/>
                <w:sz w:val="20"/>
                <w:szCs w:val="20"/>
                <w:lang w:val="en-AU" w:eastAsia="en-AU"/>
              </w:rPr>
            </w:pPr>
            <w:r w:rsidRPr="008D1918">
              <w:rPr>
                <w:rFonts w:cs="Arial"/>
                <w:color w:val="000000" w:themeColor="accent6"/>
                <w:sz w:val="20"/>
                <w:szCs w:val="20"/>
                <w:lang w:val="en-AU" w:eastAsia="en-AU"/>
              </w:rPr>
              <w:t>More than 90</w:t>
            </w:r>
          </w:p>
        </w:tc>
        <w:tc>
          <w:tcPr>
            <w:tcW w:w="1588" w:type="dxa"/>
            <w:vAlign w:val="center"/>
          </w:tcPr>
          <w:p w:rsidRPr="008D1918" w:rsidR="00391EF5" w:rsidRDefault="00391EF5" w14:paraId="2E1F7120" w14:textId="77777777">
            <w:pPr>
              <w:keepNext/>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 xml:space="preserve">182 </w:t>
            </w:r>
          </w:p>
        </w:tc>
        <w:tc>
          <w:tcPr>
            <w:tcW w:w="1134" w:type="dxa"/>
            <w:vAlign w:val="center"/>
          </w:tcPr>
          <w:p w:rsidRPr="008D1918" w:rsidR="00391EF5" w:rsidRDefault="00391EF5" w14:paraId="074395B2" w14:textId="77777777">
            <w:pPr>
              <w:keepNext/>
              <w:spacing w:before="60" w:after="60"/>
              <w:ind w:right="170"/>
              <w:jc w:val="right"/>
              <w:cnfStyle w:val="000000000000" w:firstRow="0" w:lastRow="0" w:firstColumn="0" w:lastColumn="0" w:oddVBand="0" w:evenVBand="0" w:oddHBand="0"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59.9%</w:t>
            </w:r>
          </w:p>
        </w:tc>
        <w:tc>
          <w:tcPr>
            <w:tcW w:w="1814" w:type="dxa"/>
            <w:vAlign w:val="center"/>
          </w:tcPr>
          <w:p w:rsidRPr="008D1918" w:rsidR="00391EF5" w:rsidRDefault="00391EF5" w14:paraId="46D28290" w14:textId="77777777">
            <w:pPr>
              <w:keepNext/>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20%</w:t>
            </w:r>
          </w:p>
        </w:tc>
        <w:tc>
          <w:tcPr>
            <w:tcW w:w="1588" w:type="dxa"/>
            <w:vAlign w:val="center"/>
          </w:tcPr>
          <w:p w:rsidRPr="008D1918" w:rsidR="00391EF5" w:rsidRDefault="00391EF5" w14:paraId="14E7B14C"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11.5%</w:t>
            </w:r>
          </w:p>
        </w:tc>
        <w:tc>
          <w:tcPr>
            <w:tcW w:w="1171" w:type="dxa"/>
            <w:vAlign w:val="center"/>
          </w:tcPr>
          <w:p w:rsidRPr="008D1918" w:rsidR="00391EF5" w:rsidRDefault="00391EF5" w14:paraId="17896211" w14:textId="77777777">
            <w:pPr>
              <w:keepNext/>
              <w:spacing w:before="60" w:after="60"/>
              <w:ind w:right="227"/>
              <w:jc w:val="right"/>
              <w:cnfStyle w:val="000000000000" w:firstRow="0" w:lastRow="0" w:firstColumn="0" w:lastColumn="0" w:oddVBand="0" w:evenVBand="0" w:oddHBand="0" w:evenHBand="0" w:firstRowFirstColumn="0" w:firstRowLastColumn="0" w:lastRowFirstColumn="0" w:lastRowLastColumn="0"/>
              <w:rPr>
                <w:rFonts w:cs="Arial"/>
                <w:color w:val="000000" w:themeColor="accent6"/>
                <w:sz w:val="20"/>
                <w:szCs w:val="20"/>
                <w:lang w:val="en-AU" w:eastAsia="en-AU"/>
              </w:rPr>
            </w:pPr>
            <w:r w:rsidRPr="008D1918">
              <w:rPr>
                <w:rFonts w:cs="Arial"/>
                <w:color w:val="000000" w:themeColor="accent6"/>
                <w:sz w:val="20"/>
                <w:szCs w:val="20"/>
                <w:lang w:val="en-AU" w:eastAsia="en-AU"/>
              </w:rPr>
              <w:t>10.4%</w:t>
            </w:r>
          </w:p>
        </w:tc>
      </w:tr>
      <w:tr w:rsidRPr="008D1918" w:rsidR="00391EF5" w14:paraId="0BBF09B9"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14" w:type="dxa"/>
            <w:vAlign w:val="center"/>
          </w:tcPr>
          <w:p w:rsidRPr="008D1918" w:rsidR="00391EF5" w:rsidRDefault="00391EF5" w14:paraId="3895351A" w14:textId="77777777">
            <w:pPr>
              <w:keepNext/>
              <w:spacing w:before="60" w:after="60"/>
              <w:rPr>
                <w:rFonts w:cs="Arial"/>
                <w:b/>
                <w:color w:val="000000" w:themeColor="accent6"/>
                <w:sz w:val="20"/>
                <w:szCs w:val="20"/>
                <w:lang w:val="en-AU" w:eastAsia="en-AU"/>
              </w:rPr>
            </w:pPr>
            <w:r w:rsidRPr="008D1918">
              <w:rPr>
                <w:rFonts w:cs="Arial"/>
                <w:b/>
                <w:color w:val="000000" w:themeColor="accent6"/>
                <w:sz w:val="20"/>
                <w:szCs w:val="20"/>
                <w:lang w:val="en-AU" w:eastAsia="en-AU"/>
              </w:rPr>
              <w:t xml:space="preserve">All durations </w:t>
            </w:r>
          </w:p>
        </w:tc>
        <w:tc>
          <w:tcPr>
            <w:tcW w:w="1588" w:type="dxa"/>
            <w:vAlign w:val="center"/>
          </w:tcPr>
          <w:p w:rsidRPr="008D1918" w:rsidR="00391EF5" w:rsidRDefault="00391EF5" w14:paraId="4F22EA8E" w14:textId="77777777">
            <w:pPr>
              <w:keepNext/>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b/>
                <w:color w:val="000000" w:themeColor="accent6"/>
                <w:sz w:val="20"/>
                <w:szCs w:val="20"/>
                <w:lang w:val="en-AU" w:eastAsia="en-AU"/>
              </w:rPr>
            </w:pPr>
            <w:r w:rsidRPr="008D1918">
              <w:rPr>
                <w:rFonts w:cs="Arial"/>
                <w:b/>
                <w:color w:val="000000" w:themeColor="accent6"/>
                <w:sz w:val="20"/>
                <w:szCs w:val="20"/>
                <w:lang w:val="en-AU" w:eastAsia="en-AU"/>
              </w:rPr>
              <w:t>1,983</w:t>
            </w:r>
          </w:p>
        </w:tc>
        <w:tc>
          <w:tcPr>
            <w:tcW w:w="1134" w:type="dxa"/>
            <w:vAlign w:val="center"/>
          </w:tcPr>
          <w:p w:rsidRPr="008D1918" w:rsidR="00391EF5" w:rsidRDefault="00391EF5" w14:paraId="098D27B3" w14:textId="77777777">
            <w:pPr>
              <w:keepNext/>
              <w:spacing w:before="60" w:after="60"/>
              <w:ind w:right="170"/>
              <w:jc w:val="right"/>
              <w:cnfStyle w:val="000000100000" w:firstRow="0" w:lastRow="0" w:firstColumn="0" w:lastColumn="0" w:oddVBand="0" w:evenVBand="0" w:oddHBand="1" w:evenHBand="0" w:firstRowFirstColumn="0" w:firstRowLastColumn="0" w:lastRowFirstColumn="0" w:lastRowLastColumn="0"/>
              <w:rPr>
                <w:rFonts w:cs="Arial"/>
                <w:b/>
                <w:color w:val="000000" w:themeColor="accent6"/>
                <w:sz w:val="20"/>
                <w:szCs w:val="20"/>
                <w:lang w:val="en-AU" w:eastAsia="en-AU"/>
              </w:rPr>
            </w:pPr>
            <w:r w:rsidRPr="008D1918">
              <w:rPr>
                <w:rFonts w:cs="Arial"/>
                <w:b/>
                <w:color w:val="000000" w:themeColor="accent6"/>
                <w:sz w:val="20"/>
                <w:szCs w:val="20"/>
                <w:lang w:val="en-AU" w:eastAsia="en-AU"/>
              </w:rPr>
              <w:t xml:space="preserve">73.4% </w:t>
            </w:r>
          </w:p>
        </w:tc>
        <w:tc>
          <w:tcPr>
            <w:tcW w:w="1814" w:type="dxa"/>
            <w:vAlign w:val="center"/>
          </w:tcPr>
          <w:p w:rsidRPr="008D1918" w:rsidR="00391EF5" w:rsidRDefault="00391EF5" w14:paraId="0738B6E7" w14:textId="77777777">
            <w:pPr>
              <w:keepNext/>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b/>
                <w:color w:val="000000" w:themeColor="accent6"/>
                <w:sz w:val="20"/>
                <w:szCs w:val="20"/>
                <w:lang w:val="en-AU" w:eastAsia="en-AU"/>
              </w:rPr>
            </w:pPr>
            <w:r w:rsidRPr="008D1918">
              <w:rPr>
                <w:rFonts w:cs="Arial"/>
                <w:b/>
                <w:color w:val="000000" w:themeColor="accent6"/>
                <w:sz w:val="20"/>
                <w:szCs w:val="20"/>
                <w:lang w:val="en-AU" w:eastAsia="en-AU"/>
              </w:rPr>
              <w:t>15.3%</w:t>
            </w:r>
          </w:p>
        </w:tc>
        <w:tc>
          <w:tcPr>
            <w:tcW w:w="1588" w:type="dxa"/>
            <w:vAlign w:val="center"/>
          </w:tcPr>
          <w:p w:rsidRPr="008D1918" w:rsidR="00391EF5" w:rsidRDefault="00391EF5" w14:paraId="25CD6A3A"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b/>
                <w:color w:val="000000" w:themeColor="accent6"/>
                <w:sz w:val="20"/>
                <w:szCs w:val="20"/>
                <w:lang w:val="en-AU" w:eastAsia="en-AU"/>
              </w:rPr>
            </w:pPr>
            <w:r w:rsidRPr="008D1918">
              <w:rPr>
                <w:rFonts w:cs="Arial"/>
                <w:b/>
                <w:color w:val="000000" w:themeColor="accent6"/>
                <w:sz w:val="20"/>
                <w:szCs w:val="20"/>
                <w:lang w:val="en-AU" w:eastAsia="en-AU"/>
              </w:rPr>
              <w:t>7.6%</w:t>
            </w:r>
          </w:p>
        </w:tc>
        <w:tc>
          <w:tcPr>
            <w:tcW w:w="1171" w:type="dxa"/>
            <w:vAlign w:val="center"/>
          </w:tcPr>
          <w:p w:rsidRPr="008D1918" w:rsidR="00391EF5" w:rsidRDefault="00391EF5" w14:paraId="5470F049" w14:textId="77777777">
            <w:pPr>
              <w:keepNext/>
              <w:spacing w:before="60" w:after="60"/>
              <w:ind w:right="227"/>
              <w:jc w:val="right"/>
              <w:cnfStyle w:val="000000100000" w:firstRow="0" w:lastRow="0" w:firstColumn="0" w:lastColumn="0" w:oddVBand="0" w:evenVBand="0" w:oddHBand="1" w:evenHBand="0" w:firstRowFirstColumn="0" w:firstRowLastColumn="0" w:lastRowFirstColumn="0" w:lastRowLastColumn="0"/>
              <w:rPr>
                <w:rFonts w:cs="Arial"/>
                <w:b/>
                <w:color w:val="000000" w:themeColor="accent6"/>
                <w:sz w:val="20"/>
                <w:szCs w:val="20"/>
                <w:lang w:val="en-AU" w:eastAsia="en-AU"/>
              </w:rPr>
            </w:pPr>
            <w:r w:rsidRPr="008D1918">
              <w:rPr>
                <w:rFonts w:cs="Arial"/>
                <w:b/>
                <w:color w:val="000000" w:themeColor="accent6"/>
                <w:sz w:val="20"/>
                <w:szCs w:val="20"/>
                <w:lang w:val="en-AU" w:eastAsia="en-AU"/>
              </w:rPr>
              <w:t>4.6%</w:t>
            </w:r>
          </w:p>
        </w:tc>
      </w:tr>
    </w:tbl>
    <w:p w:rsidRPr="008D1918" w:rsidR="00391EF5" w:rsidP="00391EF5" w:rsidRDefault="00391EF5" w14:paraId="3AE4B295" w14:textId="77777777">
      <w:pPr>
        <w:spacing w:before="120" w:after="360" w:line="240" w:lineRule="atLeast"/>
        <w:rPr>
          <w:rFonts w:cs="Arial"/>
          <w:sz w:val="20"/>
          <w:szCs w:val="20"/>
          <w:lang w:val="en-AU"/>
        </w:rPr>
      </w:pPr>
      <w:r w:rsidRPr="008D1918">
        <w:rPr>
          <w:rFonts w:cs="Arial"/>
          <w:sz w:val="20"/>
          <w:szCs w:val="20"/>
          <w:lang w:val="en-AU"/>
        </w:rPr>
        <w:t>Note: Values are means. Medians are not used because they are calculated independently for each activity category and do not sum to 100% across a row.</w:t>
      </w:r>
    </w:p>
    <w:p w:rsidRPr="008D1918" w:rsidR="00937DA7" w:rsidP="00C23F1C" w:rsidRDefault="00391EF5" w14:paraId="619FBDF3" w14:textId="06FD9F2C">
      <w:pPr>
        <w:rPr>
          <w:lang w:val="en-AU"/>
        </w:rPr>
      </w:pPr>
      <w:r w:rsidRPr="008D1918">
        <w:rPr>
          <w:lang w:val="en-AU"/>
        </w:rPr>
        <w:t xml:space="preserve">This does not mean non-direct activity is inappropriate or should not be claimable. Documentation, coordination and related work can be necessary parts of delivering </w:t>
      </w:r>
      <w:r w:rsidRPr="008D1918">
        <w:rPr>
          <w:lang w:val="en-AU"/>
        </w:rPr>
        <w:t xml:space="preserve">quality therapy supports. The issue is the current claiming structure does not make these components visible. A 60-minute session comprising mostly </w:t>
      </w:r>
      <w:r w:rsidRPr="008D1918" w:rsidR="00BA630E">
        <w:rPr>
          <w:lang w:val="en-AU"/>
        </w:rPr>
        <w:t xml:space="preserve">of </w:t>
      </w:r>
      <w:r w:rsidRPr="008D1918">
        <w:rPr>
          <w:lang w:val="en-AU"/>
        </w:rPr>
        <w:t xml:space="preserve">direct therapy and a 60-minute session containing </w:t>
      </w:r>
      <w:r w:rsidRPr="008D1918" w:rsidR="00BA630E">
        <w:rPr>
          <w:lang w:val="en-AU"/>
        </w:rPr>
        <w:t xml:space="preserve">a </w:t>
      </w:r>
      <w:r w:rsidRPr="008D1918">
        <w:rPr>
          <w:lang w:val="en-AU"/>
        </w:rPr>
        <w:t xml:space="preserve">materially different mix of direct and non-direct activity appear the same in the claiming data. This limits the Agency’s ability to interpret billing behaviour, reduces transparency for participants about how plan funds are being used, and weakens the evidence base for future pricing </w:t>
      </w:r>
      <w:r w:rsidRPr="008D1918" w:rsidR="00F11049">
        <w:rPr>
          <w:lang w:val="en-AU"/>
        </w:rPr>
        <w:t>recommendations</w:t>
      </w:r>
      <w:r w:rsidRPr="008D1918">
        <w:rPr>
          <w:lang w:val="en-AU"/>
        </w:rPr>
        <w:t xml:space="preserve">. </w:t>
      </w:r>
    </w:p>
    <w:p w:rsidRPr="008D1918" w:rsidR="00391EF5" w:rsidP="00041468" w:rsidRDefault="00A832C2" w14:paraId="3D1C36EE" w14:textId="5593F19E">
      <w:pPr>
        <w:pStyle w:val="StyleStyle112pt"/>
      </w:pPr>
      <w:bookmarkStart w:name="_Toc227318760" w:id="1406"/>
      <w:bookmarkStart w:name="_Toc227337128" w:id="1407"/>
      <w:r w:rsidRPr="008D1918">
        <w:t>Incremental refinement and reform</w:t>
      </w:r>
      <w:bookmarkEnd w:id="1406"/>
      <w:bookmarkEnd w:id="1407"/>
    </w:p>
    <w:p w:rsidRPr="008D1918" w:rsidR="000E3523" w:rsidP="00391EF5" w:rsidRDefault="00D41850" w14:paraId="05B033D5" w14:textId="3B7EE06F">
      <w:pPr>
        <w:rPr>
          <w:lang w:val="en-AU"/>
        </w:rPr>
      </w:pPr>
      <w:r w:rsidRPr="008D1918">
        <w:rPr>
          <w:lang w:val="en-AU"/>
        </w:rPr>
        <w:t xml:space="preserve">A related issue identified </w:t>
      </w:r>
      <w:r w:rsidRPr="008D1918" w:rsidR="00E274E4">
        <w:rPr>
          <w:lang w:val="en-AU"/>
        </w:rPr>
        <w:t>in this chapter is the limited visibility of current claims more broadly. Claiming data continues to show concentration a</w:t>
      </w:r>
      <w:r w:rsidRPr="008D1918" w:rsidR="004515B5">
        <w:rPr>
          <w:lang w:val="en-AU"/>
        </w:rPr>
        <w:t>t</w:t>
      </w:r>
      <w:r w:rsidRPr="008D1918" w:rsidR="00E274E4">
        <w:rPr>
          <w:lang w:val="en-AU"/>
        </w:rPr>
        <w:t xml:space="preserve"> standard session lengths, while recent changes in claiming patterns are not yet interpretable with confidence as a change in underlying therapy durations or provider revenue. Current administrative data does not clearly distinguish between direct therapy, non-face-to-face activity and travel-related components. </w:t>
      </w:r>
    </w:p>
    <w:p w:rsidRPr="008D1918" w:rsidR="00E274E4" w:rsidP="00391EF5" w:rsidRDefault="00E274E4" w14:paraId="60E08731" w14:textId="4AB12793">
      <w:pPr>
        <w:rPr>
          <w:lang w:val="en-AU"/>
        </w:rPr>
      </w:pPr>
      <w:r w:rsidRPr="008D1918">
        <w:rPr>
          <w:lang w:val="en-AU"/>
        </w:rPr>
        <w:t>The proposed reforms to non-face-to-face claiming, travel claiming and practitioner identification are therefore important in their own right. Their purpose is to improve transparency, strengthen pricing governance and provide a better evidence base for future reviews.</w:t>
      </w:r>
    </w:p>
    <w:p w:rsidRPr="008D1918" w:rsidR="00E274E4" w:rsidP="00391EF5" w:rsidRDefault="00E274E4" w14:paraId="7808777B" w14:textId="5C97E8FB">
      <w:pPr>
        <w:rPr>
          <w:lang w:val="en-AU"/>
        </w:rPr>
      </w:pPr>
      <w:r w:rsidRPr="008D1918">
        <w:rPr>
          <w:lang w:val="en-AU"/>
        </w:rPr>
        <w:t>Taken together, th</w:t>
      </w:r>
      <w:r w:rsidRPr="008D1918" w:rsidR="004D1F56">
        <w:rPr>
          <w:lang w:val="en-AU"/>
        </w:rPr>
        <w:t>is</w:t>
      </w:r>
      <w:r w:rsidRPr="008D1918">
        <w:rPr>
          <w:lang w:val="en-AU"/>
        </w:rPr>
        <w:t xml:space="preserve"> chapter supports a sequenced therapy pricing approach. Comparator evidence provides the reference point for calibration. Market conditions </w:t>
      </w:r>
      <w:r w:rsidRPr="008D1918" w:rsidR="0057193B">
        <w:rPr>
          <w:lang w:val="en-AU"/>
        </w:rPr>
        <w:t>inform</w:t>
      </w:r>
      <w:r w:rsidRPr="008D1918">
        <w:rPr>
          <w:lang w:val="en-AU"/>
        </w:rPr>
        <w:t xml:space="preserve"> how that evidence should be applied. Session composition </w:t>
      </w:r>
      <w:r w:rsidRPr="008D1918" w:rsidR="003016B5">
        <w:rPr>
          <w:lang w:val="en-AU"/>
        </w:rPr>
        <w:t xml:space="preserve">and claiming evidence </w:t>
      </w:r>
      <w:r w:rsidR="00B91135">
        <w:rPr>
          <w:lang w:val="en-AU"/>
        </w:rPr>
        <w:t>identifies</w:t>
      </w:r>
      <w:r w:rsidRPr="008D1918" w:rsidR="00B91135">
        <w:rPr>
          <w:lang w:val="en-AU"/>
        </w:rPr>
        <w:t xml:space="preserve"> </w:t>
      </w:r>
      <w:r w:rsidRPr="008D1918" w:rsidR="003016B5">
        <w:rPr>
          <w:lang w:val="en-AU"/>
        </w:rPr>
        <w:t xml:space="preserve">a separate transparency problem that should be addressed to improve future pricing </w:t>
      </w:r>
      <w:r w:rsidRPr="008D1918" w:rsidR="00F11049">
        <w:rPr>
          <w:lang w:val="en-AU"/>
        </w:rPr>
        <w:t>recommendations</w:t>
      </w:r>
      <w:r w:rsidRPr="008D1918" w:rsidR="003016B5">
        <w:rPr>
          <w:lang w:val="en-AU"/>
        </w:rPr>
        <w:t>. This combination supports a pricing approach that is evidence-based, proportionate and better aligned to the structure of the therapy market.</w:t>
      </w:r>
    </w:p>
    <w:p w:rsidRPr="008D1918" w:rsidR="000E3523" w:rsidP="00CD4EB4" w:rsidRDefault="000E3523" w14:paraId="344BEEEE" w14:textId="77777777">
      <w:pPr>
        <w:pStyle w:val="Heading31"/>
        <w:ind w:left="1077" w:hanging="720"/>
      </w:pPr>
      <w:bookmarkStart w:name="_Toc200271655" w:id="1408"/>
      <w:bookmarkStart w:name="_Toc223539726" w:id="1409"/>
      <w:bookmarkStart w:name="_Toc223539939" w:id="1410"/>
      <w:bookmarkStart w:name="_Toc223540407" w:id="1411"/>
      <w:bookmarkStart w:name="_Toc223540623" w:id="1412"/>
      <w:bookmarkStart w:name="_Toc223542163" w:id="1413"/>
      <w:bookmarkStart w:name="_Toc223604349" w:id="1414"/>
      <w:bookmarkStart w:name="_Toc223604560" w:id="1415"/>
      <w:bookmarkStart w:name="_Toc227337129" w:id="1416"/>
      <w:r w:rsidRPr="008D1918">
        <w:t>Recommendations</w:t>
      </w:r>
      <w:bookmarkEnd w:id="1408"/>
      <w:bookmarkEnd w:id="1409"/>
      <w:bookmarkEnd w:id="1410"/>
      <w:bookmarkEnd w:id="1411"/>
      <w:bookmarkEnd w:id="1412"/>
      <w:bookmarkEnd w:id="1413"/>
      <w:bookmarkEnd w:id="1414"/>
      <w:bookmarkEnd w:id="1415"/>
      <w:bookmarkEnd w:id="1416"/>
      <w:r w:rsidRPr="008D1918">
        <w:t xml:space="preserve"> </w:t>
      </w:r>
    </w:p>
    <w:p w:rsidRPr="008D1918" w:rsidR="000E3523" w:rsidP="00E21370" w:rsidRDefault="000E3523" w14:paraId="6019EA57" w14:textId="536ECE79">
      <w:pPr>
        <w:pStyle w:val="LittleH4"/>
      </w:pPr>
      <w:r w:rsidRPr="008D1918">
        <w:t>Psycholog</w:t>
      </w:r>
      <w:r w:rsidRPr="008D1918" w:rsidR="00F85020">
        <w:t>ist</w:t>
      </w:r>
      <w:r w:rsidRPr="008D1918">
        <w:t xml:space="preserve"> price</w:t>
      </w:r>
    </w:p>
    <w:p w:rsidRPr="008D1918" w:rsidR="000E3523" w:rsidRDefault="000E3523" w14:paraId="5D3FE930" w14:textId="4C865360">
      <w:pPr>
        <w:rPr>
          <w:lang w:val="en-AU"/>
        </w:rPr>
      </w:pPr>
      <w:r w:rsidRPr="008D1918">
        <w:rPr>
          <w:lang w:val="en-AU"/>
        </w:rPr>
        <w:t xml:space="preserve">The current </w:t>
      </w:r>
      <w:r w:rsidR="00EB3A53">
        <w:rPr>
          <w:lang w:val="en-AU"/>
        </w:rPr>
        <w:t>price</w:t>
      </w:r>
      <w:r w:rsidRPr="008D1918">
        <w:rPr>
          <w:lang w:val="en-AU"/>
        </w:rPr>
        <w:t xml:space="preserve"> sits below the </w:t>
      </w:r>
      <w:r w:rsidRPr="008D1918" w:rsidR="00DE38FC">
        <w:rPr>
          <w:lang w:val="en-AU"/>
        </w:rPr>
        <w:t>reference range</w:t>
      </w:r>
      <w:r w:rsidRPr="008D1918">
        <w:rPr>
          <w:lang w:val="en-AU"/>
        </w:rPr>
        <w:t>. The 75th percentile implied hourly rates are $260.00 (MBS), $250.00 (PHI 1) and $252.00 (PHI 2). This follow</w:t>
      </w:r>
      <w:r w:rsidR="00191AA6">
        <w:rPr>
          <w:lang w:val="en-AU"/>
        </w:rPr>
        <w:t>s the</w:t>
      </w:r>
      <w:r w:rsidRPr="008D1918">
        <w:rPr>
          <w:lang w:val="en-AU"/>
        </w:rPr>
        <w:t xml:space="preserve"> $10 increase and consolidation of state-based differentials in the </w:t>
      </w:r>
      <w:r w:rsidR="00191AA6">
        <w:rPr>
          <w:lang w:val="en-AU"/>
        </w:rPr>
        <w:t>previous</w:t>
      </w:r>
      <w:r w:rsidRPr="008D1918">
        <w:rPr>
          <w:lang w:val="en-AU"/>
        </w:rPr>
        <w:t xml:space="preserve"> APR.</w:t>
      </w:r>
    </w:p>
    <w:p w:rsidRPr="008D1918" w:rsidR="00557BDC" w:rsidP="00245B10" w:rsidRDefault="00557BDC" w14:paraId="1457D40A" w14:textId="77777777">
      <w:pPr>
        <w:pStyle w:val="RecommendationH5"/>
      </w:pPr>
      <w:bookmarkStart w:name="_Toc224110921" w:id="1417"/>
      <w:r w:rsidRPr="008D1918">
        <w:t>Recommendation 5:</w:t>
      </w:r>
      <w:bookmarkEnd w:id="1417"/>
    </w:p>
    <w:p w:rsidRPr="008D1918" w:rsidR="005C6444" w:rsidP="005C6444" w:rsidRDefault="005C6444" w14:paraId="2150650A" w14:textId="4346620E">
      <w:pPr>
        <w:pStyle w:val="Normalrecommendationtext"/>
        <w:spacing w:line="288" w:lineRule="auto"/>
        <w:rPr>
          <w:rFonts w:eastAsiaTheme="minorEastAsia"/>
        </w:rPr>
      </w:pPr>
      <w:bookmarkStart w:name="_Toc224110922" w:id="1418"/>
      <w:r w:rsidRPr="008D1918">
        <w:rPr>
          <w:rFonts w:eastAsiaTheme="minorEastAsia"/>
        </w:rPr>
        <w:t xml:space="preserve">The national price for supports delivered by a Psychologist should be a </w:t>
      </w:r>
      <w:r w:rsidRPr="00CC1AFD" w:rsidR="00CC1AFD">
        <w:rPr>
          <w:rFonts w:eastAsiaTheme="minorEastAsia"/>
        </w:rPr>
        <w:t>maximum</w:t>
      </w:r>
      <w:r w:rsidRPr="008D1918">
        <w:rPr>
          <w:rFonts w:eastAsiaTheme="minorEastAsia"/>
        </w:rPr>
        <w:t xml:space="preserve"> of $252.99 per hour. This should apply uniformly across all jurisdictions.  </w:t>
      </w:r>
    </w:p>
    <w:bookmarkEnd w:id="1418"/>
    <w:p w:rsidRPr="008D1918" w:rsidR="000E3523" w:rsidP="00E21370" w:rsidRDefault="000E3523" w14:paraId="75F5BD43" w14:textId="0D26C12F">
      <w:pPr>
        <w:pStyle w:val="LittleH4"/>
      </w:pPr>
      <w:r w:rsidRPr="008D1918">
        <w:t>Dietitian price</w:t>
      </w:r>
    </w:p>
    <w:p w:rsidRPr="008D1918" w:rsidR="000E3523" w:rsidRDefault="000E3523" w14:paraId="6F6AABD2" w14:textId="15199E53">
      <w:pPr>
        <w:rPr>
          <w:lang w:val="en-AU"/>
        </w:rPr>
      </w:pPr>
      <w:r w:rsidRPr="008D1918">
        <w:rPr>
          <w:lang w:val="en-AU"/>
        </w:rPr>
        <w:t xml:space="preserve">The current price sits above the </w:t>
      </w:r>
      <w:r w:rsidRPr="008D1918" w:rsidR="009B061F">
        <w:rPr>
          <w:lang w:val="en-AU"/>
        </w:rPr>
        <w:t xml:space="preserve">reference range </w:t>
      </w:r>
      <w:r w:rsidRPr="008D1918">
        <w:rPr>
          <w:lang w:val="en-AU"/>
        </w:rPr>
        <w:t xml:space="preserve">by the largest margin of any therapy type with robust benchmarking data. The NDIS hourly rate is 21.9% above the PHI2 75th percentile and 24.3% above the MBS 75th percentile. The reduction of $5 </w:t>
      </w:r>
      <w:r w:rsidR="00EB5DB0">
        <w:rPr>
          <w:lang w:val="en-AU"/>
        </w:rPr>
        <w:t>for the 2025-26 financial year</w:t>
      </w:r>
      <w:r w:rsidR="00D849E2">
        <w:rPr>
          <w:lang w:val="en-AU"/>
        </w:rPr>
        <w:t xml:space="preserve"> </w:t>
      </w:r>
      <w:r w:rsidRPr="008D1918">
        <w:rPr>
          <w:lang w:val="en-AU"/>
        </w:rPr>
        <w:t>narrowed this gap only marginally.</w:t>
      </w:r>
    </w:p>
    <w:p w:rsidRPr="008D1918" w:rsidR="000E3523" w:rsidP="00245B10" w:rsidRDefault="000E3523" w14:paraId="08B07CA4" w14:textId="59A7457E">
      <w:pPr>
        <w:pStyle w:val="RecommendationH5"/>
      </w:pPr>
      <w:r w:rsidRPr="008D1918">
        <w:t xml:space="preserve">Recommendation </w:t>
      </w:r>
      <w:r w:rsidRPr="008D1918" w:rsidR="0060149E">
        <w:t>6</w:t>
      </w:r>
      <w:r w:rsidRPr="008D1918">
        <w:t>:</w:t>
      </w:r>
    </w:p>
    <w:p w:rsidRPr="008D1918" w:rsidR="005C6444" w:rsidP="005C6444" w:rsidRDefault="005C6444" w14:paraId="39D8A984" w14:textId="6326AA99">
      <w:pPr>
        <w:pStyle w:val="Normalrecommendationtext"/>
        <w:spacing w:line="288" w:lineRule="auto"/>
      </w:pPr>
      <w:r w:rsidRPr="008D1918">
        <w:t xml:space="preserve">The national price for supports delivered by a Dietitian should be a </w:t>
      </w:r>
      <w:r w:rsidRPr="00CC1AFD" w:rsidR="00CC1AFD">
        <w:t>maximum</w:t>
      </w:r>
      <w:r w:rsidRPr="008D1918">
        <w:t xml:space="preserve"> of $178.99 per hour. </w:t>
      </w:r>
    </w:p>
    <w:p w:rsidRPr="008D1918" w:rsidR="000E3523" w:rsidP="00E21370" w:rsidRDefault="000E3523" w14:paraId="1FABEF81" w14:textId="4A8C1573">
      <w:pPr>
        <w:pStyle w:val="LittleH4"/>
      </w:pPr>
      <w:r w:rsidRPr="008D1918">
        <w:t xml:space="preserve">Exercise </w:t>
      </w:r>
      <w:r w:rsidRPr="008D1918" w:rsidR="00EB30D4">
        <w:t>Physiolog</w:t>
      </w:r>
      <w:r w:rsidRPr="008D1918" w:rsidR="00F85020">
        <w:t>ist</w:t>
      </w:r>
      <w:r w:rsidRPr="008D1918" w:rsidR="00EB30D4">
        <w:t xml:space="preserve"> </w:t>
      </w:r>
      <w:r w:rsidRPr="008D1918">
        <w:t>price</w:t>
      </w:r>
    </w:p>
    <w:p w:rsidRPr="008D1918" w:rsidR="000E3523" w:rsidRDefault="000E3523" w14:paraId="220FF604" w14:textId="2DAA3DE5">
      <w:pPr>
        <w:rPr>
          <w:lang w:val="en-AU"/>
        </w:rPr>
      </w:pPr>
      <w:r w:rsidRPr="008D1918">
        <w:rPr>
          <w:lang w:val="en-AU"/>
        </w:rPr>
        <w:t xml:space="preserve">The current price of $166.99 sits above the </w:t>
      </w:r>
      <w:r w:rsidRPr="008D1918" w:rsidR="00DE38FC">
        <w:rPr>
          <w:lang w:val="en-AU"/>
        </w:rPr>
        <w:t>reference range</w:t>
      </w:r>
      <w:r w:rsidRPr="008D1918">
        <w:rPr>
          <w:lang w:val="en-AU"/>
        </w:rPr>
        <w:t xml:space="preserve">. The </w:t>
      </w:r>
      <w:r w:rsidR="007E4D6F">
        <w:rPr>
          <w:lang w:val="en-AU"/>
        </w:rPr>
        <w:t>previous</w:t>
      </w:r>
      <w:r w:rsidRPr="008D1918">
        <w:rPr>
          <w:lang w:val="en-AU"/>
        </w:rPr>
        <w:t xml:space="preserve"> APR did not recommend an adjustment for exercise physiology due to limited PHI data at that time. Improved data coverage this year, including PHI transaction data not previously available, </w:t>
      </w:r>
      <w:r w:rsidRPr="008D1918" w:rsidR="005C6444">
        <w:rPr>
          <w:lang w:val="en-AU"/>
        </w:rPr>
        <w:t xml:space="preserve">would </w:t>
      </w:r>
      <w:r w:rsidRPr="008D1918">
        <w:rPr>
          <w:lang w:val="en-AU"/>
        </w:rPr>
        <w:t>support a reduction.</w:t>
      </w:r>
    </w:p>
    <w:p w:rsidRPr="008D1918" w:rsidR="000E3523" w:rsidP="00245B10" w:rsidRDefault="000E3523" w14:paraId="06397D2C" w14:textId="09826B66">
      <w:pPr>
        <w:pStyle w:val="RecommendationH5"/>
      </w:pPr>
      <w:r w:rsidRPr="008D1918">
        <w:t xml:space="preserve">Recommendation </w:t>
      </w:r>
      <w:r w:rsidRPr="008D1918" w:rsidR="0060149E">
        <w:t>7</w:t>
      </w:r>
      <w:r w:rsidRPr="008D1918">
        <w:t>:</w:t>
      </w:r>
    </w:p>
    <w:p w:rsidRPr="008D1918" w:rsidR="005C6444" w:rsidP="005C6444" w:rsidRDefault="005C6444" w14:paraId="3445A753" w14:textId="77777777">
      <w:pPr>
        <w:pStyle w:val="Normalrecommendationtext"/>
        <w:spacing w:line="288" w:lineRule="auto"/>
        <w:rPr>
          <w:rFonts w:eastAsiaTheme="minorEastAsia"/>
        </w:rPr>
      </w:pPr>
      <w:r w:rsidRPr="008D1918">
        <w:t xml:space="preserve">The national price for supports delivered by an Exercise Physiologist should be a maximum of $161.99 per hour. </w:t>
      </w:r>
    </w:p>
    <w:p w:rsidRPr="008D1918" w:rsidR="000E3523" w:rsidP="00E21370" w:rsidRDefault="000E3523" w14:paraId="5A76BA2E" w14:textId="5CB77F17">
      <w:pPr>
        <w:pStyle w:val="LittleH4"/>
      </w:pPr>
      <w:r w:rsidRPr="008D1918">
        <w:t>Orientation and Mobility Specialist</w:t>
      </w:r>
      <w:r w:rsidRPr="008D1918" w:rsidR="00F85020">
        <w:t xml:space="preserve"> price</w:t>
      </w:r>
      <w:r w:rsidRPr="008D1918">
        <w:t xml:space="preserve"> </w:t>
      </w:r>
    </w:p>
    <w:p w:rsidRPr="008D1918" w:rsidR="000E3523" w:rsidRDefault="000E3523" w14:paraId="17D15ABE" w14:textId="36BAC7E2">
      <w:pPr>
        <w:spacing w:before="120"/>
        <w:rPr>
          <w:lang w:val="en-AU"/>
        </w:rPr>
      </w:pPr>
      <w:r w:rsidRPr="008D1918">
        <w:rPr>
          <w:rFonts w:eastAsia="Arial"/>
          <w:lang w:val="en-AU"/>
        </w:rPr>
        <w:t xml:space="preserve">The Agency recommends introducing dedicated support line items for OMS to improve claiming transparency and enable more accurate monitoring of service use and pricing. Given the limited availability of benchmarking evidence and materially lower pricing observed in comparable government schemes, the Agency recommends aligning OMS </w:t>
      </w:r>
      <w:r w:rsidRPr="008D1918" w:rsidR="00605AD9">
        <w:rPr>
          <w:rFonts w:eastAsia="Arial"/>
          <w:lang w:val="en-AU"/>
        </w:rPr>
        <w:t>prices</w:t>
      </w:r>
      <w:r w:rsidRPr="008D1918">
        <w:rPr>
          <w:rFonts w:eastAsia="Arial"/>
          <w:lang w:val="en-AU"/>
        </w:rPr>
        <w:t xml:space="preserve"> with counselling supports. A national hourly price of $156.16 is recommended, with applicable remote loadings and access to standard ancillary activities</w:t>
      </w:r>
      <w:r w:rsidRPr="008D1918">
        <w:rPr>
          <w:lang w:val="en-AU"/>
        </w:rPr>
        <w:t>.</w:t>
      </w:r>
    </w:p>
    <w:p w:rsidRPr="008D1918" w:rsidR="000E3523" w:rsidP="00245B10" w:rsidRDefault="000E3523" w14:paraId="5592F14E" w14:textId="6000CD4B">
      <w:pPr>
        <w:pStyle w:val="RecommendationH5"/>
      </w:pPr>
      <w:r w:rsidRPr="008D1918">
        <w:t xml:space="preserve">Recommendation </w:t>
      </w:r>
      <w:r w:rsidRPr="008D1918" w:rsidR="0060149E">
        <w:t>8</w:t>
      </w:r>
      <w:r w:rsidRPr="008D1918">
        <w:t>:</w:t>
      </w:r>
    </w:p>
    <w:p w:rsidRPr="008D1918" w:rsidR="00007DA5" w:rsidP="00705F2C" w:rsidRDefault="005C6444" w14:paraId="15B27575" w14:textId="5EE89C2F">
      <w:pPr>
        <w:pStyle w:val="Normalrecommendationtext"/>
      </w:pPr>
      <w:r w:rsidRPr="008D1918">
        <w:t>The national price for supports delivered by an Orientation and Mobility Specialist should be a maximum of $156.16 per hour.</w:t>
      </w:r>
      <w:r w:rsidRPr="008D1918" w:rsidR="00007DA5">
        <w:br w:type="page"/>
      </w:r>
    </w:p>
    <w:p w:rsidRPr="008D1918" w:rsidR="000E3523" w:rsidP="00E21370" w:rsidRDefault="000E3523" w14:paraId="14F391EF" w14:textId="1CBCB0AF">
      <w:pPr>
        <w:pStyle w:val="LittleH4"/>
      </w:pPr>
      <w:r w:rsidRPr="008D1918">
        <w:t xml:space="preserve">Other </w:t>
      </w:r>
      <w:r w:rsidRPr="008D1918" w:rsidR="005F1840">
        <w:t xml:space="preserve">Professionals </w:t>
      </w:r>
      <w:r w:rsidRPr="008D1918">
        <w:t>price</w:t>
      </w:r>
    </w:p>
    <w:p w:rsidRPr="008D1918" w:rsidR="000E3523" w:rsidRDefault="000E3523" w14:paraId="5F3236FE" w14:textId="7214783D">
      <w:pPr>
        <w:rPr>
          <w:lang w:val="en-AU"/>
        </w:rPr>
      </w:pPr>
      <w:r w:rsidRPr="008D1918">
        <w:rPr>
          <w:lang w:val="en-AU"/>
        </w:rPr>
        <w:t xml:space="preserve">The ‘Other Professionals’ category does not identify practitioner discipline at the point of claim, limiting the ability to benchmark prices against observable market rates. The Agency therefore recommends setting the price at $156.16 per hour, aligned with lower‑priced comparable therapies such as counselling and creative therapies. This change excludes Early Childhood supports, which </w:t>
      </w:r>
      <w:r w:rsidRPr="008D1918" w:rsidR="00705F2C">
        <w:rPr>
          <w:lang w:val="en-AU"/>
        </w:rPr>
        <w:t>should</w:t>
      </w:r>
      <w:r w:rsidRPr="008D1918">
        <w:rPr>
          <w:lang w:val="en-AU"/>
        </w:rPr>
        <w:t xml:space="preserve"> remain at $193.99 per hour, and will be complemented by practitioner identification at the claim level to support more precise pricing over time. </w:t>
      </w:r>
    </w:p>
    <w:p w:rsidRPr="008D1918" w:rsidR="000E3523" w:rsidP="00245B10" w:rsidRDefault="000E3523" w14:paraId="28F326F6" w14:textId="7AEA9024">
      <w:pPr>
        <w:pStyle w:val="RecommendationH5"/>
      </w:pPr>
      <w:r w:rsidRPr="008D1918">
        <w:t xml:space="preserve">Recommendation </w:t>
      </w:r>
      <w:r w:rsidRPr="008D1918" w:rsidR="0060149E">
        <w:t>9</w:t>
      </w:r>
      <w:r w:rsidRPr="008D1918">
        <w:t xml:space="preserve">: </w:t>
      </w:r>
    </w:p>
    <w:p w:rsidRPr="008D1918" w:rsidR="00705F2C" w:rsidP="00705F2C" w:rsidRDefault="00705F2C" w14:paraId="43386707" w14:textId="253E5F3C">
      <w:pPr>
        <w:pStyle w:val="Normalrecommendationtext"/>
        <w:spacing w:line="288" w:lineRule="auto"/>
      </w:pPr>
      <w:r w:rsidRPr="008D1918">
        <w:t xml:space="preserve">The national price for supports delivered by ‘Other Professionals’ (not including Early Childhood supports) should be a maximum of $156.16 per hour. </w:t>
      </w:r>
    </w:p>
    <w:p w:rsidRPr="008D1918" w:rsidR="000E3523" w:rsidP="00E21370" w:rsidRDefault="000E3523" w14:paraId="5CE9C61A" w14:textId="2DD93E9D">
      <w:pPr>
        <w:pStyle w:val="LittleH4"/>
      </w:pPr>
      <w:r w:rsidRPr="008D1918">
        <w:t>Claiming for non-face-to-face time</w:t>
      </w:r>
    </w:p>
    <w:p w:rsidRPr="008D1918" w:rsidR="00705F2C" w:rsidP="00245B10" w:rsidRDefault="00705F2C" w14:paraId="15C4EDB2" w14:textId="77777777">
      <w:pPr>
        <w:pStyle w:val="RecommendationH5"/>
      </w:pPr>
      <w:r w:rsidRPr="008D1918">
        <w:t>Recommendation 10:</w:t>
      </w:r>
    </w:p>
    <w:p w:rsidRPr="008D1918" w:rsidR="00705F2C" w:rsidP="00705F2C" w:rsidRDefault="00705F2C" w14:paraId="3EDF86B4" w14:textId="58E4D0DA">
      <w:pPr>
        <w:pStyle w:val="Normalrecommendationtext"/>
        <w:spacing w:line="288" w:lineRule="auto"/>
      </w:pPr>
      <w:r w:rsidRPr="008D1918">
        <w:t>A separate line item should be introduced for claiming provider travel associated with therapy supports, distinct from the therapy line item. This provider travel line item would enable provider travel to be claimed and recorded separately from direct service delivery, improving transparency and accuracy in claiming.</w:t>
      </w:r>
    </w:p>
    <w:p w:rsidRPr="008D1918" w:rsidR="00705F2C" w:rsidP="00245B10" w:rsidRDefault="00705F2C" w14:paraId="203F7458" w14:textId="77777777">
      <w:pPr>
        <w:pStyle w:val="RecommendationH5"/>
      </w:pPr>
      <w:r w:rsidRPr="008D1918">
        <w:t>Recommendation 11:</w:t>
      </w:r>
    </w:p>
    <w:p w:rsidRPr="008D1918" w:rsidR="007C50D8" w:rsidP="00705F2C" w:rsidRDefault="00705F2C" w14:paraId="190B6AA8" w14:textId="05353B9B">
      <w:pPr>
        <w:pStyle w:val="Normalrecommendationtext"/>
      </w:pPr>
      <w:r w:rsidRPr="008D1918">
        <w:t>Separate line items should be introduced for claiming non-face-to-face therapy support provision, including activities such as preparation, documentation, and NDIS-requested reporting. These line items would enable non-face-to-face activities to be claimed and recorded separately from direct service delivery, improving transparency and accuracy in claiming.</w:t>
      </w:r>
      <w:r w:rsidRPr="008D1918" w:rsidR="007C50D8">
        <w:br w:type="page"/>
      </w:r>
    </w:p>
    <w:p w:rsidRPr="008D1918" w:rsidR="00337E33" w:rsidP="0041120E" w:rsidRDefault="00337E33" w14:paraId="36E69836" w14:textId="0453AC73">
      <w:pPr>
        <w:pStyle w:val="Heading21"/>
        <w:ind w:left="1077" w:hanging="720"/>
      </w:pPr>
      <w:bookmarkStart w:name="_Toc223539727" w:id="1419"/>
      <w:bookmarkStart w:name="_Toc223539940" w:id="1420"/>
      <w:bookmarkStart w:name="_Toc223540408" w:id="1421"/>
      <w:bookmarkStart w:name="_Toc223540624" w:id="1422"/>
      <w:bookmarkStart w:name="_Toc223542164" w:id="1423"/>
      <w:bookmarkStart w:name="_Toc223604350" w:id="1424"/>
      <w:bookmarkStart w:name="_Toc223604561" w:id="1425"/>
      <w:bookmarkStart w:name="_Toc227337130" w:id="1426"/>
      <w:r w:rsidRPr="008D1918">
        <w:t>Support Coordination</w:t>
      </w:r>
      <w:bookmarkEnd w:id="1419"/>
      <w:bookmarkEnd w:id="1420"/>
      <w:bookmarkEnd w:id="1421"/>
      <w:bookmarkEnd w:id="1422"/>
      <w:bookmarkEnd w:id="1423"/>
      <w:bookmarkEnd w:id="1424"/>
      <w:bookmarkEnd w:id="1425"/>
      <w:bookmarkEnd w:id="1426"/>
      <w:r w:rsidRPr="008D1918">
        <w:t xml:space="preserve"> </w:t>
      </w:r>
    </w:p>
    <w:p w:rsidRPr="008D1918" w:rsidR="00DD0EA5" w:rsidP="004344B4" w:rsidRDefault="00DD0EA5" w14:paraId="3F7861A2" w14:textId="073FF92D">
      <w:pPr>
        <w:pStyle w:val="Heading31"/>
        <w:ind w:left="1077" w:hanging="720"/>
      </w:pPr>
      <w:bookmarkStart w:name="_Toc195099175" w:id="1427"/>
      <w:bookmarkStart w:name="_Toc196754642" w:id="1428"/>
      <w:bookmarkStart w:name="_Toc196758244" w:id="1429"/>
      <w:bookmarkStart w:name="_Toc197344320" w:id="1430"/>
      <w:bookmarkStart w:name="_Toc200271665" w:id="1431"/>
      <w:bookmarkStart w:name="_Toc223539728" w:id="1432"/>
      <w:bookmarkStart w:name="_Toc223539941" w:id="1433"/>
      <w:bookmarkStart w:name="_Toc223540409" w:id="1434"/>
      <w:bookmarkStart w:name="_Toc223540625" w:id="1435"/>
      <w:bookmarkStart w:name="_Toc223542165" w:id="1436"/>
      <w:bookmarkStart w:name="_Toc223604351" w:id="1437"/>
      <w:bookmarkStart w:name="_Toc223604562" w:id="1438"/>
      <w:bookmarkStart w:name="_Toc227337131" w:id="1439"/>
      <w:r w:rsidRPr="008D1918">
        <w:t>Context</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p>
    <w:p w:rsidRPr="008D1918" w:rsidR="00DD0EA5" w:rsidRDefault="00DD0EA5" w14:paraId="08466CD4" w14:textId="55D53188">
      <w:pPr>
        <w:rPr>
          <w:rFonts w:eastAsia="Segoe UI"/>
          <w:lang w:val="en-AU"/>
        </w:rPr>
      </w:pPr>
      <w:r w:rsidRPr="008D1918">
        <w:rPr>
          <w:lang w:val="en-AU"/>
        </w:rPr>
        <w:t xml:space="preserve">Support coordination enables participants to make effective and informed use of their NDIS plans. Support coordinators work with participants to identify, engage and coordinate both funded supports and mainstream services. They ensure supports are appropriately tailored to individual needs and aligned with participants’ goals and </w:t>
      </w:r>
      <w:r w:rsidRPr="008D1918" w:rsidR="00F10C76">
        <w:rPr>
          <w:lang w:val="en-AU"/>
        </w:rPr>
        <w:t xml:space="preserve">their </w:t>
      </w:r>
      <w:r w:rsidRPr="008D1918">
        <w:rPr>
          <w:lang w:val="en-AU"/>
        </w:rPr>
        <w:t xml:space="preserve">allocated budget. </w:t>
      </w:r>
      <w:r w:rsidRPr="008D1918">
        <w:rPr>
          <w:rFonts w:eastAsia="Segoe UI"/>
          <w:lang w:val="en-AU"/>
        </w:rPr>
        <w:t>The intent of this role is to build participant capability, strengthen decision making and support participants to exercise choice and control.</w:t>
      </w:r>
    </w:p>
    <w:p w:rsidRPr="008D1918" w:rsidR="00DD0EA5" w:rsidRDefault="00DD0EA5" w14:paraId="10C9C6DA" w14:textId="2A9EC822">
      <w:pPr>
        <w:rPr>
          <w:lang w:val="en-AU"/>
        </w:rPr>
      </w:pPr>
      <w:r w:rsidRPr="008D1918">
        <w:rPr>
          <w:lang w:val="en-AU"/>
        </w:rPr>
        <w:t>To perform these functions, support coordinators require a comprehensive understanding of the service market, including the range, suitability and availability of services in relation to participants’ needs, goals and circumstances. This includes the capacity to identify alternative providers when required, maintain continuity of supports, and ensure timely access to appropriate services.</w:t>
      </w:r>
    </w:p>
    <w:p w:rsidRPr="008D1918" w:rsidR="00DD0EA5" w:rsidRDefault="00DD0EA5" w14:paraId="27DE57C3" w14:textId="6ED9FF1A">
      <w:pPr>
        <w:rPr>
          <w:lang w:val="en-AU"/>
        </w:rPr>
      </w:pPr>
      <w:r w:rsidRPr="008D1918">
        <w:rPr>
          <w:lang w:val="en-AU"/>
        </w:rPr>
        <w:t xml:space="preserve">The NDIS pricing framework for support coordination is structured to reflect varying levels of participant need and case complexity. Supports are delivered under </w:t>
      </w:r>
      <w:r w:rsidRPr="008D1918" w:rsidR="00186248">
        <w:rPr>
          <w:lang w:val="en-AU"/>
        </w:rPr>
        <w:t xml:space="preserve">3 </w:t>
      </w:r>
      <w:r w:rsidRPr="008D1918">
        <w:rPr>
          <w:lang w:val="en-AU"/>
        </w:rPr>
        <w:t>categories:</w:t>
      </w:r>
    </w:p>
    <w:p w:rsidRPr="008D1918" w:rsidR="00DD0EA5" w:rsidP="009F6459" w:rsidRDefault="00DD0EA5" w14:paraId="17D9A105" w14:textId="77777777">
      <w:pPr>
        <w:pStyle w:val="ListParagraph"/>
        <w:numPr>
          <w:ilvl w:val="0"/>
          <w:numId w:val="9"/>
        </w:numPr>
        <w:rPr>
          <w:lang w:val="en-AU"/>
        </w:rPr>
      </w:pPr>
      <w:r w:rsidRPr="008D1918">
        <w:rPr>
          <w:lang w:val="en-AU"/>
        </w:rPr>
        <w:t>Level 1: Support Connection</w:t>
      </w:r>
    </w:p>
    <w:p w:rsidRPr="008D1918" w:rsidR="00DD0EA5" w:rsidP="009F6459" w:rsidRDefault="00DD0EA5" w14:paraId="1302F3BE" w14:textId="77777777">
      <w:pPr>
        <w:pStyle w:val="ListParagraph"/>
        <w:numPr>
          <w:ilvl w:val="0"/>
          <w:numId w:val="9"/>
        </w:numPr>
        <w:rPr>
          <w:lang w:val="en-AU"/>
        </w:rPr>
      </w:pPr>
      <w:r w:rsidRPr="008D1918">
        <w:rPr>
          <w:lang w:val="en-AU"/>
        </w:rPr>
        <w:t>Level 2: Coordination of Supports</w:t>
      </w:r>
    </w:p>
    <w:p w:rsidRPr="008D1918" w:rsidR="00DD0EA5" w:rsidP="009F6459" w:rsidRDefault="00DD0EA5" w14:paraId="734D78F7" w14:textId="5E7EE62C">
      <w:pPr>
        <w:pStyle w:val="ListParagraph"/>
        <w:numPr>
          <w:ilvl w:val="0"/>
          <w:numId w:val="9"/>
        </w:numPr>
        <w:rPr>
          <w:lang w:val="en-AU"/>
        </w:rPr>
      </w:pPr>
      <w:r w:rsidRPr="008D1918">
        <w:rPr>
          <w:lang w:val="en-AU"/>
        </w:rPr>
        <w:t>Level 3: Specialist Support Coordination</w:t>
      </w:r>
      <w:r w:rsidRPr="008D1918" w:rsidR="0064216E">
        <w:rPr>
          <w:lang w:val="en-AU"/>
        </w:rPr>
        <w:t>.</w:t>
      </w:r>
    </w:p>
    <w:p w:rsidRPr="008D1918" w:rsidR="00DD0EA5" w:rsidRDefault="001222D6" w14:paraId="2A7DEE78" w14:textId="4349D17F">
      <w:pPr>
        <w:rPr>
          <w:lang w:val="en-AU"/>
        </w:rPr>
      </w:pPr>
      <w:r w:rsidRPr="008D1918">
        <w:rPr>
          <w:lang w:val="en-AU"/>
        </w:rPr>
        <w:t xml:space="preserve">Unlike </w:t>
      </w:r>
      <w:r w:rsidRPr="008D1918" w:rsidR="00CC2EE4">
        <w:rPr>
          <w:lang w:val="en-AU"/>
        </w:rPr>
        <w:t xml:space="preserve">therapy supports, where external benchmarks against MBS and PHI provides observable market rates, support coordination is a market </w:t>
      </w:r>
      <w:r w:rsidRPr="008D1918" w:rsidR="00E81ABE">
        <w:rPr>
          <w:lang w:val="en-AU"/>
        </w:rPr>
        <w:t xml:space="preserve">created </w:t>
      </w:r>
      <w:r w:rsidRPr="008D1918" w:rsidR="00CC2EE4">
        <w:rPr>
          <w:lang w:val="en-AU"/>
        </w:rPr>
        <w:t xml:space="preserve">by the NDIS. </w:t>
      </w:r>
      <w:r w:rsidRPr="008D1918" w:rsidR="00513974">
        <w:rPr>
          <w:lang w:val="en-AU"/>
        </w:rPr>
        <w:t xml:space="preserve">There is no comparable external </w:t>
      </w:r>
      <w:r w:rsidRPr="008D1918" w:rsidR="00097049">
        <w:rPr>
          <w:lang w:val="en-AU"/>
        </w:rPr>
        <w:t>market against which to benchmark price</w:t>
      </w:r>
      <w:r w:rsidRPr="008D1918" w:rsidR="001B25E3">
        <w:rPr>
          <w:lang w:val="en-AU"/>
        </w:rPr>
        <w:t xml:space="preserve"> recommendations</w:t>
      </w:r>
      <w:r w:rsidRPr="008D1918" w:rsidR="00097049">
        <w:rPr>
          <w:lang w:val="en-AU"/>
        </w:rPr>
        <w:t xml:space="preserve">. Demand is driven by plan </w:t>
      </w:r>
      <w:r w:rsidRPr="008D1918" w:rsidR="006A55A9">
        <w:rPr>
          <w:lang w:val="en-AU"/>
        </w:rPr>
        <w:t>design,</w:t>
      </w:r>
      <w:r w:rsidRPr="008D1918" w:rsidR="00097049">
        <w:rPr>
          <w:lang w:val="en-AU"/>
        </w:rPr>
        <w:t xml:space="preserve"> and eligibility supply is shaped by </w:t>
      </w:r>
      <w:r w:rsidRPr="008D1918" w:rsidR="009A0856">
        <w:rPr>
          <w:lang w:val="en-AU"/>
        </w:rPr>
        <w:t xml:space="preserve">existing </w:t>
      </w:r>
      <w:r w:rsidRPr="00CC1AFD" w:rsidR="00CC1AFD">
        <w:rPr>
          <w:lang w:val="en-AU"/>
        </w:rPr>
        <w:t>maximum</w:t>
      </w:r>
      <w:r w:rsidRPr="008D1918" w:rsidR="009A0856">
        <w:rPr>
          <w:lang w:val="en-AU"/>
        </w:rPr>
        <w:t xml:space="preserve"> </w:t>
      </w:r>
      <w:r w:rsidRPr="008D1918" w:rsidR="00097049">
        <w:rPr>
          <w:lang w:val="en-AU"/>
        </w:rPr>
        <w:t>price</w:t>
      </w:r>
      <w:r w:rsidRPr="008D1918" w:rsidR="001B25E3">
        <w:rPr>
          <w:lang w:val="en-AU"/>
        </w:rPr>
        <w:t>s</w:t>
      </w:r>
      <w:r w:rsidRPr="008D1918" w:rsidR="00097049">
        <w:rPr>
          <w:lang w:val="en-AU"/>
        </w:rPr>
        <w:t xml:space="preserve"> and registration conditions</w:t>
      </w:r>
      <w:r w:rsidRPr="008D1918" w:rsidR="00F54E95">
        <w:rPr>
          <w:lang w:val="en-AU"/>
        </w:rPr>
        <w:t xml:space="preserve">. The </w:t>
      </w:r>
      <w:r w:rsidRPr="008D1918" w:rsidR="00097049">
        <w:rPr>
          <w:lang w:val="en-AU"/>
        </w:rPr>
        <w:t xml:space="preserve">scope of the </w:t>
      </w:r>
      <w:r w:rsidRPr="008D1918" w:rsidR="00F54E95">
        <w:rPr>
          <w:lang w:val="en-AU"/>
        </w:rPr>
        <w:t xml:space="preserve">support coordinator </w:t>
      </w:r>
      <w:r w:rsidRPr="008D1918" w:rsidR="00097049">
        <w:rPr>
          <w:lang w:val="en-AU"/>
        </w:rPr>
        <w:t xml:space="preserve">role is </w:t>
      </w:r>
      <w:r w:rsidRPr="008D1918" w:rsidR="004E7F06">
        <w:rPr>
          <w:lang w:val="en-AU"/>
        </w:rPr>
        <w:t>defined</w:t>
      </w:r>
      <w:r w:rsidRPr="008D1918" w:rsidR="00097049">
        <w:rPr>
          <w:lang w:val="en-AU"/>
        </w:rPr>
        <w:t xml:space="preserve"> by what the Scheme funds rather than by an independent professional market. This means the question is not whether NDIS price</w:t>
      </w:r>
      <w:r w:rsidRPr="008D1918" w:rsidR="001B25E3">
        <w:rPr>
          <w:lang w:val="en-AU"/>
        </w:rPr>
        <w:t>s</w:t>
      </w:r>
      <w:r w:rsidRPr="008D1918" w:rsidR="00097049">
        <w:rPr>
          <w:lang w:val="en-AU"/>
        </w:rPr>
        <w:t xml:space="preserve"> are aligned with external market rates, </w:t>
      </w:r>
      <w:r w:rsidRPr="008D1918" w:rsidR="004E7F06">
        <w:rPr>
          <w:lang w:val="en-AU"/>
        </w:rPr>
        <w:t>they</w:t>
      </w:r>
      <w:r w:rsidRPr="008D1918" w:rsidR="00097049">
        <w:rPr>
          <w:lang w:val="en-AU"/>
        </w:rPr>
        <w:t xml:space="preserve"> cannot be, but whether current price</w:t>
      </w:r>
      <w:r w:rsidRPr="008D1918" w:rsidR="001B25E3">
        <w:rPr>
          <w:lang w:val="en-AU"/>
        </w:rPr>
        <w:t>s</w:t>
      </w:r>
      <w:r w:rsidRPr="008D1918" w:rsidR="00097049">
        <w:rPr>
          <w:lang w:val="en-AU"/>
        </w:rPr>
        <w:t xml:space="preserve"> support a market that delivers quality support </w:t>
      </w:r>
      <w:r w:rsidRPr="008D1918" w:rsidR="004E7F06">
        <w:rPr>
          <w:lang w:val="en-AU"/>
        </w:rPr>
        <w:t>coordination</w:t>
      </w:r>
      <w:r w:rsidRPr="008D1918" w:rsidR="00097049">
        <w:rPr>
          <w:lang w:val="en-AU"/>
        </w:rPr>
        <w:t xml:space="preserve"> at a sustainable scale. That assessment relies on </w:t>
      </w:r>
      <w:r w:rsidRPr="008D1918" w:rsidR="004E7F06">
        <w:rPr>
          <w:lang w:val="en-AU"/>
        </w:rPr>
        <w:t xml:space="preserve">Scheme data, provider behaviour and, increasingly, the Quality Supports </w:t>
      </w:r>
      <w:r w:rsidRPr="008D1918" w:rsidR="00171B5C">
        <w:rPr>
          <w:lang w:val="en-AU"/>
        </w:rPr>
        <w:t>Program p</w:t>
      </w:r>
      <w:r w:rsidRPr="008D1918" w:rsidR="004E7F06">
        <w:rPr>
          <w:lang w:val="en-AU"/>
        </w:rPr>
        <w:t xml:space="preserve">ilot evidence. </w:t>
      </w:r>
      <w:r w:rsidRPr="008D1918" w:rsidR="00CC2EE4">
        <w:rPr>
          <w:lang w:val="en-AU"/>
        </w:rPr>
        <w:t xml:space="preserve"> </w:t>
      </w:r>
    </w:p>
    <w:p w:rsidRPr="008D1918" w:rsidR="00DD0EA5" w:rsidP="00041468" w:rsidRDefault="00DD0EA5" w14:paraId="6E2ECDE5" w14:textId="00F9A7E5">
      <w:pPr>
        <w:pStyle w:val="StyleStyle112pt"/>
      </w:pPr>
      <w:bookmarkStart w:name="_Toc227131351" w:id="1440"/>
      <w:bookmarkStart w:name="_Toc195099177" w:id="1441"/>
      <w:bookmarkStart w:name="_Toc200103554" w:id="1442"/>
      <w:bookmarkStart w:name="_Toc200271666" w:id="1443"/>
      <w:bookmarkStart w:name="_Toc223345411" w:id="1444"/>
      <w:bookmarkStart w:name="_Toc223428486" w:id="1445"/>
      <w:bookmarkStart w:name="_Toc223445954" w:id="1446"/>
      <w:bookmarkStart w:name="_Toc223539729" w:id="1447"/>
      <w:bookmarkStart w:name="_Toc223539942" w:id="1448"/>
      <w:bookmarkStart w:name="_Toc223540410" w:id="1449"/>
      <w:bookmarkStart w:name="_Toc223540626" w:id="1450"/>
      <w:bookmarkStart w:name="_Toc223542166" w:id="1451"/>
      <w:bookmarkStart w:name="_Toc223604352" w:id="1452"/>
      <w:bookmarkStart w:name="_Toc223604563" w:id="1453"/>
      <w:bookmarkStart w:name="_Toc223604788" w:id="1454"/>
      <w:bookmarkStart w:name="_Toc223618645" w:id="1455"/>
      <w:bookmarkStart w:name="_Toc223702878" w:id="1456"/>
      <w:bookmarkStart w:name="_Toc227318764" w:id="1457"/>
      <w:bookmarkStart w:name="_Toc227337132" w:id="1458"/>
      <w:bookmarkEnd w:id="1440"/>
      <w:r w:rsidRPr="008D1918">
        <w:t xml:space="preserve">Support Coordination </w:t>
      </w:r>
      <w:r w:rsidRPr="008D1918" w:rsidR="00C21A8C">
        <w:t>p</w:t>
      </w:r>
      <w:r w:rsidRPr="008D1918">
        <w:t>ilot</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r w:rsidRPr="008D1918">
        <w:t xml:space="preserve"> </w:t>
      </w:r>
    </w:p>
    <w:p w:rsidRPr="008D1918" w:rsidR="00DD0EA5" w:rsidRDefault="00DD0EA5" w14:paraId="149DB0C5" w14:textId="033312BD">
      <w:pPr>
        <w:rPr>
          <w:lang w:val="en-AU"/>
        </w:rPr>
      </w:pPr>
      <w:bookmarkStart w:name="_Toc195099178" w:id="1459"/>
      <w:bookmarkStart w:name="_Toc196754643" w:id="1460"/>
      <w:r w:rsidRPr="008D1918">
        <w:rPr>
          <w:lang w:val="en-AU"/>
        </w:rPr>
        <w:t xml:space="preserve">The Support Coordination </w:t>
      </w:r>
      <w:r w:rsidRPr="008D1918" w:rsidR="00C21A8C">
        <w:rPr>
          <w:lang w:val="en-AU"/>
        </w:rPr>
        <w:t>p</w:t>
      </w:r>
      <w:r w:rsidRPr="008D1918">
        <w:rPr>
          <w:lang w:val="en-AU"/>
        </w:rPr>
        <w:t xml:space="preserve">ilot </w:t>
      </w:r>
      <w:r w:rsidRPr="008D1918" w:rsidR="00601BA1">
        <w:rPr>
          <w:lang w:val="en-AU"/>
        </w:rPr>
        <w:t>was</w:t>
      </w:r>
      <w:r w:rsidRPr="008D1918" w:rsidR="00DE4B7D">
        <w:rPr>
          <w:lang w:val="en-AU"/>
        </w:rPr>
        <w:t xml:space="preserve"> established </w:t>
      </w:r>
      <w:r w:rsidRPr="008D1918" w:rsidR="008C554F">
        <w:rPr>
          <w:lang w:val="en-AU"/>
        </w:rPr>
        <w:t xml:space="preserve">through the Quality Supports Program </w:t>
      </w:r>
      <w:r w:rsidRPr="008D1918" w:rsidR="00DE4B7D">
        <w:rPr>
          <w:lang w:val="en-AU"/>
        </w:rPr>
        <w:t xml:space="preserve">to </w:t>
      </w:r>
      <w:r w:rsidRPr="008D1918" w:rsidR="00465F14">
        <w:rPr>
          <w:lang w:val="en-AU"/>
        </w:rPr>
        <w:t>help the NDIA</w:t>
      </w:r>
      <w:r w:rsidRPr="008D1918" w:rsidR="00DE4B7D">
        <w:rPr>
          <w:lang w:val="en-AU"/>
        </w:rPr>
        <w:t xml:space="preserve"> develop a broader</w:t>
      </w:r>
      <w:r w:rsidRPr="008D1918">
        <w:rPr>
          <w:lang w:val="en-AU"/>
        </w:rPr>
        <w:t xml:space="preserve"> evidence </w:t>
      </w:r>
      <w:r w:rsidRPr="008D1918" w:rsidR="00601BA1">
        <w:rPr>
          <w:lang w:val="en-AU"/>
        </w:rPr>
        <w:t>base on which</w:t>
      </w:r>
      <w:r w:rsidRPr="008D1918">
        <w:rPr>
          <w:lang w:val="en-AU"/>
        </w:rPr>
        <w:t xml:space="preserve"> to </w:t>
      </w:r>
      <w:r w:rsidRPr="008D1918" w:rsidR="00601BA1">
        <w:rPr>
          <w:lang w:val="en-AU"/>
        </w:rPr>
        <w:t xml:space="preserve">develop a deeper understanding of </w:t>
      </w:r>
      <w:r w:rsidRPr="008D1918">
        <w:rPr>
          <w:lang w:val="en-AU"/>
        </w:rPr>
        <w:t>practices that lead to better outcomes for participants</w:t>
      </w:r>
      <w:r w:rsidRPr="008D1918" w:rsidR="00601BA1">
        <w:rPr>
          <w:lang w:val="en-AU"/>
        </w:rPr>
        <w:t xml:space="preserve"> and implications for pricing</w:t>
      </w:r>
      <w:r w:rsidRPr="008D1918" w:rsidR="001B25E3">
        <w:rPr>
          <w:lang w:val="en-AU"/>
        </w:rPr>
        <w:t xml:space="preserve"> recommendations</w:t>
      </w:r>
      <w:r w:rsidRPr="008D1918">
        <w:rPr>
          <w:lang w:val="en-AU"/>
        </w:rPr>
        <w:t xml:space="preserve">. </w:t>
      </w:r>
    </w:p>
    <w:p w:rsidRPr="008D1918" w:rsidR="00DD0EA5" w:rsidRDefault="00DD0EA5" w14:paraId="009342AC" w14:textId="1FE5B9A9">
      <w:pPr>
        <w:rPr>
          <w:rFonts w:eastAsia="Arial" w:cs="Arial"/>
          <w:lang w:val="en-AU"/>
        </w:rPr>
      </w:pPr>
      <w:r w:rsidRPr="008D1918">
        <w:rPr>
          <w:rFonts w:eastAsia="Arial" w:cs="Arial"/>
          <w:color w:val="222222"/>
          <w:lang w:val="en-AU"/>
        </w:rPr>
        <w:t xml:space="preserve">The Support Coordination </w:t>
      </w:r>
      <w:r w:rsidRPr="008D1918" w:rsidR="00C21A8C">
        <w:rPr>
          <w:rFonts w:eastAsia="Arial" w:cs="Arial"/>
          <w:color w:val="222222"/>
          <w:lang w:val="en-AU"/>
        </w:rPr>
        <w:t>p</w:t>
      </w:r>
      <w:r w:rsidRPr="008D1918">
        <w:rPr>
          <w:rFonts w:eastAsia="Arial" w:cs="Arial"/>
          <w:color w:val="222222"/>
          <w:lang w:val="en-AU"/>
        </w:rPr>
        <w:t xml:space="preserve">ilot has </w:t>
      </w:r>
      <w:r w:rsidRPr="008D1918" w:rsidR="009B70AC">
        <w:rPr>
          <w:rFonts w:eastAsia="Arial" w:cs="Arial"/>
          <w:color w:val="222222"/>
          <w:lang w:val="en-AU"/>
        </w:rPr>
        <w:t xml:space="preserve">started </w:t>
      </w:r>
      <w:r w:rsidRPr="008D1918">
        <w:rPr>
          <w:rFonts w:eastAsia="Arial" w:cs="Arial"/>
          <w:color w:val="222222"/>
          <w:lang w:val="en-AU"/>
        </w:rPr>
        <w:t>and will run for 12 months</w:t>
      </w:r>
      <w:r w:rsidRPr="008D1918" w:rsidR="00F16CBC">
        <w:rPr>
          <w:rFonts w:eastAsia="Arial" w:cs="Arial"/>
          <w:color w:val="222222"/>
          <w:lang w:val="en-AU"/>
        </w:rPr>
        <w:t>,</w:t>
      </w:r>
      <w:r w:rsidRPr="008D1918">
        <w:rPr>
          <w:rFonts w:eastAsia="Arial" w:cs="Arial"/>
          <w:color w:val="222222"/>
          <w:lang w:val="en-AU"/>
        </w:rPr>
        <w:t xml:space="preserve"> with the Agency working with selected providers to identify features of quality service provision and cost models associated with providing quality support coordination services.</w:t>
      </w:r>
      <w:r w:rsidR="000103B6">
        <w:rPr>
          <w:rFonts w:eastAsia="Arial" w:cs="Arial"/>
          <w:color w:val="222222"/>
          <w:lang w:val="en-AU"/>
        </w:rPr>
        <w:t xml:space="preserve"> </w:t>
      </w:r>
    </w:p>
    <w:p w:rsidRPr="008D1918" w:rsidR="00DD0EA5" w:rsidP="004344B4" w:rsidRDefault="00DD0EA5" w14:paraId="2C717071" w14:textId="481AFB60">
      <w:pPr>
        <w:pStyle w:val="Heading31"/>
        <w:ind w:left="1077" w:hanging="720"/>
      </w:pPr>
      <w:bookmarkStart w:name="_Toc196758245" w:id="1461"/>
      <w:bookmarkStart w:name="_Toc197344321" w:id="1462"/>
      <w:bookmarkStart w:name="_Toc200271667" w:id="1463"/>
      <w:bookmarkStart w:name="_Toc223539730" w:id="1464"/>
      <w:bookmarkStart w:name="_Toc223539943" w:id="1465"/>
      <w:bookmarkStart w:name="_Toc223540411" w:id="1466"/>
      <w:bookmarkStart w:name="_Toc223540627" w:id="1467"/>
      <w:bookmarkStart w:name="_Toc223542167" w:id="1468"/>
      <w:bookmarkStart w:name="_Toc223604353" w:id="1469"/>
      <w:bookmarkStart w:name="_Toc223604564" w:id="1470"/>
      <w:bookmarkStart w:name="_Toc227337133" w:id="1471"/>
      <w:r w:rsidRPr="008D1918">
        <w:t xml:space="preserve">Scheme </w:t>
      </w:r>
      <w:r w:rsidRPr="008D1918" w:rsidR="00FA091C">
        <w:t>s</w:t>
      </w:r>
      <w:r w:rsidRPr="008D1918">
        <w:t>tatistics</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r w:rsidRPr="008D1918">
        <w:t xml:space="preserve"> </w:t>
      </w:r>
    </w:p>
    <w:p w:rsidRPr="008D1918" w:rsidR="00DD0EA5" w:rsidP="00041468" w:rsidRDefault="00DD0EA5" w14:paraId="16F35C1F" w14:textId="77777777">
      <w:pPr>
        <w:pStyle w:val="StyleStyle112pt"/>
      </w:pPr>
      <w:bookmarkStart w:name="_Toc195099179" w:id="1472"/>
      <w:bookmarkStart w:name="_Toc200103556" w:id="1473"/>
      <w:bookmarkStart w:name="_Toc200271668" w:id="1474"/>
      <w:bookmarkStart w:name="_Toc223345413" w:id="1475"/>
      <w:bookmarkStart w:name="_Toc223428488" w:id="1476"/>
      <w:bookmarkStart w:name="_Toc223445956" w:id="1477"/>
      <w:bookmarkStart w:name="_Toc223539731" w:id="1478"/>
      <w:bookmarkStart w:name="_Toc223539944" w:id="1479"/>
      <w:bookmarkStart w:name="_Toc223540412" w:id="1480"/>
      <w:bookmarkStart w:name="_Toc223540628" w:id="1481"/>
      <w:bookmarkStart w:name="_Toc223542168" w:id="1482"/>
      <w:bookmarkStart w:name="_Toc223604354" w:id="1483"/>
      <w:bookmarkStart w:name="_Toc223604565" w:id="1484"/>
      <w:bookmarkStart w:name="_Toc223604790" w:id="1485"/>
      <w:bookmarkStart w:name="_Toc223618647" w:id="1486"/>
      <w:bookmarkStart w:name="_Toc223702880" w:id="1487"/>
      <w:bookmarkStart w:name="_Toc227318766" w:id="1488"/>
      <w:bookmarkStart w:name="_Toc227337134" w:id="1489"/>
      <w:r w:rsidRPr="008D1918">
        <w:t>Market</w:t>
      </w:r>
      <w:bookmarkEnd w:id="1472"/>
      <w:bookmarkEnd w:id="1473"/>
      <w:bookmarkEnd w:id="1474"/>
      <w:r w:rsidRPr="008D1918">
        <w:t xml:space="preserve"> overview</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r w:rsidRPr="008D1918">
        <w:t xml:space="preserve"> </w:t>
      </w:r>
    </w:p>
    <w:p w:rsidRPr="008D1918" w:rsidR="00DD0EA5" w:rsidRDefault="00DD0EA5" w14:paraId="1121D1AA" w14:textId="1A4F3FFC">
      <w:pPr>
        <w:rPr>
          <w:lang w:val="en-AU"/>
        </w:rPr>
      </w:pPr>
      <w:r w:rsidRPr="008D1918">
        <w:rPr>
          <w:lang w:val="en-AU"/>
        </w:rPr>
        <w:t xml:space="preserve">The support coordination market continued to expand in the </w:t>
      </w:r>
      <w:r w:rsidRPr="008D1918" w:rsidR="00AF498E">
        <w:rPr>
          <w:lang w:val="en-AU"/>
        </w:rPr>
        <w:t xml:space="preserve">6 </w:t>
      </w:r>
      <w:r w:rsidRPr="008D1918">
        <w:rPr>
          <w:lang w:val="en-AU"/>
        </w:rPr>
        <w:t>months to December 2025. Total participants accessing support coordination reached 291,832, an increase of 11% from the previous year (</w:t>
      </w:r>
      <w:r w:rsidRPr="008D1918" w:rsidR="00697593">
        <w:rPr>
          <w:lang w:val="en-AU"/>
        </w:rPr>
        <w:fldChar w:fldCharType="begin"/>
      </w:r>
      <w:r w:rsidRPr="008D1918" w:rsidR="00697593">
        <w:rPr>
          <w:lang w:val="en-AU"/>
        </w:rPr>
        <w:instrText xml:space="preserve"> REF _Ref223691368 \h </w:instrText>
      </w:r>
      <w:r w:rsidRPr="008D1918" w:rsidR="00762DF8">
        <w:rPr>
          <w:lang w:val="en-AU"/>
        </w:rPr>
        <w:instrText xml:space="preserve"> \* MERGEFORMAT </w:instrText>
      </w:r>
      <w:r w:rsidRPr="008D1918" w:rsidR="00697593">
        <w:rPr>
          <w:lang w:val="en-AU"/>
        </w:rPr>
      </w:r>
      <w:r w:rsidRPr="008D1918" w:rsidR="00697593">
        <w:rPr>
          <w:lang w:val="en-AU"/>
        </w:rPr>
        <w:fldChar w:fldCharType="separate"/>
      </w:r>
      <w:r w:rsidRPr="008F56A2" w:rsidR="008F56A2">
        <w:rPr>
          <w:lang w:val="en-AU"/>
        </w:rPr>
        <w:t>Table</w:t>
      </w:r>
      <w:r w:rsidRPr="008D1918" w:rsidR="008F56A2">
        <w:t xml:space="preserve"> </w:t>
      </w:r>
      <w:r w:rsidR="008F56A2">
        <w:rPr>
          <w:noProof/>
        </w:rPr>
        <w:t>26</w:t>
      </w:r>
      <w:r w:rsidRPr="008D1918" w:rsidR="00697593">
        <w:rPr>
          <w:lang w:val="en-AU"/>
        </w:rPr>
        <w:fldChar w:fldCharType="end"/>
      </w:r>
      <w:r w:rsidRPr="008D1918">
        <w:rPr>
          <w:lang w:val="en-AU"/>
        </w:rPr>
        <w:t>). Registered providers supported 237,655 participants, a 9</w:t>
      </w:r>
      <w:r w:rsidRPr="008D1918" w:rsidR="006951EE">
        <w:rPr>
          <w:lang w:val="en-AU"/>
        </w:rPr>
        <w:t>.1</w:t>
      </w:r>
      <w:r w:rsidRPr="008D1918">
        <w:rPr>
          <w:lang w:val="en-AU"/>
        </w:rPr>
        <w:t xml:space="preserve">% increase, while participants using unregistered providers grew more strongly to 69,189, a </w:t>
      </w:r>
      <w:r w:rsidRPr="008D1918" w:rsidR="004F6AF2">
        <w:rPr>
          <w:lang w:val="en-AU"/>
        </w:rPr>
        <w:t>19.6</w:t>
      </w:r>
      <w:r w:rsidRPr="008D1918">
        <w:rPr>
          <w:lang w:val="en-AU"/>
        </w:rPr>
        <w:t>% increase (</w:t>
      </w:r>
      <w:r w:rsidRPr="008D1918" w:rsidR="00697593">
        <w:rPr>
          <w:lang w:val="en-AU"/>
        </w:rPr>
        <w:fldChar w:fldCharType="begin"/>
      </w:r>
      <w:r w:rsidRPr="008D1918" w:rsidR="00697593">
        <w:rPr>
          <w:lang w:val="en-AU"/>
        </w:rPr>
        <w:instrText xml:space="preserve"> REF _Ref223691407 \h </w:instrText>
      </w:r>
      <w:r w:rsidRPr="008D1918" w:rsidR="00762DF8">
        <w:rPr>
          <w:lang w:val="en-AU"/>
        </w:rPr>
        <w:instrText xml:space="preserve"> \* MERGEFORMAT </w:instrText>
      </w:r>
      <w:r w:rsidRPr="008D1918" w:rsidR="00697593">
        <w:rPr>
          <w:lang w:val="en-AU"/>
        </w:rPr>
      </w:r>
      <w:r w:rsidRPr="008D1918" w:rsidR="00697593">
        <w:rPr>
          <w:lang w:val="en-AU"/>
        </w:rPr>
        <w:fldChar w:fldCharType="separate"/>
      </w:r>
      <w:r w:rsidRPr="008F56A2" w:rsidR="008F56A2">
        <w:rPr>
          <w:lang w:val="en-AU"/>
        </w:rPr>
        <w:t>Table</w:t>
      </w:r>
      <w:r w:rsidRPr="008D1918" w:rsidR="008F56A2">
        <w:t xml:space="preserve"> </w:t>
      </w:r>
      <w:r w:rsidR="008F56A2">
        <w:rPr>
          <w:noProof/>
        </w:rPr>
        <w:t>27</w:t>
      </w:r>
      <w:r w:rsidRPr="008D1918" w:rsidR="00697593">
        <w:rPr>
          <w:lang w:val="en-AU"/>
        </w:rPr>
        <w:fldChar w:fldCharType="end"/>
      </w:r>
      <w:r w:rsidRPr="008D1918" w:rsidR="00B60A58">
        <w:rPr>
          <w:lang w:val="en-AU"/>
        </w:rPr>
        <w:t xml:space="preserve"> and </w:t>
      </w:r>
      <w:r w:rsidRPr="008D1918" w:rsidR="004213C5">
        <w:rPr>
          <w:lang w:val="en-AU"/>
        </w:rPr>
        <w:fldChar w:fldCharType="begin"/>
      </w:r>
      <w:r w:rsidRPr="008D1918" w:rsidR="004213C5">
        <w:rPr>
          <w:lang w:val="en-AU"/>
        </w:rPr>
        <w:instrText xml:space="preserve"> REF _Ref223691475 \h </w:instrText>
      </w:r>
      <w:r w:rsidRPr="008D1918" w:rsidR="00762DF8">
        <w:rPr>
          <w:lang w:val="en-AU"/>
        </w:rPr>
        <w:instrText xml:space="preserve"> \* MERGEFORMAT </w:instrText>
      </w:r>
      <w:r w:rsidRPr="008D1918" w:rsidR="004213C5">
        <w:rPr>
          <w:lang w:val="en-AU"/>
        </w:rPr>
      </w:r>
      <w:r w:rsidRPr="008D1918" w:rsidR="004213C5">
        <w:rPr>
          <w:lang w:val="en-AU"/>
        </w:rPr>
        <w:fldChar w:fldCharType="separate"/>
      </w:r>
      <w:r w:rsidRPr="008F56A2" w:rsidR="008F56A2">
        <w:rPr>
          <w:lang w:val="en-AU"/>
        </w:rPr>
        <w:t>Table</w:t>
      </w:r>
      <w:r w:rsidRPr="008D1918" w:rsidR="008F56A2">
        <w:t xml:space="preserve"> </w:t>
      </w:r>
      <w:r w:rsidR="008F56A2">
        <w:rPr>
          <w:noProof/>
        </w:rPr>
        <w:t>28</w:t>
      </w:r>
      <w:r w:rsidRPr="008D1918" w:rsidR="004213C5">
        <w:rPr>
          <w:lang w:val="en-AU"/>
        </w:rPr>
        <w:fldChar w:fldCharType="end"/>
      </w:r>
      <w:r w:rsidRPr="008D1918">
        <w:rPr>
          <w:lang w:val="en-AU"/>
        </w:rPr>
        <w:t>).</w:t>
      </w:r>
    </w:p>
    <w:p w:rsidRPr="008D1918" w:rsidR="00DD0EA5" w:rsidRDefault="00DD0EA5" w14:paraId="59753206" w14:textId="0C06B37C">
      <w:pPr>
        <w:rPr>
          <w:lang w:val="en-AU"/>
        </w:rPr>
      </w:pPr>
      <w:r w:rsidRPr="008D1918">
        <w:rPr>
          <w:lang w:val="en-AU"/>
        </w:rPr>
        <w:t>Total payments reached $61</w:t>
      </w:r>
      <w:r w:rsidRPr="008D1918" w:rsidR="00496F29">
        <w:rPr>
          <w:lang w:val="en-AU"/>
        </w:rPr>
        <w:t>8</w:t>
      </w:r>
      <w:r w:rsidRPr="008D1918" w:rsidR="00627B43">
        <w:rPr>
          <w:lang w:val="en-AU"/>
        </w:rPr>
        <w:t>.1</w:t>
      </w:r>
      <w:r w:rsidRPr="008D1918">
        <w:rPr>
          <w:lang w:val="en-AU"/>
        </w:rPr>
        <w:t xml:space="preserve"> million for the </w:t>
      </w:r>
      <w:r w:rsidRPr="008D1918" w:rsidR="00AF498E">
        <w:rPr>
          <w:lang w:val="en-AU"/>
        </w:rPr>
        <w:t>6</w:t>
      </w:r>
      <w:r w:rsidRPr="008D1918">
        <w:rPr>
          <w:lang w:val="en-AU"/>
        </w:rPr>
        <w:t xml:space="preserve"> months </w:t>
      </w:r>
      <w:r w:rsidRPr="008D1918" w:rsidR="00F87405">
        <w:rPr>
          <w:lang w:val="en-AU"/>
        </w:rPr>
        <w:t>from</w:t>
      </w:r>
      <w:r w:rsidRPr="008D1918">
        <w:rPr>
          <w:lang w:val="en-AU"/>
        </w:rPr>
        <w:t xml:space="preserve"> July to December 2025, a 9% increase from the previous corresponding period (</w:t>
      </w:r>
      <w:r w:rsidRPr="008D1918" w:rsidR="00697593">
        <w:rPr>
          <w:lang w:val="en-AU"/>
        </w:rPr>
        <w:fldChar w:fldCharType="begin"/>
      </w:r>
      <w:r w:rsidRPr="008D1918" w:rsidR="00697593">
        <w:rPr>
          <w:lang w:val="en-AU"/>
        </w:rPr>
        <w:instrText xml:space="preserve"> REF _Ref223691368 \h </w:instrText>
      </w:r>
      <w:r w:rsidRPr="008D1918" w:rsidR="00762DF8">
        <w:rPr>
          <w:lang w:val="en-AU"/>
        </w:rPr>
        <w:instrText xml:space="preserve"> \* MERGEFORMAT </w:instrText>
      </w:r>
      <w:r w:rsidRPr="008D1918" w:rsidR="00697593">
        <w:rPr>
          <w:lang w:val="en-AU"/>
        </w:rPr>
      </w:r>
      <w:r w:rsidRPr="008D1918" w:rsidR="00697593">
        <w:rPr>
          <w:lang w:val="en-AU"/>
        </w:rPr>
        <w:fldChar w:fldCharType="separate"/>
      </w:r>
      <w:r w:rsidRPr="008F56A2" w:rsidR="008F56A2">
        <w:rPr>
          <w:lang w:val="en-AU"/>
        </w:rPr>
        <w:t>Table</w:t>
      </w:r>
      <w:r w:rsidRPr="008D1918" w:rsidR="008F56A2">
        <w:t xml:space="preserve"> </w:t>
      </w:r>
      <w:r w:rsidR="008F56A2">
        <w:rPr>
          <w:noProof/>
        </w:rPr>
        <w:t>26</w:t>
      </w:r>
      <w:r w:rsidRPr="008D1918" w:rsidR="00697593">
        <w:rPr>
          <w:lang w:val="en-AU"/>
        </w:rPr>
        <w:fldChar w:fldCharType="end"/>
      </w:r>
      <w:r w:rsidRPr="008D1918">
        <w:rPr>
          <w:lang w:val="en-AU"/>
        </w:rPr>
        <w:t xml:space="preserve">). Registered providers retained the majority of market </w:t>
      </w:r>
      <w:r w:rsidRPr="008D1918" w:rsidR="00912E40">
        <w:rPr>
          <w:lang w:val="en-AU"/>
        </w:rPr>
        <w:t xml:space="preserve">share </w:t>
      </w:r>
      <w:r w:rsidRPr="008D1918">
        <w:rPr>
          <w:lang w:val="en-AU"/>
        </w:rPr>
        <w:t>at $487 million</w:t>
      </w:r>
      <w:r w:rsidRPr="008D1918" w:rsidR="00912E40">
        <w:rPr>
          <w:lang w:val="en-AU"/>
        </w:rPr>
        <w:t>. However</w:t>
      </w:r>
      <w:r w:rsidRPr="008D1918">
        <w:rPr>
          <w:lang w:val="en-AU"/>
        </w:rPr>
        <w:t>,</w:t>
      </w:r>
      <w:r w:rsidRPr="008D1918" w:rsidR="00F44B71">
        <w:rPr>
          <w:lang w:val="en-AU"/>
        </w:rPr>
        <w:t xml:space="preserve"> </w:t>
      </w:r>
      <w:r w:rsidRPr="008D1918" w:rsidR="0025121B">
        <w:rPr>
          <w:lang w:val="en-AU"/>
        </w:rPr>
        <w:t>revenues for</w:t>
      </w:r>
      <w:r w:rsidRPr="008D1918" w:rsidR="00F44B71">
        <w:rPr>
          <w:lang w:val="en-AU"/>
        </w:rPr>
        <w:t xml:space="preserve"> </w:t>
      </w:r>
      <w:r w:rsidRPr="008D1918">
        <w:rPr>
          <w:lang w:val="en-AU"/>
        </w:rPr>
        <w:t>unregistered provider</w:t>
      </w:r>
      <w:r w:rsidRPr="008D1918" w:rsidR="006016DC">
        <w:rPr>
          <w:lang w:val="en-AU"/>
        </w:rPr>
        <w:t>s</w:t>
      </w:r>
      <w:r w:rsidRPr="008D1918">
        <w:rPr>
          <w:lang w:val="en-AU"/>
        </w:rPr>
        <w:t xml:space="preserve"> </w:t>
      </w:r>
      <w:r w:rsidRPr="008D1918" w:rsidR="00F44B71">
        <w:rPr>
          <w:lang w:val="en-AU"/>
        </w:rPr>
        <w:t xml:space="preserve">are </w:t>
      </w:r>
      <w:r w:rsidRPr="008D1918">
        <w:rPr>
          <w:lang w:val="en-AU"/>
        </w:rPr>
        <w:t xml:space="preserve">growing at a faster rate of 11% compared </w:t>
      </w:r>
      <w:r w:rsidRPr="008D1918" w:rsidR="0025121B">
        <w:rPr>
          <w:lang w:val="en-AU"/>
        </w:rPr>
        <w:t xml:space="preserve">with </w:t>
      </w:r>
      <w:r w:rsidRPr="008D1918">
        <w:rPr>
          <w:lang w:val="en-AU"/>
        </w:rPr>
        <w:t>9% for registered providers (</w:t>
      </w:r>
      <w:r w:rsidRPr="008D1918" w:rsidR="00697593">
        <w:rPr>
          <w:lang w:val="en-AU"/>
        </w:rPr>
        <w:fldChar w:fldCharType="begin"/>
      </w:r>
      <w:r w:rsidRPr="008D1918" w:rsidR="00697593">
        <w:rPr>
          <w:lang w:val="en-AU"/>
        </w:rPr>
        <w:instrText xml:space="preserve"> REF _Ref223691407 \h </w:instrText>
      </w:r>
      <w:r w:rsidRPr="008D1918" w:rsidR="00762DF8">
        <w:rPr>
          <w:lang w:val="en-AU"/>
        </w:rPr>
        <w:instrText xml:space="preserve"> \* MERGEFORMAT </w:instrText>
      </w:r>
      <w:r w:rsidRPr="008D1918" w:rsidR="00697593">
        <w:rPr>
          <w:lang w:val="en-AU"/>
        </w:rPr>
      </w:r>
      <w:r w:rsidRPr="008D1918" w:rsidR="00697593">
        <w:rPr>
          <w:lang w:val="en-AU"/>
        </w:rPr>
        <w:fldChar w:fldCharType="separate"/>
      </w:r>
      <w:r w:rsidRPr="008F56A2" w:rsidR="008F56A2">
        <w:rPr>
          <w:lang w:val="en-AU"/>
        </w:rPr>
        <w:t>Table</w:t>
      </w:r>
      <w:r w:rsidRPr="008D1918" w:rsidR="008F56A2">
        <w:t xml:space="preserve"> </w:t>
      </w:r>
      <w:r w:rsidR="008F56A2">
        <w:rPr>
          <w:noProof/>
        </w:rPr>
        <w:t>27</w:t>
      </w:r>
      <w:r w:rsidRPr="008D1918" w:rsidR="00697593">
        <w:rPr>
          <w:lang w:val="en-AU"/>
        </w:rPr>
        <w:fldChar w:fldCharType="end"/>
      </w:r>
      <w:r w:rsidRPr="008D1918" w:rsidR="00B60A58">
        <w:rPr>
          <w:lang w:val="en-AU"/>
        </w:rPr>
        <w:t xml:space="preserve"> and </w:t>
      </w:r>
      <w:r w:rsidRPr="008D1918" w:rsidR="004213C5">
        <w:rPr>
          <w:lang w:val="en-AU"/>
        </w:rPr>
        <w:fldChar w:fldCharType="begin"/>
      </w:r>
      <w:r w:rsidRPr="008D1918" w:rsidR="004213C5">
        <w:rPr>
          <w:lang w:val="en-AU"/>
        </w:rPr>
        <w:instrText xml:space="preserve"> REF _Ref223691475 \h </w:instrText>
      </w:r>
      <w:r w:rsidRPr="008D1918" w:rsidR="00762DF8">
        <w:rPr>
          <w:lang w:val="en-AU"/>
        </w:rPr>
        <w:instrText xml:space="preserve"> \* MERGEFORMAT </w:instrText>
      </w:r>
      <w:r w:rsidRPr="008D1918" w:rsidR="004213C5">
        <w:rPr>
          <w:lang w:val="en-AU"/>
        </w:rPr>
      </w:r>
      <w:r w:rsidRPr="008D1918" w:rsidR="004213C5">
        <w:rPr>
          <w:lang w:val="en-AU"/>
        </w:rPr>
        <w:fldChar w:fldCharType="separate"/>
      </w:r>
      <w:r w:rsidRPr="008F56A2" w:rsidR="008F56A2">
        <w:rPr>
          <w:lang w:val="en-AU"/>
        </w:rPr>
        <w:t>Table</w:t>
      </w:r>
      <w:r w:rsidRPr="008D1918" w:rsidR="008F56A2">
        <w:t xml:space="preserve"> </w:t>
      </w:r>
      <w:r w:rsidR="008F56A2">
        <w:rPr>
          <w:noProof/>
        </w:rPr>
        <w:t>28</w:t>
      </w:r>
      <w:r w:rsidRPr="008D1918" w:rsidR="004213C5">
        <w:rPr>
          <w:lang w:val="en-AU"/>
        </w:rPr>
        <w:fldChar w:fldCharType="end"/>
      </w:r>
      <w:r w:rsidRPr="008D1918">
        <w:rPr>
          <w:lang w:val="en-AU"/>
        </w:rPr>
        <w:t>). Payments for support coordination relative to total NDIS expenditure remained relatively stable at 2.4% during this period (</w:t>
      </w:r>
      <w:r w:rsidRPr="008D1918" w:rsidR="007E5187">
        <w:rPr>
          <w:lang w:val="en-AU"/>
        </w:rPr>
        <w:fldChar w:fldCharType="begin"/>
      </w:r>
      <w:r w:rsidRPr="008D1918" w:rsidR="007E5187">
        <w:rPr>
          <w:lang w:val="en-AU"/>
        </w:rPr>
        <w:instrText xml:space="preserve"> REF _Ref223625501 \h </w:instrText>
      </w:r>
      <w:r w:rsidRPr="008D1918" w:rsidR="00762DF8">
        <w:rPr>
          <w:lang w:val="en-AU"/>
        </w:rPr>
        <w:instrText xml:space="preserve"> \* MERGEFORMAT </w:instrText>
      </w:r>
      <w:r w:rsidRPr="008D1918" w:rsidR="007E5187">
        <w:rPr>
          <w:lang w:val="en-AU"/>
        </w:rPr>
      </w:r>
      <w:r w:rsidRPr="008D1918" w:rsidR="007E5187">
        <w:rPr>
          <w:lang w:val="en-AU"/>
        </w:rPr>
        <w:fldChar w:fldCharType="separate"/>
      </w:r>
      <w:r w:rsidRPr="008F56A2" w:rsidR="008F56A2">
        <w:rPr>
          <w:lang w:val="en-AU"/>
        </w:rPr>
        <w:t>Figure</w:t>
      </w:r>
      <w:r w:rsidRPr="008D1918" w:rsidR="008F56A2">
        <w:t xml:space="preserve"> </w:t>
      </w:r>
      <w:r w:rsidR="008F56A2">
        <w:rPr>
          <w:noProof/>
        </w:rPr>
        <w:t>31</w:t>
      </w:r>
      <w:r w:rsidRPr="008D1918" w:rsidR="007E5187">
        <w:rPr>
          <w:lang w:val="en-AU"/>
        </w:rPr>
        <w:fldChar w:fldCharType="end"/>
      </w:r>
      <w:r w:rsidRPr="008D1918">
        <w:rPr>
          <w:lang w:val="en-AU"/>
        </w:rPr>
        <w:t>)</w:t>
      </w:r>
      <w:r w:rsidRPr="008D1918" w:rsidR="004213C5">
        <w:rPr>
          <w:lang w:val="en-AU"/>
        </w:rPr>
        <w:t>.</w:t>
      </w:r>
    </w:p>
    <w:p w:rsidRPr="008D1918" w:rsidR="00DD0EA5" w:rsidP="00697593" w:rsidRDefault="00697593" w14:paraId="0A3CC63C" w14:textId="5DCC34D9">
      <w:pPr>
        <w:pStyle w:val="Caption"/>
      </w:pPr>
      <w:bookmarkStart w:name="_Ref223691368" w:id="1490"/>
      <w:r w:rsidRPr="008D1918">
        <w:t xml:space="preserve">Table </w:t>
      </w:r>
      <w:r>
        <w:fldChar w:fldCharType="begin"/>
      </w:r>
      <w:r>
        <w:instrText>SEQ Table \* ARABIC</w:instrText>
      </w:r>
      <w:r>
        <w:fldChar w:fldCharType="separate"/>
      </w:r>
      <w:r w:rsidR="008F56A2">
        <w:rPr>
          <w:noProof/>
        </w:rPr>
        <w:t>26</w:t>
      </w:r>
      <w:r>
        <w:fldChar w:fldCharType="end"/>
      </w:r>
      <w:bookmarkEnd w:id="1490"/>
      <w:r w:rsidRPr="008D1918" w:rsidR="00DD0EA5">
        <w:t xml:space="preserve">: Support coordination </w:t>
      </w:r>
      <w:r w:rsidRPr="008D1918" w:rsidR="00803C03">
        <w:t>S</w:t>
      </w:r>
      <w:r w:rsidRPr="008D1918" w:rsidR="00DD0EA5">
        <w:t>cheme statistics – all providers</w:t>
      </w:r>
      <w:r w:rsidRPr="008D1918" w:rsidR="007153EA">
        <w:t>, July 2024 to December 2025</w:t>
      </w:r>
    </w:p>
    <w:tbl>
      <w:tblPr>
        <w:tblStyle w:val="GridTable4-Accent121"/>
        <w:tblW w:w="0" w:type="auto"/>
        <w:tblInd w:w="0" w:type="dxa"/>
        <w:tblLayout w:type="fixed"/>
        <w:tblLook w:val="04A0" w:firstRow="1" w:lastRow="0" w:firstColumn="1" w:lastColumn="0" w:noHBand="0" w:noVBand="1"/>
        <w:tblCaption w:val="TABLE 6: THERAPY SUPPORTS SCHEME STATISTICS"/>
        <w:tblDescription w:val="In the six months to 31 December 2022, 325,319 participants (57% of the 573,342 active participants as of 31 December 2022) purchased therapy supports through their plans. These supports were delivered by 46,434 providers who received a payment in the six months to 31 December 2022, a 14% increase to provider numbers from the same period in the previous year. &#10;Expenditure on therapy supports in the six months to December 2022 equated to $1.6 billion, accounting to almost 10% of all expenditure by the NDIS ($16.8 billion) during this six-month period, an increase of 26% from the same period in the previous year. The average amount claimed by all active providers of therapy supports was $34,947 between July and December 2022, aa 10% increase on the same period of 2021. The total amount claimed by registered providers of therapy supports was $1.16 billion between July and December 2022 this is a 18% increase on the amount during July December 2021. The average amount claimed by registered providers of therapy supports was $130,738 in July to December 2022 a 17% increase on the amount in the same during the same in 2021. &#10;"/>
      </w:tblPr>
      <w:tblGrid>
        <w:gridCol w:w="3629"/>
        <w:gridCol w:w="1985"/>
        <w:gridCol w:w="1985"/>
        <w:gridCol w:w="1418"/>
      </w:tblGrid>
      <w:tr w:rsidRPr="008D1918" w:rsidR="00A238C6" w:rsidTr="00697593" w14:paraId="1EE42C72" w14:textId="77777777">
        <w:trPr>
          <w:cnfStyle w:val="100000000000" w:firstRow="1" w:lastRow="0" w:firstColumn="0" w:lastColumn="0" w:oddVBand="0" w:evenVBand="0" w:oddHBand="0" w:evenHBand="0" w:firstRowFirstColumn="0" w:firstRowLastColumn="0" w:lastRowFirstColumn="0" w:lastRowLastColumn="0"/>
          <w:trHeight w:val="577"/>
          <w:tblHeader/>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DD0EA5" w:rsidP="00697593" w:rsidRDefault="002C3980" w14:paraId="588DA737" w14:textId="21AC550E">
            <w:pPr>
              <w:keepNext/>
              <w:spacing w:before="60" w:after="60"/>
              <w:rPr>
                <w:sz w:val="20"/>
                <w:szCs w:val="20"/>
                <w:lang w:val="en-AU"/>
              </w:rPr>
            </w:pPr>
            <w:r w:rsidRPr="008D1918">
              <w:rPr>
                <w:sz w:val="20"/>
                <w:szCs w:val="20"/>
                <w:lang w:val="en-AU"/>
              </w:rPr>
              <w:t>Statistics</w:t>
            </w:r>
          </w:p>
        </w:tc>
        <w:tc>
          <w:tcPr>
            <w:tcW w:w="1985" w:type="dxa"/>
          </w:tcPr>
          <w:p w:rsidRPr="008D1918" w:rsidR="00DD0EA5" w:rsidP="008D2629" w:rsidRDefault="00DD0EA5" w14:paraId="4D54D20C"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July – December 2024</w:t>
            </w:r>
          </w:p>
        </w:tc>
        <w:tc>
          <w:tcPr>
            <w:tcW w:w="1985" w:type="dxa"/>
          </w:tcPr>
          <w:p w:rsidRPr="008D1918" w:rsidR="00DD0EA5" w:rsidP="008D2629" w:rsidRDefault="00DD0EA5" w14:paraId="4A0B01A8"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July – December 2025</w:t>
            </w:r>
          </w:p>
        </w:tc>
        <w:tc>
          <w:tcPr>
            <w:tcW w:w="1418" w:type="dxa"/>
          </w:tcPr>
          <w:p w:rsidRPr="008D1918" w:rsidR="00DD0EA5" w:rsidP="008D2629" w:rsidRDefault="00DD0EA5" w14:paraId="234B6811" w14:textId="6D4EDF0D">
            <w:pPr>
              <w:keepNext/>
              <w:spacing w:before="60" w:after="60"/>
              <w:jc w:val="right"/>
              <w:cnfStyle w:val="100000000000" w:firstRow="1"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 xml:space="preserve">Percentage </w:t>
            </w:r>
            <w:r w:rsidRPr="008D1918" w:rsidR="00697593">
              <w:rPr>
                <w:sz w:val="20"/>
                <w:szCs w:val="20"/>
                <w:lang w:val="en-AU"/>
              </w:rPr>
              <w:t>c</w:t>
            </w:r>
            <w:r w:rsidRPr="008D1918">
              <w:rPr>
                <w:sz w:val="20"/>
                <w:szCs w:val="20"/>
                <w:lang w:val="en-AU"/>
              </w:rPr>
              <w:t>hange</w:t>
            </w:r>
          </w:p>
        </w:tc>
      </w:tr>
      <w:tr w:rsidRPr="008D1918" w:rsidR="00A238C6" w:rsidTr="002C3980" w14:paraId="62BA01AC" w14:textId="77777777">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DD0EA5" w:rsidP="008D2629" w:rsidRDefault="00DD0EA5" w14:paraId="3289C3D8" w14:textId="77777777">
            <w:pPr>
              <w:keepNext/>
              <w:spacing w:before="60" w:after="60"/>
              <w:rPr>
                <w:sz w:val="20"/>
                <w:szCs w:val="20"/>
                <w:lang w:val="en-AU"/>
              </w:rPr>
            </w:pPr>
            <w:r w:rsidRPr="008D1918">
              <w:rPr>
                <w:sz w:val="20"/>
                <w:szCs w:val="20"/>
                <w:lang w:val="en-AU"/>
              </w:rPr>
              <w:t>Number of NDIS participants</w:t>
            </w:r>
          </w:p>
        </w:tc>
        <w:tc>
          <w:tcPr>
            <w:tcW w:w="1985" w:type="dxa"/>
            <w:noWrap/>
            <w:vAlign w:val="center"/>
          </w:tcPr>
          <w:p w:rsidRPr="008D1918" w:rsidR="00DD0EA5" w:rsidP="00C444B2" w:rsidRDefault="00DD0EA5" w14:paraId="6A2AF24F"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sz w:val="20"/>
                <w:szCs w:val="20"/>
                <w:lang w:val="en-AU"/>
              </w:rPr>
            </w:pPr>
            <w:r w:rsidRPr="008D1918">
              <w:rPr>
                <w:sz w:val="20"/>
                <w:szCs w:val="20"/>
                <w:lang w:val="en-AU"/>
              </w:rPr>
              <w:t>262,994</w:t>
            </w:r>
          </w:p>
        </w:tc>
        <w:tc>
          <w:tcPr>
            <w:tcW w:w="1985" w:type="dxa"/>
            <w:vAlign w:val="center"/>
          </w:tcPr>
          <w:p w:rsidRPr="008D1918" w:rsidR="00DD0EA5" w:rsidP="00C444B2" w:rsidRDefault="00DD0EA5" w14:paraId="0C9EAD6C"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sz w:val="20"/>
                <w:szCs w:val="20"/>
                <w:lang w:val="en-AU"/>
              </w:rPr>
            </w:pPr>
            <w:r w:rsidRPr="008D1918">
              <w:rPr>
                <w:sz w:val="20"/>
                <w:szCs w:val="20"/>
                <w:lang w:val="en-AU"/>
              </w:rPr>
              <w:t>291,832</w:t>
            </w:r>
          </w:p>
        </w:tc>
        <w:tc>
          <w:tcPr>
            <w:tcW w:w="1418" w:type="dxa"/>
            <w:vAlign w:val="center"/>
          </w:tcPr>
          <w:p w:rsidRPr="008D1918" w:rsidR="00DD0EA5" w:rsidP="00C444B2" w:rsidRDefault="00DD0EA5" w14:paraId="3E6FD137"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sz w:val="20"/>
                <w:szCs w:val="20"/>
                <w:lang w:val="en-AU"/>
              </w:rPr>
            </w:pPr>
            <w:r w:rsidRPr="008D1918">
              <w:rPr>
                <w:sz w:val="20"/>
                <w:szCs w:val="20"/>
                <w:lang w:val="en-AU"/>
              </w:rPr>
              <w:t>+11.0%</w:t>
            </w:r>
          </w:p>
        </w:tc>
      </w:tr>
      <w:tr w:rsidRPr="008D1918" w:rsidR="00DD0EA5" w:rsidTr="002C3980" w14:paraId="1711A95A" w14:textId="77777777">
        <w:trPr>
          <w:trHeight w:val="404"/>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DD0EA5" w:rsidP="008D2629" w:rsidRDefault="00DD0EA5" w14:paraId="14DF0365" w14:textId="77777777">
            <w:pPr>
              <w:keepNext/>
              <w:spacing w:before="60" w:after="60"/>
              <w:rPr>
                <w:sz w:val="20"/>
                <w:szCs w:val="20"/>
                <w:lang w:val="en-AU"/>
              </w:rPr>
            </w:pPr>
            <w:r w:rsidRPr="008D1918">
              <w:rPr>
                <w:sz w:val="20"/>
                <w:szCs w:val="20"/>
                <w:lang w:val="en-AU"/>
              </w:rPr>
              <w:t>Number of active providers</w:t>
            </w:r>
          </w:p>
        </w:tc>
        <w:tc>
          <w:tcPr>
            <w:tcW w:w="1985" w:type="dxa"/>
            <w:noWrap/>
            <w:vAlign w:val="center"/>
          </w:tcPr>
          <w:p w:rsidRPr="008D1918" w:rsidR="00DD0EA5" w:rsidP="00C444B2" w:rsidRDefault="00DD0EA5" w14:paraId="4A920059"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10,182</w:t>
            </w:r>
          </w:p>
        </w:tc>
        <w:tc>
          <w:tcPr>
            <w:tcW w:w="1985" w:type="dxa"/>
            <w:vAlign w:val="center"/>
          </w:tcPr>
          <w:p w:rsidRPr="008D1918" w:rsidR="00DD0EA5" w:rsidP="00C444B2" w:rsidRDefault="00DD0EA5" w14:paraId="5E243B2F"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11,129</w:t>
            </w:r>
          </w:p>
        </w:tc>
        <w:tc>
          <w:tcPr>
            <w:tcW w:w="1418" w:type="dxa"/>
            <w:vAlign w:val="center"/>
          </w:tcPr>
          <w:p w:rsidRPr="008D1918" w:rsidR="00DD0EA5" w:rsidP="00C444B2" w:rsidRDefault="00DD0EA5" w14:paraId="2EFF66A6"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+9.3%</w:t>
            </w:r>
          </w:p>
        </w:tc>
      </w:tr>
      <w:tr w:rsidRPr="008D1918" w:rsidR="00173A73" w:rsidTr="00D308DE" w14:paraId="79C600B5" w14:textId="77777777">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629" w:type="dxa"/>
            <w:noWrap/>
            <w:vAlign w:val="bottom"/>
          </w:tcPr>
          <w:p w:rsidRPr="008D1918" w:rsidR="00DD0EA5" w:rsidP="008D2629" w:rsidRDefault="00DD0EA5" w14:paraId="1B9A9A45" w14:textId="77777777">
            <w:pPr>
              <w:keepNext/>
              <w:spacing w:before="60" w:after="60"/>
              <w:rPr>
                <w:sz w:val="20"/>
                <w:szCs w:val="20"/>
                <w:lang w:val="en-AU"/>
              </w:rPr>
            </w:pPr>
            <w:r w:rsidRPr="008D1918">
              <w:rPr>
                <w:sz w:val="20"/>
                <w:szCs w:val="20"/>
                <w:lang w:val="en-AU"/>
              </w:rPr>
              <w:t>Total amount claimed by active providers of support coordination-related supports</w:t>
            </w:r>
          </w:p>
        </w:tc>
        <w:tc>
          <w:tcPr>
            <w:tcW w:w="1985" w:type="dxa"/>
            <w:noWrap/>
            <w:vAlign w:val="center"/>
          </w:tcPr>
          <w:p w:rsidRPr="008D1918" w:rsidR="00DD0EA5" w:rsidP="001D163B" w:rsidRDefault="00DD0EA5" w14:paraId="151D01DD"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sz w:val="20"/>
                <w:szCs w:val="20"/>
                <w:lang w:val="en-AU"/>
              </w:rPr>
            </w:pPr>
            <w:r w:rsidRPr="008D1918">
              <w:rPr>
                <w:sz w:val="20"/>
                <w:szCs w:val="20"/>
                <w:lang w:val="en-AU"/>
              </w:rPr>
              <w:t>$564.8 million</w:t>
            </w:r>
          </w:p>
        </w:tc>
        <w:tc>
          <w:tcPr>
            <w:tcW w:w="1985" w:type="dxa"/>
            <w:vAlign w:val="center"/>
          </w:tcPr>
          <w:p w:rsidRPr="008D1918" w:rsidR="00DD0EA5" w:rsidP="001D163B" w:rsidRDefault="00DD0EA5" w14:paraId="14DD48FD" w14:textId="15F47671">
            <w:pPr>
              <w:keepNext/>
              <w:spacing w:before="60" w:after="60"/>
              <w:jc w:val="right"/>
              <w:cnfStyle w:val="000000100000" w:firstRow="0" w:lastRow="0" w:firstColumn="0" w:lastColumn="0" w:oddVBand="0" w:evenVBand="0" w:oddHBand="1" w:evenHBand="0" w:firstRowFirstColumn="0" w:firstRowLastColumn="0" w:lastRowFirstColumn="0" w:lastRowLastColumn="0"/>
              <w:rPr>
                <w:sz w:val="20"/>
                <w:szCs w:val="20"/>
                <w:lang w:val="en-AU"/>
              </w:rPr>
            </w:pPr>
            <w:r w:rsidRPr="008D1918">
              <w:rPr>
                <w:sz w:val="20"/>
                <w:szCs w:val="20"/>
                <w:lang w:val="en-AU"/>
              </w:rPr>
              <w:t>$618.1 million</w:t>
            </w:r>
          </w:p>
        </w:tc>
        <w:tc>
          <w:tcPr>
            <w:tcW w:w="1418" w:type="dxa"/>
            <w:vAlign w:val="center"/>
          </w:tcPr>
          <w:p w:rsidRPr="008D1918" w:rsidR="00DD0EA5" w:rsidP="00C444B2" w:rsidRDefault="00DD0EA5" w14:paraId="0845D340"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rPr>
            </w:pPr>
            <w:r w:rsidRPr="008D1918">
              <w:rPr>
                <w:sz w:val="20"/>
                <w:szCs w:val="20"/>
                <w:lang w:val="en-AU"/>
              </w:rPr>
              <w:t>+9.4%</w:t>
            </w:r>
          </w:p>
        </w:tc>
      </w:tr>
      <w:tr w:rsidRPr="008D1918" w:rsidR="00DD0EA5" w:rsidTr="002C3980" w14:paraId="140A3BE6" w14:textId="77777777">
        <w:trPr>
          <w:trHeight w:val="404"/>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DD0EA5" w:rsidP="008D2629" w:rsidRDefault="00DD0EA5" w14:paraId="3C162461" w14:textId="77777777">
            <w:pPr>
              <w:keepNext/>
              <w:spacing w:before="60" w:after="60"/>
              <w:rPr>
                <w:sz w:val="20"/>
                <w:szCs w:val="20"/>
                <w:lang w:val="en-AU"/>
              </w:rPr>
            </w:pPr>
            <w:r w:rsidRPr="008D1918">
              <w:rPr>
                <w:sz w:val="20"/>
                <w:szCs w:val="20"/>
                <w:lang w:val="en-AU"/>
              </w:rPr>
              <w:t>Average amount claimed by all active providers of support coordination-related supports</w:t>
            </w:r>
          </w:p>
        </w:tc>
        <w:tc>
          <w:tcPr>
            <w:tcW w:w="1985" w:type="dxa"/>
            <w:noWrap/>
            <w:vAlign w:val="center"/>
          </w:tcPr>
          <w:p w:rsidRPr="008D1918" w:rsidR="00DD0EA5" w:rsidP="00C444B2" w:rsidRDefault="00DD0EA5" w14:paraId="387E6432"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$55,500</w:t>
            </w:r>
          </w:p>
        </w:tc>
        <w:tc>
          <w:tcPr>
            <w:tcW w:w="1985" w:type="dxa"/>
            <w:vAlign w:val="center"/>
          </w:tcPr>
          <w:p w:rsidRPr="008D1918" w:rsidR="00DD0EA5" w:rsidP="00C444B2" w:rsidRDefault="00DD0EA5" w14:paraId="63D6AC87"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$55,500</w:t>
            </w:r>
          </w:p>
        </w:tc>
        <w:tc>
          <w:tcPr>
            <w:tcW w:w="1418" w:type="dxa"/>
            <w:vAlign w:val="center"/>
          </w:tcPr>
          <w:p w:rsidRPr="008D1918" w:rsidR="00DD0EA5" w:rsidP="00C444B2" w:rsidRDefault="00DD0EA5" w14:paraId="3DA59321" w14:textId="285417F0">
            <w:pPr>
              <w:keepNext/>
              <w:spacing w:before="60" w:after="60"/>
              <w:jc w:val="right"/>
              <w:cnfStyle w:val="000000000000" w:firstRow="0"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0.0%</w:t>
            </w:r>
          </w:p>
        </w:tc>
      </w:tr>
    </w:tbl>
    <w:p w:rsidRPr="008D1918" w:rsidR="00DD0EA5" w:rsidP="00490B41" w:rsidRDefault="00DD0EA5" w14:paraId="67A89109" w14:textId="77777777">
      <w:pPr>
        <w:spacing w:before="120" w:after="360"/>
        <w:rPr>
          <w:lang w:val="en-AU"/>
        </w:rPr>
      </w:pPr>
      <w:r w:rsidRPr="008D1918">
        <w:rPr>
          <w:rFonts w:cs="Calibri"/>
          <w:b/>
          <w:sz w:val="20"/>
          <w:szCs w:val="18"/>
          <w:lang w:val="en-AU" w:eastAsia="en-AU"/>
        </w:rPr>
        <w:t>Source: NDIS internal administrative data</w:t>
      </w:r>
    </w:p>
    <w:p w:rsidRPr="008D1918" w:rsidR="00DD0EA5" w:rsidP="00697593" w:rsidRDefault="00697593" w14:paraId="48D10619" w14:textId="0BE6814B">
      <w:pPr>
        <w:pStyle w:val="Caption"/>
      </w:pPr>
      <w:bookmarkStart w:name="_Ref223691407" w:id="1491"/>
      <w:r w:rsidRPr="008D1918">
        <w:t xml:space="preserve">Table </w:t>
      </w:r>
      <w:r>
        <w:fldChar w:fldCharType="begin"/>
      </w:r>
      <w:r>
        <w:instrText>SEQ Table \* ARABIC</w:instrText>
      </w:r>
      <w:r>
        <w:fldChar w:fldCharType="separate"/>
      </w:r>
      <w:r w:rsidR="008F56A2">
        <w:rPr>
          <w:noProof/>
        </w:rPr>
        <w:t>27</w:t>
      </w:r>
      <w:r>
        <w:fldChar w:fldCharType="end"/>
      </w:r>
      <w:bookmarkEnd w:id="1491"/>
      <w:r w:rsidRPr="008D1918" w:rsidR="00DD0EA5">
        <w:t xml:space="preserve">: Support coordination </w:t>
      </w:r>
      <w:r w:rsidRPr="008D1918" w:rsidR="0001543A">
        <w:t>S</w:t>
      </w:r>
      <w:r w:rsidRPr="008D1918" w:rsidR="00DD0EA5">
        <w:t>cheme statistics – registered providers</w:t>
      </w:r>
      <w:r w:rsidRPr="008D1918" w:rsidR="00803C03">
        <w:t>, July 2024 to December 2025</w:t>
      </w:r>
    </w:p>
    <w:tbl>
      <w:tblPr>
        <w:tblStyle w:val="GridTable4-Accent121"/>
        <w:tblW w:w="0" w:type="auto"/>
        <w:tblInd w:w="0" w:type="dxa"/>
        <w:tblLayout w:type="fixed"/>
        <w:tblLook w:val="04A0" w:firstRow="1" w:lastRow="0" w:firstColumn="1" w:lastColumn="0" w:noHBand="0" w:noVBand="1"/>
        <w:tblCaption w:val="TABLE 6: THERAPY SUPPORTS SCHEME STATISTICS"/>
        <w:tblDescription w:val="In the six months to 31 December 2022, 325,319 participants (57% of the 573,342 active participants as of 31 December 2022) purchased therapy supports through their plans. These supports were delivered by 46,434 providers who received a payment in the six months to 31 December 2022, a 14% increase to provider numbers from the same period in the previous year. &#10;Expenditure on therapy supports in the six months to December 2022 equated to $1.6 billion, accounting to almost 10% of all expenditure by the NDIS ($16.8 billion) during this six-month period, an increase of 26% from the same period in the previous year. The average amount claimed by all active providers of therapy supports was $34,947 between July and December 2022, aa 10% increase on the same period of 2021. The total amount claimed by registered providers of therapy supports was $1.16 billion between July and December 2022 this is a 18% increase on the amount during July December 2021. The average amount claimed by registered providers of therapy supports was $130,738 in July to December 2022 a 17% increase on the amount in the same during the same in 2021. &#10;"/>
      </w:tblPr>
      <w:tblGrid>
        <w:gridCol w:w="3629"/>
        <w:gridCol w:w="1985"/>
        <w:gridCol w:w="1985"/>
        <w:gridCol w:w="1418"/>
      </w:tblGrid>
      <w:tr w:rsidRPr="008D1918" w:rsidR="00A238C6" w:rsidTr="00697593" w14:paraId="7CDE807D" w14:textId="77777777">
        <w:trPr>
          <w:cnfStyle w:val="100000000000" w:firstRow="1" w:lastRow="0"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DD0EA5" w:rsidP="00697593" w:rsidRDefault="002C3980" w14:paraId="15E3C247" w14:textId="6EE0F57A">
            <w:pPr>
              <w:keepNext/>
              <w:spacing w:before="60" w:after="60"/>
              <w:rPr>
                <w:rFonts w:cs="Calibri"/>
                <w:sz w:val="20"/>
                <w:szCs w:val="20"/>
                <w:lang w:val="en-AU" w:eastAsia="zh-CN" w:bidi="th-TH"/>
              </w:rPr>
            </w:pPr>
            <w:r w:rsidRPr="008D1918">
              <w:rPr>
                <w:sz w:val="20"/>
                <w:szCs w:val="20"/>
                <w:lang w:val="en-AU"/>
              </w:rPr>
              <w:t>Statistics</w:t>
            </w:r>
          </w:p>
        </w:tc>
        <w:tc>
          <w:tcPr>
            <w:tcW w:w="1985" w:type="dxa"/>
          </w:tcPr>
          <w:p w:rsidRPr="008D1918" w:rsidR="00DD0EA5" w:rsidP="008D2629" w:rsidRDefault="00DD0EA5" w14:paraId="5DA0E56C"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val="en-AU" w:eastAsia="zh-CN" w:bidi="th-TH"/>
              </w:rPr>
            </w:pPr>
            <w:r w:rsidRPr="008D1918">
              <w:rPr>
                <w:sz w:val="20"/>
                <w:szCs w:val="20"/>
                <w:lang w:val="en-AU"/>
              </w:rPr>
              <w:t>July – December 2024</w:t>
            </w:r>
          </w:p>
        </w:tc>
        <w:tc>
          <w:tcPr>
            <w:tcW w:w="1985" w:type="dxa"/>
          </w:tcPr>
          <w:p w:rsidRPr="008D1918" w:rsidR="00DD0EA5" w:rsidP="008D2629" w:rsidRDefault="00DD0EA5" w14:paraId="008E52F4" w14:textId="77777777">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val="en-AU" w:eastAsia="zh-CN" w:bidi="th-TH"/>
              </w:rPr>
            </w:pPr>
            <w:r w:rsidRPr="008D1918">
              <w:rPr>
                <w:sz w:val="20"/>
                <w:szCs w:val="20"/>
                <w:lang w:val="en-AU"/>
              </w:rPr>
              <w:t>July – December 2025</w:t>
            </w:r>
          </w:p>
        </w:tc>
        <w:tc>
          <w:tcPr>
            <w:tcW w:w="1418" w:type="dxa"/>
          </w:tcPr>
          <w:p w:rsidRPr="008D1918" w:rsidR="00DD0EA5" w:rsidP="008D2629" w:rsidRDefault="00DD0EA5" w14:paraId="6F1111A3" w14:textId="1705DF7D">
            <w:pPr>
              <w:keepNext/>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val="en-AU" w:eastAsia="zh-CN" w:bidi="th-TH"/>
              </w:rPr>
            </w:pPr>
            <w:r w:rsidRPr="008D1918">
              <w:rPr>
                <w:sz w:val="20"/>
                <w:szCs w:val="20"/>
                <w:lang w:val="en-AU"/>
              </w:rPr>
              <w:t xml:space="preserve">Percentage </w:t>
            </w:r>
            <w:r w:rsidRPr="008D1918" w:rsidR="00697593">
              <w:rPr>
                <w:sz w:val="20"/>
                <w:szCs w:val="20"/>
                <w:lang w:val="en-AU"/>
              </w:rPr>
              <w:t>c</w:t>
            </w:r>
            <w:r w:rsidRPr="008D1918">
              <w:rPr>
                <w:sz w:val="20"/>
                <w:szCs w:val="20"/>
                <w:lang w:val="en-AU"/>
              </w:rPr>
              <w:t>hange</w:t>
            </w:r>
          </w:p>
        </w:tc>
      </w:tr>
      <w:tr w:rsidRPr="008D1918" w:rsidR="00A238C6" w:rsidTr="00C444B2" w14:paraId="2B531098" w14:textId="77777777">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DD0EA5" w:rsidP="008D2629" w:rsidRDefault="00DD0EA5" w14:paraId="7EF444E6" w14:textId="77777777">
            <w:pPr>
              <w:keepNext/>
              <w:spacing w:before="60" w:after="60"/>
              <w:rPr>
                <w:rFonts w:cs="Calibri"/>
                <w:b/>
                <w:color w:val="000000"/>
                <w:sz w:val="20"/>
                <w:szCs w:val="20"/>
                <w:lang w:val="en-AU" w:eastAsia="zh-CN" w:bidi="th-TH"/>
              </w:rPr>
            </w:pPr>
            <w:r w:rsidRPr="008D1918">
              <w:rPr>
                <w:sz w:val="20"/>
                <w:szCs w:val="20"/>
                <w:lang w:val="en-AU"/>
              </w:rPr>
              <w:t>Number of NDIS participants</w:t>
            </w:r>
          </w:p>
        </w:tc>
        <w:tc>
          <w:tcPr>
            <w:tcW w:w="1985" w:type="dxa"/>
            <w:noWrap/>
            <w:vAlign w:val="center"/>
          </w:tcPr>
          <w:p w:rsidRPr="008D1918" w:rsidR="00DD0EA5" w:rsidP="00C444B2" w:rsidRDefault="00DD0EA5" w14:paraId="7C0437BE"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AU" w:eastAsia="zh-CN" w:bidi="th-TH"/>
              </w:rPr>
            </w:pPr>
            <w:r w:rsidRPr="008D1918">
              <w:rPr>
                <w:sz w:val="20"/>
                <w:szCs w:val="20"/>
                <w:lang w:val="en-AU"/>
              </w:rPr>
              <w:t>217,822</w:t>
            </w:r>
          </w:p>
        </w:tc>
        <w:tc>
          <w:tcPr>
            <w:tcW w:w="1985" w:type="dxa"/>
            <w:vAlign w:val="center"/>
          </w:tcPr>
          <w:p w:rsidRPr="008D1918" w:rsidR="00DD0EA5" w:rsidP="00C444B2" w:rsidRDefault="00DD0EA5" w14:paraId="48DB6E88"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AU" w:eastAsia="zh-CN" w:bidi="th-TH"/>
              </w:rPr>
            </w:pPr>
            <w:r w:rsidRPr="008D1918">
              <w:rPr>
                <w:sz w:val="20"/>
                <w:szCs w:val="20"/>
                <w:lang w:val="en-AU"/>
              </w:rPr>
              <w:t>237,655</w:t>
            </w:r>
          </w:p>
        </w:tc>
        <w:tc>
          <w:tcPr>
            <w:tcW w:w="1418" w:type="dxa"/>
            <w:vAlign w:val="center"/>
          </w:tcPr>
          <w:p w:rsidRPr="008D1918" w:rsidR="00DD0EA5" w:rsidP="00C444B2" w:rsidRDefault="00DD0EA5" w14:paraId="252C30A6"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rPr>
            </w:pPr>
            <w:r w:rsidRPr="008D1918">
              <w:rPr>
                <w:sz w:val="20"/>
                <w:szCs w:val="20"/>
                <w:lang w:val="en-AU"/>
              </w:rPr>
              <w:t>+9.1%</w:t>
            </w:r>
          </w:p>
        </w:tc>
      </w:tr>
      <w:tr w:rsidRPr="008D1918" w:rsidR="00DD0EA5" w:rsidTr="00C444B2" w14:paraId="263C062A" w14:textId="77777777">
        <w:trPr>
          <w:trHeight w:val="404"/>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DD0EA5" w:rsidP="008D2629" w:rsidRDefault="00DD0EA5" w14:paraId="2CB06B37" w14:textId="77777777">
            <w:pPr>
              <w:keepNext/>
              <w:spacing w:before="60" w:after="60"/>
              <w:rPr>
                <w:sz w:val="20"/>
                <w:szCs w:val="20"/>
                <w:lang w:val="en-AU"/>
              </w:rPr>
            </w:pPr>
            <w:r w:rsidRPr="008D1918">
              <w:rPr>
                <w:sz w:val="20"/>
                <w:szCs w:val="20"/>
                <w:lang w:val="en-AU"/>
              </w:rPr>
              <w:t>Number of active providers</w:t>
            </w:r>
          </w:p>
        </w:tc>
        <w:tc>
          <w:tcPr>
            <w:tcW w:w="1985" w:type="dxa"/>
            <w:noWrap/>
            <w:vAlign w:val="center"/>
          </w:tcPr>
          <w:p w:rsidRPr="008D1918" w:rsidR="00DD0EA5" w:rsidP="00C444B2" w:rsidRDefault="00DD0EA5" w14:paraId="070DE836"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4,152</w:t>
            </w:r>
          </w:p>
        </w:tc>
        <w:tc>
          <w:tcPr>
            <w:tcW w:w="1985" w:type="dxa"/>
            <w:vAlign w:val="center"/>
          </w:tcPr>
          <w:p w:rsidRPr="008D1918" w:rsidR="00DD0EA5" w:rsidP="00C444B2" w:rsidRDefault="00DD0EA5" w14:paraId="3B92212E"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4,973</w:t>
            </w:r>
          </w:p>
        </w:tc>
        <w:tc>
          <w:tcPr>
            <w:tcW w:w="1418" w:type="dxa"/>
            <w:vAlign w:val="center"/>
          </w:tcPr>
          <w:p w:rsidRPr="008D1918" w:rsidR="00DD0EA5" w:rsidP="00C444B2" w:rsidRDefault="00DD0EA5" w14:paraId="700FB913"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+19.8%</w:t>
            </w:r>
          </w:p>
        </w:tc>
      </w:tr>
      <w:tr w:rsidRPr="008D1918" w:rsidR="00A238C6" w:rsidTr="00C444B2" w14:paraId="5AF3FB6F" w14:textId="77777777">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DD0EA5" w:rsidP="008D2629" w:rsidRDefault="00DD0EA5" w14:paraId="67C54143" w14:textId="77777777">
            <w:pPr>
              <w:keepNext/>
              <w:spacing w:before="60" w:after="60"/>
              <w:rPr>
                <w:rFonts w:cs="Calibri"/>
                <w:b/>
                <w:color w:val="000000"/>
                <w:sz w:val="20"/>
                <w:szCs w:val="20"/>
                <w:lang w:val="en-AU" w:eastAsia="zh-CN" w:bidi="th-TH"/>
              </w:rPr>
            </w:pPr>
            <w:r w:rsidRPr="008D1918">
              <w:rPr>
                <w:sz w:val="20"/>
                <w:szCs w:val="20"/>
                <w:lang w:val="en-AU"/>
              </w:rPr>
              <w:t>Total amount claimed by active providers of support coordination-related supports</w:t>
            </w:r>
          </w:p>
        </w:tc>
        <w:tc>
          <w:tcPr>
            <w:tcW w:w="1985" w:type="dxa"/>
            <w:noWrap/>
            <w:vAlign w:val="center"/>
          </w:tcPr>
          <w:p w:rsidRPr="008D1918" w:rsidR="00DD0EA5" w:rsidP="00C444B2" w:rsidRDefault="00DD0EA5" w14:paraId="15659689"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AU" w:eastAsia="zh-CN" w:bidi="th-TH"/>
              </w:rPr>
            </w:pPr>
            <w:r w:rsidRPr="008D1918">
              <w:rPr>
                <w:sz w:val="20"/>
                <w:szCs w:val="20"/>
                <w:lang w:val="en-AU"/>
              </w:rPr>
              <w:t>$446.8 million</w:t>
            </w:r>
          </w:p>
        </w:tc>
        <w:tc>
          <w:tcPr>
            <w:tcW w:w="1985" w:type="dxa"/>
            <w:vAlign w:val="center"/>
          </w:tcPr>
          <w:p w:rsidRPr="008D1918" w:rsidR="00DD0EA5" w:rsidP="00C444B2" w:rsidRDefault="00DD0EA5" w14:paraId="754CCE86"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AU" w:eastAsia="zh-CN" w:bidi="th-TH"/>
              </w:rPr>
            </w:pPr>
            <w:r w:rsidRPr="008D1918">
              <w:rPr>
                <w:sz w:val="20"/>
                <w:szCs w:val="20"/>
                <w:lang w:val="en-AU"/>
              </w:rPr>
              <w:t>$486.7 million</w:t>
            </w:r>
          </w:p>
        </w:tc>
        <w:tc>
          <w:tcPr>
            <w:tcW w:w="1418" w:type="dxa"/>
            <w:vAlign w:val="center"/>
          </w:tcPr>
          <w:p w:rsidRPr="008D1918" w:rsidR="00DD0EA5" w:rsidP="00C444B2" w:rsidRDefault="00DD0EA5" w14:paraId="1E9BD2D5"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rPr>
            </w:pPr>
            <w:r w:rsidRPr="008D1918">
              <w:rPr>
                <w:sz w:val="20"/>
                <w:szCs w:val="20"/>
                <w:lang w:val="en-AU"/>
              </w:rPr>
              <w:t>+8.9%</w:t>
            </w:r>
          </w:p>
        </w:tc>
      </w:tr>
      <w:tr w:rsidRPr="008D1918" w:rsidR="00DD0EA5" w:rsidTr="00C444B2" w14:paraId="33162C8D" w14:textId="77777777">
        <w:trPr>
          <w:trHeight w:val="404"/>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DD0EA5" w:rsidP="008D2629" w:rsidRDefault="00DD0EA5" w14:paraId="5D01CB28" w14:textId="77777777">
            <w:pPr>
              <w:keepNext/>
              <w:spacing w:before="60" w:after="60"/>
              <w:rPr>
                <w:rFonts w:cs="Calibri"/>
                <w:b/>
                <w:color w:val="000000"/>
                <w:sz w:val="20"/>
                <w:szCs w:val="20"/>
                <w:lang w:val="en-AU" w:eastAsia="zh-CN" w:bidi="th-TH"/>
              </w:rPr>
            </w:pPr>
            <w:r w:rsidRPr="008D1918">
              <w:rPr>
                <w:sz w:val="20"/>
                <w:szCs w:val="20"/>
                <w:lang w:val="en-AU"/>
              </w:rPr>
              <w:t>Average amount claimed by all active providers of support coordination-related supports</w:t>
            </w:r>
          </w:p>
        </w:tc>
        <w:tc>
          <w:tcPr>
            <w:tcW w:w="1985" w:type="dxa"/>
            <w:noWrap/>
            <w:vAlign w:val="center"/>
          </w:tcPr>
          <w:p w:rsidRPr="008D1918" w:rsidR="00DD0EA5" w:rsidP="00C444B2" w:rsidRDefault="00DD0EA5" w14:paraId="28DBA4B6"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val="en-AU" w:eastAsia="zh-CN" w:bidi="th-TH"/>
              </w:rPr>
            </w:pPr>
            <w:r w:rsidRPr="008D1918">
              <w:rPr>
                <w:sz w:val="20"/>
                <w:szCs w:val="20"/>
                <w:lang w:val="en-AU"/>
              </w:rPr>
              <w:t>$107,600</w:t>
            </w:r>
          </w:p>
        </w:tc>
        <w:tc>
          <w:tcPr>
            <w:tcW w:w="1985" w:type="dxa"/>
            <w:vAlign w:val="center"/>
          </w:tcPr>
          <w:p w:rsidRPr="008D1918" w:rsidR="00DD0EA5" w:rsidP="00C444B2" w:rsidRDefault="00DD0EA5" w14:paraId="0D4A922B"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val="en-AU" w:eastAsia="zh-CN" w:bidi="th-TH"/>
              </w:rPr>
            </w:pPr>
            <w:r w:rsidRPr="008D1918">
              <w:rPr>
                <w:sz w:val="20"/>
                <w:szCs w:val="20"/>
                <w:lang w:val="en-AU"/>
              </w:rPr>
              <w:t>$97,900</w:t>
            </w:r>
          </w:p>
        </w:tc>
        <w:tc>
          <w:tcPr>
            <w:tcW w:w="1418" w:type="dxa"/>
            <w:vAlign w:val="center"/>
          </w:tcPr>
          <w:p w:rsidRPr="008D1918" w:rsidR="00DD0EA5" w:rsidP="00C444B2" w:rsidRDefault="00DD0EA5" w14:paraId="00D62A02"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
                <w:bCs/>
                <w:sz w:val="20"/>
                <w:szCs w:val="20"/>
                <w:lang w:val="en-AU"/>
              </w:rPr>
            </w:pPr>
            <w:r w:rsidRPr="008D1918">
              <w:rPr>
                <w:sz w:val="20"/>
                <w:szCs w:val="20"/>
                <w:lang w:val="en-AU"/>
              </w:rPr>
              <w:t>-9.0%</w:t>
            </w:r>
          </w:p>
        </w:tc>
      </w:tr>
    </w:tbl>
    <w:p w:rsidRPr="008D1918" w:rsidR="00DD0EA5" w:rsidP="00032394" w:rsidRDefault="00DD0EA5" w14:paraId="74B7DBF0" w14:textId="77777777">
      <w:pPr>
        <w:spacing w:before="120" w:after="360"/>
        <w:rPr>
          <w:rFonts w:cs="Calibri"/>
          <w:b/>
          <w:sz w:val="20"/>
          <w:szCs w:val="18"/>
          <w:lang w:val="en-AU" w:eastAsia="en-AU"/>
        </w:rPr>
      </w:pPr>
      <w:r w:rsidRPr="008D1918">
        <w:rPr>
          <w:rFonts w:cs="Calibri"/>
          <w:b/>
          <w:sz w:val="20"/>
          <w:szCs w:val="18"/>
          <w:lang w:val="en-AU" w:eastAsia="en-AU"/>
        </w:rPr>
        <w:t>Source: NDIS internal administrative data</w:t>
      </w:r>
    </w:p>
    <w:p w:rsidRPr="008D1918" w:rsidR="00DD0EA5" w:rsidP="00697593" w:rsidRDefault="00697593" w14:paraId="4C7D6CCD" w14:textId="342BE821">
      <w:pPr>
        <w:pStyle w:val="Caption"/>
      </w:pPr>
      <w:bookmarkStart w:name="_Ref223691475" w:id="1492"/>
      <w:r w:rsidRPr="008D1918">
        <w:t xml:space="preserve">Table </w:t>
      </w:r>
      <w:r>
        <w:fldChar w:fldCharType="begin"/>
      </w:r>
      <w:r>
        <w:instrText>SEQ Table \* ARABIC</w:instrText>
      </w:r>
      <w:r>
        <w:fldChar w:fldCharType="separate"/>
      </w:r>
      <w:r w:rsidR="008F56A2">
        <w:rPr>
          <w:noProof/>
        </w:rPr>
        <w:t>28</w:t>
      </w:r>
      <w:r>
        <w:fldChar w:fldCharType="end"/>
      </w:r>
      <w:bookmarkEnd w:id="1492"/>
      <w:r w:rsidRPr="008D1918" w:rsidR="00DD0EA5">
        <w:t xml:space="preserve">: Support coordination </w:t>
      </w:r>
      <w:r w:rsidRPr="008D1918" w:rsidR="0001543A">
        <w:t>S</w:t>
      </w:r>
      <w:r w:rsidRPr="008D1918" w:rsidR="00DD0EA5">
        <w:t>cheme statistics – unregistered providers</w:t>
      </w:r>
      <w:r w:rsidRPr="008D1918" w:rsidR="00803C03">
        <w:t>, July 2024 to December 2025</w:t>
      </w:r>
    </w:p>
    <w:tbl>
      <w:tblPr>
        <w:tblStyle w:val="GridTable4-Accent121"/>
        <w:tblW w:w="0" w:type="auto"/>
        <w:tblInd w:w="0" w:type="dxa"/>
        <w:tblLayout w:type="fixed"/>
        <w:tblLook w:val="04A0" w:firstRow="1" w:lastRow="0" w:firstColumn="1" w:lastColumn="0" w:noHBand="0" w:noVBand="1"/>
        <w:tblCaption w:val="TABLE 6: THERAPY SUPPORTS SCHEME STATISTICS"/>
        <w:tblDescription w:val="In the six months to 31 December 2022, 325,319 participants (57% of the 573,342 active participants as of 31 December 2022) purchased therapy supports through their plans. These supports were delivered by 46,434 providers who received a payment in the six months to 31 December 2022, a 14% increase to provider numbers from the same period in the previous year. &#10;Expenditure on therapy supports in the six months to December 2022 equated to $1.6 billion, accounting to almost 10% of all expenditure by the NDIS ($16.8 billion) during this six-month period, an increase of 26% from the same period in the previous year. The average amount claimed by all active providers of therapy supports was $34,947 between July and December 2022, aa 10% increase on the same period of 2021. The total amount claimed by registered providers of therapy supports was $1.16 billion between July and December 2022 this is a 18% increase on the amount during July December 2021. The average amount claimed by registered providers of therapy supports was $130,738 in July to December 2022 a 17% increase on the amount in the same during the same in 2021. &#10;"/>
      </w:tblPr>
      <w:tblGrid>
        <w:gridCol w:w="3629"/>
        <w:gridCol w:w="1985"/>
        <w:gridCol w:w="1985"/>
        <w:gridCol w:w="1418"/>
      </w:tblGrid>
      <w:tr w:rsidRPr="008D1918" w:rsidR="00A238C6" w:rsidTr="00697593" w14:paraId="0A937318" w14:textId="77777777">
        <w:trPr>
          <w:cnfStyle w:val="100000000000" w:firstRow="1" w:lastRow="0" w:firstColumn="0" w:lastColumn="0" w:oddVBand="0" w:evenVBand="0" w:oddHBand="0" w:evenHBand="0" w:firstRowFirstColumn="0" w:firstRowLastColumn="0" w:lastRowFirstColumn="0" w:lastRowLastColumn="0"/>
          <w:trHeight w:val="577"/>
          <w:tblHeader/>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rsidRPr="008D1918" w:rsidR="00DD0EA5" w:rsidP="00697593" w:rsidRDefault="00C444B2" w14:paraId="02C3D835" w14:textId="26C9F02D">
            <w:pPr>
              <w:spacing w:before="60" w:after="60"/>
              <w:rPr>
                <w:rFonts w:cs="Calibri"/>
                <w:sz w:val="20"/>
                <w:szCs w:val="20"/>
                <w:lang w:val="en-AU" w:eastAsia="zh-CN" w:bidi="th-TH"/>
              </w:rPr>
            </w:pPr>
            <w:r w:rsidRPr="008D1918">
              <w:rPr>
                <w:sz w:val="20"/>
                <w:szCs w:val="20"/>
                <w:lang w:val="en-AU"/>
              </w:rPr>
              <w:t>Statistics</w:t>
            </w:r>
          </w:p>
        </w:tc>
        <w:tc>
          <w:tcPr>
            <w:tcW w:w="1985" w:type="dxa"/>
          </w:tcPr>
          <w:p w:rsidRPr="008D1918" w:rsidR="00DD0EA5" w:rsidP="008D2629" w:rsidRDefault="00DD0EA5" w14:paraId="2E4A13AA"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val="en-AU" w:eastAsia="zh-CN" w:bidi="th-TH"/>
              </w:rPr>
            </w:pPr>
            <w:r w:rsidRPr="008D1918">
              <w:rPr>
                <w:sz w:val="20"/>
                <w:szCs w:val="20"/>
                <w:lang w:val="en-AU"/>
              </w:rPr>
              <w:t>July – December 2024</w:t>
            </w:r>
          </w:p>
        </w:tc>
        <w:tc>
          <w:tcPr>
            <w:tcW w:w="1985" w:type="dxa"/>
          </w:tcPr>
          <w:p w:rsidRPr="008D1918" w:rsidR="00DD0EA5" w:rsidP="008D2629" w:rsidRDefault="00DD0EA5" w14:paraId="6AE13341"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val="en-AU" w:eastAsia="zh-CN" w:bidi="th-TH"/>
              </w:rPr>
            </w:pPr>
            <w:r w:rsidRPr="008D1918">
              <w:rPr>
                <w:sz w:val="20"/>
                <w:szCs w:val="20"/>
                <w:lang w:val="en-AU"/>
              </w:rPr>
              <w:t>July – December 2025</w:t>
            </w:r>
          </w:p>
        </w:tc>
        <w:tc>
          <w:tcPr>
            <w:tcW w:w="1418" w:type="dxa"/>
          </w:tcPr>
          <w:p w:rsidRPr="008D1918" w:rsidR="00DD0EA5" w:rsidP="008D2629" w:rsidRDefault="00DD0EA5" w14:paraId="5C7834EE" w14:textId="4915AE2E">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val="en-AU" w:eastAsia="zh-CN" w:bidi="th-TH"/>
              </w:rPr>
            </w:pPr>
            <w:r w:rsidRPr="008D1918">
              <w:rPr>
                <w:sz w:val="20"/>
                <w:szCs w:val="20"/>
                <w:lang w:val="en-AU"/>
              </w:rPr>
              <w:t xml:space="preserve">Percentage </w:t>
            </w:r>
            <w:r w:rsidRPr="008D1918" w:rsidR="00697593">
              <w:rPr>
                <w:sz w:val="20"/>
                <w:szCs w:val="20"/>
                <w:lang w:val="en-AU"/>
              </w:rPr>
              <w:t>c</w:t>
            </w:r>
            <w:r w:rsidRPr="008D1918">
              <w:rPr>
                <w:sz w:val="20"/>
                <w:szCs w:val="20"/>
                <w:lang w:val="en-AU"/>
              </w:rPr>
              <w:t>hange</w:t>
            </w:r>
          </w:p>
        </w:tc>
      </w:tr>
      <w:tr w:rsidRPr="008D1918" w:rsidR="00A238C6" w:rsidTr="00C444B2" w14:paraId="1347B2D2" w14:textId="77777777">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DD0EA5" w:rsidP="008D2629" w:rsidRDefault="00DD0EA5" w14:paraId="55B31105" w14:textId="77777777">
            <w:pPr>
              <w:keepNext/>
              <w:spacing w:before="60" w:after="60"/>
              <w:rPr>
                <w:rFonts w:cs="Calibri"/>
                <w:b/>
                <w:color w:val="000000"/>
                <w:sz w:val="20"/>
                <w:szCs w:val="20"/>
                <w:lang w:val="en-AU" w:eastAsia="zh-CN" w:bidi="th-TH"/>
              </w:rPr>
            </w:pPr>
            <w:r w:rsidRPr="008D1918">
              <w:rPr>
                <w:sz w:val="20"/>
                <w:szCs w:val="20"/>
                <w:lang w:val="en-AU"/>
              </w:rPr>
              <w:t>Number of NDIS participants</w:t>
            </w:r>
          </w:p>
        </w:tc>
        <w:tc>
          <w:tcPr>
            <w:tcW w:w="1985" w:type="dxa"/>
            <w:noWrap/>
            <w:vAlign w:val="center"/>
          </w:tcPr>
          <w:p w:rsidRPr="008D1918" w:rsidR="00DD0EA5" w:rsidP="00C444B2" w:rsidRDefault="00DD0EA5" w14:paraId="51A0DA96"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AU" w:eastAsia="zh-CN" w:bidi="th-TH"/>
              </w:rPr>
            </w:pPr>
            <w:r w:rsidRPr="008D1918">
              <w:rPr>
                <w:sz w:val="20"/>
                <w:szCs w:val="20"/>
                <w:lang w:val="en-AU"/>
              </w:rPr>
              <w:t>57,874</w:t>
            </w:r>
          </w:p>
        </w:tc>
        <w:tc>
          <w:tcPr>
            <w:tcW w:w="1985" w:type="dxa"/>
            <w:vAlign w:val="center"/>
          </w:tcPr>
          <w:p w:rsidRPr="008D1918" w:rsidR="00DD0EA5" w:rsidP="00C444B2" w:rsidRDefault="00DD0EA5" w14:paraId="22EE8A4E"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AU" w:eastAsia="zh-CN" w:bidi="th-TH"/>
              </w:rPr>
            </w:pPr>
            <w:r w:rsidRPr="008D1918">
              <w:rPr>
                <w:sz w:val="20"/>
                <w:szCs w:val="20"/>
                <w:lang w:val="en-AU"/>
              </w:rPr>
              <w:t>69,189</w:t>
            </w:r>
          </w:p>
        </w:tc>
        <w:tc>
          <w:tcPr>
            <w:tcW w:w="1418" w:type="dxa"/>
            <w:vAlign w:val="center"/>
          </w:tcPr>
          <w:p w:rsidRPr="008D1918" w:rsidR="00DD0EA5" w:rsidP="00C444B2" w:rsidRDefault="00DD0EA5" w14:paraId="343C95B3"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rPr>
            </w:pPr>
            <w:r w:rsidRPr="008D1918">
              <w:rPr>
                <w:sz w:val="20"/>
                <w:szCs w:val="20"/>
                <w:lang w:val="en-AU"/>
              </w:rPr>
              <w:t>+19.6%</w:t>
            </w:r>
          </w:p>
        </w:tc>
      </w:tr>
      <w:tr w:rsidRPr="008D1918" w:rsidR="00DD0EA5" w:rsidTr="00C444B2" w14:paraId="24B43A4E" w14:textId="77777777">
        <w:trPr>
          <w:trHeight w:val="404"/>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DD0EA5" w:rsidP="008D2629" w:rsidRDefault="00DD0EA5" w14:paraId="40A3DE02" w14:textId="77777777">
            <w:pPr>
              <w:keepNext/>
              <w:spacing w:before="60" w:after="60"/>
              <w:rPr>
                <w:sz w:val="20"/>
                <w:szCs w:val="20"/>
                <w:lang w:val="en-AU"/>
              </w:rPr>
            </w:pPr>
            <w:r w:rsidRPr="008D1918">
              <w:rPr>
                <w:sz w:val="20"/>
                <w:szCs w:val="20"/>
                <w:lang w:val="en-AU"/>
              </w:rPr>
              <w:t>Number of active providers</w:t>
            </w:r>
          </w:p>
        </w:tc>
        <w:tc>
          <w:tcPr>
            <w:tcW w:w="1985" w:type="dxa"/>
            <w:noWrap/>
            <w:vAlign w:val="center"/>
          </w:tcPr>
          <w:p w:rsidRPr="008D1918" w:rsidR="00DD0EA5" w:rsidP="00C444B2" w:rsidRDefault="00DD0EA5" w14:paraId="6988C3A6"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6,207</w:t>
            </w:r>
          </w:p>
        </w:tc>
        <w:tc>
          <w:tcPr>
            <w:tcW w:w="1985" w:type="dxa"/>
            <w:vAlign w:val="center"/>
          </w:tcPr>
          <w:p w:rsidRPr="008D1918" w:rsidR="00DD0EA5" w:rsidP="00C444B2" w:rsidRDefault="00DD0EA5" w14:paraId="3EC697BD"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6,428</w:t>
            </w:r>
          </w:p>
        </w:tc>
        <w:tc>
          <w:tcPr>
            <w:tcW w:w="1418" w:type="dxa"/>
            <w:vAlign w:val="center"/>
          </w:tcPr>
          <w:p w:rsidRPr="008D1918" w:rsidR="00DD0EA5" w:rsidP="00C444B2" w:rsidRDefault="00DD0EA5" w14:paraId="63B7FEBB"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sz w:val="20"/>
                <w:szCs w:val="20"/>
                <w:lang w:val="en-AU"/>
              </w:rPr>
            </w:pPr>
            <w:r w:rsidRPr="008D1918">
              <w:rPr>
                <w:sz w:val="20"/>
                <w:szCs w:val="20"/>
                <w:lang w:val="en-AU"/>
              </w:rPr>
              <w:t>+3.6%</w:t>
            </w:r>
          </w:p>
        </w:tc>
      </w:tr>
      <w:tr w:rsidRPr="008D1918" w:rsidR="00A238C6" w:rsidTr="00C444B2" w14:paraId="13E7F1AD" w14:textId="77777777">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DD0EA5" w:rsidP="008D2629" w:rsidRDefault="00DD0EA5" w14:paraId="312D8B2B" w14:textId="77777777">
            <w:pPr>
              <w:keepNext/>
              <w:spacing w:before="60" w:after="60"/>
              <w:rPr>
                <w:rFonts w:cs="Calibri"/>
                <w:b/>
                <w:color w:val="000000"/>
                <w:sz w:val="20"/>
                <w:szCs w:val="20"/>
                <w:lang w:val="en-AU" w:eastAsia="zh-CN" w:bidi="th-TH"/>
              </w:rPr>
            </w:pPr>
            <w:r w:rsidRPr="008D1918">
              <w:rPr>
                <w:sz w:val="20"/>
                <w:szCs w:val="20"/>
                <w:lang w:val="en-AU"/>
              </w:rPr>
              <w:t>Total amount claimed by active providers of support coordination-related supports</w:t>
            </w:r>
          </w:p>
        </w:tc>
        <w:tc>
          <w:tcPr>
            <w:tcW w:w="1985" w:type="dxa"/>
            <w:noWrap/>
            <w:vAlign w:val="center"/>
          </w:tcPr>
          <w:p w:rsidRPr="008D1918" w:rsidR="00DD0EA5" w:rsidP="00C444B2" w:rsidRDefault="00DD0EA5" w14:paraId="3B40B961"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AU" w:eastAsia="zh-CN" w:bidi="th-TH"/>
              </w:rPr>
            </w:pPr>
            <w:r w:rsidRPr="008D1918">
              <w:rPr>
                <w:sz w:val="20"/>
                <w:szCs w:val="20"/>
                <w:lang w:val="en-AU"/>
              </w:rPr>
              <w:t>$117.4 million</w:t>
            </w:r>
          </w:p>
        </w:tc>
        <w:tc>
          <w:tcPr>
            <w:tcW w:w="1985" w:type="dxa"/>
            <w:vAlign w:val="center"/>
          </w:tcPr>
          <w:p w:rsidRPr="008D1918" w:rsidR="00DD0EA5" w:rsidP="00C444B2" w:rsidRDefault="00DD0EA5" w14:paraId="3D148007"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AU" w:eastAsia="zh-CN" w:bidi="th-TH"/>
              </w:rPr>
            </w:pPr>
            <w:r w:rsidRPr="008D1918">
              <w:rPr>
                <w:sz w:val="20"/>
                <w:szCs w:val="20"/>
                <w:lang w:val="en-AU"/>
              </w:rPr>
              <w:t>$130.8 million</w:t>
            </w:r>
          </w:p>
        </w:tc>
        <w:tc>
          <w:tcPr>
            <w:tcW w:w="1418" w:type="dxa"/>
            <w:vAlign w:val="center"/>
          </w:tcPr>
          <w:p w:rsidRPr="008D1918" w:rsidR="00DD0EA5" w:rsidP="00C444B2" w:rsidRDefault="00DD0EA5" w14:paraId="56805273" w14:textId="77777777">
            <w:pPr>
              <w:keepNext/>
              <w:spacing w:before="60" w:after="60"/>
              <w:jc w:val="right"/>
              <w:cnfStyle w:val="000000100000" w:firstRow="0" w:lastRow="0" w:firstColumn="0" w:lastColumn="0" w:oddVBand="0" w:evenVBand="0" w:oddHBand="1" w:evenHBand="0" w:firstRowFirstColumn="0" w:firstRowLastColumn="0" w:lastRowFirstColumn="0" w:lastRowLastColumn="0"/>
              <w:rPr>
                <w:rFonts w:cs="Calibri"/>
                <w:sz w:val="20"/>
                <w:szCs w:val="20"/>
                <w:lang w:val="en-AU"/>
              </w:rPr>
            </w:pPr>
            <w:r w:rsidRPr="008D1918">
              <w:rPr>
                <w:sz w:val="20"/>
                <w:szCs w:val="20"/>
                <w:lang w:val="en-AU"/>
              </w:rPr>
              <w:t>+11.4%</w:t>
            </w:r>
          </w:p>
        </w:tc>
      </w:tr>
      <w:tr w:rsidRPr="008D1918" w:rsidR="00DD0EA5" w:rsidTr="00C444B2" w14:paraId="56E6FEBB" w14:textId="77777777">
        <w:trPr>
          <w:trHeight w:val="404"/>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DD0EA5" w:rsidP="008D2629" w:rsidRDefault="00DD0EA5" w14:paraId="442F42E7" w14:textId="77777777">
            <w:pPr>
              <w:keepNext/>
              <w:spacing w:before="60" w:after="60"/>
              <w:rPr>
                <w:rFonts w:cs="Calibri"/>
                <w:b/>
                <w:color w:val="000000"/>
                <w:sz w:val="20"/>
                <w:szCs w:val="20"/>
                <w:lang w:val="en-AU" w:eastAsia="zh-CN" w:bidi="th-TH"/>
              </w:rPr>
            </w:pPr>
            <w:r w:rsidRPr="008D1918">
              <w:rPr>
                <w:sz w:val="20"/>
                <w:szCs w:val="20"/>
                <w:lang w:val="en-AU"/>
              </w:rPr>
              <w:t>Average amount claimed by all active providers of support coordination-related supports</w:t>
            </w:r>
          </w:p>
        </w:tc>
        <w:tc>
          <w:tcPr>
            <w:tcW w:w="1985" w:type="dxa"/>
            <w:noWrap/>
            <w:vAlign w:val="center"/>
          </w:tcPr>
          <w:p w:rsidRPr="008D1918" w:rsidR="00DD0EA5" w:rsidP="00C444B2" w:rsidRDefault="00DD0EA5" w14:paraId="64267594"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val="en-AU" w:eastAsia="zh-CN" w:bidi="th-TH"/>
              </w:rPr>
            </w:pPr>
            <w:r w:rsidRPr="008D1918">
              <w:rPr>
                <w:sz w:val="20"/>
                <w:szCs w:val="20"/>
                <w:lang w:val="en-AU"/>
              </w:rPr>
              <w:t>$18,900</w:t>
            </w:r>
          </w:p>
        </w:tc>
        <w:tc>
          <w:tcPr>
            <w:tcW w:w="1985" w:type="dxa"/>
            <w:vAlign w:val="center"/>
          </w:tcPr>
          <w:p w:rsidRPr="008D1918" w:rsidR="00DD0EA5" w:rsidP="00C444B2" w:rsidRDefault="00DD0EA5" w14:paraId="32798A8E"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val="en-AU" w:eastAsia="zh-CN" w:bidi="th-TH"/>
              </w:rPr>
            </w:pPr>
            <w:r w:rsidRPr="008D1918">
              <w:rPr>
                <w:sz w:val="20"/>
                <w:szCs w:val="20"/>
                <w:lang w:val="en-AU"/>
              </w:rPr>
              <w:t>$20,300</w:t>
            </w:r>
          </w:p>
        </w:tc>
        <w:tc>
          <w:tcPr>
            <w:tcW w:w="1418" w:type="dxa"/>
            <w:vAlign w:val="center"/>
          </w:tcPr>
          <w:p w:rsidRPr="008D1918" w:rsidR="00DD0EA5" w:rsidP="00C444B2" w:rsidRDefault="00DD0EA5" w14:paraId="7BC5309D" w14:textId="77777777">
            <w:pPr>
              <w:keepNext/>
              <w:spacing w:before="60" w:after="60"/>
              <w:jc w:val="right"/>
              <w:cnfStyle w:val="000000000000" w:firstRow="0" w:lastRow="0" w:firstColumn="0" w:lastColumn="0" w:oddVBand="0" w:evenVBand="0" w:oddHBand="0" w:evenHBand="0" w:firstRowFirstColumn="0" w:firstRowLastColumn="0" w:lastRowFirstColumn="0" w:lastRowLastColumn="0"/>
              <w:rPr>
                <w:rFonts w:cs="Calibri"/>
                <w:b/>
                <w:bCs/>
                <w:sz w:val="20"/>
                <w:szCs w:val="20"/>
                <w:lang w:val="en-AU"/>
              </w:rPr>
            </w:pPr>
            <w:r w:rsidRPr="008D1918">
              <w:rPr>
                <w:sz w:val="20"/>
                <w:szCs w:val="20"/>
                <w:lang w:val="en-AU"/>
              </w:rPr>
              <w:t>+7.4%</w:t>
            </w:r>
          </w:p>
        </w:tc>
      </w:tr>
    </w:tbl>
    <w:p w:rsidRPr="008D1918" w:rsidR="00DD0EA5" w:rsidP="00C438AC" w:rsidRDefault="00DD0EA5" w14:paraId="76C723F9" w14:textId="77777777">
      <w:pPr>
        <w:spacing w:before="120" w:after="360"/>
        <w:rPr>
          <w:rFonts w:cs="Calibri"/>
          <w:b/>
          <w:sz w:val="20"/>
          <w:szCs w:val="18"/>
          <w:lang w:val="en-AU" w:eastAsia="en-AU"/>
        </w:rPr>
      </w:pPr>
      <w:r w:rsidRPr="008D1918">
        <w:rPr>
          <w:rFonts w:cs="Calibri"/>
          <w:b/>
          <w:sz w:val="20"/>
          <w:szCs w:val="18"/>
          <w:lang w:val="en-AU" w:eastAsia="en-AU"/>
        </w:rPr>
        <w:t>Source: NDIS internal administrative data</w:t>
      </w:r>
    </w:p>
    <w:p w:rsidRPr="008D1918" w:rsidR="00DD0EA5" w:rsidP="007E5187" w:rsidRDefault="00DD0EA5" w14:paraId="58A3E357" w14:textId="6813F3A9">
      <w:pPr>
        <w:pStyle w:val="Caption"/>
        <w:rPr>
          <w:rFonts w:eastAsia="DengXian" w:cs="Cordia New"/>
          <w:color w:val="6B2876" w:themeColor="accent5"/>
        </w:rPr>
      </w:pPr>
      <w:bookmarkStart w:name="_Ref223625501" w:id="1493"/>
      <w:r w:rsidRPr="008D1918">
        <w:t xml:space="preserve">Figure </w:t>
      </w:r>
      <w:r>
        <w:fldChar w:fldCharType="begin"/>
      </w:r>
      <w:r>
        <w:instrText>SEQ Figure \* ARABIC</w:instrText>
      </w:r>
      <w:r>
        <w:fldChar w:fldCharType="separate"/>
      </w:r>
      <w:r w:rsidR="008F56A2">
        <w:rPr>
          <w:noProof/>
        </w:rPr>
        <w:t>31</w:t>
      </w:r>
      <w:r>
        <w:fldChar w:fldCharType="end"/>
      </w:r>
      <w:bookmarkEnd w:id="1493"/>
      <w:r w:rsidRPr="008D1918">
        <w:rPr>
          <w:rFonts w:eastAsia="DengXian" w:cs="Cordia New"/>
          <w:color w:val="6B2876" w:themeColor="accent5"/>
        </w:rPr>
        <w:t>: Number of participants and providers claiming support coordination supports, January 2023 to December 2025</w:t>
      </w:r>
    </w:p>
    <w:p w:rsidRPr="008D1918" w:rsidR="00DD0EA5" w:rsidP="00032394" w:rsidRDefault="00DD0EA5" w14:paraId="22557246" w14:textId="77777777">
      <w:pPr>
        <w:spacing w:after="360"/>
        <w:rPr>
          <w:lang w:val="en-AU"/>
        </w:rPr>
      </w:pPr>
      <w:r w:rsidRPr="008D1918">
        <w:rPr>
          <w:noProof/>
          <w:lang w:val="en-AU"/>
        </w:rPr>
        <w:drawing>
          <wp:inline distT="0" distB="0" distL="0" distR="0" wp14:anchorId="0DB526C0" wp14:editId="366E73A8">
            <wp:extent cx="5680800" cy="3290400"/>
            <wp:effectExtent l="0" t="0" r="0" b="5715"/>
            <wp:docPr id="836455556" name="Picture 2" descr="Figure 31: A bar and line graph showing the number of participants and providers claiming support coordination supports, from January 2023 to December 2025.&#10;The graph shows that the number of participants receiving support coordination supports has steadily increased over the period from 230,235 to 291,832. The number of providers providing support coordination supports has also increased over the same period from 7,839 to 11,129. 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55556" name="Picture 2" descr="Figure 31: A bar and line graph showing the number of participants and providers claiming support coordination supports, from January 2023 to December 2025.&#10;The graph shows that the number of participants receiving support coordination supports has steadily increased over the period from 230,235 to 291,832. The number of providers providing support coordination supports has also increased over the same period from 7,839 to 11,129. Source: NDIS internal administrative data"/>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DD0EA5" w:rsidP="00041468" w:rsidRDefault="00DD0EA5" w14:paraId="430DAFF6" w14:textId="77777777">
      <w:pPr>
        <w:pStyle w:val="StyleStyle112pt"/>
      </w:pPr>
      <w:bookmarkStart w:name="_Toc164424430" w:id="1494"/>
      <w:bookmarkStart w:name="_Toc164970291" w:id="1495"/>
      <w:bookmarkStart w:name="_Toc195099180" w:id="1496"/>
      <w:bookmarkStart w:name="_Toc200103557" w:id="1497"/>
      <w:bookmarkStart w:name="_Toc200271669" w:id="1498"/>
      <w:bookmarkStart w:name="_Toc223345414" w:id="1499"/>
      <w:bookmarkStart w:name="_Toc223428489" w:id="1500"/>
      <w:bookmarkStart w:name="_Toc223445957" w:id="1501"/>
      <w:bookmarkStart w:name="_Toc223539732" w:id="1502"/>
      <w:bookmarkStart w:name="_Toc223539945" w:id="1503"/>
      <w:bookmarkStart w:name="_Toc223540413" w:id="1504"/>
      <w:bookmarkStart w:name="_Toc223540629" w:id="1505"/>
      <w:bookmarkStart w:name="_Toc223542169" w:id="1506"/>
      <w:bookmarkStart w:name="_Toc223604355" w:id="1507"/>
      <w:bookmarkStart w:name="_Toc223604566" w:id="1508"/>
      <w:bookmarkStart w:name="_Toc223604791" w:id="1509"/>
      <w:bookmarkStart w:name="_Toc223618648" w:id="1510"/>
      <w:bookmarkStart w:name="_Toc223702881" w:id="1511"/>
      <w:bookmarkStart w:name="_Toc227318767" w:id="1512"/>
      <w:bookmarkStart w:name="_Toc227337135" w:id="1513"/>
      <w:r w:rsidRPr="008D1918">
        <w:t>Participants</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p>
    <w:p w:rsidRPr="008D1918" w:rsidR="00DD0EA5" w:rsidRDefault="00DD0EA5" w14:paraId="2D42B04F" w14:textId="6BE39D6E">
      <w:pPr>
        <w:rPr>
          <w:lang w:val="en-AU"/>
        </w:rPr>
      </w:pPr>
      <w:r w:rsidRPr="008D1918">
        <w:rPr>
          <w:lang w:val="en-AU"/>
        </w:rPr>
        <w:t xml:space="preserve">Three specific support types accounted for most of all payments in the </w:t>
      </w:r>
      <w:r w:rsidRPr="008D1918" w:rsidR="00AF498E">
        <w:rPr>
          <w:lang w:val="en-AU"/>
        </w:rPr>
        <w:t xml:space="preserve">6 </w:t>
      </w:r>
      <w:r w:rsidRPr="008D1918">
        <w:rPr>
          <w:lang w:val="en-AU"/>
        </w:rPr>
        <w:t xml:space="preserve">months to December 2025. </w:t>
      </w:r>
      <w:r w:rsidRPr="008D1918">
        <w:rPr>
          <w:i/>
          <w:lang w:val="en-AU"/>
        </w:rPr>
        <w:t>Level 2</w:t>
      </w:r>
      <w:r w:rsidRPr="008D1918" w:rsidR="005063C4">
        <w:rPr>
          <w:i/>
          <w:lang w:val="en-AU"/>
        </w:rPr>
        <w:t>: Coordination of Supports</w:t>
      </w:r>
      <w:r w:rsidRPr="008D1918">
        <w:rPr>
          <w:lang w:val="en-AU"/>
        </w:rPr>
        <w:t xml:space="preserve"> was the </w:t>
      </w:r>
      <w:r w:rsidRPr="008D1918" w:rsidR="00E55204">
        <w:rPr>
          <w:lang w:val="en-AU"/>
        </w:rPr>
        <w:t xml:space="preserve">most claimed </w:t>
      </w:r>
      <w:r w:rsidRPr="008D1918">
        <w:rPr>
          <w:lang w:val="en-AU"/>
        </w:rPr>
        <w:t>category</w:t>
      </w:r>
      <w:r w:rsidRPr="008D1918" w:rsidR="000A05CE">
        <w:rPr>
          <w:lang w:val="en-AU"/>
        </w:rPr>
        <w:t xml:space="preserve">. It was used </w:t>
      </w:r>
      <w:r w:rsidRPr="008D1918">
        <w:rPr>
          <w:lang w:val="en-AU"/>
        </w:rPr>
        <w:t xml:space="preserve">by 275,167 participants and </w:t>
      </w:r>
      <w:r w:rsidRPr="008D1918" w:rsidR="000A05CE">
        <w:rPr>
          <w:lang w:val="en-AU"/>
        </w:rPr>
        <w:t xml:space="preserve">generated </w:t>
      </w:r>
      <w:r w:rsidRPr="008D1918">
        <w:rPr>
          <w:lang w:val="en-AU"/>
        </w:rPr>
        <w:t>$506 million in payments. This represented approximately 82% of total support coordination payments (</w:t>
      </w:r>
      <w:r w:rsidRPr="008D1918" w:rsidR="006F206B">
        <w:rPr>
          <w:lang w:val="en-AU"/>
        </w:rPr>
        <w:fldChar w:fldCharType="begin"/>
      </w:r>
      <w:r w:rsidRPr="008D1918" w:rsidR="006F206B">
        <w:rPr>
          <w:lang w:val="en-AU"/>
        </w:rPr>
        <w:instrText xml:space="preserve"> REF _Ref223625624 \h </w:instrText>
      </w:r>
      <w:r w:rsidR="008D1918">
        <w:rPr>
          <w:lang w:val="en-AU"/>
        </w:rPr>
        <w:instrText xml:space="preserve"> \* MERGEFORMAT </w:instrText>
      </w:r>
      <w:r w:rsidRPr="008D1918" w:rsidR="006F206B">
        <w:rPr>
          <w:lang w:val="en-AU"/>
        </w:rPr>
      </w:r>
      <w:r w:rsidRPr="008D1918" w:rsidR="006F206B">
        <w:rPr>
          <w:lang w:val="en-AU"/>
        </w:rPr>
        <w:fldChar w:fldCharType="separate"/>
      </w:r>
      <w:r w:rsidRPr="008D1918" w:rsidR="008F56A2">
        <w:t xml:space="preserve">Figure </w:t>
      </w:r>
      <w:r w:rsidR="008F56A2">
        <w:rPr>
          <w:noProof/>
        </w:rPr>
        <w:t>32</w:t>
      </w:r>
      <w:r w:rsidRPr="008D1918" w:rsidR="006F206B">
        <w:rPr>
          <w:lang w:val="en-AU"/>
        </w:rPr>
        <w:fldChar w:fldCharType="end"/>
      </w:r>
      <w:r w:rsidRPr="008D1918" w:rsidR="00BF264F">
        <w:rPr>
          <w:lang w:val="en-AU"/>
        </w:rPr>
        <w:t>)</w:t>
      </w:r>
      <w:r w:rsidRPr="008D1918" w:rsidR="00E55204">
        <w:rPr>
          <w:lang w:val="en-AU"/>
        </w:rPr>
        <w:t>.</w:t>
      </w:r>
      <w:r w:rsidRPr="008D1918">
        <w:rPr>
          <w:lang w:val="en-AU"/>
        </w:rPr>
        <w:t xml:space="preserve"> </w:t>
      </w:r>
      <w:r w:rsidRPr="008D1918">
        <w:rPr>
          <w:i/>
          <w:iCs/>
          <w:lang w:val="en-AU"/>
        </w:rPr>
        <w:t xml:space="preserve">Level 1: Support Connection </w:t>
      </w:r>
      <w:r w:rsidRPr="008D1918">
        <w:rPr>
          <w:lang w:val="en-AU"/>
        </w:rPr>
        <w:t xml:space="preserve">and </w:t>
      </w:r>
      <w:r w:rsidRPr="008D1918">
        <w:rPr>
          <w:i/>
          <w:iCs/>
          <w:lang w:val="en-AU"/>
        </w:rPr>
        <w:t xml:space="preserve">Psychosocial Recovery Coaching </w:t>
      </w:r>
      <w:r w:rsidRPr="008D1918">
        <w:rPr>
          <w:lang w:val="en-AU"/>
        </w:rPr>
        <w:t xml:space="preserve">was accessed by 39,397 participants, followed by </w:t>
      </w:r>
      <w:r w:rsidRPr="008D1918">
        <w:rPr>
          <w:i/>
          <w:iCs/>
          <w:lang w:val="en-AU"/>
        </w:rPr>
        <w:t>Level 3: Specialist Support Coordination</w:t>
      </w:r>
      <w:r w:rsidRPr="008D1918">
        <w:rPr>
          <w:lang w:val="en-AU"/>
        </w:rPr>
        <w:t xml:space="preserve">, accessed by 12,683 participants. </w:t>
      </w:r>
      <w:r w:rsidRPr="008D1918" w:rsidR="006F206B">
        <w:rPr>
          <w:lang w:val="en-AU"/>
        </w:rPr>
        <w:fldChar w:fldCharType="begin"/>
      </w:r>
      <w:r w:rsidRPr="008D1918" w:rsidR="006F206B">
        <w:rPr>
          <w:lang w:val="en-AU"/>
        </w:rPr>
        <w:instrText xml:space="preserve"> REF _Ref223625624 \h </w:instrText>
      </w:r>
      <w:r w:rsidR="008D1918">
        <w:rPr>
          <w:lang w:val="en-AU"/>
        </w:rPr>
        <w:instrText xml:space="preserve"> \* MERGEFORMAT </w:instrText>
      </w:r>
      <w:r w:rsidRPr="008D1918" w:rsidR="006F206B">
        <w:rPr>
          <w:lang w:val="en-AU"/>
        </w:rPr>
      </w:r>
      <w:r w:rsidRPr="008D1918" w:rsidR="006F206B">
        <w:rPr>
          <w:lang w:val="en-AU"/>
        </w:rPr>
        <w:fldChar w:fldCharType="separate"/>
      </w:r>
      <w:r w:rsidRPr="008D1918" w:rsidR="008F56A2">
        <w:t xml:space="preserve">Figure </w:t>
      </w:r>
      <w:r w:rsidR="008F56A2">
        <w:rPr>
          <w:noProof/>
        </w:rPr>
        <w:t>32</w:t>
      </w:r>
      <w:r w:rsidRPr="008D1918" w:rsidR="006F206B">
        <w:rPr>
          <w:lang w:val="en-AU"/>
        </w:rPr>
        <w:fldChar w:fldCharType="end"/>
      </w:r>
      <w:r w:rsidRPr="008D1918" w:rsidR="00BF264F">
        <w:rPr>
          <w:lang w:val="en-AU"/>
        </w:rPr>
        <w:t xml:space="preserve"> </w:t>
      </w:r>
      <w:r w:rsidRPr="008D1918">
        <w:rPr>
          <w:lang w:val="en-AU"/>
        </w:rPr>
        <w:t>shows the distribution of participants using different levels of support coordination. The estimates suggest the use of support coordination related services continues to show steady increases over</w:t>
      </w:r>
      <w:r w:rsidRPr="008D1918" w:rsidR="00ED6E12">
        <w:rPr>
          <w:lang w:val="en-AU"/>
        </w:rPr>
        <w:t xml:space="preserve"> </w:t>
      </w:r>
      <w:r w:rsidRPr="008D1918">
        <w:rPr>
          <w:lang w:val="en-AU"/>
        </w:rPr>
        <w:t>time.</w:t>
      </w:r>
    </w:p>
    <w:p w:rsidRPr="008D1918" w:rsidR="00DD0EA5" w:rsidP="007E5187" w:rsidRDefault="00DD0EA5" w14:paraId="72728B41" w14:textId="035951E5">
      <w:pPr>
        <w:pStyle w:val="Caption"/>
        <w:rPr>
          <w:rFonts w:eastAsia="DengXian" w:cs="Cordia New"/>
          <w:i w:val="0"/>
          <w:color w:val="6B2876" w:themeColor="accent5"/>
        </w:rPr>
      </w:pPr>
      <w:bookmarkStart w:name="_Ref195091349" w:id="1514"/>
      <w:bookmarkStart w:name="_Ref223625624" w:id="1515"/>
      <w:r w:rsidRPr="008D1918">
        <w:t xml:space="preserve">Figure </w:t>
      </w:r>
      <w:bookmarkEnd w:id="1514"/>
      <w:r w:rsidRPr="008D1918" w:rsidR="007E5187">
        <w:fldChar w:fldCharType="begin"/>
      </w:r>
      <w:r w:rsidRPr="008D1918" w:rsidR="007E5187">
        <w:instrText xml:space="preserve"> SEQ Figure \* ARABIC </w:instrText>
      </w:r>
      <w:r w:rsidRPr="008D1918" w:rsidR="007E5187">
        <w:fldChar w:fldCharType="separate"/>
      </w:r>
      <w:r w:rsidR="008F56A2">
        <w:rPr>
          <w:noProof/>
        </w:rPr>
        <w:t>32</w:t>
      </w:r>
      <w:r w:rsidRPr="008D1918" w:rsidR="007E5187">
        <w:fldChar w:fldCharType="end"/>
      </w:r>
      <w:bookmarkEnd w:id="1515"/>
      <w:r w:rsidRPr="008D1918">
        <w:rPr>
          <w:rFonts w:eastAsia="DengXian" w:cs="Cordia New"/>
          <w:color w:val="6B2876" w:themeColor="accent5"/>
        </w:rPr>
        <w:t>: Participants using different levels of support coordination supports</w:t>
      </w:r>
      <w:r w:rsidRPr="008D1918" w:rsidR="008C161E">
        <w:rPr>
          <w:rFonts w:eastAsia="DengXian" w:cs="Cordia New"/>
          <w:color w:val="6B2876" w:themeColor="accent5"/>
        </w:rPr>
        <w:t>, between</w:t>
      </w:r>
      <w:r w:rsidRPr="008D1918" w:rsidR="006D2088">
        <w:rPr>
          <w:rFonts w:eastAsia="DengXian" w:cs="Cordia New"/>
          <w:color w:val="6B2876" w:themeColor="accent5"/>
        </w:rPr>
        <w:t xml:space="preserve"> July 2024 to December 2025 and July 2025 to December 2025</w:t>
      </w:r>
    </w:p>
    <w:p w:rsidRPr="008D1918" w:rsidR="00DD0EA5" w:rsidRDefault="00DD0EA5" w14:paraId="2F554489" w14:textId="77777777">
      <w:pPr>
        <w:spacing w:line="276" w:lineRule="auto"/>
        <w:rPr>
          <w:lang w:val="en-AU"/>
        </w:rPr>
      </w:pPr>
      <w:r w:rsidRPr="008D1918">
        <w:rPr>
          <w:noProof/>
          <w:lang w:val="en-AU"/>
        </w:rPr>
        <w:drawing>
          <wp:inline distT="0" distB="0" distL="0" distR="0" wp14:anchorId="7E172EB3" wp14:editId="7E71C478">
            <wp:extent cx="5731510" cy="2410460"/>
            <wp:effectExtent l="0" t="0" r="2540" b="8890"/>
            <wp:docPr id="1510338931" name="Picture 1" descr="Figure 32: Two pie charts showing participants using different levels of support coordination supports – from July 2024 to December 2025 and from July 2025 to December 2025.&#10;The pie charts show the split of participants using the different levels of support coordination. In the initial period (July to December 2024) there were 247,065 participants using Level 2, 11,438 using level 3 and 32,403 using level 1 and/or psychosocial recovery coaching. In the period from July to December 2025 the ratios remain broadly the same. 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38931" name="Picture 1" descr="Figure 32: Two pie charts showing participants using different levels of support coordination supports – from July 2024 to December 2025 and from July 2025 to December 2025.&#10;The pie charts show the split of participants using the different levels of support coordination. In the initial period (July to December 2024) there were 247,065 participants using Level 2, 11,438 using level 3 and 32,403 using level 1 and/or psychosocial recovery coaching. In the period from July to December 2025 the ratios remain broadly the same. Source: NDIS internal administrative data."/>
                    <pic:cNvPicPr/>
                  </pic:nvPicPr>
                  <pic:blipFill>
                    <a:blip r:embed="rId50"/>
                    <a:stretch>
                      <a:fillRect/>
                    </a:stretch>
                  </pic:blipFill>
                  <pic:spPr>
                    <a:xfrm>
                      <a:off x="0" y="0"/>
                      <a:ext cx="5731510" cy="2410460"/>
                    </a:xfrm>
                    <a:prstGeom prst="rect">
                      <a:avLst/>
                    </a:prstGeom>
                  </pic:spPr>
                </pic:pic>
              </a:graphicData>
            </a:graphic>
          </wp:inline>
        </w:drawing>
      </w:r>
    </w:p>
    <w:p w:rsidRPr="008D1918" w:rsidR="00DD0EA5" w:rsidRDefault="00DD0EA5" w14:paraId="7533026D" w14:textId="77777777">
      <w:pPr>
        <w:spacing w:before="120" w:after="60" w:line="240" w:lineRule="atLeast"/>
        <w:rPr>
          <w:rFonts w:cs="Calibri"/>
          <w:b/>
          <w:sz w:val="20"/>
          <w:szCs w:val="20"/>
          <w:lang w:val="en-AU" w:eastAsia="en-AU"/>
        </w:rPr>
      </w:pPr>
      <w:r w:rsidRPr="008D1918">
        <w:rPr>
          <w:rFonts w:cs="Calibri"/>
          <w:b/>
          <w:sz w:val="20"/>
          <w:szCs w:val="20"/>
          <w:lang w:val="en-AU" w:eastAsia="en-AU"/>
        </w:rPr>
        <w:t>Source: NDIS internal administrative data</w:t>
      </w:r>
    </w:p>
    <w:p w:rsidRPr="008D1918" w:rsidR="00DD0EA5" w:rsidP="008E4BD3" w:rsidRDefault="00DD0EA5" w14:paraId="40F0F474" w14:textId="0867EBF4">
      <w:pPr>
        <w:spacing w:after="360"/>
        <w:rPr>
          <w:sz w:val="20"/>
          <w:szCs w:val="20"/>
          <w:lang w:val="en-AU" w:eastAsia="en-US" w:bidi="th-TH"/>
        </w:rPr>
      </w:pPr>
      <w:r w:rsidRPr="008D1918">
        <w:rPr>
          <w:sz w:val="20"/>
          <w:szCs w:val="20"/>
          <w:lang w:val="en-AU" w:eastAsia="en-US" w:bidi="th-TH"/>
        </w:rPr>
        <w:t xml:space="preserve">Note: The “Other” category includes </w:t>
      </w:r>
      <w:r w:rsidRPr="008D1918">
        <w:rPr>
          <w:i/>
          <w:iCs/>
          <w:sz w:val="20"/>
          <w:szCs w:val="20"/>
          <w:lang w:val="en-AU" w:eastAsia="en-US" w:bidi="th-TH"/>
        </w:rPr>
        <w:t>Psychosocial Recovery Coaching</w:t>
      </w:r>
      <w:r w:rsidRPr="008D1918">
        <w:rPr>
          <w:sz w:val="20"/>
          <w:szCs w:val="20"/>
          <w:lang w:val="en-AU" w:eastAsia="en-US" w:bidi="th-TH"/>
        </w:rPr>
        <w:t xml:space="preserve"> and </w:t>
      </w:r>
      <w:r w:rsidRPr="008D1918">
        <w:rPr>
          <w:i/>
          <w:iCs/>
          <w:sz w:val="20"/>
          <w:szCs w:val="20"/>
          <w:lang w:val="en-AU" w:eastAsia="en-US" w:bidi="th-TH"/>
        </w:rPr>
        <w:t>Level 1: Support Connection</w:t>
      </w:r>
      <w:r w:rsidRPr="008D1918">
        <w:rPr>
          <w:sz w:val="20"/>
          <w:szCs w:val="20"/>
          <w:lang w:val="en-AU" w:eastAsia="en-US" w:bidi="th-TH"/>
        </w:rPr>
        <w:t xml:space="preserve"> supports.</w:t>
      </w:r>
    </w:p>
    <w:p w:rsidRPr="008D1918" w:rsidR="00DD0EA5" w:rsidP="00041468" w:rsidRDefault="00DD0EA5" w14:paraId="76DECC7F" w14:textId="77777777">
      <w:pPr>
        <w:pStyle w:val="StyleStyle112pt"/>
      </w:pPr>
      <w:bookmarkStart w:name="_Toc194056119" w:id="1516"/>
      <w:bookmarkStart w:name="_Toc194331930" w:id="1517"/>
      <w:bookmarkStart w:name="_Toc195099181" w:id="1518"/>
      <w:bookmarkStart w:name="_Toc195099182" w:id="1519"/>
      <w:bookmarkStart w:name="_Toc200103558" w:id="1520"/>
      <w:bookmarkStart w:name="_Toc200271670" w:id="1521"/>
      <w:bookmarkStart w:name="_Toc223345415" w:id="1522"/>
      <w:bookmarkStart w:name="_Toc223428490" w:id="1523"/>
      <w:bookmarkStart w:name="_Toc223445958" w:id="1524"/>
      <w:bookmarkStart w:name="_Toc223539733" w:id="1525"/>
      <w:bookmarkStart w:name="_Toc223539946" w:id="1526"/>
      <w:bookmarkStart w:name="_Toc223540414" w:id="1527"/>
      <w:bookmarkStart w:name="_Toc223540630" w:id="1528"/>
      <w:bookmarkStart w:name="_Toc223542170" w:id="1529"/>
      <w:bookmarkStart w:name="_Toc223604356" w:id="1530"/>
      <w:bookmarkStart w:name="_Toc223604567" w:id="1531"/>
      <w:bookmarkStart w:name="_Toc223604792" w:id="1532"/>
      <w:bookmarkStart w:name="_Toc223618649" w:id="1533"/>
      <w:bookmarkStart w:name="_Toc223702882" w:id="1534"/>
      <w:bookmarkStart w:name="_Toc227318768" w:id="1535"/>
      <w:bookmarkStart w:name="_Toc227337136" w:id="1536"/>
      <w:bookmarkEnd w:id="1516"/>
      <w:bookmarkEnd w:id="1517"/>
      <w:bookmarkEnd w:id="1518"/>
      <w:r w:rsidRPr="008D1918">
        <w:t>Providers</w:t>
      </w:r>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r w:rsidRPr="008D1918">
        <w:t xml:space="preserve"> </w:t>
      </w:r>
    </w:p>
    <w:p w:rsidRPr="008D1918" w:rsidR="00DD0EA5" w:rsidP="00E21370" w:rsidRDefault="00DD0EA5" w14:paraId="5C58137B" w14:textId="77777777">
      <w:pPr>
        <w:pStyle w:val="LittleH5"/>
      </w:pPr>
      <w:bookmarkStart w:name="_Toc195099183" w:id="1537"/>
      <w:bookmarkStart w:name="_Toc200103559" w:id="1538"/>
      <w:bookmarkStart w:name="_Toc200271671" w:id="1539"/>
      <w:bookmarkStart w:name="_Toc223345416" w:id="1540"/>
      <w:bookmarkStart w:name="_Toc223428491" w:id="1541"/>
      <w:bookmarkStart w:name="_Toc223445959" w:id="1542"/>
      <w:bookmarkStart w:name="_Toc223604793" w:id="1543"/>
      <w:bookmarkStart w:name="_Toc223618650" w:id="1544"/>
      <w:r w:rsidRPr="008D1918">
        <w:t xml:space="preserve">Provider </w:t>
      </w:r>
      <w:bookmarkEnd w:id="1537"/>
      <w:bookmarkEnd w:id="1538"/>
      <w:bookmarkEnd w:id="1539"/>
      <w:r w:rsidRPr="008D1918">
        <w:t>growth</w:t>
      </w:r>
      <w:bookmarkEnd w:id="1540"/>
      <w:bookmarkEnd w:id="1541"/>
      <w:bookmarkEnd w:id="1542"/>
      <w:bookmarkEnd w:id="1543"/>
      <w:bookmarkEnd w:id="1544"/>
      <w:r w:rsidRPr="008D1918">
        <w:t xml:space="preserve"> </w:t>
      </w:r>
    </w:p>
    <w:p w:rsidRPr="008D1918" w:rsidR="00DD0EA5" w:rsidRDefault="00DD0EA5" w14:paraId="39F02C87" w14:textId="4FD44308">
      <w:pPr>
        <w:rPr>
          <w:lang w:val="en-AU"/>
        </w:rPr>
      </w:pPr>
      <w:r w:rsidRPr="008D1918">
        <w:rPr>
          <w:lang w:val="en-AU"/>
        </w:rPr>
        <w:t xml:space="preserve">The total number of active support coordination providers reached 11,129 in the </w:t>
      </w:r>
      <w:r w:rsidR="0012629D">
        <w:rPr>
          <w:lang w:val="en-AU"/>
        </w:rPr>
        <w:br/>
      </w:r>
      <w:r w:rsidRPr="008D1918" w:rsidR="00AF498E">
        <w:rPr>
          <w:lang w:val="en-AU"/>
        </w:rPr>
        <w:t xml:space="preserve">6 </w:t>
      </w:r>
      <w:r w:rsidRPr="008D1918">
        <w:rPr>
          <w:lang w:val="en-AU"/>
        </w:rPr>
        <w:t>months to December 2025, reflecting a 9% increase from the previous year (</w:t>
      </w:r>
      <w:r w:rsidRPr="008D1918" w:rsidR="00BB2F1A">
        <w:rPr>
          <w:lang w:val="en-AU"/>
        </w:rPr>
        <w:fldChar w:fldCharType="begin"/>
      </w:r>
      <w:r w:rsidRPr="008D1918" w:rsidR="00BB2F1A">
        <w:rPr>
          <w:lang w:val="en-AU"/>
        </w:rPr>
        <w:instrText xml:space="preserve"> REF _Ref223691368 \h </w:instrText>
      </w:r>
      <w:r w:rsidRPr="008D1918" w:rsidR="00762DF8">
        <w:rPr>
          <w:lang w:val="en-AU"/>
        </w:rPr>
        <w:instrText xml:space="preserve"> \* MERGEFORMAT </w:instrText>
      </w:r>
      <w:r w:rsidRPr="008D1918" w:rsidR="00BB2F1A">
        <w:rPr>
          <w:lang w:val="en-AU"/>
        </w:rPr>
      </w:r>
      <w:r w:rsidRPr="008D1918" w:rsidR="00BB2F1A">
        <w:rPr>
          <w:lang w:val="en-AU"/>
        </w:rPr>
        <w:fldChar w:fldCharType="separate"/>
      </w:r>
      <w:r w:rsidRPr="008F56A2" w:rsidR="008F56A2">
        <w:rPr>
          <w:lang w:val="en-AU"/>
        </w:rPr>
        <w:t>Table</w:t>
      </w:r>
      <w:r w:rsidRPr="008D1918" w:rsidR="008F56A2">
        <w:t xml:space="preserve"> </w:t>
      </w:r>
      <w:r w:rsidR="008F56A2">
        <w:rPr>
          <w:noProof/>
        </w:rPr>
        <w:t>26</w:t>
      </w:r>
      <w:r w:rsidRPr="008D1918" w:rsidR="00BB2F1A">
        <w:rPr>
          <w:lang w:val="en-AU"/>
        </w:rPr>
        <w:fldChar w:fldCharType="end"/>
      </w:r>
      <w:r w:rsidRPr="008D1918">
        <w:rPr>
          <w:lang w:val="en-AU"/>
        </w:rPr>
        <w:t>).</w:t>
      </w:r>
    </w:p>
    <w:p w:rsidRPr="008D1918" w:rsidR="00DD0EA5" w:rsidRDefault="00DD0EA5" w14:paraId="4DE8FE86" w14:textId="50183342">
      <w:pPr>
        <w:pStyle w:val="Sourcefortableorfigure"/>
        <w:spacing w:before="0" w:after="200" w:line="288" w:lineRule="auto"/>
        <w:rPr>
          <w:color w:val="000000" w:themeColor="accent6"/>
        </w:rPr>
      </w:pPr>
      <w:r w:rsidRPr="008D1918">
        <w:rPr>
          <w:b w:val="0"/>
          <w:sz w:val="24"/>
          <w:szCs w:val="24"/>
        </w:rPr>
        <w:t xml:space="preserve">A divergence in growth trends was observed based on registration status, </w:t>
      </w:r>
      <w:r w:rsidRPr="008D1918" w:rsidR="00831FC3">
        <w:rPr>
          <w:b w:val="0"/>
          <w:sz w:val="24"/>
          <w:szCs w:val="24"/>
        </w:rPr>
        <w:t xml:space="preserve">with the number of </w:t>
      </w:r>
      <w:r w:rsidRPr="008D1918">
        <w:rPr>
          <w:b w:val="0"/>
          <w:sz w:val="24"/>
          <w:szCs w:val="24"/>
        </w:rPr>
        <w:t xml:space="preserve">registered providers </w:t>
      </w:r>
      <w:r w:rsidRPr="008D1918" w:rsidR="00831FC3">
        <w:rPr>
          <w:b w:val="0"/>
          <w:sz w:val="24"/>
          <w:szCs w:val="24"/>
        </w:rPr>
        <w:t>growing by to 20</w:t>
      </w:r>
      <w:r w:rsidRPr="008D1918" w:rsidR="00BD1EE4">
        <w:rPr>
          <w:b w:val="0"/>
          <w:sz w:val="24"/>
          <w:szCs w:val="24"/>
        </w:rPr>
        <w:t>%</w:t>
      </w:r>
      <w:r w:rsidRPr="008D1918" w:rsidR="00831FC3">
        <w:rPr>
          <w:b w:val="0"/>
          <w:sz w:val="24"/>
          <w:szCs w:val="24"/>
        </w:rPr>
        <w:t xml:space="preserve"> </w:t>
      </w:r>
      <w:r w:rsidRPr="008D1918" w:rsidR="001F59C0">
        <w:rPr>
          <w:b w:val="0"/>
          <w:sz w:val="24"/>
          <w:szCs w:val="24"/>
        </w:rPr>
        <w:t>from</w:t>
      </w:r>
      <w:r w:rsidRPr="008D1918" w:rsidR="00E3184C">
        <w:rPr>
          <w:b w:val="0"/>
          <w:sz w:val="24"/>
          <w:szCs w:val="24"/>
        </w:rPr>
        <w:t xml:space="preserve"> the previous year to</w:t>
      </w:r>
      <w:r w:rsidRPr="008D1918" w:rsidR="001C46DF">
        <w:rPr>
          <w:b w:val="0"/>
          <w:sz w:val="24"/>
          <w:szCs w:val="24"/>
        </w:rPr>
        <w:t xml:space="preserve"> </w:t>
      </w:r>
      <w:r w:rsidRPr="008D1918">
        <w:rPr>
          <w:b w:val="0"/>
          <w:sz w:val="24"/>
          <w:szCs w:val="24"/>
        </w:rPr>
        <w:t>4,973.</w:t>
      </w:r>
      <w:r w:rsidRPr="008D1918" w:rsidR="00E3184C">
        <w:rPr>
          <w:b w:val="0"/>
          <w:sz w:val="24"/>
          <w:szCs w:val="24"/>
        </w:rPr>
        <w:t xml:space="preserve"> T</w:t>
      </w:r>
      <w:r w:rsidRPr="008D1918">
        <w:rPr>
          <w:b w:val="0"/>
          <w:sz w:val="24"/>
          <w:szCs w:val="24"/>
        </w:rPr>
        <w:t>he number of unregistered providers increased by 4% to 6,428. This growth in providers has occurred alongside significant participant growth, particularly in the unregistered segment where demand continues to rise</w:t>
      </w:r>
      <w:r w:rsidRPr="008D1918" w:rsidR="00E37F73">
        <w:rPr>
          <w:b w:val="0"/>
          <w:sz w:val="24"/>
          <w:szCs w:val="24"/>
        </w:rPr>
        <w:t xml:space="preserve"> </w:t>
      </w:r>
      <w:r w:rsidRPr="008D1918">
        <w:rPr>
          <w:b w:val="0"/>
          <w:sz w:val="24"/>
          <w:szCs w:val="24"/>
        </w:rPr>
        <w:t>(</w:t>
      </w:r>
      <w:r w:rsidRPr="008D1918" w:rsidR="006F206B">
        <w:rPr>
          <w:b w:val="0"/>
          <w:bCs/>
          <w:sz w:val="24"/>
          <w:szCs w:val="24"/>
        </w:rPr>
        <w:fldChar w:fldCharType="begin"/>
      </w:r>
      <w:r w:rsidRPr="008D1918" w:rsidR="006F206B">
        <w:rPr>
          <w:b w:val="0"/>
          <w:bCs/>
          <w:sz w:val="24"/>
          <w:szCs w:val="24"/>
        </w:rPr>
        <w:instrText xml:space="preserve"> REF _Ref223625679 \h  \* MERGEFORMAT </w:instrText>
      </w:r>
      <w:r w:rsidRPr="008D1918" w:rsidR="006F206B">
        <w:rPr>
          <w:b w:val="0"/>
          <w:bCs/>
          <w:sz w:val="24"/>
          <w:szCs w:val="24"/>
        </w:rPr>
      </w:r>
      <w:r w:rsidRPr="008D1918" w:rsidR="006F206B">
        <w:rPr>
          <w:b w:val="0"/>
          <w:bCs/>
          <w:sz w:val="24"/>
          <w:szCs w:val="24"/>
        </w:rPr>
        <w:fldChar w:fldCharType="separate"/>
      </w:r>
      <w:r w:rsidRPr="008F56A2" w:rsidR="008F56A2">
        <w:rPr>
          <w:b w:val="0"/>
          <w:bCs/>
          <w:sz w:val="24"/>
          <w:szCs w:val="24"/>
        </w:rPr>
        <w:t>Figure 33</w:t>
      </w:r>
      <w:r w:rsidRPr="008D1918" w:rsidR="006F206B">
        <w:rPr>
          <w:b w:val="0"/>
          <w:bCs/>
          <w:sz w:val="24"/>
          <w:szCs w:val="24"/>
        </w:rPr>
        <w:fldChar w:fldCharType="end"/>
      </w:r>
      <w:r w:rsidRPr="008D1918">
        <w:rPr>
          <w:b w:val="0"/>
          <w:sz w:val="24"/>
          <w:szCs w:val="24"/>
        </w:rPr>
        <w:t>).</w:t>
      </w:r>
    </w:p>
    <w:p w:rsidRPr="008D1918" w:rsidR="00DD0EA5" w:rsidP="003C3E9E" w:rsidRDefault="00DD0EA5" w14:paraId="0C84511C" w14:textId="6F459A14">
      <w:pPr>
        <w:pStyle w:val="Caption"/>
      </w:pPr>
      <w:bookmarkStart w:name="_Ref195091359" w:id="1545"/>
      <w:bookmarkStart w:name="_Ref223625679" w:id="1546"/>
      <w:r w:rsidRPr="008D1918">
        <w:t xml:space="preserve">Figure </w:t>
      </w:r>
      <w:bookmarkEnd w:id="1545"/>
      <w:r w:rsidRPr="008D1918" w:rsidR="003C3E9E">
        <w:fldChar w:fldCharType="begin"/>
      </w:r>
      <w:r w:rsidRPr="008D1918" w:rsidR="003C3E9E">
        <w:instrText xml:space="preserve"> SEQ Figure \* ARABIC </w:instrText>
      </w:r>
      <w:r w:rsidRPr="008D1918" w:rsidR="003C3E9E">
        <w:fldChar w:fldCharType="separate"/>
      </w:r>
      <w:r w:rsidR="008F56A2">
        <w:rPr>
          <w:noProof/>
        </w:rPr>
        <w:t>33</w:t>
      </w:r>
      <w:r w:rsidRPr="008D1918" w:rsidR="003C3E9E">
        <w:fldChar w:fldCharType="end"/>
      </w:r>
      <w:bookmarkEnd w:id="1546"/>
      <w:r w:rsidRPr="008D1918">
        <w:rPr>
          <w:rFonts w:eastAsia="DengXian" w:cs="Cordia New"/>
          <w:color w:val="6B2876" w:themeColor="accent5"/>
        </w:rPr>
        <w:t>: Number of providers by support coordination level, January 2023 to December 2025</w:t>
      </w:r>
      <w:r w:rsidRPr="008D1918">
        <w:rPr>
          <w:noProof/>
        </w:rPr>
        <w:drawing>
          <wp:inline distT="0" distB="0" distL="0" distR="0" wp14:anchorId="523EE036" wp14:editId="57B2EB07">
            <wp:extent cx="5680800" cy="3290400"/>
            <wp:effectExtent l="0" t="0" r="0" b="5715"/>
            <wp:docPr id="436790666" name="Picture 7" descr="Figure 33: A line graph showing the number of providers by support coordination level, from January 2023 to December 2025.&#10;The graph shows that the amount of providers providing supports for Level 2 Support Coordination has increased from 6,894 to 9,740 over the period, Other (Level 1 and Psychosocial Recovery Coaching) has increased from 3,347 to 5,133. Provider delivering Level 3 supports has been more stable, increasing from 1,344 to 1,903 over the same period. 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90666" name="Picture 7" descr="Figure 33: A line graph showing the number of providers by support coordination level, from January 2023 to December 2025.&#10;The graph shows that the amount of providers providing supports for Level 2 Support Coordination has increased from 6,894 to 9,740 over the period, Other (Level 1 and Psychosocial Recovery Coaching) has increased from 3,347 to 5,133. Provider delivering Level 3 supports has been more stable, increasing from 1,344 to 1,903 over the same period. Source: NDIS internal administrative data"/>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DD0EA5" w:rsidP="00CC1BF5" w:rsidRDefault="00DD0EA5" w14:paraId="4B285E56" w14:textId="14A3113A">
      <w:pPr>
        <w:spacing w:before="120" w:after="360" w:line="240" w:lineRule="atLeast"/>
        <w:rPr>
          <w:sz w:val="20"/>
          <w:szCs w:val="20"/>
          <w:lang w:val="en-AU" w:eastAsia="en-US" w:bidi="th-TH"/>
        </w:rPr>
      </w:pPr>
      <w:r w:rsidRPr="008D1918">
        <w:rPr>
          <w:sz w:val="20"/>
          <w:szCs w:val="20"/>
          <w:lang w:val="en-AU" w:eastAsia="en-US" w:bidi="th-TH"/>
        </w:rPr>
        <w:t xml:space="preserve">Note: The “Other” category includes </w:t>
      </w:r>
      <w:r w:rsidRPr="008D1918">
        <w:rPr>
          <w:i/>
          <w:sz w:val="20"/>
          <w:szCs w:val="20"/>
          <w:lang w:val="en-AU" w:eastAsia="en-US" w:bidi="th-TH"/>
        </w:rPr>
        <w:t>Psychosocial Recovery Coaching</w:t>
      </w:r>
      <w:r w:rsidRPr="008D1918">
        <w:rPr>
          <w:rFonts w:eastAsia="DengXian" w:cs="Calibri"/>
          <w:i/>
          <w:sz w:val="20"/>
          <w:szCs w:val="20"/>
          <w:lang w:val="en-AU" w:bidi="th-TH"/>
        </w:rPr>
        <w:t xml:space="preserve"> </w:t>
      </w:r>
      <w:r w:rsidRPr="008D1918">
        <w:rPr>
          <w:rFonts w:eastAsia="DengXian" w:cs="Calibri"/>
          <w:sz w:val="20"/>
          <w:szCs w:val="20"/>
          <w:lang w:val="en-AU" w:bidi="th-TH"/>
        </w:rPr>
        <w:t>and</w:t>
      </w:r>
      <w:r w:rsidRPr="008D1918">
        <w:rPr>
          <w:rFonts w:eastAsia="DengXian" w:cs="Calibri"/>
          <w:i/>
          <w:sz w:val="20"/>
          <w:szCs w:val="20"/>
          <w:lang w:val="en-AU" w:bidi="th-TH"/>
        </w:rPr>
        <w:t xml:space="preserve"> </w:t>
      </w:r>
      <w:r w:rsidRPr="008D1918">
        <w:rPr>
          <w:i/>
          <w:sz w:val="20"/>
          <w:szCs w:val="20"/>
          <w:lang w:val="en-AU" w:eastAsia="en-US" w:bidi="th-TH"/>
        </w:rPr>
        <w:t>Level 1: Support Connection</w:t>
      </w:r>
      <w:r w:rsidRPr="008D1918">
        <w:rPr>
          <w:sz w:val="20"/>
          <w:szCs w:val="20"/>
          <w:lang w:val="en-AU" w:eastAsia="en-US" w:bidi="th-TH"/>
        </w:rPr>
        <w:t xml:space="preserve"> supports.</w:t>
      </w:r>
    </w:p>
    <w:p w:rsidRPr="008D1918" w:rsidR="00DD0EA5" w:rsidP="00E21370" w:rsidRDefault="00DD0EA5" w14:paraId="66B7E7CD" w14:textId="77777777">
      <w:pPr>
        <w:pStyle w:val="LittleH5"/>
      </w:pPr>
      <w:bookmarkStart w:name="_Toc195095094" w:id="1547"/>
      <w:bookmarkStart w:name="_Toc195099184" w:id="1548"/>
      <w:bookmarkStart w:name="_Toc195099185" w:id="1549"/>
      <w:bookmarkStart w:name="_Toc200103560" w:id="1550"/>
      <w:bookmarkStart w:name="_Toc200271672" w:id="1551"/>
      <w:bookmarkStart w:name="_Toc223345417" w:id="1552"/>
      <w:bookmarkStart w:name="_Toc223428492" w:id="1553"/>
      <w:bookmarkStart w:name="_Toc223445960" w:id="1554"/>
      <w:bookmarkStart w:name="_Toc223604794" w:id="1555"/>
      <w:bookmarkStart w:name="_Toc223618651" w:id="1556"/>
      <w:bookmarkEnd w:id="1547"/>
      <w:bookmarkEnd w:id="1548"/>
      <w:r w:rsidRPr="008D1918">
        <w:t xml:space="preserve">Provider </w:t>
      </w:r>
      <w:bookmarkEnd w:id="1549"/>
      <w:bookmarkEnd w:id="1550"/>
      <w:bookmarkEnd w:id="1551"/>
      <w:r w:rsidRPr="008D1918">
        <w:t>concentration</w:t>
      </w:r>
      <w:bookmarkEnd w:id="1552"/>
      <w:bookmarkEnd w:id="1553"/>
      <w:bookmarkEnd w:id="1554"/>
      <w:bookmarkEnd w:id="1555"/>
      <w:bookmarkEnd w:id="1556"/>
      <w:r w:rsidRPr="008D1918">
        <w:t xml:space="preserve"> </w:t>
      </w:r>
    </w:p>
    <w:p w:rsidRPr="008D1918" w:rsidR="00DD0EA5" w:rsidRDefault="00DD0EA5" w14:paraId="38448627" w14:textId="155AFAEE">
      <w:pPr>
        <w:rPr>
          <w:color w:val="000000" w:themeColor="accent6"/>
          <w:lang w:val="en-AU"/>
        </w:rPr>
      </w:pPr>
      <w:r w:rsidRPr="008D1918">
        <w:rPr>
          <w:lang w:val="en-AU"/>
        </w:rPr>
        <w:t xml:space="preserve">Market concentration </w:t>
      </w:r>
      <w:r w:rsidRPr="008D1918" w:rsidR="003D49FD">
        <w:rPr>
          <w:lang w:val="en-AU"/>
        </w:rPr>
        <w:t>is</w:t>
      </w:r>
      <w:r w:rsidRPr="008D1918" w:rsidR="00A0545D">
        <w:rPr>
          <w:lang w:val="en-AU"/>
        </w:rPr>
        <w:t xml:space="preserve"> low</w:t>
      </w:r>
      <w:r w:rsidRPr="008D1918">
        <w:rPr>
          <w:lang w:val="en-AU"/>
        </w:rPr>
        <w:t xml:space="preserve"> and </w:t>
      </w:r>
      <w:r w:rsidRPr="008D1918" w:rsidR="003D49FD">
        <w:rPr>
          <w:lang w:val="en-AU"/>
        </w:rPr>
        <w:t xml:space="preserve">has </w:t>
      </w:r>
      <w:r w:rsidRPr="008D1918">
        <w:rPr>
          <w:lang w:val="en-AU"/>
        </w:rPr>
        <w:t>decline</w:t>
      </w:r>
      <w:r w:rsidRPr="008D1918" w:rsidR="003D49FD">
        <w:rPr>
          <w:lang w:val="en-AU"/>
        </w:rPr>
        <w:t>d</w:t>
      </w:r>
      <w:r w:rsidRPr="008D1918">
        <w:rPr>
          <w:lang w:val="en-AU"/>
        </w:rPr>
        <w:t xml:space="preserve"> across the </w:t>
      </w:r>
      <w:r w:rsidRPr="008D1918" w:rsidR="0024116F">
        <w:rPr>
          <w:lang w:val="en-AU"/>
        </w:rPr>
        <w:t>p</w:t>
      </w:r>
      <w:r w:rsidRPr="008D1918" w:rsidR="00CE638A">
        <w:rPr>
          <w:lang w:val="en-AU"/>
        </w:rPr>
        <w:t>ast</w:t>
      </w:r>
      <w:r w:rsidRPr="008D1918">
        <w:rPr>
          <w:lang w:val="en-AU"/>
        </w:rPr>
        <w:t xml:space="preserve"> </w:t>
      </w:r>
      <w:r w:rsidRPr="008D1918" w:rsidR="00186248">
        <w:rPr>
          <w:lang w:val="en-AU"/>
        </w:rPr>
        <w:t xml:space="preserve">3 </w:t>
      </w:r>
      <w:r w:rsidRPr="008D1918">
        <w:rPr>
          <w:lang w:val="en-AU"/>
        </w:rPr>
        <w:t>year</w:t>
      </w:r>
      <w:r w:rsidRPr="008D1918" w:rsidR="003D49FD">
        <w:rPr>
          <w:lang w:val="en-AU"/>
        </w:rPr>
        <w:t>s</w:t>
      </w:r>
      <w:r w:rsidRPr="008D1918">
        <w:rPr>
          <w:lang w:val="en-AU"/>
        </w:rPr>
        <w:t xml:space="preserve">. The combined market share of the top 10 providers fell from 7.9% in the </w:t>
      </w:r>
      <w:r w:rsidRPr="008D1918" w:rsidR="00AF498E">
        <w:rPr>
          <w:lang w:val="en-AU"/>
        </w:rPr>
        <w:t xml:space="preserve">6 </w:t>
      </w:r>
      <w:r w:rsidRPr="008D1918">
        <w:rPr>
          <w:lang w:val="en-AU"/>
        </w:rPr>
        <w:t xml:space="preserve">months to July 2023 to 7.2% in the </w:t>
      </w:r>
      <w:r w:rsidRPr="008D1918" w:rsidR="00AF498E">
        <w:rPr>
          <w:lang w:val="en-AU"/>
        </w:rPr>
        <w:t xml:space="preserve">6 </w:t>
      </w:r>
      <w:r w:rsidRPr="008D1918">
        <w:rPr>
          <w:lang w:val="en-AU"/>
        </w:rPr>
        <w:t>months to December 2025 (</w:t>
      </w:r>
      <w:r w:rsidRPr="008D1918" w:rsidR="006F206B">
        <w:rPr>
          <w:lang w:val="en-AU"/>
        </w:rPr>
        <w:fldChar w:fldCharType="begin"/>
      </w:r>
      <w:r w:rsidRPr="008D1918" w:rsidR="006F206B">
        <w:rPr>
          <w:lang w:val="en-AU"/>
        </w:rPr>
        <w:instrText xml:space="preserve"> REF _Ref223625733 \h </w:instrText>
      </w:r>
      <w:r w:rsidR="008D1918">
        <w:rPr>
          <w:lang w:val="en-AU"/>
        </w:rPr>
        <w:instrText xml:space="preserve"> \* MERGEFORMAT </w:instrText>
      </w:r>
      <w:r w:rsidRPr="008D1918" w:rsidR="006F206B">
        <w:rPr>
          <w:lang w:val="en-AU"/>
        </w:rPr>
      </w:r>
      <w:r w:rsidRPr="008D1918" w:rsidR="006F206B">
        <w:rPr>
          <w:lang w:val="en-AU"/>
        </w:rPr>
        <w:fldChar w:fldCharType="separate"/>
      </w:r>
      <w:r w:rsidRPr="008D1918" w:rsidR="008F56A2">
        <w:t xml:space="preserve">Figure </w:t>
      </w:r>
      <w:r w:rsidR="008F56A2">
        <w:rPr>
          <w:noProof/>
        </w:rPr>
        <w:t>34</w:t>
      </w:r>
      <w:r w:rsidRPr="008D1918" w:rsidR="006F206B">
        <w:rPr>
          <w:lang w:val="en-AU"/>
        </w:rPr>
        <w:fldChar w:fldCharType="end"/>
      </w:r>
      <w:r w:rsidRPr="008D1918">
        <w:rPr>
          <w:lang w:val="en-AU"/>
        </w:rPr>
        <w:t>). This decline occurred as overall provider numbers grew by 9%, indic</w:t>
      </w:r>
      <w:r w:rsidRPr="008D1918" w:rsidR="00E87373">
        <w:rPr>
          <w:lang w:val="en-AU"/>
        </w:rPr>
        <w:t>a</w:t>
      </w:r>
      <w:r w:rsidRPr="008D1918">
        <w:rPr>
          <w:lang w:val="en-AU"/>
        </w:rPr>
        <w:t xml:space="preserve">ting new entrants are </w:t>
      </w:r>
      <w:r w:rsidRPr="008D1918" w:rsidR="00E66BB8">
        <w:rPr>
          <w:lang w:val="en-AU"/>
        </w:rPr>
        <w:t xml:space="preserve">diluting </w:t>
      </w:r>
      <w:r w:rsidRPr="008D1918">
        <w:rPr>
          <w:lang w:val="en-AU"/>
        </w:rPr>
        <w:t xml:space="preserve">market </w:t>
      </w:r>
      <w:r w:rsidRPr="008D1918" w:rsidR="00E66BB8">
        <w:rPr>
          <w:lang w:val="en-AU"/>
        </w:rPr>
        <w:t>concentration</w:t>
      </w:r>
      <w:r w:rsidRPr="008D1918">
        <w:rPr>
          <w:lang w:val="en-AU"/>
        </w:rPr>
        <w:t xml:space="preserve">. </w:t>
      </w:r>
    </w:p>
    <w:p w:rsidRPr="008D1918" w:rsidR="00DD0EA5" w:rsidP="003C3E9E" w:rsidRDefault="00DD0EA5" w14:paraId="7743CFC8" w14:textId="22C9E7D5">
      <w:pPr>
        <w:pStyle w:val="Caption"/>
      </w:pPr>
      <w:bookmarkStart w:name="_Ref223625733" w:id="1557"/>
      <w:r w:rsidRPr="008D1918">
        <w:t xml:space="preserve">Figure </w:t>
      </w:r>
      <w:r>
        <w:fldChar w:fldCharType="begin"/>
      </w:r>
      <w:r>
        <w:instrText>SEQ Figure \* ARABIC</w:instrText>
      </w:r>
      <w:r>
        <w:fldChar w:fldCharType="separate"/>
      </w:r>
      <w:r w:rsidR="008F56A2">
        <w:rPr>
          <w:noProof/>
        </w:rPr>
        <w:t>34</w:t>
      </w:r>
      <w:r>
        <w:fldChar w:fldCharType="end"/>
      </w:r>
      <w:bookmarkEnd w:id="1557"/>
      <w:r w:rsidRPr="008D1918" w:rsidR="003C3E9E">
        <w:t>:</w:t>
      </w:r>
      <w:r w:rsidRPr="008D1918">
        <w:t xml:space="preserve"> </w:t>
      </w:r>
      <w:r w:rsidRPr="008D1918">
        <w:rPr>
          <w:rFonts w:eastAsia="DengXian" w:cs="Cordia New"/>
          <w:color w:val="6B2876" w:themeColor="accent5"/>
        </w:rPr>
        <w:t>Top 10 providers’ market share against overall provider growth on support coordination supports, January 2023 to December 2025</w:t>
      </w:r>
      <w:r w:rsidRPr="008D1918">
        <w:rPr>
          <w:noProof/>
        </w:rPr>
        <w:drawing>
          <wp:inline distT="0" distB="0" distL="0" distR="0" wp14:anchorId="2F82418B" wp14:editId="1A7235ED">
            <wp:extent cx="5677200" cy="3294000"/>
            <wp:effectExtent l="0" t="0" r="0" b="1905"/>
            <wp:docPr id="195162159" name="Picture 9" descr="Figure 34: A bar and line graph showing the top 10 providers’ market share against overall provider growth on support coordination supports, from January 2023 to December 2025.&#10;The graph shows that the support coordination market has steadily grown over the period from 7,839 providers to 11,198 providers, whilst the market share from the top 10 provides has decreased from 7.9% to 7.2% over the same period. Source: Internal NDIS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2159" name="Picture 9" descr="Figure 34: A bar and line graph showing the top 10 providers’ market share against overall provider growth on support coordination supports, from January 2023 to December 2025.&#10;The graph shows that the support coordination market has steadily grown over the period from 7,839 providers to 11,198 providers, whilst the market share from the top 10 provides has decreased from 7.9% to 7.2% over the same period. Source: Internal NDIS administrative dat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77200" cy="3294000"/>
                    </a:xfrm>
                    <a:prstGeom prst="rect">
                      <a:avLst/>
                    </a:prstGeom>
                    <a:noFill/>
                  </pic:spPr>
                </pic:pic>
              </a:graphicData>
            </a:graphic>
          </wp:inline>
        </w:drawing>
      </w:r>
    </w:p>
    <w:p w:rsidRPr="008D1918" w:rsidR="00DD0EA5" w:rsidP="00CC1BF5" w:rsidRDefault="00DD0EA5" w14:paraId="7F872616" w14:textId="77777777">
      <w:pPr>
        <w:spacing w:before="120" w:after="360" w:line="240" w:lineRule="atLeast"/>
        <w:rPr>
          <w:rFonts w:cs="Calibri" w:eastAsiaTheme="minorEastAsia"/>
          <w:sz w:val="20"/>
          <w:szCs w:val="18"/>
          <w:lang w:val="en-AU"/>
        </w:rPr>
      </w:pPr>
      <w:r w:rsidRPr="008D1918">
        <w:rPr>
          <w:rFonts w:cs="Calibri" w:eastAsiaTheme="minorEastAsia"/>
          <w:sz w:val="20"/>
          <w:szCs w:val="18"/>
          <w:lang w:val="en-AU"/>
        </w:rPr>
        <w:t>Note: The figure shows market share for both registered and unregistered providers.</w:t>
      </w:r>
    </w:p>
    <w:p w:rsidRPr="008D1918" w:rsidR="00DD0EA5" w:rsidP="00E21370" w:rsidRDefault="00DD0EA5" w14:paraId="1C534ED9" w14:textId="77777777">
      <w:pPr>
        <w:pStyle w:val="LittleH5"/>
      </w:pPr>
      <w:bookmarkStart w:name="_Toc223345418" w:id="1558"/>
      <w:bookmarkStart w:name="_Toc223428493" w:id="1559"/>
      <w:bookmarkStart w:name="_Toc223445961" w:id="1560"/>
      <w:bookmarkStart w:name="_Toc223604795" w:id="1561"/>
      <w:bookmarkStart w:name="_Toc223618652" w:id="1562"/>
      <w:bookmarkStart w:name="_Ref195091381" w:id="1563"/>
      <w:r w:rsidRPr="008D1918">
        <w:t>Geographic spread of providers</w:t>
      </w:r>
      <w:bookmarkEnd w:id="1558"/>
      <w:bookmarkEnd w:id="1559"/>
      <w:bookmarkEnd w:id="1560"/>
      <w:bookmarkEnd w:id="1561"/>
      <w:bookmarkEnd w:id="1562"/>
      <w:r w:rsidRPr="008D1918">
        <w:t xml:space="preserve"> </w:t>
      </w:r>
    </w:p>
    <w:p w:rsidRPr="008D1918" w:rsidR="00DD0EA5" w:rsidRDefault="00DD0EA5" w14:paraId="43048B03" w14:textId="06E6D232">
      <w:pPr>
        <w:rPr>
          <w:lang w:val="en-AU"/>
        </w:rPr>
      </w:pPr>
      <w:r w:rsidRPr="008D1918">
        <w:rPr>
          <w:lang w:val="en-AU"/>
        </w:rPr>
        <w:t xml:space="preserve">Provider numbers grew across all remoteness categories between January 2023 and December 2025, with the overall market growing by </w:t>
      </w:r>
      <w:r w:rsidRPr="008D1918" w:rsidR="00551B1A">
        <w:rPr>
          <w:lang w:val="en-AU"/>
        </w:rPr>
        <w:t>42</w:t>
      </w:r>
      <w:r w:rsidRPr="008D1918">
        <w:rPr>
          <w:lang w:val="en-AU"/>
        </w:rPr>
        <w:t>% in non-remote areas (to 11,</w:t>
      </w:r>
      <w:r w:rsidRPr="008D1918" w:rsidR="00551B1A">
        <w:rPr>
          <w:lang w:val="en-AU"/>
        </w:rPr>
        <w:t xml:space="preserve">023 </w:t>
      </w:r>
      <w:r w:rsidRPr="008D1918">
        <w:rPr>
          <w:lang w:val="en-AU"/>
        </w:rPr>
        <w:t xml:space="preserve">providers), </w:t>
      </w:r>
      <w:r w:rsidRPr="008D1918" w:rsidR="00551B1A">
        <w:rPr>
          <w:lang w:val="en-AU"/>
        </w:rPr>
        <w:t>46</w:t>
      </w:r>
      <w:r w:rsidRPr="008D1918">
        <w:rPr>
          <w:lang w:val="en-AU"/>
        </w:rPr>
        <w:t>% in remote areas to (</w:t>
      </w:r>
      <w:r w:rsidRPr="008D1918" w:rsidR="00551B1A">
        <w:rPr>
          <w:lang w:val="en-AU"/>
        </w:rPr>
        <w:t xml:space="preserve">708 </w:t>
      </w:r>
      <w:r w:rsidRPr="008D1918">
        <w:rPr>
          <w:lang w:val="en-AU"/>
        </w:rPr>
        <w:t xml:space="preserve">providers) and </w:t>
      </w:r>
      <w:r w:rsidRPr="008D1918" w:rsidR="00551B1A">
        <w:rPr>
          <w:lang w:val="en-AU"/>
        </w:rPr>
        <w:t>45</w:t>
      </w:r>
      <w:r w:rsidRPr="008D1918">
        <w:rPr>
          <w:lang w:val="en-AU"/>
        </w:rPr>
        <w:t>% in very remote areas to (</w:t>
      </w:r>
      <w:r w:rsidRPr="008D1918" w:rsidR="00551B1A">
        <w:rPr>
          <w:lang w:val="en-AU"/>
        </w:rPr>
        <w:t xml:space="preserve">402 </w:t>
      </w:r>
      <w:r w:rsidRPr="008D1918">
        <w:rPr>
          <w:lang w:val="en-AU"/>
        </w:rPr>
        <w:t xml:space="preserve">providers). Growth in thinner markets outpaced non-remote area growth in absolute percentage terms, indicating geographic availability has improved across the period. </w:t>
      </w:r>
      <w:r w:rsidRPr="008D1918" w:rsidR="5B7C6BD5">
        <w:rPr>
          <w:rFonts w:eastAsia="Segoe UI"/>
          <w:lang w:val="en-AU"/>
        </w:rPr>
        <w:t xml:space="preserve">Despite this expansion, market concentration among the largest providers remained relatively stable. </w:t>
      </w:r>
      <w:r w:rsidRPr="008D1918" w:rsidR="006F206B">
        <w:rPr>
          <w:lang w:val="en-AU"/>
        </w:rPr>
        <w:fldChar w:fldCharType="begin"/>
      </w:r>
      <w:r w:rsidRPr="008D1918" w:rsidR="006F206B">
        <w:rPr>
          <w:rFonts w:eastAsia="Segoe UI"/>
          <w:lang w:val="en-AU"/>
        </w:rPr>
        <w:instrText xml:space="preserve"> REF _Ref223625788 \h </w:instrText>
      </w:r>
      <w:r w:rsidR="008D1918">
        <w:rPr>
          <w:lang w:val="en-AU"/>
        </w:rPr>
        <w:instrText xml:space="preserve"> \* MERGEFORMAT </w:instrText>
      </w:r>
      <w:r w:rsidRPr="008D1918" w:rsidR="006F206B">
        <w:rPr>
          <w:lang w:val="en-AU"/>
        </w:rPr>
      </w:r>
      <w:r w:rsidRPr="008D1918" w:rsidR="006F206B">
        <w:rPr>
          <w:lang w:val="en-AU"/>
        </w:rPr>
        <w:fldChar w:fldCharType="separate"/>
      </w:r>
      <w:r w:rsidRPr="008D1918" w:rsidR="008F56A2">
        <w:t xml:space="preserve">Figure </w:t>
      </w:r>
      <w:r w:rsidR="008F56A2">
        <w:rPr>
          <w:noProof/>
        </w:rPr>
        <w:t>35</w:t>
      </w:r>
      <w:r w:rsidRPr="008D1918" w:rsidR="006F206B">
        <w:rPr>
          <w:lang w:val="en-AU"/>
        </w:rPr>
        <w:fldChar w:fldCharType="end"/>
      </w:r>
      <w:r w:rsidRPr="008D1918" w:rsidR="5B7C6BD5">
        <w:rPr>
          <w:rFonts w:eastAsia="Segoe UI"/>
          <w:lang w:val="en-AU"/>
        </w:rPr>
        <w:t xml:space="preserve"> shows that, for support coordination supports, the top </w:t>
      </w:r>
      <w:r w:rsidRPr="008D1918" w:rsidR="009D5E49">
        <w:rPr>
          <w:rFonts w:eastAsia="Segoe UI"/>
          <w:lang w:val="en-AU"/>
        </w:rPr>
        <w:t xml:space="preserve">10 </w:t>
      </w:r>
      <w:r w:rsidRPr="008D1918" w:rsidR="5B7C6BD5">
        <w:rPr>
          <w:rFonts w:eastAsia="Segoe UI"/>
          <w:lang w:val="en-AU"/>
        </w:rPr>
        <w:t>providers’ market share in non‑remote areas declined modestly from around 7.9% in early</w:t>
      </w:r>
      <w:r w:rsidRPr="008D1918" w:rsidR="00EF60A0">
        <w:rPr>
          <w:rFonts w:eastAsia="Segoe UI"/>
          <w:lang w:val="en-AU"/>
        </w:rPr>
        <w:t xml:space="preserve"> </w:t>
      </w:r>
      <w:r w:rsidRPr="008D1918" w:rsidR="5B7C6BD5">
        <w:rPr>
          <w:rFonts w:eastAsia="Segoe UI"/>
          <w:lang w:val="en-AU"/>
        </w:rPr>
        <w:t>2023 to around 7.1% in December 2025, while in remote areas it remained broadly stable, decreasing slightly from around 40% to around 3</w:t>
      </w:r>
      <w:r w:rsidRPr="008D1918" w:rsidR="00496F29">
        <w:rPr>
          <w:rFonts w:eastAsia="Segoe UI"/>
          <w:lang w:val="en-AU"/>
        </w:rPr>
        <w:t>6%</w:t>
      </w:r>
      <w:r w:rsidRPr="008D1918" w:rsidR="5B7C6BD5">
        <w:rPr>
          <w:rFonts w:eastAsia="Segoe UI"/>
          <w:lang w:val="en-AU"/>
        </w:rPr>
        <w:t xml:space="preserve">. In very remote areas, the top </w:t>
      </w:r>
      <w:r w:rsidRPr="008D1918" w:rsidR="00922D12">
        <w:rPr>
          <w:rFonts w:eastAsia="Segoe UI"/>
          <w:lang w:val="en-AU"/>
        </w:rPr>
        <w:t xml:space="preserve">10 </w:t>
      </w:r>
      <w:r w:rsidRPr="008D1918" w:rsidR="5B7C6BD5">
        <w:rPr>
          <w:rFonts w:eastAsia="Segoe UI"/>
          <w:lang w:val="en-AU"/>
        </w:rPr>
        <w:t>providers’ market share remained unchanged at around 44% over the same period.</w:t>
      </w:r>
    </w:p>
    <w:p w:rsidRPr="008D1918" w:rsidR="00DD0EA5" w:rsidRDefault="00DD0EA5" w14:paraId="2055C410" w14:textId="08E63E25">
      <w:pPr>
        <w:rPr>
          <w:lang w:val="en-AU"/>
        </w:rPr>
      </w:pPr>
      <w:r w:rsidRPr="008D1918">
        <w:rPr>
          <w:lang w:val="en-AU"/>
        </w:rPr>
        <w:t>The registered and unregistered market contributed differently to this growth by remoteness. In non-remote areas, registered providers grew by 42% and unregistered providers by 46% (</w:t>
      </w:r>
      <w:r w:rsidRPr="008D1918" w:rsidR="00673A60">
        <w:rPr>
          <w:lang w:val="en-AU"/>
        </w:rPr>
        <w:fldChar w:fldCharType="begin"/>
      </w:r>
      <w:r w:rsidRPr="008D1918" w:rsidR="00673A60">
        <w:rPr>
          <w:lang w:val="en-AU"/>
        </w:rPr>
        <w:instrText xml:space="preserve"> REF _Ref223691762 \h </w:instrText>
      </w:r>
      <w:r w:rsidRPr="008D1918" w:rsidR="00762DF8">
        <w:rPr>
          <w:lang w:val="en-AU"/>
        </w:rPr>
        <w:instrText xml:space="preserve"> \* MERGEFORMAT </w:instrText>
      </w:r>
      <w:r w:rsidRPr="008D1918" w:rsidR="00673A60">
        <w:rPr>
          <w:lang w:val="en-AU"/>
        </w:rPr>
      </w:r>
      <w:r w:rsidRPr="008D1918" w:rsidR="00673A60">
        <w:rPr>
          <w:lang w:val="en-AU"/>
        </w:rPr>
        <w:fldChar w:fldCharType="separate"/>
      </w:r>
      <w:r w:rsidRPr="008F56A2" w:rsidR="008F56A2">
        <w:rPr>
          <w:lang w:val="en-AU"/>
        </w:rPr>
        <w:t>Table</w:t>
      </w:r>
      <w:r w:rsidRPr="008D1918" w:rsidR="008F56A2">
        <w:t xml:space="preserve"> </w:t>
      </w:r>
      <w:r w:rsidR="008F56A2">
        <w:rPr>
          <w:noProof/>
        </w:rPr>
        <w:t>29</w:t>
      </w:r>
      <w:r w:rsidRPr="008D1918" w:rsidR="00673A60">
        <w:rPr>
          <w:lang w:val="en-AU"/>
        </w:rPr>
        <w:fldChar w:fldCharType="end"/>
      </w:r>
      <w:r w:rsidRPr="008D1918">
        <w:rPr>
          <w:lang w:val="en-AU"/>
        </w:rPr>
        <w:t xml:space="preserve"> and </w:t>
      </w:r>
      <w:r w:rsidRPr="008D1918" w:rsidR="00EF60A0">
        <w:rPr>
          <w:lang w:val="en-AU"/>
        </w:rPr>
        <w:fldChar w:fldCharType="begin"/>
      </w:r>
      <w:r w:rsidRPr="008D1918" w:rsidR="00EF60A0">
        <w:rPr>
          <w:lang w:val="en-AU"/>
        </w:rPr>
        <w:instrText xml:space="preserve"> REF _Ref223691804 \h </w:instrText>
      </w:r>
      <w:r w:rsidRPr="008D1918" w:rsidR="00762DF8">
        <w:rPr>
          <w:lang w:val="en-AU"/>
        </w:rPr>
        <w:instrText xml:space="preserve"> \* MERGEFORMAT </w:instrText>
      </w:r>
      <w:r w:rsidRPr="008D1918" w:rsidR="00EF60A0">
        <w:rPr>
          <w:lang w:val="en-AU"/>
        </w:rPr>
      </w:r>
      <w:r w:rsidRPr="008D1918" w:rsidR="00EF60A0">
        <w:rPr>
          <w:lang w:val="en-AU"/>
        </w:rPr>
        <w:fldChar w:fldCharType="separate"/>
      </w:r>
      <w:r w:rsidRPr="008F56A2" w:rsidR="008F56A2">
        <w:rPr>
          <w:lang w:val="en-AU"/>
        </w:rPr>
        <w:t>Table</w:t>
      </w:r>
      <w:r w:rsidRPr="008D1918" w:rsidR="008F56A2">
        <w:t xml:space="preserve"> </w:t>
      </w:r>
      <w:r w:rsidR="008F56A2">
        <w:rPr>
          <w:noProof/>
        </w:rPr>
        <w:t>30</w:t>
      </w:r>
      <w:r w:rsidRPr="008D1918" w:rsidR="00EF60A0">
        <w:rPr>
          <w:lang w:val="en-AU"/>
        </w:rPr>
        <w:fldChar w:fldCharType="end"/>
      </w:r>
      <w:r w:rsidRPr="008D1918">
        <w:rPr>
          <w:lang w:val="en-AU"/>
        </w:rPr>
        <w:t xml:space="preserve">). In remote and very remote areas, unregistered provider growth was substantially greater. Unregistered providers grew by 69% in remote areas and 94% in very remote areas, compared with 40% and 28% for registered providers respectively. </w:t>
      </w:r>
    </w:p>
    <w:p w:rsidRPr="008D1918" w:rsidR="00DD0EA5" w:rsidP="00220C5C" w:rsidRDefault="00DD0EA5" w14:paraId="154F68B7" w14:textId="6EB6B422">
      <w:pPr>
        <w:pStyle w:val="Caption"/>
        <w:rPr>
          <w:rFonts w:eastAsia="DengXian" w:cs="Cordia New"/>
          <w:i w:val="0"/>
          <w:color w:val="6B2876" w:themeColor="accent5"/>
        </w:rPr>
      </w:pPr>
      <w:bookmarkStart w:name="_Ref223625788" w:id="1564"/>
      <w:r w:rsidRPr="008D1918">
        <w:t xml:space="preserve">Figure </w:t>
      </w:r>
      <w:r>
        <w:fldChar w:fldCharType="begin"/>
      </w:r>
      <w:r>
        <w:instrText>SEQ Figure \* ARABIC</w:instrText>
      </w:r>
      <w:r>
        <w:fldChar w:fldCharType="separate"/>
      </w:r>
      <w:r w:rsidR="008F56A2">
        <w:rPr>
          <w:noProof/>
        </w:rPr>
        <w:t>35</w:t>
      </w:r>
      <w:r>
        <w:fldChar w:fldCharType="end"/>
      </w:r>
      <w:bookmarkEnd w:id="1564"/>
      <w:r w:rsidRPr="008D1918">
        <w:rPr>
          <w:rFonts w:eastAsia="DengXian" w:cs="Cordia New"/>
          <w:color w:val="6B2876" w:themeColor="accent5"/>
        </w:rPr>
        <w:t xml:space="preserve">: Top </w:t>
      </w:r>
      <w:r w:rsidRPr="008D1918" w:rsidR="00286C92">
        <w:rPr>
          <w:rFonts w:eastAsia="DengXian" w:cs="Cordia New"/>
          <w:color w:val="6B2876" w:themeColor="accent5"/>
        </w:rPr>
        <w:t xml:space="preserve">10 </w:t>
      </w:r>
      <w:r w:rsidRPr="008D1918">
        <w:rPr>
          <w:rFonts w:eastAsia="DengXian" w:cs="Cordia New"/>
          <w:color w:val="6B2876" w:themeColor="accent5"/>
        </w:rPr>
        <w:t>provider market share by remoteness for support coordination supports, January 2023 to December 2025</w:t>
      </w:r>
    </w:p>
    <w:p w:rsidRPr="008D1918" w:rsidR="00DD0EA5" w:rsidP="00A24ECC" w:rsidRDefault="00DD0EA5" w14:paraId="2270F239" w14:textId="77777777">
      <w:pPr>
        <w:spacing w:after="360"/>
        <w:rPr>
          <w:lang w:val="en-AU"/>
        </w:rPr>
      </w:pPr>
      <w:r w:rsidRPr="008D1918">
        <w:rPr>
          <w:noProof/>
          <w:lang w:val="en-AU"/>
        </w:rPr>
        <w:drawing>
          <wp:inline distT="0" distB="0" distL="0" distR="0" wp14:anchorId="6ADC65E3" wp14:editId="13CD8993">
            <wp:extent cx="5680800" cy="3290400"/>
            <wp:effectExtent l="0" t="0" r="0" b="5715"/>
            <wp:docPr id="1862505691" name="Picture 10" descr="Figure 35: A line graph showing the top ten provider market share by remoteness for support coordination supports, from January 2023 to December 2025.&#10;The graph shows that support coordination providers in non-remote areas have remained steady over the period going from 7.9% to 7.1%. There has been a fluctuation in providers in remote areas starting at 50%, decreasing down to 33%, growing to 39% and now at 36%. Providers in very remote areas have been relatively stable, ranging from 44% to 47%. Source: internal NDIS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505691" name="Picture 10" descr="Figure 35: A line graph showing the top ten provider market share by remoteness for support coordination supports, from January 2023 to December 2025.&#10;The graph shows that support coordination providers in non-remote areas have remained steady over the period going from 7.9% to 7.1%. There has been a fluctuation in providers in remote areas starting at 50%, decreasing down to 33%, growing to 39% and now at 36%. Providers in very remote areas have been relatively stable, ranging from 44% to 47%. Source: internal NDIS administrative dat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DD0EA5" w:rsidP="00673A60" w:rsidRDefault="00673A60" w14:paraId="620941F5" w14:textId="7EFC96BB">
      <w:pPr>
        <w:pStyle w:val="Caption"/>
      </w:pPr>
      <w:bookmarkStart w:name="_Ref223691762" w:id="1565"/>
      <w:r w:rsidRPr="008D1918">
        <w:t xml:space="preserve">Table </w:t>
      </w:r>
      <w:r>
        <w:fldChar w:fldCharType="begin"/>
      </w:r>
      <w:r>
        <w:instrText>SEQ Table \* ARABIC</w:instrText>
      </w:r>
      <w:r>
        <w:fldChar w:fldCharType="separate"/>
      </w:r>
      <w:r w:rsidR="008F56A2">
        <w:rPr>
          <w:noProof/>
        </w:rPr>
        <w:t>29</w:t>
      </w:r>
      <w:r>
        <w:fldChar w:fldCharType="end"/>
      </w:r>
      <w:bookmarkEnd w:id="1565"/>
      <w:r w:rsidRPr="008D1918" w:rsidR="00DD0EA5">
        <w:t xml:space="preserve">: Registered providers by remoteness for support coordination supports, January 2023 to December 2025 </w:t>
      </w:r>
    </w:p>
    <w:tbl>
      <w:tblPr>
        <w:tblStyle w:val="GridTable4-Accent121"/>
        <w:tblW w:w="0" w:type="auto"/>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806"/>
        <w:gridCol w:w="1202"/>
        <w:gridCol w:w="1203"/>
        <w:gridCol w:w="1202"/>
        <w:gridCol w:w="1203"/>
        <w:gridCol w:w="1202"/>
        <w:gridCol w:w="1203"/>
      </w:tblGrid>
      <w:tr w:rsidRPr="008D1918" w:rsidR="00173A73" w:rsidTr="00D2517B" w14:paraId="35E07C70" w14:textId="77777777">
        <w:trPr>
          <w:cnfStyle w:val="100000000000" w:firstRow="1" w:lastRow="0" w:firstColumn="0" w:lastColumn="0" w:oddVBand="0" w:evenVBand="0" w:oddHBand="0" w:evenHBand="0" w:firstRowFirstColumn="0" w:firstRowLastColumn="0" w:lastRowFirstColumn="0" w:lastRowLastColumn="0"/>
          <w:trHeight w:val="567"/>
        </w:trPr>
        <w:tc>
          <w:tcPr>
            <w:tcW w:w="1806" w:type="dxa"/>
          </w:tcPr>
          <w:p w:rsidRPr="008D1918" w:rsidR="00DD0EA5" w:rsidP="00D2517B" w:rsidRDefault="00DD0EA5" w14:paraId="18343843" w14:textId="77777777">
            <w:pPr>
              <w:keepNext/>
              <w:spacing w:before="60" w:after="60"/>
              <w:rPr>
                <w:sz w:val="20"/>
                <w:szCs w:val="20"/>
                <w:lang w:val="en-AU"/>
              </w:rPr>
            </w:pPr>
            <w:r w:rsidRPr="008D1918">
              <w:rPr>
                <w:sz w:val="20"/>
                <w:szCs w:val="20"/>
                <w:lang w:val="en-AU"/>
              </w:rPr>
              <w:t>Remoteness</w:t>
            </w:r>
          </w:p>
        </w:tc>
        <w:tc>
          <w:tcPr>
            <w:tcW w:w="1202" w:type="dxa"/>
          </w:tcPr>
          <w:p w:rsidRPr="008D1918" w:rsidR="00DD0EA5" w:rsidP="00D2517B" w:rsidRDefault="00DD0EA5" w14:paraId="265F172B" w14:textId="6BF02E1F">
            <w:pPr>
              <w:keepNext/>
              <w:spacing w:before="60" w:after="60"/>
              <w:jc w:val="right"/>
              <w:rPr>
                <w:sz w:val="20"/>
                <w:szCs w:val="20"/>
                <w:lang w:val="en-AU"/>
              </w:rPr>
            </w:pPr>
            <w:r w:rsidRPr="008D1918">
              <w:rPr>
                <w:sz w:val="20"/>
                <w:szCs w:val="20"/>
                <w:lang w:val="en-AU"/>
              </w:rPr>
              <w:t>January – June</w:t>
            </w:r>
            <w:r w:rsidRPr="008D1918" w:rsidR="00D2517B">
              <w:rPr>
                <w:lang w:val="en-AU"/>
              </w:rPr>
              <w:br/>
            </w:r>
            <w:r w:rsidRPr="008D1918">
              <w:rPr>
                <w:sz w:val="20"/>
                <w:szCs w:val="20"/>
                <w:lang w:val="en-AU"/>
              </w:rPr>
              <w:t>2023</w:t>
            </w:r>
          </w:p>
        </w:tc>
        <w:tc>
          <w:tcPr>
            <w:tcW w:w="1203" w:type="dxa"/>
          </w:tcPr>
          <w:p w:rsidRPr="008D1918" w:rsidR="00DD0EA5" w:rsidP="00161239" w:rsidRDefault="00DD0EA5" w14:paraId="29088245" w14:textId="46F54CFD">
            <w:pPr>
              <w:keepNext/>
              <w:spacing w:before="60" w:after="60"/>
              <w:jc w:val="right"/>
              <w:rPr>
                <w:sz w:val="20"/>
                <w:szCs w:val="20"/>
                <w:lang w:val="en-AU"/>
              </w:rPr>
            </w:pPr>
            <w:r w:rsidRPr="008D1918">
              <w:rPr>
                <w:sz w:val="20"/>
                <w:szCs w:val="20"/>
                <w:lang w:val="en-AU"/>
              </w:rPr>
              <w:t>July – December</w:t>
            </w:r>
            <w:r w:rsidRPr="008D1918" w:rsidR="00D2517B">
              <w:rPr>
                <w:lang w:val="en-AU"/>
              </w:rPr>
              <w:br/>
            </w:r>
            <w:r w:rsidRPr="008D1918">
              <w:rPr>
                <w:sz w:val="20"/>
                <w:szCs w:val="20"/>
                <w:lang w:val="en-AU"/>
              </w:rPr>
              <w:t>2023</w:t>
            </w:r>
          </w:p>
        </w:tc>
        <w:tc>
          <w:tcPr>
            <w:tcW w:w="1202" w:type="dxa"/>
          </w:tcPr>
          <w:p w:rsidRPr="008D1918" w:rsidR="00DD0EA5" w:rsidP="00D2517B" w:rsidRDefault="00DD0EA5" w14:paraId="467A6D01" w14:textId="49DB9326">
            <w:pPr>
              <w:keepNext/>
              <w:spacing w:before="60" w:after="60"/>
              <w:jc w:val="right"/>
              <w:rPr>
                <w:sz w:val="20"/>
                <w:szCs w:val="20"/>
                <w:lang w:val="en-AU"/>
              </w:rPr>
            </w:pPr>
            <w:r w:rsidRPr="008D1918">
              <w:rPr>
                <w:sz w:val="20"/>
                <w:szCs w:val="20"/>
                <w:lang w:val="en-AU"/>
              </w:rPr>
              <w:t>January – June</w:t>
            </w:r>
            <w:r w:rsidRPr="008D1918" w:rsidR="00D2517B">
              <w:rPr>
                <w:lang w:val="en-AU"/>
              </w:rPr>
              <w:br/>
            </w:r>
            <w:r w:rsidRPr="008D1918">
              <w:rPr>
                <w:sz w:val="20"/>
                <w:szCs w:val="20"/>
                <w:lang w:val="en-AU"/>
              </w:rPr>
              <w:t>2024</w:t>
            </w:r>
          </w:p>
        </w:tc>
        <w:tc>
          <w:tcPr>
            <w:tcW w:w="1203" w:type="dxa"/>
          </w:tcPr>
          <w:p w:rsidRPr="008D1918" w:rsidR="00DD0EA5" w:rsidP="00161239" w:rsidRDefault="00DD0EA5" w14:paraId="61B49455" w14:textId="33F96B46">
            <w:pPr>
              <w:keepNext/>
              <w:spacing w:before="60" w:after="60"/>
              <w:jc w:val="right"/>
              <w:rPr>
                <w:sz w:val="20"/>
                <w:szCs w:val="20"/>
                <w:lang w:val="en-AU"/>
              </w:rPr>
            </w:pPr>
            <w:r w:rsidRPr="008D1918">
              <w:rPr>
                <w:sz w:val="20"/>
                <w:szCs w:val="20"/>
                <w:lang w:val="en-AU"/>
              </w:rPr>
              <w:t>July – December</w:t>
            </w:r>
            <w:r w:rsidRPr="008D1918" w:rsidR="00D2517B">
              <w:rPr>
                <w:lang w:val="en-AU"/>
              </w:rPr>
              <w:br/>
            </w:r>
            <w:r w:rsidRPr="008D1918">
              <w:rPr>
                <w:sz w:val="20"/>
                <w:szCs w:val="20"/>
                <w:lang w:val="en-AU"/>
              </w:rPr>
              <w:t>2024</w:t>
            </w:r>
          </w:p>
        </w:tc>
        <w:tc>
          <w:tcPr>
            <w:tcW w:w="1202" w:type="dxa"/>
          </w:tcPr>
          <w:p w:rsidRPr="008D1918" w:rsidR="00DD0EA5" w:rsidP="00D2517B" w:rsidRDefault="00DD0EA5" w14:paraId="67AB59F7" w14:textId="17942727">
            <w:pPr>
              <w:keepNext/>
              <w:spacing w:before="60" w:after="60"/>
              <w:jc w:val="right"/>
              <w:rPr>
                <w:sz w:val="20"/>
                <w:szCs w:val="20"/>
                <w:lang w:val="en-AU"/>
              </w:rPr>
            </w:pPr>
            <w:r w:rsidRPr="008D1918">
              <w:rPr>
                <w:sz w:val="20"/>
                <w:szCs w:val="20"/>
                <w:lang w:val="en-AU"/>
              </w:rPr>
              <w:t>January – June</w:t>
            </w:r>
            <w:r w:rsidRPr="008D1918" w:rsidR="00D2517B">
              <w:rPr>
                <w:lang w:val="en-AU"/>
              </w:rPr>
              <w:br/>
            </w:r>
            <w:r w:rsidRPr="008D1918">
              <w:rPr>
                <w:sz w:val="20"/>
                <w:szCs w:val="20"/>
                <w:lang w:val="en-AU"/>
              </w:rPr>
              <w:t>2025</w:t>
            </w:r>
          </w:p>
        </w:tc>
        <w:tc>
          <w:tcPr>
            <w:tcW w:w="1203" w:type="dxa"/>
          </w:tcPr>
          <w:p w:rsidRPr="008D1918" w:rsidR="00DD0EA5" w:rsidP="00161239" w:rsidRDefault="00DD0EA5" w14:paraId="33A757CF" w14:textId="1030041A">
            <w:pPr>
              <w:keepNext/>
              <w:spacing w:before="60" w:after="60"/>
              <w:jc w:val="right"/>
              <w:rPr>
                <w:sz w:val="20"/>
                <w:szCs w:val="20"/>
                <w:lang w:val="en-AU"/>
              </w:rPr>
            </w:pPr>
            <w:r w:rsidRPr="008D1918">
              <w:rPr>
                <w:sz w:val="20"/>
                <w:szCs w:val="20"/>
                <w:lang w:val="en-AU"/>
              </w:rPr>
              <w:t>July – December</w:t>
            </w:r>
            <w:r w:rsidRPr="008D1918" w:rsidR="00D2517B">
              <w:rPr>
                <w:lang w:val="en-AU"/>
              </w:rPr>
              <w:br/>
            </w:r>
            <w:r w:rsidRPr="008D1918">
              <w:rPr>
                <w:sz w:val="20"/>
                <w:szCs w:val="20"/>
                <w:lang w:val="en-AU"/>
              </w:rPr>
              <w:t>2025</w:t>
            </w:r>
          </w:p>
        </w:tc>
      </w:tr>
      <w:tr w:rsidRPr="008D1918" w:rsidR="00A238C6" w:rsidTr="00D2517B" w14:paraId="1C9FCB8E" w14:textId="77777777">
        <w:trPr>
          <w:cnfStyle w:val="000000100000" w:firstRow="0" w:lastRow="0" w:firstColumn="0" w:lastColumn="0" w:oddVBand="0" w:evenVBand="0" w:oddHBand="1" w:evenHBand="0" w:firstRowFirstColumn="0" w:firstRowLastColumn="0" w:lastRowFirstColumn="0" w:lastRowLastColumn="0"/>
          <w:trHeight w:val="397"/>
        </w:trPr>
        <w:tc>
          <w:tcPr>
            <w:tcW w:w="1806" w:type="dxa"/>
            <w:vAlign w:val="center"/>
          </w:tcPr>
          <w:p w:rsidRPr="008D1918" w:rsidR="00DD0EA5" w:rsidP="00161239" w:rsidRDefault="00DD0EA5" w14:paraId="00129F2C" w14:textId="77777777">
            <w:pPr>
              <w:keepNext/>
              <w:spacing w:before="60" w:after="60"/>
              <w:rPr>
                <w:sz w:val="20"/>
                <w:szCs w:val="20"/>
                <w:lang w:val="en-AU"/>
              </w:rPr>
            </w:pPr>
            <w:r w:rsidRPr="008D1918">
              <w:rPr>
                <w:sz w:val="20"/>
                <w:szCs w:val="20"/>
                <w:lang w:val="en-AU"/>
              </w:rPr>
              <w:t>Non-remote</w:t>
            </w:r>
          </w:p>
        </w:tc>
        <w:tc>
          <w:tcPr>
            <w:tcW w:w="1202" w:type="dxa"/>
            <w:vAlign w:val="center"/>
          </w:tcPr>
          <w:p w:rsidRPr="008D1918" w:rsidR="00DD0EA5" w:rsidP="00D2517B" w:rsidRDefault="00DD0EA5" w14:paraId="6570FD3A" w14:textId="77777777">
            <w:pPr>
              <w:keepNext/>
              <w:spacing w:before="60" w:after="60"/>
              <w:jc w:val="right"/>
              <w:rPr>
                <w:sz w:val="20"/>
                <w:szCs w:val="20"/>
                <w:lang w:val="en-AU"/>
              </w:rPr>
            </w:pPr>
            <w:r w:rsidRPr="008D1918">
              <w:rPr>
                <w:sz w:val="20"/>
                <w:szCs w:val="20"/>
                <w:lang w:val="en-AU"/>
              </w:rPr>
              <w:t>3,467</w:t>
            </w:r>
          </w:p>
        </w:tc>
        <w:tc>
          <w:tcPr>
            <w:tcW w:w="1203" w:type="dxa"/>
            <w:vAlign w:val="center"/>
          </w:tcPr>
          <w:p w:rsidRPr="008D1918" w:rsidR="00DD0EA5" w:rsidP="00D2517B" w:rsidRDefault="00DD0EA5" w14:paraId="3AAF7449" w14:textId="77777777">
            <w:pPr>
              <w:keepNext/>
              <w:spacing w:before="60" w:after="60"/>
              <w:jc w:val="right"/>
              <w:rPr>
                <w:sz w:val="20"/>
                <w:szCs w:val="20"/>
                <w:lang w:val="en-AU"/>
              </w:rPr>
            </w:pPr>
            <w:r w:rsidRPr="008D1918">
              <w:rPr>
                <w:sz w:val="20"/>
                <w:szCs w:val="20"/>
                <w:lang w:val="en-AU"/>
              </w:rPr>
              <w:t>3,645</w:t>
            </w:r>
          </w:p>
        </w:tc>
        <w:tc>
          <w:tcPr>
            <w:tcW w:w="1202" w:type="dxa"/>
            <w:vAlign w:val="center"/>
          </w:tcPr>
          <w:p w:rsidRPr="008D1918" w:rsidR="00DD0EA5" w:rsidP="00D2517B" w:rsidRDefault="00DD0EA5" w14:paraId="780CF04E" w14:textId="77777777">
            <w:pPr>
              <w:keepNext/>
              <w:spacing w:before="60" w:after="60"/>
              <w:jc w:val="right"/>
              <w:rPr>
                <w:rFonts w:cs="Calibri"/>
                <w:color w:val="000000" w:themeColor="accent6"/>
                <w:sz w:val="20"/>
                <w:szCs w:val="20"/>
                <w:lang w:val="en-AU" w:eastAsia="en-AU"/>
              </w:rPr>
            </w:pPr>
            <w:r w:rsidRPr="008D1918">
              <w:rPr>
                <w:sz w:val="20"/>
                <w:szCs w:val="20"/>
                <w:lang w:val="en-AU"/>
              </w:rPr>
              <w:t>3,838</w:t>
            </w:r>
          </w:p>
        </w:tc>
        <w:tc>
          <w:tcPr>
            <w:tcW w:w="1203" w:type="dxa"/>
            <w:vAlign w:val="center"/>
          </w:tcPr>
          <w:p w:rsidRPr="008D1918" w:rsidR="00DD0EA5" w:rsidP="00D2517B" w:rsidRDefault="00DD0EA5" w14:paraId="236BCDBC" w14:textId="77777777">
            <w:pPr>
              <w:keepNext/>
              <w:spacing w:before="60" w:after="60"/>
              <w:jc w:val="right"/>
              <w:rPr>
                <w:sz w:val="20"/>
                <w:szCs w:val="20"/>
                <w:lang w:val="en-AU"/>
              </w:rPr>
            </w:pPr>
            <w:r w:rsidRPr="008D1918">
              <w:rPr>
                <w:sz w:val="20"/>
                <w:szCs w:val="20"/>
                <w:lang w:val="en-AU"/>
              </w:rPr>
              <w:t>4,111</w:t>
            </w:r>
          </w:p>
        </w:tc>
        <w:tc>
          <w:tcPr>
            <w:tcW w:w="1202" w:type="dxa"/>
            <w:vAlign w:val="center"/>
          </w:tcPr>
          <w:p w:rsidRPr="008D1918" w:rsidR="00DD0EA5" w:rsidP="00D2517B" w:rsidRDefault="00DD0EA5" w14:paraId="79C06043" w14:textId="77777777">
            <w:pPr>
              <w:keepNext/>
              <w:spacing w:before="60" w:after="60"/>
              <w:jc w:val="right"/>
              <w:rPr>
                <w:sz w:val="20"/>
                <w:szCs w:val="20"/>
                <w:lang w:val="en-AU"/>
              </w:rPr>
            </w:pPr>
            <w:r w:rsidRPr="008D1918">
              <w:rPr>
                <w:sz w:val="20"/>
                <w:szCs w:val="20"/>
                <w:lang w:val="en-AU"/>
              </w:rPr>
              <w:t>4,381</w:t>
            </w:r>
          </w:p>
        </w:tc>
        <w:tc>
          <w:tcPr>
            <w:tcW w:w="1203" w:type="dxa"/>
            <w:vAlign w:val="center"/>
          </w:tcPr>
          <w:p w:rsidRPr="008D1918" w:rsidR="00DD0EA5" w:rsidP="00D2517B" w:rsidRDefault="00DD0EA5" w14:paraId="6439E8AB" w14:textId="77777777">
            <w:pPr>
              <w:keepNext/>
              <w:spacing w:before="60" w:after="60"/>
              <w:jc w:val="right"/>
              <w:rPr>
                <w:sz w:val="20"/>
                <w:szCs w:val="20"/>
                <w:lang w:val="en-AU"/>
              </w:rPr>
            </w:pPr>
            <w:r w:rsidRPr="008D1918">
              <w:rPr>
                <w:sz w:val="20"/>
                <w:szCs w:val="20"/>
                <w:lang w:val="en-AU"/>
              </w:rPr>
              <w:t>4,924</w:t>
            </w:r>
          </w:p>
        </w:tc>
      </w:tr>
      <w:tr w:rsidRPr="008D1918" w:rsidR="00DD0EA5" w:rsidTr="00D2517B" w14:paraId="21243642" w14:textId="77777777">
        <w:trPr>
          <w:trHeight w:val="397"/>
        </w:trPr>
        <w:tc>
          <w:tcPr>
            <w:tcW w:w="1806" w:type="dxa"/>
            <w:vAlign w:val="center"/>
          </w:tcPr>
          <w:p w:rsidRPr="008D1918" w:rsidR="00DD0EA5" w:rsidP="00161239" w:rsidRDefault="00DD0EA5" w14:paraId="3950BB7C" w14:textId="77777777">
            <w:pPr>
              <w:keepNext/>
              <w:spacing w:before="60" w:after="60"/>
              <w:rPr>
                <w:sz w:val="20"/>
                <w:szCs w:val="20"/>
                <w:lang w:val="en-AU"/>
              </w:rPr>
            </w:pPr>
            <w:r w:rsidRPr="008D1918">
              <w:rPr>
                <w:sz w:val="20"/>
                <w:szCs w:val="20"/>
                <w:lang w:val="en-AU"/>
              </w:rPr>
              <w:t>Remote</w:t>
            </w:r>
          </w:p>
        </w:tc>
        <w:tc>
          <w:tcPr>
            <w:tcW w:w="1202" w:type="dxa"/>
            <w:vAlign w:val="center"/>
          </w:tcPr>
          <w:p w:rsidRPr="008D1918" w:rsidR="00DD0EA5" w:rsidP="00D2517B" w:rsidRDefault="00DD0EA5" w14:paraId="69356706" w14:textId="77777777">
            <w:pPr>
              <w:keepNext/>
              <w:spacing w:before="60" w:after="60"/>
              <w:jc w:val="right"/>
              <w:rPr>
                <w:sz w:val="20"/>
                <w:szCs w:val="20"/>
                <w:lang w:val="en-AU"/>
              </w:rPr>
            </w:pPr>
            <w:r w:rsidRPr="008D1918">
              <w:rPr>
                <w:sz w:val="20"/>
                <w:szCs w:val="20"/>
                <w:lang w:val="en-AU"/>
              </w:rPr>
              <w:t>324</w:t>
            </w:r>
          </w:p>
        </w:tc>
        <w:tc>
          <w:tcPr>
            <w:tcW w:w="1203" w:type="dxa"/>
            <w:vAlign w:val="center"/>
          </w:tcPr>
          <w:p w:rsidRPr="008D1918" w:rsidR="00DD0EA5" w:rsidP="00D2517B" w:rsidRDefault="00DD0EA5" w14:paraId="40BE4F5C" w14:textId="77777777">
            <w:pPr>
              <w:keepNext/>
              <w:spacing w:before="60" w:after="60"/>
              <w:jc w:val="right"/>
              <w:rPr>
                <w:sz w:val="20"/>
                <w:szCs w:val="20"/>
                <w:lang w:val="en-AU"/>
              </w:rPr>
            </w:pPr>
            <w:r w:rsidRPr="008D1918">
              <w:rPr>
                <w:sz w:val="20"/>
                <w:szCs w:val="20"/>
                <w:lang w:val="en-AU"/>
              </w:rPr>
              <w:t>362</w:t>
            </w:r>
          </w:p>
        </w:tc>
        <w:tc>
          <w:tcPr>
            <w:tcW w:w="1202" w:type="dxa"/>
            <w:vAlign w:val="center"/>
          </w:tcPr>
          <w:p w:rsidRPr="008D1918" w:rsidR="00DD0EA5" w:rsidP="00D2517B" w:rsidRDefault="00DD0EA5" w14:paraId="5FF751C3" w14:textId="77777777">
            <w:pPr>
              <w:keepNext/>
              <w:spacing w:before="60" w:after="60"/>
              <w:jc w:val="right"/>
              <w:rPr>
                <w:sz w:val="20"/>
                <w:szCs w:val="20"/>
                <w:lang w:val="en-AU"/>
              </w:rPr>
            </w:pPr>
            <w:r w:rsidRPr="008D1918">
              <w:rPr>
                <w:sz w:val="20"/>
                <w:szCs w:val="20"/>
                <w:lang w:val="en-AU"/>
              </w:rPr>
              <w:t>425</w:t>
            </w:r>
          </w:p>
        </w:tc>
        <w:tc>
          <w:tcPr>
            <w:tcW w:w="1203" w:type="dxa"/>
            <w:vAlign w:val="center"/>
          </w:tcPr>
          <w:p w:rsidRPr="008D1918" w:rsidR="00DD0EA5" w:rsidP="00D2517B" w:rsidRDefault="00DD0EA5" w14:paraId="2E08A1C6" w14:textId="77777777">
            <w:pPr>
              <w:keepNext/>
              <w:spacing w:before="60" w:after="60"/>
              <w:jc w:val="right"/>
              <w:rPr>
                <w:sz w:val="20"/>
                <w:szCs w:val="20"/>
                <w:lang w:val="en-AU"/>
              </w:rPr>
            </w:pPr>
            <w:r w:rsidRPr="008D1918">
              <w:rPr>
                <w:sz w:val="20"/>
                <w:szCs w:val="20"/>
                <w:lang w:val="en-AU"/>
              </w:rPr>
              <w:t>427</w:t>
            </w:r>
          </w:p>
        </w:tc>
        <w:tc>
          <w:tcPr>
            <w:tcW w:w="1202" w:type="dxa"/>
            <w:vAlign w:val="center"/>
          </w:tcPr>
          <w:p w:rsidRPr="008D1918" w:rsidR="00DD0EA5" w:rsidP="00D2517B" w:rsidRDefault="00DD0EA5" w14:paraId="1C32ED0B" w14:textId="77777777">
            <w:pPr>
              <w:keepNext/>
              <w:spacing w:before="60" w:after="60"/>
              <w:jc w:val="right"/>
              <w:rPr>
                <w:sz w:val="20"/>
                <w:szCs w:val="20"/>
                <w:lang w:val="en-AU"/>
              </w:rPr>
            </w:pPr>
            <w:r w:rsidRPr="008D1918">
              <w:rPr>
                <w:sz w:val="20"/>
                <w:szCs w:val="20"/>
                <w:lang w:val="en-AU"/>
              </w:rPr>
              <w:t>396</w:t>
            </w:r>
          </w:p>
        </w:tc>
        <w:tc>
          <w:tcPr>
            <w:tcW w:w="1203" w:type="dxa"/>
            <w:vAlign w:val="center"/>
          </w:tcPr>
          <w:p w:rsidRPr="008D1918" w:rsidR="00DD0EA5" w:rsidP="00D2517B" w:rsidRDefault="00DD0EA5" w14:paraId="68BC76BE" w14:textId="77777777">
            <w:pPr>
              <w:keepNext/>
              <w:spacing w:before="60" w:after="60"/>
              <w:jc w:val="right"/>
              <w:rPr>
                <w:sz w:val="20"/>
                <w:szCs w:val="20"/>
                <w:lang w:val="en-AU"/>
              </w:rPr>
            </w:pPr>
            <w:r w:rsidRPr="008D1918">
              <w:rPr>
                <w:sz w:val="20"/>
                <w:szCs w:val="20"/>
                <w:lang w:val="en-AU"/>
              </w:rPr>
              <w:t>453</w:t>
            </w:r>
          </w:p>
        </w:tc>
      </w:tr>
      <w:tr w:rsidRPr="008D1918" w:rsidR="00A238C6" w:rsidTr="00D2517B" w14:paraId="68FD98DB" w14:textId="77777777">
        <w:trPr>
          <w:cnfStyle w:val="000000100000" w:firstRow="0" w:lastRow="0" w:firstColumn="0" w:lastColumn="0" w:oddVBand="0" w:evenVBand="0" w:oddHBand="1" w:evenHBand="0" w:firstRowFirstColumn="0" w:firstRowLastColumn="0" w:lastRowFirstColumn="0" w:lastRowLastColumn="0"/>
          <w:trHeight w:val="397"/>
        </w:trPr>
        <w:tc>
          <w:tcPr>
            <w:tcW w:w="1806" w:type="dxa"/>
            <w:vAlign w:val="center"/>
          </w:tcPr>
          <w:p w:rsidRPr="008D1918" w:rsidR="00DD0EA5" w:rsidP="00161239" w:rsidRDefault="00DD0EA5" w14:paraId="054256A6" w14:textId="77777777">
            <w:pPr>
              <w:keepNext/>
              <w:spacing w:before="60" w:after="60"/>
              <w:rPr>
                <w:sz w:val="20"/>
                <w:szCs w:val="20"/>
                <w:lang w:val="en-AU"/>
              </w:rPr>
            </w:pPr>
            <w:r w:rsidRPr="008D1918">
              <w:rPr>
                <w:sz w:val="20"/>
                <w:szCs w:val="20"/>
                <w:lang w:val="en-AU"/>
              </w:rPr>
              <w:t>Very remote</w:t>
            </w:r>
          </w:p>
        </w:tc>
        <w:tc>
          <w:tcPr>
            <w:tcW w:w="1202" w:type="dxa"/>
            <w:vAlign w:val="center"/>
          </w:tcPr>
          <w:p w:rsidRPr="008D1918" w:rsidR="00DD0EA5" w:rsidP="00D2517B" w:rsidRDefault="00DD0EA5" w14:paraId="5D02DB85" w14:textId="77777777">
            <w:pPr>
              <w:keepNext/>
              <w:spacing w:before="60" w:after="60"/>
              <w:jc w:val="right"/>
              <w:rPr>
                <w:sz w:val="20"/>
                <w:szCs w:val="20"/>
                <w:lang w:val="en-AU"/>
              </w:rPr>
            </w:pPr>
            <w:r w:rsidRPr="008D1918">
              <w:rPr>
                <w:sz w:val="20"/>
                <w:szCs w:val="20"/>
                <w:lang w:val="en-AU"/>
              </w:rPr>
              <w:t>199</w:t>
            </w:r>
          </w:p>
        </w:tc>
        <w:tc>
          <w:tcPr>
            <w:tcW w:w="1203" w:type="dxa"/>
            <w:vAlign w:val="center"/>
          </w:tcPr>
          <w:p w:rsidRPr="008D1918" w:rsidR="00DD0EA5" w:rsidP="00D2517B" w:rsidRDefault="00DD0EA5" w14:paraId="51AC6684" w14:textId="77777777">
            <w:pPr>
              <w:keepNext/>
              <w:spacing w:before="60" w:after="60"/>
              <w:jc w:val="right"/>
              <w:rPr>
                <w:sz w:val="20"/>
                <w:szCs w:val="20"/>
                <w:lang w:val="en-AU"/>
              </w:rPr>
            </w:pPr>
            <w:r w:rsidRPr="008D1918">
              <w:rPr>
                <w:sz w:val="20"/>
                <w:szCs w:val="20"/>
                <w:lang w:val="en-AU"/>
              </w:rPr>
              <w:t>212</w:t>
            </w:r>
          </w:p>
        </w:tc>
        <w:tc>
          <w:tcPr>
            <w:tcW w:w="1202" w:type="dxa"/>
            <w:vAlign w:val="center"/>
          </w:tcPr>
          <w:p w:rsidRPr="008D1918" w:rsidR="00DD0EA5" w:rsidP="00D2517B" w:rsidRDefault="00DD0EA5" w14:paraId="5DE5B0B1" w14:textId="77777777">
            <w:pPr>
              <w:keepNext/>
              <w:spacing w:before="60" w:after="60"/>
              <w:jc w:val="right"/>
              <w:rPr>
                <w:sz w:val="20"/>
                <w:szCs w:val="20"/>
                <w:lang w:val="en-AU"/>
              </w:rPr>
            </w:pPr>
            <w:r w:rsidRPr="008D1918">
              <w:rPr>
                <w:sz w:val="20"/>
                <w:szCs w:val="20"/>
                <w:lang w:val="en-AU"/>
              </w:rPr>
              <w:t>215</w:t>
            </w:r>
          </w:p>
        </w:tc>
        <w:tc>
          <w:tcPr>
            <w:tcW w:w="1203" w:type="dxa"/>
            <w:vAlign w:val="center"/>
          </w:tcPr>
          <w:p w:rsidRPr="008D1918" w:rsidR="00DD0EA5" w:rsidP="00D2517B" w:rsidRDefault="00DD0EA5" w14:paraId="4FB84EDE" w14:textId="77777777">
            <w:pPr>
              <w:keepNext/>
              <w:spacing w:before="60" w:after="60"/>
              <w:jc w:val="right"/>
              <w:rPr>
                <w:sz w:val="20"/>
                <w:szCs w:val="20"/>
                <w:lang w:val="en-AU"/>
              </w:rPr>
            </w:pPr>
            <w:r w:rsidRPr="008D1918">
              <w:rPr>
                <w:sz w:val="20"/>
                <w:szCs w:val="20"/>
                <w:lang w:val="en-AU"/>
              </w:rPr>
              <w:t>227</w:t>
            </w:r>
          </w:p>
        </w:tc>
        <w:tc>
          <w:tcPr>
            <w:tcW w:w="1202" w:type="dxa"/>
            <w:vAlign w:val="center"/>
          </w:tcPr>
          <w:p w:rsidRPr="008D1918" w:rsidR="00DD0EA5" w:rsidP="00D2517B" w:rsidRDefault="00DD0EA5" w14:paraId="6CB668F2" w14:textId="77777777">
            <w:pPr>
              <w:keepNext/>
              <w:spacing w:before="60" w:after="60"/>
              <w:jc w:val="right"/>
              <w:rPr>
                <w:sz w:val="20"/>
                <w:szCs w:val="20"/>
                <w:lang w:val="en-AU"/>
              </w:rPr>
            </w:pPr>
            <w:r w:rsidRPr="008D1918">
              <w:rPr>
                <w:sz w:val="20"/>
                <w:szCs w:val="20"/>
                <w:lang w:val="en-AU"/>
              </w:rPr>
              <w:t>244</w:t>
            </w:r>
          </w:p>
        </w:tc>
        <w:tc>
          <w:tcPr>
            <w:tcW w:w="1203" w:type="dxa"/>
            <w:vAlign w:val="center"/>
          </w:tcPr>
          <w:p w:rsidRPr="008D1918" w:rsidR="00DD0EA5" w:rsidP="00D2517B" w:rsidRDefault="00DD0EA5" w14:paraId="2CE50500" w14:textId="77777777">
            <w:pPr>
              <w:keepNext/>
              <w:spacing w:before="60" w:after="60"/>
              <w:jc w:val="right"/>
              <w:rPr>
                <w:sz w:val="20"/>
                <w:szCs w:val="20"/>
                <w:lang w:val="en-AU"/>
              </w:rPr>
            </w:pPr>
            <w:r w:rsidRPr="008D1918">
              <w:rPr>
                <w:sz w:val="20"/>
                <w:szCs w:val="20"/>
                <w:lang w:val="en-AU"/>
              </w:rPr>
              <w:t>255</w:t>
            </w:r>
          </w:p>
        </w:tc>
      </w:tr>
      <w:tr w:rsidRPr="008D1918" w:rsidR="00DD0EA5" w:rsidTr="00D2517B" w14:paraId="14602E2A" w14:textId="77777777">
        <w:trPr>
          <w:trHeight w:val="397"/>
        </w:trPr>
        <w:tc>
          <w:tcPr>
            <w:tcW w:w="1806" w:type="dxa"/>
            <w:vAlign w:val="center"/>
          </w:tcPr>
          <w:p w:rsidRPr="008D1918" w:rsidR="00DD0EA5" w:rsidP="00161239" w:rsidRDefault="00DD0EA5" w14:paraId="63DDEAD0" w14:textId="3AB27E24">
            <w:pPr>
              <w:keepNext/>
              <w:spacing w:before="60" w:after="60"/>
              <w:rPr>
                <w:b/>
                <w:sz w:val="20"/>
                <w:szCs w:val="20"/>
                <w:lang w:val="en-AU"/>
              </w:rPr>
            </w:pPr>
            <w:r w:rsidRPr="008D1918">
              <w:rPr>
                <w:b/>
                <w:bCs/>
                <w:sz w:val="20"/>
                <w:szCs w:val="20"/>
                <w:lang w:val="en-AU"/>
              </w:rPr>
              <w:t xml:space="preserve">Total for </w:t>
            </w:r>
            <w:r w:rsidRPr="008D1918" w:rsidR="00BB2F1A">
              <w:rPr>
                <w:b/>
                <w:bCs/>
                <w:sz w:val="20"/>
                <w:szCs w:val="20"/>
                <w:lang w:val="en-AU"/>
              </w:rPr>
              <w:t>r</w:t>
            </w:r>
            <w:r w:rsidRPr="008D1918">
              <w:rPr>
                <w:b/>
                <w:bCs/>
                <w:sz w:val="20"/>
                <w:szCs w:val="20"/>
                <w:lang w:val="en-AU"/>
              </w:rPr>
              <w:t>egistered</w:t>
            </w:r>
          </w:p>
        </w:tc>
        <w:tc>
          <w:tcPr>
            <w:tcW w:w="1202" w:type="dxa"/>
            <w:vAlign w:val="center"/>
          </w:tcPr>
          <w:p w:rsidRPr="008D1918" w:rsidR="00DD0EA5" w:rsidP="00D2517B" w:rsidRDefault="00DD0EA5" w14:paraId="538624EC" w14:textId="77777777">
            <w:pPr>
              <w:keepNext/>
              <w:spacing w:before="60" w:after="60"/>
              <w:jc w:val="right"/>
              <w:rPr>
                <w:b/>
                <w:sz w:val="20"/>
                <w:szCs w:val="20"/>
                <w:lang w:val="en-AU"/>
              </w:rPr>
            </w:pPr>
            <w:r w:rsidRPr="008D1918">
              <w:rPr>
                <w:b/>
                <w:bCs/>
                <w:sz w:val="20"/>
                <w:szCs w:val="20"/>
                <w:lang w:val="en-AU"/>
              </w:rPr>
              <w:t>3,501</w:t>
            </w:r>
          </w:p>
        </w:tc>
        <w:tc>
          <w:tcPr>
            <w:tcW w:w="1203" w:type="dxa"/>
            <w:vAlign w:val="center"/>
          </w:tcPr>
          <w:p w:rsidRPr="008D1918" w:rsidR="00DD0EA5" w:rsidP="00D2517B" w:rsidRDefault="00DD0EA5" w14:paraId="5C435922" w14:textId="77777777">
            <w:pPr>
              <w:keepNext/>
              <w:spacing w:before="60" w:after="60"/>
              <w:jc w:val="right"/>
              <w:rPr>
                <w:b/>
                <w:sz w:val="20"/>
                <w:szCs w:val="20"/>
                <w:lang w:val="en-AU"/>
              </w:rPr>
            </w:pPr>
            <w:r w:rsidRPr="008D1918">
              <w:rPr>
                <w:b/>
                <w:bCs/>
                <w:sz w:val="20"/>
                <w:szCs w:val="20"/>
                <w:lang w:val="en-AU"/>
              </w:rPr>
              <w:t>3,684</w:t>
            </w:r>
          </w:p>
        </w:tc>
        <w:tc>
          <w:tcPr>
            <w:tcW w:w="1202" w:type="dxa"/>
            <w:vAlign w:val="center"/>
          </w:tcPr>
          <w:p w:rsidRPr="008D1918" w:rsidR="00DD0EA5" w:rsidP="00D2517B" w:rsidRDefault="00DD0EA5" w14:paraId="1EBF60AB" w14:textId="77777777">
            <w:pPr>
              <w:keepNext/>
              <w:spacing w:before="60" w:after="60"/>
              <w:jc w:val="right"/>
              <w:rPr>
                <w:b/>
                <w:sz w:val="20"/>
                <w:szCs w:val="20"/>
                <w:lang w:val="en-AU"/>
              </w:rPr>
            </w:pPr>
            <w:r w:rsidRPr="008D1918">
              <w:rPr>
                <w:b/>
                <w:bCs/>
                <w:sz w:val="20"/>
                <w:szCs w:val="20"/>
                <w:lang w:val="en-AU"/>
              </w:rPr>
              <w:t>3,876</w:t>
            </w:r>
          </w:p>
        </w:tc>
        <w:tc>
          <w:tcPr>
            <w:tcW w:w="1203" w:type="dxa"/>
            <w:vAlign w:val="center"/>
          </w:tcPr>
          <w:p w:rsidRPr="008D1918" w:rsidR="00DD0EA5" w:rsidP="00D2517B" w:rsidRDefault="00DD0EA5" w14:paraId="2EEC4881" w14:textId="77777777">
            <w:pPr>
              <w:keepNext/>
              <w:spacing w:before="60" w:after="60"/>
              <w:jc w:val="right"/>
              <w:rPr>
                <w:b/>
                <w:sz w:val="20"/>
                <w:szCs w:val="20"/>
                <w:lang w:val="en-AU"/>
              </w:rPr>
            </w:pPr>
            <w:r w:rsidRPr="008D1918">
              <w:rPr>
                <w:b/>
                <w:bCs/>
                <w:sz w:val="20"/>
                <w:szCs w:val="20"/>
                <w:lang w:val="en-AU"/>
              </w:rPr>
              <w:t>4,152</w:t>
            </w:r>
          </w:p>
        </w:tc>
        <w:tc>
          <w:tcPr>
            <w:tcW w:w="1202" w:type="dxa"/>
            <w:vAlign w:val="center"/>
          </w:tcPr>
          <w:p w:rsidRPr="008D1918" w:rsidR="00DD0EA5" w:rsidP="00D2517B" w:rsidRDefault="00DD0EA5" w14:paraId="39A6422C" w14:textId="77777777">
            <w:pPr>
              <w:keepNext/>
              <w:spacing w:before="60" w:after="60"/>
              <w:jc w:val="right"/>
              <w:rPr>
                <w:b/>
                <w:sz w:val="20"/>
                <w:szCs w:val="20"/>
                <w:lang w:val="en-AU"/>
              </w:rPr>
            </w:pPr>
            <w:r w:rsidRPr="008D1918">
              <w:rPr>
                <w:b/>
                <w:bCs/>
                <w:sz w:val="20"/>
                <w:szCs w:val="20"/>
                <w:lang w:val="en-AU"/>
              </w:rPr>
              <w:t>4,425</w:t>
            </w:r>
          </w:p>
        </w:tc>
        <w:tc>
          <w:tcPr>
            <w:tcW w:w="1203" w:type="dxa"/>
            <w:vAlign w:val="center"/>
          </w:tcPr>
          <w:p w:rsidRPr="008D1918" w:rsidR="00DD0EA5" w:rsidP="00D2517B" w:rsidRDefault="00DD0EA5" w14:paraId="3A456C80" w14:textId="77777777">
            <w:pPr>
              <w:keepNext/>
              <w:spacing w:before="60" w:after="60"/>
              <w:jc w:val="right"/>
              <w:rPr>
                <w:b/>
                <w:sz w:val="20"/>
                <w:szCs w:val="20"/>
                <w:lang w:val="en-AU"/>
              </w:rPr>
            </w:pPr>
            <w:r w:rsidRPr="008D1918">
              <w:rPr>
                <w:b/>
                <w:bCs/>
                <w:sz w:val="20"/>
                <w:szCs w:val="20"/>
                <w:lang w:val="en-AU"/>
              </w:rPr>
              <w:t>4,973</w:t>
            </w:r>
          </w:p>
        </w:tc>
      </w:tr>
    </w:tbl>
    <w:p w:rsidRPr="008D1918" w:rsidR="00DD0EA5" w:rsidP="00161239" w:rsidRDefault="00DD0EA5" w14:paraId="48D7B58F" w14:textId="77777777">
      <w:pPr>
        <w:spacing w:before="120" w:after="360"/>
        <w:rPr>
          <w:rFonts w:cs="Calibri"/>
          <w:b/>
          <w:sz w:val="20"/>
          <w:szCs w:val="18"/>
          <w:lang w:val="en-AU" w:eastAsia="en-AU"/>
        </w:rPr>
      </w:pPr>
      <w:r w:rsidRPr="008D1918">
        <w:rPr>
          <w:rFonts w:cs="Calibri"/>
          <w:b/>
          <w:sz w:val="20"/>
          <w:szCs w:val="18"/>
          <w:lang w:val="en-AU" w:eastAsia="en-AU"/>
        </w:rPr>
        <w:t>Source: NDIS internal administrative data</w:t>
      </w:r>
    </w:p>
    <w:p w:rsidRPr="008D1918" w:rsidR="00DD0EA5" w:rsidP="00673A60" w:rsidRDefault="00673A60" w14:paraId="165D008D" w14:textId="5F4F5C75">
      <w:pPr>
        <w:pStyle w:val="Caption"/>
      </w:pPr>
      <w:bookmarkStart w:name="_Ref223691804" w:id="1566"/>
      <w:r w:rsidRPr="008D1918">
        <w:t xml:space="preserve">Table </w:t>
      </w:r>
      <w:r>
        <w:fldChar w:fldCharType="begin"/>
      </w:r>
      <w:r>
        <w:instrText>SEQ Table \* ARABIC</w:instrText>
      </w:r>
      <w:r>
        <w:fldChar w:fldCharType="separate"/>
      </w:r>
      <w:r w:rsidR="008F56A2">
        <w:rPr>
          <w:noProof/>
        </w:rPr>
        <w:t>30</w:t>
      </w:r>
      <w:r>
        <w:fldChar w:fldCharType="end"/>
      </w:r>
      <w:bookmarkEnd w:id="1566"/>
      <w:r w:rsidRPr="008D1918" w:rsidR="00DD0EA5">
        <w:t>: Unregistered providers by remoteness for support coordination supports, January 2023 to December 2025</w:t>
      </w:r>
    </w:p>
    <w:tbl>
      <w:tblPr>
        <w:tblStyle w:val="GridTable4-Accent121"/>
        <w:tblW w:w="0" w:type="auto"/>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985"/>
        <w:gridCol w:w="1184"/>
        <w:gridCol w:w="1184"/>
        <w:gridCol w:w="1184"/>
        <w:gridCol w:w="1184"/>
        <w:gridCol w:w="1184"/>
        <w:gridCol w:w="1184"/>
      </w:tblGrid>
      <w:tr w:rsidRPr="008D1918" w:rsidR="00A238C6" w:rsidTr="00BB2F1A" w14:paraId="0A46FDB5"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1985" w:type="dxa"/>
            <w:vAlign w:val="center"/>
          </w:tcPr>
          <w:p w:rsidRPr="008D1918" w:rsidR="00DD0EA5" w:rsidP="00BB2F1A" w:rsidRDefault="00DD0EA5" w14:paraId="08EACD49" w14:textId="77777777">
            <w:pPr>
              <w:keepNext/>
              <w:spacing w:before="60" w:after="60"/>
              <w:rPr>
                <w:rFonts w:cs="Calibri"/>
                <w:sz w:val="20"/>
                <w:szCs w:val="20"/>
                <w:lang w:val="en-AU" w:eastAsia="en-AU"/>
              </w:rPr>
            </w:pPr>
            <w:r w:rsidRPr="008D1918">
              <w:rPr>
                <w:sz w:val="20"/>
                <w:szCs w:val="20"/>
                <w:lang w:val="en-AU"/>
              </w:rPr>
              <w:t>Remoteness</w:t>
            </w:r>
          </w:p>
        </w:tc>
        <w:tc>
          <w:tcPr>
            <w:tcW w:w="1184" w:type="dxa"/>
          </w:tcPr>
          <w:p w:rsidRPr="008D1918" w:rsidR="00DD0EA5" w:rsidP="000916EB" w:rsidRDefault="00DD0EA5" w14:paraId="32D21581" w14:textId="59B796C4">
            <w:pPr>
              <w:keepNext/>
              <w:spacing w:before="60" w:after="60"/>
              <w:jc w:val="right"/>
              <w:rPr>
                <w:rFonts w:cs="Calibri"/>
                <w:sz w:val="20"/>
                <w:szCs w:val="20"/>
                <w:lang w:val="en-AU" w:eastAsia="en-AU"/>
              </w:rPr>
            </w:pPr>
            <w:r w:rsidRPr="008D1918">
              <w:rPr>
                <w:sz w:val="20"/>
                <w:szCs w:val="20"/>
                <w:lang w:val="en-AU"/>
              </w:rPr>
              <w:t>January – June</w:t>
            </w:r>
            <w:r w:rsidRPr="008D1918" w:rsidR="000916EB">
              <w:rPr>
                <w:lang w:val="en-AU"/>
              </w:rPr>
              <w:br/>
            </w:r>
            <w:r w:rsidRPr="008D1918">
              <w:rPr>
                <w:sz w:val="20"/>
                <w:szCs w:val="20"/>
                <w:lang w:val="en-AU"/>
              </w:rPr>
              <w:t>2023</w:t>
            </w:r>
          </w:p>
        </w:tc>
        <w:tc>
          <w:tcPr>
            <w:tcW w:w="1184" w:type="dxa"/>
          </w:tcPr>
          <w:p w:rsidRPr="008D1918" w:rsidR="00DD0EA5" w:rsidP="00A24ECC" w:rsidRDefault="00DD0EA5" w14:paraId="408FC13E" w14:textId="47591541">
            <w:pPr>
              <w:keepNext/>
              <w:spacing w:before="60" w:after="60"/>
              <w:jc w:val="right"/>
              <w:rPr>
                <w:rFonts w:cs="Calibri"/>
                <w:sz w:val="20"/>
                <w:szCs w:val="20"/>
                <w:lang w:val="en-AU" w:eastAsia="en-AU"/>
              </w:rPr>
            </w:pPr>
            <w:r w:rsidRPr="008D1918">
              <w:rPr>
                <w:sz w:val="20"/>
                <w:szCs w:val="20"/>
                <w:lang w:val="en-AU"/>
              </w:rPr>
              <w:t>July – December</w:t>
            </w:r>
            <w:r w:rsidRPr="008D1918" w:rsidR="000916EB">
              <w:rPr>
                <w:lang w:val="en-AU"/>
              </w:rPr>
              <w:br/>
            </w:r>
            <w:r w:rsidRPr="008D1918">
              <w:rPr>
                <w:sz w:val="20"/>
                <w:szCs w:val="20"/>
                <w:lang w:val="en-AU"/>
              </w:rPr>
              <w:t>2023</w:t>
            </w:r>
          </w:p>
        </w:tc>
        <w:tc>
          <w:tcPr>
            <w:tcW w:w="1184" w:type="dxa"/>
          </w:tcPr>
          <w:p w:rsidRPr="008D1918" w:rsidR="00DD0EA5" w:rsidP="000916EB" w:rsidRDefault="00DD0EA5" w14:paraId="65F53705" w14:textId="1FB61464">
            <w:pPr>
              <w:keepNext/>
              <w:spacing w:before="60" w:after="60"/>
              <w:jc w:val="right"/>
              <w:rPr>
                <w:rFonts w:cs="Calibri"/>
                <w:sz w:val="20"/>
                <w:szCs w:val="20"/>
                <w:lang w:val="en-AU" w:eastAsia="en-AU"/>
              </w:rPr>
            </w:pPr>
            <w:r w:rsidRPr="008D1918">
              <w:rPr>
                <w:sz w:val="20"/>
                <w:szCs w:val="20"/>
                <w:lang w:val="en-AU"/>
              </w:rPr>
              <w:t>January – June</w:t>
            </w:r>
            <w:r w:rsidRPr="008D1918" w:rsidR="000916EB">
              <w:rPr>
                <w:lang w:val="en-AU"/>
              </w:rPr>
              <w:br/>
            </w:r>
            <w:r w:rsidRPr="008D1918">
              <w:rPr>
                <w:sz w:val="20"/>
                <w:szCs w:val="20"/>
                <w:lang w:val="en-AU"/>
              </w:rPr>
              <w:t>2024</w:t>
            </w:r>
          </w:p>
        </w:tc>
        <w:tc>
          <w:tcPr>
            <w:tcW w:w="1184" w:type="dxa"/>
          </w:tcPr>
          <w:p w:rsidRPr="008D1918" w:rsidR="00DD0EA5" w:rsidP="00A24ECC" w:rsidRDefault="00DD0EA5" w14:paraId="0B4CB04F" w14:textId="72952167">
            <w:pPr>
              <w:keepNext/>
              <w:spacing w:before="60" w:after="60"/>
              <w:jc w:val="right"/>
              <w:rPr>
                <w:rFonts w:cs="Calibri"/>
                <w:sz w:val="20"/>
                <w:szCs w:val="20"/>
                <w:lang w:val="en-AU" w:eastAsia="en-AU"/>
              </w:rPr>
            </w:pPr>
            <w:r w:rsidRPr="008D1918">
              <w:rPr>
                <w:sz w:val="20"/>
                <w:szCs w:val="20"/>
                <w:lang w:val="en-AU"/>
              </w:rPr>
              <w:t>July – December</w:t>
            </w:r>
            <w:r w:rsidRPr="008D1918" w:rsidR="000916EB">
              <w:rPr>
                <w:lang w:val="en-AU"/>
              </w:rPr>
              <w:br/>
            </w:r>
            <w:r w:rsidRPr="008D1918">
              <w:rPr>
                <w:sz w:val="20"/>
                <w:szCs w:val="20"/>
                <w:lang w:val="en-AU"/>
              </w:rPr>
              <w:t>2024</w:t>
            </w:r>
          </w:p>
        </w:tc>
        <w:tc>
          <w:tcPr>
            <w:tcW w:w="1184" w:type="dxa"/>
          </w:tcPr>
          <w:p w:rsidRPr="008D1918" w:rsidR="00DD0EA5" w:rsidP="000916EB" w:rsidRDefault="00DD0EA5" w14:paraId="181472FC" w14:textId="343F3ACE">
            <w:pPr>
              <w:keepNext/>
              <w:spacing w:before="60" w:after="60"/>
              <w:jc w:val="right"/>
              <w:rPr>
                <w:rFonts w:cs="Calibri"/>
                <w:sz w:val="20"/>
                <w:szCs w:val="20"/>
                <w:lang w:val="en-AU" w:eastAsia="en-AU"/>
              </w:rPr>
            </w:pPr>
            <w:r w:rsidRPr="008D1918">
              <w:rPr>
                <w:sz w:val="20"/>
                <w:szCs w:val="20"/>
                <w:lang w:val="en-AU"/>
              </w:rPr>
              <w:t>January – June</w:t>
            </w:r>
            <w:r w:rsidRPr="008D1918" w:rsidR="000916EB">
              <w:rPr>
                <w:lang w:val="en-AU"/>
              </w:rPr>
              <w:br/>
            </w:r>
            <w:r w:rsidRPr="008D1918">
              <w:rPr>
                <w:sz w:val="20"/>
                <w:szCs w:val="20"/>
                <w:lang w:val="en-AU"/>
              </w:rPr>
              <w:t>2025</w:t>
            </w:r>
          </w:p>
        </w:tc>
        <w:tc>
          <w:tcPr>
            <w:tcW w:w="1184" w:type="dxa"/>
          </w:tcPr>
          <w:p w:rsidRPr="008D1918" w:rsidR="00DD0EA5" w:rsidP="00A24ECC" w:rsidRDefault="00DD0EA5" w14:paraId="638BEE6F" w14:textId="4FA03036">
            <w:pPr>
              <w:keepNext/>
              <w:spacing w:before="60" w:after="60"/>
              <w:jc w:val="right"/>
              <w:rPr>
                <w:rFonts w:cs="Calibri"/>
                <w:sz w:val="20"/>
                <w:szCs w:val="20"/>
                <w:lang w:val="en-AU" w:eastAsia="en-AU"/>
              </w:rPr>
            </w:pPr>
            <w:r w:rsidRPr="008D1918">
              <w:rPr>
                <w:sz w:val="20"/>
                <w:szCs w:val="20"/>
                <w:lang w:val="en-AU"/>
              </w:rPr>
              <w:t>July – December</w:t>
            </w:r>
            <w:r w:rsidRPr="008D1918" w:rsidR="000916EB">
              <w:rPr>
                <w:lang w:val="en-AU"/>
              </w:rPr>
              <w:br/>
            </w:r>
            <w:r w:rsidRPr="008D1918">
              <w:rPr>
                <w:sz w:val="20"/>
                <w:szCs w:val="20"/>
                <w:lang w:val="en-AU"/>
              </w:rPr>
              <w:t>2025</w:t>
            </w:r>
          </w:p>
        </w:tc>
      </w:tr>
      <w:tr w:rsidRPr="008D1918" w:rsidR="00A238C6" w:rsidTr="000916EB" w14:paraId="6DE9BA23" w14:textId="77777777">
        <w:trPr>
          <w:cnfStyle w:val="000000100000" w:firstRow="0" w:lastRow="0" w:firstColumn="0" w:lastColumn="0" w:oddVBand="0" w:evenVBand="0" w:oddHBand="1" w:evenHBand="0" w:firstRowFirstColumn="0" w:firstRowLastColumn="0" w:lastRowFirstColumn="0" w:lastRowLastColumn="0"/>
          <w:trHeight w:val="397"/>
        </w:trPr>
        <w:tc>
          <w:tcPr>
            <w:tcW w:w="1985" w:type="dxa"/>
            <w:vAlign w:val="center"/>
          </w:tcPr>
          <w:p w:rsidRPr="008D1918" w:rsidR="00DD0EA5" w:rsidP="00A24ECC" w:rsidRDefault="00DD0EA5" w14:paraId="607FB303" w14:textId="77777777">
            <w:pPr>
              <w:keepNext/>
              <w:spacing w:before="60" w:after="60"/>
              <w:rPr>
                <w:rFonts w:cs="Calibri"/>
                <w:sz w:val="20"/>
                <w:szCs w:val="20"/>
                <w:lang w:val="en-AU" w:eastAsia="en-AU"/>
              </w:rPr>
            </w:pPr>
            <w:r w:rsidRPr="008D1918">
              <w:rPr>
                <w:sz w:val="20"/>
                <w:szCs w:val="20"/>
                <w:lang w:val="en-AU"/>
              </w:rPr>
              <w:t>Non-remote</w:t>
            </w:r>
          </w:p>
        </w:tc>
        <w:tc>
          <w:tcPr>
            <w:tcW w:w="1184" w:type="dxa"/>
            <w:vAlign w:val="center"/>
          </w:tcPr>
          <w:p w:rsidRPr="008D1918" w:rsidR="00DD0EA5" w:rsidP="000916EB" w:rsidRDefault="00DD0EA5" w14:paraId="1E036504" w14:textId="77777777">
            <w:pPr>
              <w:keepNext/>
              <w:spacing w:before="60" w:after="60"/>
              <w:jc w:val="right"/>
              <w:rPr>
                <w:rFonts w:cs="Calibri"/>
                <w:color w:val="000000" w:themeColor="accent6"/>
                <w:sz w:val="20"/>
                <w:szCs w:val="20"/>
                <w:lang w:val="en-AU" w:eastAsia="en-AU"/>
              </w:rPr>
            </w:pPr>
            <w:r w:rsidRPr="008D1918">
              <w:rPr>
                <w:sz w:val="20"/>
                <w:szCs w:val="20"/>
                <w:lang w:val="en-AU"/>
              </w:rPr>
              <w:t>4,366</w:t>
            </w:r>
          </w:p>
        </w:tc>
        <w:tc>
          <w:tcPr>
            <w:tcW w:w="1184" w:type="dxa"/>
            <w:vAlign w:val="center"/>
          </w:tcPr>
          <w:p w:rsidRPr="008D1918" w:rsidR="00DD0EA5" w:rsidP="000916EB" w:rsidRDefault="00DD0EA5" w14:paraId="034705A7" w14:textId="77777777">
            <w:pPr>
              <w:keepNext/>
              <w:spacing w:before="60" w:after="60"/>
              <w:jc w:val="right"/>
              <w:rPr>
                <w:rFonts w:cs="Calibri"/>
                <w:color w:val="000000" w:themeColor="accent6"/>
                <w:sz w:val="20"/>
                <w:szCs w:val="20"/>
                <w:lang w:val="en-AU" w:eastAsia="en-AU"/>
              </w:rPr>
            </w:pPr>
            <w:r w:rsidRPr="008D1918">
              <w:rPr>
                <w:sz w:val="20"/>
                <w:szCs w:val="20"/>
                <w:lang w:val="en-AU"/>
              </w:rPr>
              <w:t>5,242</w:t>
            </w:r>
          </w:p>
        </w:tc>
        <w:tc>
          <w:tcPr>
            <w:tcW w:w="1184" w:type="dxa"/>
            <w:vAlign w:val="center"/>
          </w:tcPr>
          <w:p w:rsidRPr="008D1918" w:rsidR="00DD0EA5" w:rsidP="000916EB" w:rsidRDefault="00DD0EA5" w14:paraId="56B077D0" w14:textId="77777777">
            <w:pPr>
              <w:keepNext/>
              <w:spacing w:before="60" w:after="60"/>
              <w:jc w:val="right"/>
              <w:rPr>
                <w:rFonts w:cs="Calibri"/>
                <w:color w:val="000000" w:themeColor="accent6"/>
                <w:sz w:val="20"/>
                <w:szCs w:val="20"/>
                <w:lang w:val="en-AU" w:eastAsia="en-AU"/>
              </w:rPr>
            </w:pPr>
            <w:r w:rsidRPr="008D1918">
              <w:rPr>
                <w:sz w:val="20"/>
                <w:szCs w:val="20"/>
                <w:lang w:val="en-AU"/>
              </w:rPr>
              <w:t>5,709</w:t>
            </w:r>
          </w:p>
        </w:tc>
        <w:tc>
          <w:tcPr>
            <w:tcW w:w="1184" w:type="dxa"/>
            <w:vAlign w:val="center"/>
          </w:tcPr>
          <w:p w:rsidRPr="008D1918" w:rsidR="00DD0EA5" w:rsidP="000916EB" w:rsidRDefault="00DD0EA5" w14:paraId="4AF13D7B" w14:textId="77777777">
            <w:pPr>
              <w:keepNext/>
              <w:spacing w:before="60" w:after="60"/>
              <w:jc w:val="right"/>
              <w:rPr>
                <w:rFonts w:cs="Calibri"/>
                <w:color w:val="000000" w:themeColor="accent6"/>
                <w:sz w:val="20"/>
                <w:szCs w:val="20"/>
                <w:lang w:val="en-AU" w:eastAsia="en-AU"/>
              </w:rPr>
            </w:pPr>
            <w:r w:rsidRPr="008D1918">
              <w:rPr>
                <w:sz w:val="20"/>
                <w:szCs w:val="20"/>
                <w:lang w:val="en-AU"/>
              </w:rPr>
              <w:t>6,128</w:t>
            </w:r>
          </w:p>
        </w:tc>
        <w:tc>
          <w:tcPr>
            <w:tcW w:w="1184" w:type="dxa"/>
            <w:vAlign w:val="center"/>
          </w:tcPr>
          <w:p w:rsidRPr="008D1918" w:rsidR="00DD0EA5" w:rsidP="000916EB" w:rsidRDefault="00DD0EA5" w14:paraId="23D07D23" w14:textId="77777777">
            <w:pPr>
              <w:keepNext/>
              <w:spacing w:before="60" w:after="60"/>
              <w:jc w:val="right"/>
              <w:rPr>
                <w:rFonts w:cs="Calibri"/>
                <w:sz w:val="20"/>
                <w:szCs w:val="20"/>
                <w:lang w:val="en-AU" w:eastAsia="en-US"/>
              </w:rPr>
            </w:pPr>
            <w:r w:rsidRPr="008D1918">
              <w:rPr>
                <w:sz w:val="20"/>
                <w:szCs w:val="20"/>
                <w:lang w:val="en-AU"/>
              </w:rPr>
              <w:t>6,191</w:t>
            </w:r>
          </w:p>
        </w:tc>
        <w:tc>
          <w:tcPr>
            <w:tcW w:w="1184" w:type="dxa"/>
            <w:vAlign w:val="center"/>
          </w:tcPr>
          <w:p w:rsidRPr="008D1918" w:rsidR="00DD0EA5" w:rsidP="000916EB" w:rsidRDefault="00DD0EA5" w14:paraId="105D7F4F" w14:textId="77777777">
            <w:pPr>
              <w:keepNext/>
              <w:spacing w:before="60" w:after="60"/>
              <w:jc w:val="right"/>
              <w:rPr>
                <w:rFonts w:cs="Calibri"/>
                <w:sz w:val="20"/>
                <w:szCs w:val="20"/>
                <w:lang w:val="en-AU"/>
              </w:rPr>
            </w:pPr>
            <w:r w:rsidRPr="008D1918">
              <w:rPr>
                <w:sz w:val="20"/>
                <w:szCs w:val="20"/>
                <w:lang w:val="en-AU"/>
              </w:rPr>
              <w:t>6,367</w:t>
            </w:r>
          </w:p>
        </w:tc>
      </w:tr>
      <w:tr w:rsidRPr="008D1918" w:rsidR="00DD0EA5" w:rsidTr="000916EB" w14:paraId="519FB0E7" w14:textId="77777777">
        <w:trPr>
          <w:trHeight w:val="397"/>
        </w:trPr>
        <w:tc>
          <w:tcPr>
            <w:tcW w:w="1985" w:type="dxa"/>
            <w:vAlign w:val="center"/>
          </w:tcPr>
          <w:p w:rsidRPr="008D1918" w:rsidR="00DD0EA5" w:rsidP="00A24ECC" w:rsidRDefault="00DD0EA5" w14:paraId="3A96B2A6" w14:textId="77777777">
            <w:pPr>
              <w:keepNext/>
              <w:spacing w:before="60" w:after="60"/>
              <w:rPr>
                <w:sz w:val="20"/>
                <w:szCs w:val="20"/>
                <w:lang w:val="en-AU"/>
              </w:rPr>
            </w:pPr>
            <w:r w:rsidRPr="008D1918">
              <w:rPr>
                <w:sz w:val="20"/>
                <w:szCs w:val="20"/>
                <w:lang w:val="en-AU"/>
              </w:rPr>
              <w:t>Remote</w:t>
            </w:r>
          </w:p>
        </w:tc>
        <w:tc>
          <w:tcPr>
            <w:tcW w:w="1184" w:type="dxa"/>
            <w:vAlign w:val="center"/>
          </w:tcPr>
          <w:p w:rsidRPr="008D1918" w:rsidR="00DD0EA5" w:rsidP="000916EB" w:rsidRDefault="00DD0EA5" w14:paraId="42504D5E" w14:textId="77777777">
            <w:pPr>
              <w:keepNext/>
              <w:spacing w:before="60" w:after="60"/>
              <w:jc w:val="right"/>
              <w:rPr>
                <w:sz w:val="20"/>
                <w:szCs w:val="20"/>
                <w:lang w:val="en-AU"/>
              </w:rPr>
            </w:pPr>
            <w:r w:rsidRPr="008D1918">
              <w:rPr>
                <w:sz w:val="20"/>
                <w:szCs w:val="20"/>
                <w:lang w:val="en-AU"/>
              </w:rPr>
              <w:t>160</w:t>
            </w:r>
          </w:p>
        </w:tc>
        <w:tc>
          <w:tcPr>
            <w:tcW w:w="1184" w:type="dxa"/>
            <w:vAlign w:val="center"/>
          </w:tcPr>
          <w:p w:rsidRPr="008D1918" w:rsidR="00DD0EA5" w:rsidP="000916EB" w:rsidRDefault="00DD0EA5" w14:paraId="1DB4D86E" w14:textId="77777777">
            <w:pPr>
              <w:keepNext/>
              <w:spacing w:before="60" w:after="60"/>
              <w:jc w:val="right"/>
              <w:rPr>
                <w:sz w:val="20"/>
                <w:szCs w:val="20"/>
                <w:lang w:val="en-AU"/>
              </w:rPr>
            </w:pPr>
            <w:r w:rsidRPr="008D1918">
              <w:rPr>
                <w:sz w:val="20"/>
                <w:szCs w:val="20"/>
                <w:lang w:val="en-AU"/>
              </w:rPr>
              <w:t>197</w:t>
            </w:r>
          </w:p>
        </w:tc>
        <w:tc>
          <w:tcPr>
            <w:tcW w:w="1184" w:type="dxa"/>
            <w:vAlign w:val="center"/>
          </w:tcPr>
          <w:p w:rsidRPr="008D1918" w:rsidR="00DD0EA5" w:rsidP="000916EB" w:rsidRDefault="00DD0EA5" w14:paraId="3DDFC02A" w14:textId="77777777">
            <w:pPr>
              <w:keepNext/>
              <w:spacing w:before="60" w:after="60"/>
              <w:jc w:val="right"/>
              <w:rPr>
                <w:sz w:val="20"/>
                <w:szCs w:val="20"/>
                <w:lang w:val="en-AU"/>
              </w:rPr>
            </w:pPr>
            <w:r w:rsidRPr="008D1918">
              <w:rPr>
                <w:sz w:val="20"/>
                <w:szCs w:val="20"/>
                <w:lang w:val="en-AU"/>
              </w:rPr>
              <w:t>298</w:t>
            </w:r>
          </w:p>
        </w:tc>
        <w:tc>
          <w:tcPr>
            <w:tcW w:w="1184" w:type="dxa"/>
            <w:vAlign w:val="center"/>
          </w:tcPr>
          <w:p w:rsidRPr="008D1918" w:rsidR="00DD0EA5" w:rsidP="000916EB" w:rsidRDefault="00DD0EA5" w14:paraId="4BDBDAAE" w14:textId="77777777">
            <w:pPr>
              <w:keepNext/>
              <w:spacing w:before="60" w:after="60"/>
              <w:jc w:val="right"/>
              <w:rPr>
                <w:sz w:val="20"/>
                <w:szCs w:val="20"/>
                <w:lang w:val="en-AU"/>
              </w:rPr>
            </w:pPr>
            <w:r w:rsidRPr="008D1918">
              <w:rPr>
                <w:sz w:val="20"/>
                <w:szCs w:val="20"/>
                <w:lang w:val="en-AU"/>
              </w:rPr>
              <w:t>329</w:t>
            </w:r>
          </w:p>
        </w:tc>
        <w:tc>
          <w:tcPr>
            <w:tcW w:w="1184" w:type="dxa"/>
            <w:vAlign w:val="center"/>
          </w:tcPr>
          <w:p w:rsidRPr="008D1918" w:rsidR="00DD0EA5" w:rsidP="000916EB" w:rsidRDefault="00DD0EA5" w14:paraId="4C6133BB" w14:textId="77777777">
            <w:pPr>
              <w:keepNext/>
              <w:spacing w:before="60" w:after="60"/>
              <w:jc w:val="right"/>
              <w:rPr>
                <w:sz w:val="20"/>
                <w:szCs w:val="20"/>
                <w:lang w:val="en-AU"/>
              </w:rPr>
            </w:pPr>
            <w:r w:rsidRPr="008D1918">
              <w:rPr>
                <w:sz w:val="20"/>
                <w:szCs w:val="20"/>
                <w:lang w:val="en-AU"/>
              </w:rPr>
              <w:t>253</w:t>
            </w:r>
          </w:p>
        </w:tc>
        <w:tc>
          <w:tcPr>
            <w:tcW w:w="1184" w:type="dxa"/>
            <w:vAlign w:val="center"/>
          </w:tcPr>
          <w:p w:rsidRPr="008D1918" w:rsidR="00DD0EA5" w:rsidP="000916EB" w:rsidRDefault="00DD0EA5" w14:paraId="480A63B3" w14:textId="77777777">
            <w:pPr>
              <w:keepNext/>
              <w:spacing w:before="60" w:after="60"/>
              <w:jc w:val="right"/>
              <w:rPr>
                <w:sz w:val="20"/>
                <w:szCs w:val="20"/>
                <w:lang w:val="en-AU"/>
              </w:rPr>
            </w:pPr>
            <w:r w:rsidRPr="008D1918">
              <w:rPr>
                <w:sz w:val="20"/>
                <w:szCs w:val="20"/>
                <w:lang w:val="en-AU"/>
              </w:rPr>
              <w:t>271</w:t>
            </w:r>
          </w:p>
        </w:tc>
      </w:tr>
      <w:tr w:rsidRPr="008D1918" w:rsidR="00A238C6" w:rsidTr="000916EB" w14:paraId="276C96C6" w14:textId="77777777">
        <w:trPr>
          <w:cnfStyle w:val="000000100000" w:firstRow="0" w:lastRow="0" w:firstColumn="0" w:lastColumn="0" w:oddVBand="0" w:evenVBand="0" w:oddHBand="1" w:evenHBand="0" w:firstRowFirstColumn="0" w:firstRowLastColumn="0" w:lastRowFirstColumn="0" w:lastRowLastColumn="0"/>
          <w:trHeight w:val="397"/>
        </w:trPr>
        <w:tc>
          <w:tcPr>
            <w:tcW w:w="1985" w:type="dxa"/>
            <w:vAlign w:val="center"/>
          </w:tcPr>
          <w:p w:rsidRPr="008D1918" w:rsidR="00DD0EA5" w:rsidP="00A24ECC" w:rsidRDefault="00DD0EA5" w14:paraId="765276D1" w14:textId="77777777">
            <w:pPr>
              <w:keepNext/>
              <w:spacing w:before="60" w:after="60"/>
              <w:rPr>
                <w:rFonts w:cs="Calibri"/>
                <w:sz w:val="20"/>
                <w:szCs w:val="20"/>
                <w:lang w:val="en-AU" w:eastAsia="en-AU"/>
              </w:rPr>
            </w:pPr>
            <w:r w:rsidRPr="008D1918">
              <w:rPr>
                <w:sz w:val="20"/>
                <w:szCs w:val="20"/>
                <w:lang w:val="en-AU"/>
              </w:rPr>
              <w:t>Very remote</w:t>
            </w:r>
          </w:p>
        </w:tc>
        <w:tc>
          <w:tcPr>
            <w:tcW w:w="1184" w:type="dxa"/>
            <w:vAlign w:val="center"/>
          </w:tcPr>
          <w:p w:rsidRPr="008D1918" w:rsidR="00DD0EA5" w:rsidP="000916EB" w:rsidRDefault="00DD0EA5" w14:paraId="54A51527" w14:textId="77777777">
            <w:pPr>
              <w:keepNext/>
              <w:spacing w:before="60" w:after="60"/>
              <w:jc w:val="right"/>
              <w:rPr>
                <w:rFonts w:cs="Calibri"/>
                <w:color w:val="000000" w:themeColor="accent6"/>
                <w:sz w:val="20"/>
                <w:szCs w:val="20"/>
                <w:lang w:val="en-AU" w:eastAsia="en-AU"/>
              </w:rPr>
            </w:pPr>
            <w:r w:rsidRPr="008D1918">
              <w:rPr>
                <w:sz w:val="20"/>
                <w:szCs w:val="20"/>
                <w:lang w:val="en-AU"/>
              </w:rPr>
              <w:t>80</w:t>
            </w:r>
          </w:p>
        </w:tc>
        <w:tc>
          <w:tcPr>
            <w:tcW w:w="1184" w:type="dxa"/>
            <w:vAlign w:val="center"/>
          </w:tcPr>
          <w:p w:rsidRPr="008D1918" w:rsidR="00DD0EA5" w:rsidP="000916EB" w:rsidRDefault="00DD0EA5" w14:paraId="5C29624A" w14:textId="77777777">
            <w:pPr>
              <w:keepNext/>
              <w:spacing w:before="60" w:after="60"/>
              <w:jc w:val="right"/>
              <w:rPr>
                <w:rFonts w:cs="Calibri"/>
                <w:color w:val="000000" w:themeColor="accent6"/>
                <w:sz w:val="20"/>
                <w:szCs w:val="20"/>
                <w:lang w:val="en-AU" w:eastAsia="en-AU"/>
              </w:rPr>
            </w:pPr>
            <w:r w:rsidRPr="008D1918">
              <w:rPr>
                <w:sz w:val="20"/>
                <w:szCs w:val="20"/>
                <w:lang w:val="en-AU"/>
              </w:rPr>
              <w:t>98</w:t>
            </w:r>
          </w:p>
        </w:tc>
        <w:tc>
          <w:tcPr>
            <w:tcW w:w="1184" w:type="dxa"/>
            <w:vAlign w:val="center"/>
          </w:tcPr>
          <w:p w:rsidRPr="008D1918" w:rsidR="00DD0EA5" w:rsidP="000916EB" w:rsidRDefault="00DD0EA5" w14:paraId="3AACAB04" w14:textId="77777777">
            <w:pPr>
              <w:keepNext/>
              <w:spacing w:before="60" w:after="60"/>
              <w:jc w:val="right"/>
              <w:rPr>
                <w:rFonts w:cs="Calibri"/>
                <w:color w:val="000000" w:themeColor="accent6"/>
                <w:sz w:val="20"/>
                <w:szCs w:val="20"/>
                <w:lang w:val="en-AU" w:eastAsia="en-AU"/>
              </w:rPr>
            </w:pPr>
            <w:r w:rsidRPr="008D1918">
              <w:rPr>
                <w:sz w:val="20"/>
                <w:szCs w:val="20"/>
                <w:lang w:val="en-AU"/>
              </w:rPr>
              <w:t>114</w:t>
            </w:r>
          </w:p>
        </w:tc>
        <w:tc>
          <w:tcPr>
            <w:tcW w:w="1184" w:type="dxa"/>
            <w:vAlign w:val="center"/>
          </w:tcPr>
          <w:p w:rsidRPr="008D1918" w:rsidR="00DD0EA5" w:rsidP="000916EB" w:rsidRDefault="00DD0EA5" w14:paraId="0D299525" w14:textId="77777777">
            <w:pPr>
              <w:keepNext/>
              <w:spacing w:before="60" w:after="60"/>
              <w:jc w:val="right"/>
              <w:rPr>
                <w:rFonts w:cs="Calibri"/>
                <w:color w:val="000000" w:themeColor="accent6"/>
                <w:sz w:val="20"/>
                <w:szCs w:val="20"/>
                <w:lang w:val="en-AU" w:eastAsia="en-AU"/>
              </w:rPr>
            </w:pPr>
            <w:r w:rsidRPr="008D1918">
              <w:rPr>
                <w:sz w:val="20"/>
                <w:szCs w:val="20"/>
                <w:lang w:val="en-AU"/>
              </w:rPr>
              <w:t>143</w:t>
            </w:r>
          </w:p>
        </w:tc>
        <w:tc>
          <w:tcPr>
            <w:tcW w:w="1184" w:type="dxa"/>
            <w:vAlign w:val="center"/>
          </w:tcPr>
          <w:p w:rsidRPr="008D1918" w:rsidR="00DD0EA5" w:rsidP="000916EB" w:rsidRDefault="00DD0EA5" w14:paraId="0F4B5402" w14:textId="77777777">
            <w:pPr>
              <w:keepNext/>
              <w:spacing w:before="60" w:after="60"/>
              <w:jc w:val="right"/>
              <w:rPr>
                <w:rFonts w:cs="Calibri"/>
                <w:sz w:val="20"/>
                <w:szCs w:val="20"/>
                <w:lang w:val="en-AU" w:eastAsia="en-US"/>
              </w:rPr>
            </w:pPr>
            <w:r w:rsidRPr="008D1918">
              <w:rPr>
                <w:sz w:val="20"/>
                <w:szCs w:val="20"/>
                <w:lang w:val="en-AU"/>
              </w:rPr>
              <w:t>158</w:t>
            </w:r>
          </w:p>
        </w:tc>
        <w:tc>
          <w:tcPr>
            <w:tcW w:w="1184" w:type="dxa"/>
            <w:vAlign w:val="center"/>
          </w:tcPr>
          <w:p w:rsidRPr="008D1918" w:rsidR="00DD0EA5" w:rsidP="000916EB" w:rsidRDefault="00DD0EA5" w14:paraId="57E2809B" w14:textId="77777777">
            <w:pPr>
              <w:keepNext/>
              <w:spacing w:before="60" w:after="60"/>
              <w:jc w:val="right"/>
              <w:rPr>
                <w:rFonts w:cs="Calibri"/>
                <w:sz w:val="20"/>
                <w:szCs w:val="20"/>
                <w:lang w:val="en-AU"/>
              </w:rPr>
            </w:pPr>
            <w:r w:rsidRPr="008D1918">
              <w:rPr>
                <w:sz w:val="20"/>
                <w:szCs w:val="20"/>
                <w:lang w:val="en-AU"/>
              </w:rPr>
              <w:t>155</w:t>
            </w:r>
          </w:p>
        </w:tc>
      </w:tr>
      <w:tr w:rsidRPr="008D1918" w:rsidR="00DD0EA5" w:rsidTr="000916EB" w14:paraId="463D6B3F" w14:textId="77777777">
        <w:trPr>
          <w:trHeight w:val="397"/>
        </w:trPr>
        <w:tc>
          <w:tcPr>
            <w:tcW w:w="1985" w:type="dxa"/>
            <w:vAlign w:val="center"/>
          </w:tcPr>
          <w:p w:rsidRPr="008D1918" w:rsidR="00DD0EA5" w:rsidP="00A24ECC" w:rsidRDefault="00DD0EA5" w14:paraId="0BE0E2F4" w14:textId="1D2BDC42">
            <w:pPr>
              <w:keepNext/>
              <w:spacing w:before="60" w:after="60"/>
              <w:rPr>
                <w:rFonts w:cs="Calibri"/>
                <w:b/>
                <w:bCs/>
                <w:sz w:val="20"/>
                <w:szCs w:val="20"/>
                <w:lang w:val="en-AU" w:eastAsia="en-AU"/>
              </w:rPr>
            </w:pPr>
            <w:r w:rsidRPr="008D1918">
              <w:rPr>
                <w:b/>
                <w:bCs/>
                <w:sz w:val="20"/>
                <w:szCs w:val="20"/>
                <w:lang w:val="en-AU"/>
              </w:rPr>
              <w:t xml:space="preserve">Total for </w:t>
            </w:r>
            <w:r w:rsidRPr="008D1918" w:rsidR="00BB2F1A">
              <w:rPr>
                <w:b/>
                <w:bCs/>
                <w:sz w:val="20"/>
                <w:szCs w:val="20"/>
                <w:lang w:val="en-AU"/>
              </w:rPr>
              <w:t>u</w:t>
            </w:r>
            <w:r w:rsidRPr="008D1918">
              <w:rPr>
                <w:b/>
                <w:bCs/>
                <w:sz w:val="20"/>
                <w:szCs w:val="20"/>
                <w:lang w:val="en-AU"/>
              </w:rPr>
              <w:t>nregistered</w:t>
            </w:r>
          </w:p>
        </w:tc>
        <w:tc>
          <w:tcPr>
            <w:tcW w:w="1184" w:type="dxa"/>
            <w:vAlign w:val="center"/>
          </w:tcPr>
          <w:p w:rsidRPr="008D1918" w:rsidR="00DD0EA5" w:rsidP="000916EB" w:rsidRDefault="00DD0EA5" w14:paraId="4D6F66E2" w14:textId="77777777">
            <w:pPr>
              <w:keepNext/>
              <w:spacing w:before="60" w:after="60"/>
              <w:jc w:val="right"/>
              <w:rPr>
                <w:rFonts w:cs="Calibri"/>
                <w:b/>
                <w:bCs/>
                <w:sz w:val="20"/>
                <w:szCs w:val="20"/>
                <w:lang w:val="en-AU"/>
              </w:rPr>
            </w:pPr>
            <w:r w:rsidRPr="008D1918">
              <w:rPr>
                <w:b/>
                <w:bCs/>
                <w:sz w:val="20"/>
                <w:szCs w:val="20"/>
                <w:lang w:val="en-AU"/>
              </w:rPr>
              <w:t>4,420</w:t>
            </w:r>
          </w:p>
        </w:tc>
        <w:tc>
          <w:tcPr>
            <w:tcW w:w="1184" w:type="dxa"/>
            <w:vAlign w:val="center"/>
          </w:tcPr>
          <w:p w:rsidRPr="008D1918" w:rsidR="00DD0EA5" w:rsidP="000916EB" w:rsidRDefault="00DD0EA5" w14:paraId="45CAC770" w14:textId="77777777">
            <w:pPr>
              <w:keepNext/>
              <w:spacing w:before="60" w:after="60"/>
              <w:jc w:val="right"/>
              <w:rPr>
                <w:rFonts w:cs="Calibri"/>
                <w:b/>
                <w:bCs/>
                <w:sz w:val="20"/>
                <w:szCs w:val="20"/>
                <w:lang w:val="en-AU"/>
              </w:rPr>
            </w:pPr>
            <w:r w:rsidRPr="008D1918">
              <w:rPr>
                <w:b/>
                <w:bCs/>
                <w:sz w:val="20"/>
                <w:szCs w:val="20"/>
                <w:lang w:val="en-AU"/>
              </w:rPr>
              <w:t>5,300</w:t>
            </w:r>
          </w:p>
        </w:tc>
        <w:tc>
          <w:tcPr>
            <w:tcW w:w="1184" w:type="dxa"/>
            <w:vAlign w:val="center"/>
          </w:tcPr>
          <w:p w:rsidRPr="008D1918" w:rsidR="00DD0EA5" w:rsidP="000916EB" w:rsidRDefault="00DD0EA5" w14:paraId="0F51FDA4" w14:textId="77777777">
            <w:pPr>
              <w:keepNext/>
              <w:spacing w:before="60" w:after="60"/>
              <w:jc w:val="right"/>
              <w:rPr>
                <w:rFonts w:cs="Calibri"/>
                <w:b/>
                <w:bCs/>
                <w:sz w:val="20"/>
                <w:szCs w:val="20"/>
                <w:lang w:val="en-AU"/>
              </w:rPr>
            </w:pPr>
            <w:r w:rsidRPr="008D1918">
              <w:rPr>
                <w:b/>
                <w:bCs/>
                <w:sz w:val="20"/>
                <w:szCs w:val="20"/>
                <w:lang w:val="en-AU"/>
              </w:rPr>
              <w:t>5,771</w:t>
            </w:r>
          </w:p>
        </w:tc>
        <w:tc>
          <w:tcPr>
            <w:tcW w:w="1184" w:type="dxa"/>
            <w:vAlign w:val="center"/>
          </w:tcPr>
          <w:p w:rsidRPr="008D1918" w:rsidR="00DD0EA5" w:rsidP="000916EB" w:rsidRDefault="00DD0EA5" w14:paraId="577C29E9" w14:textId="77777777">
            <w:pPr>
              <w:keepNext/>
              <w:spacing w:before="60" w:after="60"/>
              <w:jc w:val="right"/>
              <w:rPr>
                <w:rFonts w:cs="Calibri"/>
                <w:b/>
                <w:bCs/>
                <w:sz w:val="20"/>
                <w:szCs w:val="20"/>
                <w:lang w:val="en-AU"/>
              </w:rPr>
            </w:pPr>
            <w:r w:rsidRPr="008D1918">
              <w:rPr>
                <w:b/>
                <w:bCs/>
                <w:sz w:val="20"/>
                <w:szCs w:val="20"/>
                <w:lang w:val="en-AU"/>
              </w:rPr>
              <w:t>6,207</w:t>
            </w:r>
          </w:p>
        </w:tc>
        <w:tc>
          <w:tcPr>
            <w:tcW w:w="1184" w:type="dxa"/>
            <w:vAlign w:val="center"/>
          </w:tcPr>
          <w:p w:rsidRPr="008D1918" w:rsidR="00DD0EA5" w:rsidP="000916EB" w:rsidRDefault="00DD0EA5" w14:paraId="5160A55D" w14:textId="77777777">
            <w:pPr>
              <w:keepNext/>
              <w:spacing w:before="60" w:after="60"/>
              <w:jc w:val="right"/>
              <w:rPr>
                <w:rFonts w:cs="Calibri"/>
                <w:b/>
                <w:bCs/>
                <w:sz w:val="20"/>
                <w:szCs w:val="20"/>
                <w:lang w:val="en-AU"/>
              </w:rPr>
            </w:pPr>
            <w:r w:rsidRPr="008D1918">
              <w:rPr>
                <w:b/>
                <w:bCs/>
                <w:sz w:val="20"/>
                <w:szCs w:val="20"/>
                <w:lang w:val="en-AU"/>
              </w:rPr>
              <w:t>6,258</w:t>
            </w:r>
          </w:p>
        </w:tc>
        <w:tc>
          <w:tcPr>
            <w:tcW w:w="1184" w:type="dxa"/>
            <w:vAlign w:val="center"/>
          </w:tcPr>
          <w:p w:rsidRPr="008D1918" w:rsidR="00DD0EA5" w:rsidP="000916EB" w:rsidRDefault="00DD0EA5" w14:paraId="03B4B2D6" w14:textId="77777777">
            <w:pPr>
              <w:keepNext/>
              <w:spacing w:before="60" w:after="60"/>
              <w:jc w:val="right"/>
              <w:rPr>
                <w:rFonts w:cs="Calibri"/>
                <w:b/>
                <w:bCs/>
                <w:sz w:val="20"/>
                <w:szCs w:val="20"/>
                <w:lang w:val="en-AU"/>
              </w:rPr>
            </w:pPr>
            <w:r w:rsidRPr="008D1918">
              <w:rPr>
                <w:b/>
                <w:bCs/>
                <w:sz w:val="20"/>
                <w:szCs w:val="20"/>
                <w:lang w:val="en-AU"/>
              </w:rPr>
              <w:t>6,428</w:t>
            </w:r>
          </w:p>
        </w:tc>
      </w:tr>
    </w:tbl>
    <w:p w:rsidRPr="008D1918" w:rsidR="00DD0EA5" w:rsidRDefault="00DD0EA5" w14:paraId="3D482FDF"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DD0EA5" w:rsidP="00CC1BF5" w:rsidRDefault="00DD0EA5" w14:paraId="15614BA4" w14:textId="7D4D0689">
      <w:pPr>
        <w:spacing w:before="120" w:after="360" w:line="240" w:lineRule="atLeast"/>
        <w:rPr>
          <w:rFonts w:eastAsia="DengXian" w:cs="Calibri"/>
          <w:sz w:val="20"/>
          <w:szCs w:val="20"/>
          <w:lang w:val="en-AU"/>
        </w:rPr>
      </w:pPr>
      <w:r w:rsidRPr="008D1918">
        <w:rPr>
          <w:rFonts w:eastAsia="DengXian" w:cs="Calibri"/>
          <w:sz w:val="20"/>
          <w:szCs w:val="20"/>
          <w:lang w:val="en-AU"/>
        </w:rPr>
        <w:t xml:space="preserve">Note: The totals for registered and unregistered support coordination providers across different remoteness may not match the overall active provider count due to </w:t>
      </w:r>
      <w:r w:rsidRPr="008D1918" w:rsidR="00FD4ECE">
        <w:rPr>
          <w:rFonts w:eastAsia="DengXian" w:cs="Calibri"/>
          <w:sz w:val="20"/>
          <w:szCs w:val="20"/>
          <w:lang w:val="en-AU"/>
        </w:rPr>
        <w:t xml:space="preserve">2 </w:t>
      </w:r>
      <w:r w:rsidRPr="008D1918">
        <w:rPr>
          <w:rFonts w:eastAsia="DengXian" w:cs="Calibri"/>
          <w:sz w:val="20"/>
          <w:szCs w:val="20"/>
          <w:lang w:val="en-AU"/>
        </w:rPr>
        <w:t>factors: 1) Some providers offer both registered and unregistered supports within the same period, 2) A small fraction of providers with unspecified registration status are included in the total count but not detailed in the table.</w:t>
      </w:r>
    </w:p>
    <w:p w:rsidRPr="008D1918" w:rsidR="00DD0EA5" w:rsidP="00041468" w:rsidRDefault="00DD0EA5" w14:paraId="509F8CF2" w14:textId="77777777">
      <w:pPr>
        <w:pStyle w:val="StyleStyle112pt"/>
      </w:pPr>
      <w:bookmarkStart w:name="_Toc195099188" w:id="1567"/>
      <w:bookmarkStart w:name="_Toc200103562" w:id="1568"/>
      <w:bookmarkStart w:name="_Toc200271674" w:id="1569"/>
      <w:bookmarkStart w:name="_Toc223345419" w:id="1570"/>
      <w:bookmarkStart w:name="_Toc223428494" w:id="1571"/>
      <w:bookmarkStart w:name="_Toc223445962" w:id="1572"/>
      <w:bookmarkStart w:name="_Toc223539734" w:id="1573"/>
      <w:bookmarkStart w:name="_Toc223539947" w:id="1574"/>
      <w:bookmarkStart w:name="_Toc223540415" w:id="1575"/>
      <w:bookmarkStart w:name="_Toc223540631" w:id="1576"/>
      <w:bookmarkStart w:name="_Toc223542171" w:id="1577"/>
      <w:bookmarkStart w:name="_Toc223604357" w:id="1578"/>
      <w:bookmarkStart w:name="_Toc223604568" w:id="1579"/>
      <w:bookmarkStart w:name="_Toc223604796" w:id="1580"/>
      <w:bookmarkStart w:name="_Toc223618653" w:id="1581"/>
      <w:bookmarkStart w:name="_Toc223702883" w:id="1582"/>
      <w:bookmarkStart w:name="_Toc227318769" w:id="1583"/>
      <w:bookmarkStart w:name="_Toc227337137" w:id="1584"/>
      <w:bookmarkEnd w:id="1563"/>
      <w:r w:rsidRPr="008D1918">
        <w:t xml:space="preserve">Market </w:t>
      </w:r>
      <w:bookmarkEnd w:id="1567"/>
      <w:bookmarkEnd w:id="1568"/>
      <w:bookmarkEnd w:id="1569"/>
      <w:r w:rsidRPr="008D1918">
        <w:t>composition</w:t>
      </w:r>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rsidRPr="008D1918" w:rsidR="00DD0EA5" w:rsidRDefault="00DD0EA5" w14:paraId="13EF0CDD" w14:textId="2C100A5C">
      <w:pPr>
        <w:rPr>
          <w:lang w:val="en-AU"/>
        </w:rPr>
      </w:pPr>
      <w:r w:rsidRPr="008D1918">
        <w:rPr>
          <w:lang w:val="en-AU"/>
        </w:rPr>
        <w:t xml:space="preserve">Companies claimed $489 million in payments in the </w:t>
      </w:r>
      <w:r w:rsidRPr="008D1918" w:rsidR="00AF498E">
        <w:rPr>
          <w:lang w:val="en-AU"/>
        </w:rPr>
        <w:t xml:space="preserve">6 </w:t>
      </w:r>
      <w:r w:rsidRPr="008D1918">
        <w:rPr>
          <w:lang w:val="en-AU"/>
        </w:rPr>
        <w:t>months to December 2025, with an average claim of $79,100 per provider, continuing to account for the largest share of market value (</w:t>
      </w:r>
      <w:r w:rsidRPr="008D1918" w:rsidR="001F5018">
        <w:rPr>
          <w:lang w:val="en-AU"/>
        </w:rPr>
        <w:fldChar w:fldCharType="begin"/>
      </w:r>
      <w:r w:rsidRPr="008D1918" w:rsidR="001F5018">
        <w:rPr>
          <w:lang w:val="en-AU"/>
        </w:rPr>
        <w:instrText xml:space="preserve"> REF _Ref223691877 \h </w:instrText>
      </w:r>
      <w:r w:rsidRPr="008D1918" w:rsidR="00762DF8">
        <w:rPr>
          <w:lang w:val="en-AU"/>
        </w:rPr>
        <w:instrText xml:space="preserve"> \* MERGEFORMAT </w:instrText>
      </w:r>
      <w:r w:rsidRPr="008D1918" w:rsidR="001F5018">
        <w:rPr>
          <w:lang w:val="en-AU"/>
        </w:rPr>
      </w:r>
      <w:r w:rsidRPr="008D1918" w:rsidR="001F5018">
        <w:rPr>
          <w:lang w:val="en-AU"/>
        </w:rPr>
        <w:fldChar w:fldCharType="separate"/>
      </w:r>
      <w:r w:rsidRPr="008F56A2" w:rsidR="008F56A2">
        <w:rPr>
          <w:lang w:val="en-AU"/>
        </w:rPr>
        <w:t>Table</w:t>
      </w:r>
      <w:r w:rsidRPr="008D1918" w:rsidR="008F56A2">
        <w:t xml:space="preserve"> </w:t>
      </w:r>
      <w:r w:rsidR="008F56A2">
        <w:rPr>
          <w:noProof/>
        </w:rPr>
        <w:t>31</w:t>
      </w:r>
      <w:r w:rsidRPr="008D1918" w:rsidR="001F5018">
        <w:rPr>
          <w:lang w:val="en-AU"/>
        </w:rPr>
        <w:fldChar w:fldCharType="end"/>
      </w:r>
      <w:r w:rsidRPr="008D1918">
        <w:rPr>
          <w:lang w:val="en-AU"/>
        </w:rPr>
        <w:t xml:space="preserve">). While sole traders represented the largest cohort by provider count, with 4,147 active providers, they claimed $82 million, representing 13% of total payments. </w:t>
      </w:r>
      <w:r w:rsidRPr="008D1918" w:rsidR="00216120">
        <w:rPr>
          <w:lang w:val="en-AU"/>
        </w:rPr>
        <w:t>C</w:t>
      </w:r>
      <w:r w:rsidRPr="008D1918">
        <w:rPr>
          <w:lang w:val="en-AU"/>
        </w:rPr>
        <w:t xml:space="preserve">ompanies claimed approximately </w:t>
      </w:r>
      <w:r w:rsidRPr="008D1918" w:rsidR="00AF498E">
        <w:rPr>
          <w:lang w:val="en-AU"/>
        </w:rPr>
        <w:t xml:space="preserve">6 </w:t>
      </w:r>
      <w:r w:rsidRPr="008D1918">
        <w:rPr>
          <w:lang w:val="en-AU"/>
        </w:rPr>
        <w:t xml:space="preserve">times the total value of payments compared to sole traders, with their average claim </w:t>
      </w:r>
      <w:r w:rsidRPr="008D1918" w:rsidR="00186248">
        <w:rPr>
          <w:lang w:val="en-AU"/>
        </w:rPr>
        <w:t xml:space="preserve">4 </w:t>
      </w:r>
      <w:r w:rsidRPr="008D1918">
        <w:rPr>
          <w:lang w:val="en-AU"/>
        </w:rPr>
        <w:t>times higher than the $19,800 average for sole traders (</w:t>
      </w:r>
      <w:r w:rsidRPr="008D1918" w:rsidR="001F5018">
        <w:rPr>
          <w:lang w:val="en-AU"/>
        </w:rPr>
        <w:fldChar w:fldCharType="begin"/>
      </w:r>
      <w:r w:rsidRPr="008D1918" w:rsidR="001F5018">
        <w:rPr>
          <w:lang w:val="en-AU"/>
        </w:rPr>
        <w:instrText xml:space="preserve"> REF _Ref223691877 \h </w:instrText>
      </w:r>
      <w:r w:rsidRPr="008D1918" w:rsidR="00762DF8">
        <w:rPr>
          <w:lang w:val="en-AU"/>
        </w:rPr>
        <w:instrText xml:space="preserve"> \* MERGEFORMAT </w:instrText>
      </w:r>
      <w:r w:rsidRPr="008D1918" w:rsidR="001F5018">
        <w:rPr>
          <w:lang w:val="en-AU"/>
        </w:rPr>
      </w:r>
      <w:r w:rsidRPr="008D1918" w:rsidR="001F5018">
        <w:rPr>
          <w:lang w:val="en-AU"/>
        </w:rPr>
        <w:fldChar w:fldCharType="separate"/>
      </w:r>
      <w:r w:rsidRPr="008F56A2" w:rsidR="008F56A2">
        <w:rPr>
          <w:lang w:val="en-AU"/>
        </w:rPr>
        <w:t>Table</w:t>
      </w:r>
      <w:r w:rsidRPr="008D1918" w:rsidR="008F56A2">
        <w:t xml:space="preserve"> </w:t>
      </w:r>
      <w:r w:rsidR="008F56A2">
        <w:rPr>
          <w:noProof/>
        </w:rPr>
        <w:t>31</w:t>
      </w:r>
      <w:r w:rsidRPr="008D1918" w:rsidR="001F5018">
        <w:rPr>
          <w:lang w:val="en-AU"/>
        </w:rPr>
        <w:fldChar w:fldCharType="end"/>
      </w:r>
      <w:r w:rsidRPr="008D1918">
        <w:rPr>
          <w:lang w:val="en-AU"/>
        </w:rPr>
        <w:t>). This structural difference in entity type is further highlighted by the breakdown of registered providers, which is dominated by corporate entities (</w:t>
      </w:r>
      <w:r w:rsidRPr="008D1918" w:rsidR="006F206B">
        <w:rPr>
          <w:lang w:val="en-AU"/>
        </w:rPr>
        <w:fldChar w:fldCharType="begin"/>
      </w:r>
      <w:r w:rsidRPr="008D1918" w:rsidR="006F206B">
        <w:rPr>
          <w:lang w:val="en-AU"/>
        </w:rPr>
        <w:instrText xml:space="preserve"> REF _Ref223625828 \h </w:instrText>
      </w:r>
      <w:r w:rsidR="008D1918">
        <w:rPr>
          <w:lang w:val="en-AU"/>
        </w:rPr>
        <w:instrText xml:space="preserve"> \* MERGEFORMAT </w:instrText>
      </w:r>
      <w:r w:rsidRPr="008D1918" w:rsidR="006F206B">
        <w:rPr>
          <w:lang w:val="en-AU"/>
        </w:rPr>
      </w:r>
      <w:r w:rsidRPr="008D1918" w:rsidR="006F206B">
        <w:rPr>
          <w:lang w:val="en-AU"/>
        </w:rPr>
        <w:fldChar w:fldCharType="separate"/>
      </w:r>
      <w:r w:rsidRPr="008D1918" w:rsidR="008F56A2">
        <w:t xml:space="preserve">Figure </w:t>
      </w:r>
      <w:r w:rsidR="008F56A2">
        <w:rPr>
          <w:noProof/>
        </w:rPr>
        <w:t>36</w:t>
      </w:r>
      <w:r w:rsidRPr="008D1918" w:rsidR="006F206B">
        <w:rPr>
          <w:lang w:val="en-AU"/>
        </w:rPr>
        <w:fldChar w:fldCharType="end"/>
      </w:r>
      <w:r w:rsidRPr="008D1918">
        <w:rPr>
          <w:lang w:val="en-AU"/>
        </w:rPr>
        <w:t>). Unregistered providers are dominated by other entity types (</w:t>
      </w:r>
      <w:r w:rsidRPr="008D1918" w:rsidR="006F206B">
        <w:rPr>
          <w:lang w:val="en-AU"/>
        </w:rPr>
        <w:fldChar w:fldCharType="begin"/>
      </w:r>
      <w:r w:rsidRPr="008D1918" w:rsidR="006F206B">
        <w:rPr>
          <w:lang w:val="en-AU"/>
        </w:rPr>
        <w:instrText xml:space="preserve"> REF _Ref223625858 \h </w:instrText>
      </w:r>
      <w:r w:rsidR="008D1918">
        <w:rPr>
          <w:lang w:val="en-AU"/>
        </w:rPr>
        <w:instrText xml:space="preserve"> \* MERGEFORMAT </w:instrText>
      </w:r>
      <w:r w:rsidRPr="008D1918" w:rsidR="006F206B">
        <w:rPr>
          <w:lang w:val="en-AU"/>
        </w:rPr>
      </w:r>
      <w:r w:rsidRPr="008D1918" w:rsidR="006F206B">
        <w:rPr>
          <w:lang w:val="en-AU"/>
        </w:rPr>
        <w:fldChar w:fldCharType="separate"/>
      </w:r>
      <w:r w:rsidRPr="008D1918" w:rsidR="008F56A2">
        <w:t xml:space="preserve">Figure </w:t>
      </w:r>
      <w:r w:rsidR="008F56A2">
        <w:rPr>
          <w:noProof/>
        </w:rPr>
        <w:t>37</w:t>
      </w:r>
      <w:r w:rsidRPr="008D1918" w:rsidR="006F206B">
        <w:rPr>
          <w:lang w:val="en-AU"/>
        </w:rPr>
        <w:fldChar w:fldCharType="end"/>
      </w:r>
      <w:r w:rsidRPr="008D1918">
        <w:rPr>
          <w:lang w:val="en-AU"/>
        </w:rPr>
        <w:t>).</w:t>
      </w:r>
    </w:p>
    <w:p w:rsidRPr="008D1918" w:rsidR="00DD0EA5" w:rsidP="001F5018" w:rsidRDefault="001F5018" w14:paraId="54CD31CE" w14:textId="7614DAED">
      <w:pPr>
        <w:pStyle w:val="Caption"/>
      </w:pPr>
      <w:bookmarkStart w:name="_Ref223691877" w:id="1585"/>
      <w:r w:rsidRPr="008D1918">
        <w:t xml:space="preserve">Table </w:t>
      </w:r>
      <w:r>
        <w:fldChar w:fldCharType="begin"/>
      </w:r>
      <w:r>
        <w:instrText>SEQ Table \* ARABIC</w:instrText>
      </w:r>
      <w:r>
        <w:fldChar w:fldCharType="separate"/>
      </w:r>
      <w:r w:rsidR="008F56A2">
        <w:rPr>
          <w:noProof/>
        </w:rPr>
        <w:t>31</w:t>
      </w:r>
      <w:r>
        <w:fldChar w:fldCharType="end"/>
      </w:r>
      <w:bookmarkEnd w:id="1585"/>
      <w:r w:rsidRPr="008D1918" w:rsidR="00DD0EA5">
        <w:t xml:space="preserve">: Support coordination supports </w:t>
      </w:r>
      <w:r w:rsidRPr="008D1918" w:rsidR="00D0386B">
        <w:t>S</w:t>
      </w:r>
      <w:r w:rsidRPr="008D1918" w:rsidR="00DD0EA5">
        <w:t>cheme statistics by legal entity type, July to December 2025</w:t>
      </w:r>
    </w:p>
    <w:tbl>
      <w:tblPr>
        <w:tblStyle w:val="GridTable4-Accent121"/>
        <w:tblW w:w="0" w:type="auto"/>
        <w:tblInd w:w="-5" w:type="dxa"/>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2835"/>
        <w:gridCol w:w="1134"/>
        <w:gridCol w:w="1418"/>
        <w:gridCol w:w="1418"/>
        <w:gridCol w:w="1077"/>
        <w:gridCol w:w="1077"/>
      </w:tblGrid>
      <w:tr w:rsidRPr="008D1918" w:rsidR="00A238C6" w:rsidTr="0030446C" w14:paraId="11B29554"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2835" w:type="dxa"/>
            <w:vAlign w:val="center"/>
          </w:tcPr>
          <w:p w:rsidRPr="008D1918" w:rsidR="00DD0EA5" w:rsidP="00D1612B" w:rsidRDefault="00DD0EA5" w14:paraId="5EFC9C87" w14:textId="77777777">
            <w:pPr>
              <w:keepNext/>
              <w:spacing w:before="60" w:after="60"/>
              <w:rPr>
                <w:rFonts w:cs="Arial"/>
                <w:sz w:val="20"/>
                <w:szCs w:val="20"/>
                <w:lang w:val="en-AU" w:eastAsia="en-AU"/>
              </w:rPr>
            </w:pPr>
            <w:r w:rsidRPr="008D1918">
              <w:rPr>
                <w:sz w:val="20"/>
                <w:szCs w:val="20"/>
                <w:lang w:val="en-AU"/>
              </w:rPr>
              <w:t>Statistics</w:t>
            </w:r>
          </w:p>
        </w:tc>
        <w:tc>
          <w:tcPr>
            <w:tcW w:w="1134" w:type="dxa"/>
            <w:vAlign w:val="center"/>
          </w:tcPr>
          <w:p w:rsidRPr="008D1918" w:rsidR="00DD0EA5" w:rsidP="00D1612B" w:rsidRDefault="00DD0EA5" w14:paraId="1C0DC814" w14:textId="77777777">
            <w:pPr>
              <w:keepNext/>
              <w:spacing w:before="60" w:after="60"/>
              <w:jc w:val="right"/>
              <w:rPr>
                <w:rFonts w:cs="Arial"/>
                <w:sz w:val="20"/>
                <w:szCs w:val="20"/>
                <w:lang w:val="en-AU" w:eastAsia="en-AU"/>
              </w:rPr>
            </w:pPr>
            <w:r w:rsidRPr="008D1918">
              <w:rPr>
                <w:sz w:val="20"/>
                <w:szCs w:val="20"/>
                <w:lang w:val="en-AU"/>
              </w:rPr>
              <w:t>Company</w:t>
            </w:r>
          </w:p>
        </w:tc>
        <w:tc>
          <w:tcPr>
            <w:tcW w:w="1418" w:type="dxa"/>
          </w:tcPr>
          <w:p w:rsidRPr="008D1918" w:rsidR="00DD0EA5" w:rsidP="00BD56AB" w:rsidRDefault="00DD0EA5" w14:paraId="57C1635B" w14:textId="44222265">
            <w:pPr>
              <w:keepNext/>
              <w:spacing w:before="60" w:after="60"/>
              <w:jc w:val="right"/>
              <w:rPr>
                <w:rFonts w:cs="Arial"/>
                <w:sz w:val="20"/>
                <w:szCs w:val="20"/>
                <w:lang w:val="en-AU" w:eastAsia="en-AU"/>
              </w:rPr>
            </w:pPr>
            <w:r w:rsidRPr="008D1918">
              <w:rPr>
                <w:sz w:val="20"/>
                <w:szCs w:val="20"/>
                <w:lang w:val="en-AU"/>
              </w:rPr>
              <w:t xml:space="preserve">Government </w:t>
            </w:r>
            <w:r w:rsidRPr="008D1918" w:rsidR="00D1612B">
              <w:rPr>
                <w:sz w:val="20"/>
                <w:szCs w:val="20"/>
                <w:lang w:val="en-AU"/>
              </w:rPr>
              <w:t>e</w:t>
            </w:r>
            <w:r w:rsidRPr="008D1918">
              <w:rPr>
                <w:sz w:val="20"/>
                <w:szCs w:val="20"/>
                <w:lang w:val="en-AU"/>
              </w:rPr>
              <w:t>ntity</w:t>
            </w:r>
          </w:p>
        </w:tc>
        <w:tc>
          <w:tcPr>
            <w:tcW w:w="1418" w:type="dxa"/>
          </w:tcPr>
          <w:p w:rsidRPr="008D1918" w:rsidR="00DD0EA5" w:rsidP="00BD56AB" w:rsidRDefault="00DD0EA5" w14:paraId="310D8DD3" w14:textId="6EA0E8FC">
            <w:pPr>
              <w:keepNext/>
              <w:spacing w:before="60" w:after="60"/>
              <w:jc w:val="right"/>
              <w:rPr>
                <w:rFonts w:cs="Arial"/>
                <w:sz w:val="20"/>
                <w:szCs w:val="20"/>
                <w:lang w:val="en-AU" w:eastAsia="en-AU"/>
              </w:rPr>
            </w:pPr>
            <w:r w:rsidRPr="008D1918">
              <w:rPr>
                <w:sz w:val="20"/>
                <w:szCs w:val="20"/>
                <w:lang w:val="en-AU"/>
              </w:rPr>
              <w:t>Partnership (</w:t>
            </w:r>
            <w:r w:rsidRPr="008D1918" w:rsidR="00D1612B">
              <w:rPr>
                <w:sz w:val="20"/>
                <w:szCs w:val="20"/>
                <w:lang w:val="en-AU"/>
              </w:rPr>
              <w:t>o</w:t>
            </w:r>
            <w:r w:rsidRPr="008D1918">
              <w:rPr>
                <w:sz w:val="20"/>
                <w:szCs w:val="20"/>
                <w:lang w:val="en-AU"/>
              </w:rPr>
              <w:t>ther)</w:t>
            </w:r>
          </w:p>
        </w:tc>
        <w:tc>
          <w:tcPr>
            <w:tcW w:w="1077" w:type="dxa"/>
          </w:tcPr>
          <w:p w:rsidRPr="008D1918" w:rsidR="00DD0EA5" w:rsidP="00BD56AB" w:rsidRDefault="00DD0EA5" w14:paraId="7006A37A" w14:textId="64070918">
            <w:pPr>
              <w:keepNext/>
              <w:spacing w:before="60" w:after="60"/>
              <w:jc w:val="right"/>
              <w:rPr>
                <w:rFonts w:cs="Arial"/>
                <w:sz w:val="20"/>
                <w:szCs w:val="20"/>
                <w:lang w:val="en-AU" w:eastAsia="en-AU"/>
              </w:rPr>
            </w:pPr>
            <w:r w:rsidRPr="008D1918">
              <w:rPr>
                <w:sz w:val="20"/>
                <w:szCs w:val="20"/>
                <w:lang w:val="en-AU"/>
              </w:rPr>
              <w:t xml:space="preserve">Trust / </w:t>
            </w:r>
            <w:r w:rsidRPr="008D1918" w:rsidR="00D1612B">
              <w:rPr>
                <w:sz w:val="20"/>
                <w:szCs w:val="20"/>
                <w:lang w:val="en-AU"/>
              </w:rPr>
              <w:t>s</w:t>
            </w:r>
            <w:r w:rsidRPr="008D1918">
              <w:rPr>
                <w:sz w:val="20"/>
                <w:szCs w:val="20"/>
                <w:lang w:val="en-AU"/>
              </w:rPr>
              <w:t>uper</w:t>
            </w:r>
          </w:p>
        </w:tc>
        <w:tc>
          <w:tcPr>
            <w:tcW w:w="1077" w:type="dxa"/>
          </w:tcPr>
          <w:p w:rsidRPr="008D1918" w:rsidR="00DD0EA5" w:rsidP="00BD56AB" w:rsidRDefault="00DD0EA5" w14:paraId="49BA78A1" w14:textId="532CFAE1">
            <w:pPr>
              <w:keepNext/>
              <w:spacing w:before="60" w:after="60"/>
              <w:jc w:val="right"/>
              <w:rPr>
                <w:rFonts w:cs="Arial"/>
                <w:sz w:val="20"/>
                <w:szCs w:val="20"/>
                <w:lang w:val="en-AU" w:eastAsia="en-AU"/>
              </w:rPr>
            </w:pPr>
            <w:r w:rsidRPr="008D1918">
              <w:rPr>
                <w:sz w:val="20"/>
                <w:szCs w:val="20"/>
                <w:lang w:val="en-AU"/>
              </w:rPr>
              <w:t xml:space="preserve">Sole </w:t>
            </w:r>
            <w:r w:rsidRPr="008D1918" w:rsidR="00D1612B">
              <w:rPr>
                <w:sz w:val="20"/>
                <w:szCs w:val="20"/>
                <w:lang w:val="en-AU"/>
              </w:rPr>
              <w:t>t</w:t>
            </w:r>
            <w:r w:rsidRPr="008D1918">
              <w:rPr>
                <w:sz w:val="20"/>
                <w:szCs w:val="20"/>
                <w:lang w:val="en-AU"/>
              </w:rPr>
              <w:t>rader</w:t>
            </w:r>
          </w:p>
        </w:tc>
      </w:tr>
      <w:tr w:rsidRPr="008D1918" w:rsidR="00173A73" w:rsidTr="0030446C" w14:paraId="41311F4C" w14:textId="77777777">
        <w:trPr>
          <w:cnfStyle w:val="000000100000" w:firstRow="0" w:lastRow="0" w:firstColumn="0" w:lastColumn="0" w:oddVBand="0" w:evenVBand="0" w:oddHBand="1" w:evenHBand="0" w:firstRowFirstColumn="0" w:firstRowLastColumn="0" w:lastRowFirstColumn="0" w:lastRowLastColumn="0"/>
          <w:trHeight w:val="397"/>
        </w:trPr>
        <w:tc>
          <w:tcPr>
            <w:tcW w:w="2835" w:type="dxa"/>
            <w:vAlign w:val="center"/>
          </w:tcPr>
          <w:p w:rsidRPr="008D1918" w:rsidR="00DD0EA5" w:rsidP="00314FCE" w:rsidRDefault="00DD0EA5" w14:paraId="0B176D05" w14:textId="77777777">
            <w:pPr>
              <w:keepNext/>
              <w:spacing w:before="60" w:after="60"/>
              <w:rPr>
                <w:rFonts w:cs="Arial"/>
                <w:sz w:val="20"/>
                <w:szCs w:val="20"/>
                <w:lang w:val="en-AU" w:eastAsia="en-AU"/>
              </w:rPr>
            </w:pPr>
            <w:r w:rsidRPr="008D1918">
              <w:rPr>
                <w:sz w:val="20"/>
                <w:szCs w:val="20"/>
                <w:lang w:val="en-AU"/>
              </w:rPr>
              <w:t>Number of NDIS participants</w:t>
            </w:r>
          </w:p>
        </w:tc>
        <w:tc>
          <w:tcPr>
            <w:tcW w:w="1134" w:type="dxa"/>
            <w:vAlign w:val="center"/>
          </w:tcPr>
          <w:p w:rsidRPr="008D1918" w:rsidR="00DD0EA5" w:rsidP="00BD56AB" w:rsidRDefault="00DD0EA5" w14:paraId="1CBE0075" w14:textId="77777777">
            <w:pPr>
              <w:keepNext/>
              <w:spacing w:before="60" w:after="60"/>
              <w:jc w:val="right"/>
              <w:rPr>
                <w:rFonts w:cs="Arial"/>
                <w:color w:val="000000" w:themeColor="accent6"/>
                <w:sz w:val="20"/>
                <w:szCs w:val="20"/>
                <w:lang w:val="en-AU" w:eastAsia="en-AU"/>
              </w:rPr>
            </w:pPr>
            <w:r w:rsidRPr="008D1918">
              <w:rPr>
                <w:sz w:val="20"/>
                <w:szCs w:val="20"/>
                <w:lang w:val="en-AU"/>
              </w:rPr>
              <w:t>237,344</w:t>
            </w:r>
          </w:p>
        </w:tc>
        <w:tc>
          <w:tcPr>
            <w:tcW w:w="1418" w:type="dxa"/>
            <w:vAlign w:val="center"/>
          </w:tcPr>
          <w:p w:rsidRPr="008D1918" w:rsidR="00DD0EA5" w:rsidP="00BD56AB" w:rsidRDefault="00DD0EA5" w14:paraId="40243F5A" w14:textId="77777777">
            <w:pPr>
              <w:keepNext/>
              <w:spacing w:before="60" w:after="60"/>
              <w:jc w:val="right"/>
              <w:rPr>
                <w:rFonts w:cs="Arial"/>
                <w:color w:val="000000" w:themeColor="accent6"/>
                <w:sz w:val="20"/>
                <w:szCs w:val="20"/>
                <w:lang w:val="en-AU" w:eastAsia="en-AU"/>
              </w:rPr>
            </w:pPr>
            <w:r w:rsidRPr="008D1918">
              <w:rPr>
                <w:sz w:val="20"/>
                <w:szCs w:val="20"/>
                <w:lang w:val="en-AU"/>
              </w:rPr>
              <w:t>989</w:t>
            </w:r>
          </w:p>
        </w:tc>
        <w:tc>
          <w:tcPr>
            <w:tcW w:w="1418" w:type="dxa"/>
            <w:vAlign w:val="center"/>
          </w:tcPr>
          <w:p w:rsidRPr="008D1918" w:rsidR="00DD0EA5" w:rsidP="00BD56AB" w:rsidRDefault="00DD0EA5" w14:paraId="499F3809" w14:textId="77777777">
            <w:pPr>
              <w:keepNext/>
              <w:spacing w:before="60" w:after="60"/>
              <w:jc w:val="right"/>
              <w:rPr>
                <w:rFonts w:cs="Arial"/>
                <w:color w:val="000000" w:themeColor="accent6"/>
                <w:sz w:val="20"/>
                <w:szCs w:val="20"/>
                <w:lang w:val="en-AU" w:eastAsia="en-AU"/>
              </w:rPr>
            </w:pPr>
            <w:r w:rsidRPr="008D1918">
              <w:rPr>
                <w:sz w:val="20"/>
                <w:szCs w:val="20"/>
                <w:lang w:val="en-AU"/>
              </w:rPr>
              <w:t>5,024</w:t>
            </w:r>
          </w:p>
        </w:tc>
        <w:tc>
          <w:tcPr>
            <w:tcW w:w="1077" w:type="dxa"/>
            <w:vAlign w:val="center"/>
          </w:tcPr>
          <w:p w:rsidRPr="008D1918" w:rsidR="00DD0EA5" w:rsidP="00BD56AB" w:rsidRDefault="00DD0EA5" w14:paraId="7C359106" w14:textId="77777777">
            <w:pPr>
              <w:keepNext/>
              <w:spacing w:before="60" w:after="60"/>
              <w:jc w:val="right"/>
              <w:rPr>
                <w:rFonts w:cs="Arial"/>
                <w:color w:val="000000" w:themeColor="accent6"/>
                <w:sz w:val="20"/>
                <w:szCs w:val="20"/>
                <w:lang w:val="en-AU" w:eastAsia="en-AU"/>
              </w:rPr>
            </w:pPr>
            <w:r w:rsidRPr="008D1918">
              <w:rPr>
                <w:sz w:val="20"/>
                <w:szCs w:val="20"/>
                <w:lang w:val="en-AU"/>
              </w:rPr>
              <w:t>18,079</w:t>
            </w:r>
          </w:p>
        </w:tc>
        <w:tc>
          <w:tcPr>
            <w:tcW w:w="1077" w:type="dxa"/>
            <w:vAlign w:val="center"/>
          </w:tcPr>
          <w:p w:rsidRPr="008D1918" w:rsidR="00DD0EA5" w:rsidP="00BD56AB" w:rsidRDefault="00DD0EA5" w14:paraId="2E0998A1" w14:textId="77777777">
            <w:pPr>
              <w:keepNext/>
              <w:spacing w:before="60" w:after="60"/>
              <w:jc w:val="right"/>
              <w:rPr>
                <w:rFonts w:cs="Arial"/>
                <w:sz w:val="20"/>
                <w:szCs w:val="20"/>
                <w:lang w:val="en-AU" w:eastAsia="en-US"/>
              </w:rPr>
            </w:pPr>
            <w:r w:rsidRPr="008D1918">
              <w:rPr>
                <w:sz w:val="20"/>
                <w:szCs w:val="20"/>
                <w:lang w:val="en-AU"/>
              </w:rPr>
              <w:t>44,474</w:t>
            </w:r>
          </w:p>
        </w:tc>
      </w:tr>
      <w:tr w:rsidRPr="008D1918" w:rsidR="00BA36A0" w:rsidTr="0030446C" w14:paraId="05F3A7D5" w14:textId="77777777">
        <w:trPr>
          <w:trHeight w:val="397"/>
        </w:trPr>
        <w:tc>
          <w:tcPr>
            <w:tcW w:w="2835" w:type="dxa"/>
            <w:vAlign w:val="center"/>
          </w:tcPr>
          <w:p w:rsidRPr="008D1918" w:rsidR="00DD0EA5" w:rsidP="00314FCE" w:rsidRDefault="00DD0EA5" w14:paraId="148A730A" w14:textId="77777777">
            <w:pPr>
              <w:keepNext/>
              <w:spacing w:before="60" w:after="60"/>
              <w:rPr>
                <w:rFonts w:cs="Arial"/>
                <w:sz w:val="20"/>
                <w:szCs w:val="20"/>
                <w:lang w:val="en-AU" w:eastAsia="en-AU"/>
              </w:rPr>
            </w:pPr>
            <w:r w:rsidRPr="008D1918">
              <w:rPr>
                <w:sz w:val="20"/>
                <w:szCs w:val="20"/>
                <w:lang w:val="en-AU"/>
              </w:rPr>
              <w:t>Number of active providers</w:t>
            </w:r>
          </w:p>
        </w:tc>
        <w:tc>
          <w:tcPr>
            <w:tcW w:w="1134" w:type="dxa"/>
            <w:vAlign w:val="center"/>
          </w:tcPr>
          <w:p w:rsidRPr="008D1918" w:rsidR="00DD0EA5" w:rsidP="00BD56AB" w:rsidRDefault="00DD0EA5" w14:paraId="1E6C049A" w14:textId="77777777">
            <w:pPr>
              <w:keepNext/>
              <w:spacing w:before="60" w:after="60"/>
              <w:jc w:val="right"/>
              <w:rPr>
                <w:rFonts w:cs="Arial"/>
                <w:color w:val="000000" w:themeColor="accent6"/>
                <w:sz w:val="20"/>
                <w:szCs w:val="20"/>
                <w:lang w:val="en-AU" w:eastAsia="en-AU"/>
              </w:rPr>
            </w:pPr>
            <w:r w:rsidRPr="008D1918">
              <w:rPr>
                <w:sz w:val="20"/>
                <w:szCs w:val="20"/>
                <w:lang w:val="en-AU"/>
              </w:rPr>
              <w:t>6,184</w:t>
            </w:r>
          </w:p>
        </w:tc>
        <w:tc>
          <w:tcPr>
            <w:tcW w:w="1418" w:type="dxa"/>
            <w:vAlign w:val="center"/>
          </w:tcPr>
          <w:p w:rsidRPr="008D1918" w:rsidR="00DD0EA5" w:rsidP="00BD56AB" w:rsidRDefault="00DD0EA5" w14:paraId="30F943BD" w14:textId="77777777">
            <w:pPr>
              <w:keepNext/>
              <w:spacing w:before="60" w:after="60"/>
              <w:jc w:val="right"/>
              <w:rPr>
                <w:rFonts w:cs="Arial"/>
                <w:color w:val="000000" w:themeColor="accent6"/>
                <w:sz w:val="20"/>
                <w:szCs w:val="20"/>
                <w:lang w:val="en-AU" w:eastAsia="en-AU"/>
              </w:rPr>
            </w:pPr>
            <w:r w:rsidRPr="008D1918">
              <w:rPr>
                <w:sz w:val="20"/>
                <w:szCs w:val="20"/>
                <w:lang w:val="en-AU"/>
              </w:rPr>
              <w:t>18</w:t>
            </w:r>
          </w:p>
        </w:tc>
        <w:tc>
          <w:tcPr>
            <w:tcW w:w="1418" w:type="dxa"/>
            <w:vAlign w:val="center"/>
          </w:tcPr>
          <w:p w:rsidRPr="008D1918" w:rsidR="00DD0EA5" w:rsidP="00BD56AB" w:rsidRDefault="00DD0EA5" w14:paraId="65A8818D" w14:textId="77777777">
            <w:pPr>
              <w:keepNext/>
              <w:spacing w:before="60" w:after="60"/>
              <w:jc w:val="right"/>
              <w:rPr>
                <w:rFonts w:cs="Arial"/>
                <w:color w:val="000000" w:themeColor="accent6"/>
                <w:sz w:val="20"/>
                <w:szCs w:val="20"/>
                <w:lang w:val="en-AU" w:eastAsia="en-AU"/>
              </w:rPr>
            </w:pPr>
            <w:r w:rsidRPr="008D1918">
              <w:rPr>
                <w:sz w:val="20"/>
                <w:szCs w:val="20"/>
                <w:lang w:val="en-AU"/>
              </w:rPr>
              <w:t>223</w:t>
            </w:r>
          </w:p>
        </w:tc>
        <w:tc>
          <w:tcPr>
            <w:tcW w:w="1077" w:type="dxa"/>
            <w:vAlign w:val="center"/>
          </w:tcPr>
          <w:p w:rsidRPr="008D1918" w:rsidR="00DD0EA5" w:rsidP="00BD56AB" w:rsidRDefault="00DD0EA5" w14:paraId="0C7EDA8A" w14:textId="77777777">
            <w:pPr>
              <w:keepNext/>
              <w:spacing w:before="60" w:after="60"/>
              <w:jc w:val="right"/>
              <w:rPr>
                <w:rFonts w:cs="Arial"/>
                <w:color w:val="000000" w:themeColor="accent6"/>
                <w:sz w:val="20"/>
                <w:szCs w:val="20"/>
                <w:lang w:val="en-AU" w:eastAsia="en-AU"/>
              </w:rPr>
            </w:pPr>
            <w:r w:rsidRPr="008D1918">
              <w:rPr>
                <w:sz w:val="20"/>
                <w:szCs w:val="20"/>
                <w:lang w:val="en-AU"/>
              </w:rPr>
              <w:t>557</w:t>
            </w:r>
          </w:p>
        </w:tc>
        <w:tc>
          <w:tcPr>
            <w:tcW w:w="1077" w:type="dxa"/>
            <w:vAlign w:val="center"/>
          </w:tcPr>
          <w:p w:rsidRPr="008D1918" w:rsidR="00DD0EA5" w:rsidP="00BD56AB" w:rsidRDefault="00DD0EA5" w14:paraId="79928B37" w14:textId="77777777">
            <w:pPr>
              <w:keepNext/>
              <w:spacing w:before="60" w:after="60"/>
              <w:jc w:val="right"/>
              <w:rPr>
                <w:rFonts w:cs="Arial"/>
                <w:sz w:val="20"/>
                <w:szCs w:val="20"/>
                <w:lang w:val="en-AU" w:eastAsia="en-US"/>
              </w:rPr>
            </w:pPr>
            <w:r w:rsidRPr="008D1918">
              <w:rPr>
                <w:sz w:val="20"/>
                <w:szCs w:val="20"/>
                <w:lang w:val="en-AU"/>
              </w:rPr>
              <w:t>4,147</w:t>
            </w:r>
          </w:p>
        </w:tc>
      </w:tr>
      <w:tr w:rsidRPr="008D1918" w:rsidR="00173A73" w:rsidTr="0030446C" w14:paraId="1FC7DF3A" w14:textId="77777777">
        <w:trPr>
          <w:cnfStyle w:val="000000100000" w:firstRow="0" w:lastRow="0" w:firstColumn="0" w:lastColumn="0" w:oddVBand="0" w:evenVBand="0" w:oddHBand="1" w:evenHBand="0" w:firstRowFirstColumn="0" w:firstRowLastColumn="0" w:lastRowFirstColumn="0" w:lastRowLastColumn="0"/>
          <w:trHeight w:val="397"/>
        </w:trPr>
        <w:tc>
          <w:tcPr>
            <w:tcW w:w="2835" w:type="dxa"/>
            <w:vAlign w:val="center"/>
          </w:tcPr>
          <w:p w:rsidRPr="008D1918" w:rsidR="00DD0EA5" w:rsidP="00314FCE" w:rsidRDefault="00DD0EA5" w14:paraId="6F7A4AC0" w14:textId="77777777">
            <w:pPr>
              <w:keepNext/>
              <w:spacing w:before="60" w:after="60"/>
              <w:rPr>
                <w:rFonts w:cs="Arial"/>
                <w:sz w:val="20"/>
                <w:szCs w:val="20"/>
                <w:lang w:val="en-AU" w:eastAsia="en-AU"/>
              </w:rPr>
            </w:pPr>
            <w:r w:rsidRPr="008D1918">
              <w:rPr>
                <w:rFonts w:cs="Arial"/>
                <w:sz w:val="20"/>
                <w:szCs w:val="20"/>
                <w:lang w:val="en-AU" w:eastAsia="en-AU"/>
              </w:rPr>
              <w:t xml:space="preserve">Total amount claimed by active providers of support coordination supports </w:t>
            </w:r>
            <w:r w:rsidRPr="008D1918">
              <w:rPr>
                <w:rFonts w:cs="Arial"/>
                <w:b/>
                <w:bCs/>
                <w:sz w:val="20"/>
                <w:szCs w:val="20"/>
                <w:lang w:val="en-AU" w:eastAsia="en-AU"/>
              </w:rPr>
              <w:t>(million)</w:t>
            </w:r>
          </w:p>
        </w:tc>
        <w:tc>
          <w:tcPr>
            <w:tcW w:w="1134" w:type="dxa"/>
            <w:vAlign w:val="center"/>
          </w:tcPr>
          <w:p w:rsidRPr="008D1918" w:rsidR="00DD0EA5" w:rsidP="00BD56AB" w:rsidRDefault="00DD0EA5" w14:paraId="4192A6AE" w14:textId="77777777">
            <w:pPr>
              <w:keepNext/>
              <w:spacing w:before="60" w:after="60"/>
              <w:jc w:val="right"/>
              <w:rPr>
                <w:rFonts w:cs="Arial"/>
                <w:sz w:val="20"/>
                <w:szCs w:val="20"/>
                <w:lang w:val="en-AU"/>
              </w:rPr>
            </w:pPr>
            <w:r w:rsidRPr="008D1918">
              <w:rPr>
                <w:sz w:val="20"/>
                <w:szCs w:val="20"/>
                <w:lang w:val="en-AU"/>
              </w:rPr>
              <w:t>$489.1</w:t>
            </w:r>
          </w:p>
        </w:tc>
        <w:tc>
          <w:tcPr>
            <w:tcW w:w="1418" w:type="dxa"/>
            <w:vAlign w:val="center"/>
          </w:tcPr>
          <w:p w:rsidRPr="008D1918" w:rsidR="00DD0EA5" w:rsidP="00BD56AB" w:rsidRDefault="00DD0EA5" w14:paraId="32112FA9" w14:textId="77777777">
            <w:pPr>
              <w:keepNext/>
              <w:spacing w:before="60" w:after="60"/>
              <w:jc w:val="right"/>
              <w:rPr>
                <w:rFonts w:cs="Arial"/>
                <w:sz w:val="20"/>
                <w:szCs w:val="20"/>
                <w:lang w:val="en-AU"/>
              </w:rPr>
            </w:pPr>
            <w:r w:rsidRPr="008D1918">
              <w:rPr>
                <w:sz w:val="20"/>
                <w:szCs w:val="20"/>
                <w:lang w:val="en-AU"/>
              </w:rPr>
              <w:t>$2.0</w:t>
            </w:r>
          </w:p>
        </w:tc>
        <w:tc>
          <w:tcPr>
            <w:tcW w:w="1418" w:type="dxa"/>
            <w:vAlign w:val="center"/>
          </w:tcPr>
          <w:p w:rsidRPr="008D1918" w:rsidR="00DD0EA5" w:rsidP="00BD56AB" w:rsidRDefault="00DD0EA5" w14:paraId="585E470D" w14:textId="77777777">
            <w:pPr>
              <w:keepNext/>
              <w:spacing w:before="60" w:after="60"/>
              <w:jc w:val="right"/>
              <w:rPr>
                <w:rFonts w:cs="Arial"/>
                <w:sz w:val="20"/>
                <w:szCs w:val="20"/>
                <w:lang w:val="en-AU"/>
              </w:rPr>
            </w:pPr>
            <w:r w:rsidRPr="008D1918">
              <w:rPr>
                <w:sz w:val="20"/>
                <w:szCs w:val="20"/>
                <w:lang w:val="en-AU"/>
              </w:rPr>
              <w:t>$8.6</w:t>
            </w:r>
          </w:p>
        </w:tc>
        <w:tc>
          <w:tcPr>
            <w:tcW w:w="1077" w:type="dxa"/>
            <w:vAlign w:val="center"/>
          </w:tcPr>
          <w:p w:rsidRPr="008D1918" w:rsidR="00DD0EA5" w:rsidP="00BD56AB" w:rsidRDefault="00DD0EA5" w14:paraId="33D8A3B3" w14:textId="77777777">
            <w:pPr>
              <w:keepNext/>
              <w:spacing w:before="60" w:after="60"/>
              <w:jc w:val="right"/>
              <w:rPr>
                <w:rFonts w:cs="Arial"/>
                <w:sz w:val="20"/>
                <w:szCs w:val="20"/>
                <w:lang w:val="en-AU"/>
              </w:rPr>
            </w:pPr>
            <w:r w:rsidRPr="008D1918">
              <w:rPr>
                <w:sz w:val="20"/>
                <w:szCs w:val="20"/>
                <w:lang w:val="en-AU"/>
              </w:rPr>
              <w:t>$35.4</w:t>
            </w:r>
          </w:p>
        </w:tc>
        <w:tc>
          <w:tcPr>
            <w:tcW w:w="1077" w:type="dxa"/>
            <w:vAlign w:val="center"/>
          </w:tcPr>
          <w:p w:rsidRPr="008D1918" w:rsidR="00DD0EA5" w:rsidP="00BD56AB" w:rsidRDefault="00DD0EA5" w14:paraId="190CEC09" w14:textId="77777777">
            <w:pPr>
              <w:keepNext/>
              <w:spacing w:before="60" w:after="60"/>
              <w:jc w:val="right"/>
              <w:rPr>
                <w:rFonts w:cs="Arial"/>
                <w:sz w:val="20"/>
                <w:szCs w:val="20"/>
                <w:lang w:val="en-AU"/>
              </w:rPr>
            </w:pPr>
            <w:r w:rsidRPr="008D1918">
              <w:rPr>
                <w:sz w:val="20"/>
                <w:szCs w:val="20"/>
                <w:lang w:val="en-AU"/>
              </w:rPr>
              <w:t>$82.3</w:t>
            </w:r>
          </w:p>
        </w:tc>
      </w:tr>
      <w:tr w:rsidRPr="008D1918" w:rsidR="00BA36A0" w:rsidTr="0030446C" w14:paraId="09253B02" w14:textId="77777777">
        <w:trPr>
          <w:trHeight w:val="397"/>
        </w:trPr>
        <w:tc>
          <w:tcPr>
            <w:tcW w:w="2835" w:type="dxa"/>
            <w:vAlign w:val="center"/>
          </w:tcPr>
          <w:p w:rsidRPr="008D1918" w:rsidR="00DD0EA5" w:rsidP="00314FCE" w:rsidRDefault="00DD0EA5" w14:paraId="51CB7243" w14:textId="77777777">
            <w:pPr>
              <w:keepNext/>
              <w:spacing w:before="60" w:after="60"/>
              <w:rPr>
                <w:rFonts w:cs="Arial"/>
                <w:b/>
                <w:bCs/>
                <w:sz w:val="20"/>
                <w:szCs w:val="20"/>
                <w:lang w:val="en-AU" w:eastAsia="en-AU"/>
              </w:rPr>
            </w:pPr>
            <w:r w:rsidRPr="008D1918">
              <w:rPr>
                <w:sz w:val="20"/>
                <w:szCs w:val="20"/>
                <w:lang w:val="en-AU"/>
              </w:rPr>
              <w:t>Average amount claimed by all active providers of support coordination supports</w:t>
            </w:r>
          </w:p>
        </w:tc>
        <w:tc>
          <w:tcPr>
            <w:tcW w:w="1134" w:type="dxa"/>
            <w:vAlign w:val="center"/>
          </w:tcPr>
          <w:p w:rsidRPr="008D1918" w:rsidR="00DD0EA5" w:rsidP="00BD56AB" w:rsidRDefault="00DD0EA5" w14:paraId="04EB450B" w14:textId="77777777">
            <w:pPr>
              <w:keepNext/>
              <w:spacing w:before="60" w:after="60"/>
              <w:jc w:val="right"/>
              <w:rPr>
                <w:rFonts w:cs="Arial"/>
                <w:b/>
                <w:bCs/>
                <w:sz w:val="20"/>
                <w:szCs w:val="20"/>
                <w:lang w:val="en-AU"/>
              </w:rPr>
            </w:pPr>
            <w:r w:rsidRPr="008D1918">
              <w:rPr>
                <w:sz w:val="20"/>
                <w:szCs w:val="20"/>
                <w:lang w:val="en-AU"/>
              </w:rPr>
              <w:t>$79,100</w:t>
            </w:r>
          </w:p>
        </w:tc>
        <w:tc>
          <w:tcPr>
            <w:tcW w:w="1418" w:type="dxa"/>
            <w:vAlign w:val="center"/>
          </w:tcPr>
          <w:p w:rsidRPr="008D1918" w:rsidR="00DD0EA5" w:rsidP="00BD56AB" w:rsidRDefault="00DD0EA5" w14:paraId="50C45C29" w14:textId="77777777">
            <w:pPr>
              <w:keepNext/>
              <w:spacing w:before="60" w:after="60"/>
              <w:jc w:val="right"/>
              <w:rPr>
                <w:rFonts w:cs="Arial"/>
                <w:b/>
                <w:bCs/>
                <w:sz w:val="20"/>
                <w:szCs w:val="20"/>
                <w:lang w:val="en-AU"/>
              </w:rPr>
            </w:pPr>
            <w:r w:rsidRPr="008D1918">
              <w:rPr>
                <w:sz w:val="20"/>
                <w:szCs w:val="20"/>
                <w:lang w:val="en-AU"/>
              </w:rPr>
              <w:t>$111,100</w:t>
            </w:r>
          </w:p>
        </w:tc>
        <w:tc>
          <w:tcPr>
            <w:tcW w:w="1418" w:type="dxa"/>
            <w:vAlign w:val="center"/>
          </w:tcPr>
          <w:p w:rsidRPr="008D1918" w:rsidR="00DD0EA5" w:rsidP="00BD56AB" w:rsidRDefault="00DD0EA5" w14:paraId="18106E55" w14:textId="77777777">
            <w:pPr>
              <w:keepNext/>
              <w:spacing w:before="60" w:after="60"/>
              <w:jc w:val="right"/>
              <w:rPr>
                <w:rFonts w:cs="Arial"/>
                <w:b/>
                <w:bCs/>
                <w:sz w:val="20"/>
                <w:szCs w:val="20"/>
                <w:lang w:val="en-AU"/>
              </w:rPr>
            </w:pPr>
            <w:r w:rsidRPr="008D1918">
              <w:rPr>
                <w:sz w:val="20"/>
                <w:szCs w:val="20"/>
                <w:lang w:val="en-AU"/>
              </w:rPr>
              <w:t>$38,800</w:t>
            </w:r>
          </w:p>
        </w:tc>
        <w:tc>
          <w:tcPr>
            <w:tcW w:w="1077" w:type="dxa"/>
            <w:vAlign w:val="center"/>
          </w:tcPr>
          <w:p w:rsidRPr="008D1918" w:rsidR="00DD0EA5" w:rsidP="00BD56AB" w:rsidRDefault="00DD0EA5" w14:paraId="496579C3" w14:textId="77777777">
            <w:pPr>
              <w:keepNext/>
              <w:spacing w:before="60" w:after="60"/>
              <w:jc w:val="right"/>
              <w:rPr>
                <w:rFonts w:cs="Arial"/>
                <w:b/>
                <w:bCs/>
                <w:sz w:val="20"/>
                <w:szCs w:val="20"/>
                <w:lang w:val="en-AU"/>
              </w:rPr>
            </w:pPr>
            <w:r w:rsidRPr="008D1918">
              <w:rPr>
                <w:sz w:val="20"/>
                <w:szCs w:val="20"/>
                <w:lang w:val="en-AU"/>
              </w:rPr>
              <w:t>$63,600</w:t>
            </w:r>
          </w:p>
        </w:tc>
        <w:tc>
          <w:tcPr>
            <w:tcW w:w="1077" w:type="dxa"/>
            <w:vAlign w:val="center"/>
          </w:tcPr>
          <w:p w:rsidRPr="008D1918" w:rsidR="00DD0EA5" w:rsidP="00BD56AB" w:rsidRDefault="00DD0EA5" w14:paraId="54FD013C" w14:textId="77777777">
            <w:pPr>
              <w:keepNext/>
              <w:spacing w:before="60" w:after="60"/>
              <w:jc w:val="right"/>
              <w:rPr>
                <w:rFonts w:cs="Arial"/>
                <w:b/>
                <w:bCs/>
                <w:sz w:val="20"/>
                <w:szCs w:val="20"/>
                <w:lang w:val="en-AU"/>
              </w:rPr>
            </w:pPr>
            <w:r w:rsidRPr="008D1918">
              <w:rPr>
                <w:sz w:val="20"/>
                <w:szCs w:val="20"/>
                <w:lang w:val="en-AU"/>
              </w:rPr>
              <w:t>$19,800</w:t>
            </w:r>
          </w:p>
        </w:tc>
      </w:tr>
    </w:tbl>
    <w:p w:rsidRPr="008D1918" w:rsidR="00DD0EA5" w:rsidRDefault="00DD0EA5" w14:paraId="745577E4"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DD0EA5" w:rsidP="002B66D6" w:rsidRDefault="00DD0EA5" w14:paraId="0DE56090" w14:textId="77777777">
      <w:pPr>
        <w:spacing w:before="60" w:after="60" w:line="240" w:lineRule="atLeast"/>
        <w:rPr>
          <w:rFonts w:eastAsia="DengXian" w:cs="Calibri"/>
          <w:sz w:val="20"/>
          <w:szCs w:val="20"/>
          <w:lang w:val="en-AU"/>
        </w:rPr>
      </w:pPr>
      <w:r w:rsidRPr="008D1918">
        <w:rPr>
          <w:rFonts w:eastAsia="DengXian" w:cs="Calibri"/>
          <w:sz w:val="20"/>
          <w:szCs w:val="20"/>
          <w:lang w:val="en-AU"/>
        </w:rPr>
        <w:t>Note: Providers with a missing legal entity type are excluded.</w:t>
      </w:r>
    </w:p>
    <w:p w:rsidRPr="008D1918" w:rsidR="00DD0EA5" w:rsidP="00CC1BF5" w:rsidRDefault="00DD0EA5" w14:paraId="33B63C2B" w14:textId="77777777">
      <w:pPr>
        <w:spacing w:before="120" w:after="360" w:line="240" w:lineRule="atLeast"/>
        <w:rPr>
          <w:rFonts w:eastAsia="DengXian" w:cs="Calibri"/>
          <w:sz w:val="20"/>
          <w:szCs w:val="20"/>
          <w:lang w:val="en-AU"/>
        </w:rPr>
      </w:pPr>
      <w:r w:rsidRPr="008D1918">
        <w:rPr>
          <w:rFonts w:eastAsia="DengXian" w:cs="Calibri"/>
          <w:sz w:val="20"/>
          <w:szCs w:val="20"/>
          <w:lang w:val="en-AU"/>
        </w:rPr>
        <w:t>Average revenue is rounded up to the nearest hundred.</w:t>
      </w:r>
    </w:p>
    <w:p w:rsidRPr="008D1918" w:rsidR="00DD0EA5" w:rsidP="00220C5C" w:rsidRDefault="00DD0EA5" w14:paraId="712F1EE0" w14:textId="7BD666BC">
      <w:pPr>
        <w:pStyle w:val="Caption"/>
        <w:rPr>
          <w:rFonts w:eastAsia="DengXian" w:cs="Cordia New"/>
          <w:i w:val="0"/>
          <w:iCs w:val="0"/>
          <w:color w:val="6B2876" w:themeColor="accent5"/>
        </w:rPr>
      </w:pPr>
      <w:bookmarkStart w:name="_Ref195091390" w:id="1586"/>
      <w:bookmarkStart w:name="_Ref223625828" w:id="1587"/>
      <w:r w:rsidRPr="008D1918">
        <w:t xml:space="preserve">Figure </w:t>
      </w:r>
      <w:bookmarkEnd w:id="1586"/>
      <w:r w:rsidRPr="008D1918" w:rsidR="00220C5C">
        <w:fldChar w:fldCharType="begin"/>
      </w:r>
      <w:r w:rsidRPr="008D1918" w:rsidR="00220C5C">
        <w:instrText xml:space="preserve"> SEQ Figure \* ARABIC </w:instrText>
      </w:r>
      <w:r w:rsidRPr="008D1918" w:rsidR="00220C5C">
        <w:fldChar w:fldCharType="separate"/>
      </w:r>
      <w:r w:rsidR="008F56A2">
        <w:rPr>
          <w:noProof/>
        </w:rPr>
        <w:t>36</w:t>
      </w:r>
      <w:r w:rsidRPr="008D1918" w:rsidR="00220C5C">
        <w:fldChar w:fldCharType="end"/>
      </w:r>
      <w:bookmarkEnd w:id="1587"/>
      <w:r w:rsidRPr="008D1918">
        <w:rPr>
          <w:rFonts w:eastAsia="DengXian" w:cs="Cordia New"/>
          <w:color w:val="6B2876" w:themeColor="accent5"/>
        </w:rPr>
        <w:t>: The counts of registered providers of support coordination supports by entity type and total payments, July to December 2025</w:t>
      </w:r>
    </w:p>
    <w:p w:rsidRPr="008D1918" w:rsidR="00DD0EA5" w:rsidP="00314FCE" w:rsidRDefault="00DD0EA5" w14:paraId="37C06EBD" w14:textId="77777777">
      <w:pPr>
        <w:spacing w:after="360"/>
        <w:jc w:val="center"/>
        <w:rPr>
          <w:lang w:val="en-AU"/>
        </w:rPr>
      </w:pPr>
      <w:r w:rsidRPr="008D1918">
        <w:rPr>
          <w:noProof/>
          <w:lang w:val="en-AU"/>
        </w:rPr>
        <w:drawing>
          <wp:inline distT="0" distB="0" distL="0" distR="0" wp14:anchorId="6DF9583E" wp14:editId="1CE379B9">
            <wp:extent cx="5680800" cy="3290400"/>
            <wp:effectExtent l="0" t="0" r="0" b="5715"/>
            <wp:docPr id="896488952" name="Picture 2" descr="Figure 36: A stacked bar graph showing the counts of registered providers of support coordination supports by entity type and total payments, from July to December 2025.&#10;The graph shows that companies receive the majority of payments for support coordination across all payment levels ($50k to +$1m). Source: Internal NDIS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88952" name="Picture 2" descr="Figure 36: A stacked bar graph showing the counts of registered providers of support coordination supports by entity type and total payments, from July to December 2025.&#10;The graph shows that companies receive the majority of payments for support coordination across all payment levels ($50k to +$1m). Source: Internal NDIS administrative dat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DD0EA5" w:rsidP="00220C5C" w:rsidRDefault="00DD0EA5" w14:paraId="6C6509C5" w14:textId="72988663">
      <w:pPr>
        <w:pStyle w:val="Caption"/>
        <w:rPr>
          <w:rFonts w:eastAsia="DengXian" w:cs="Cordia New"/>
          <w:i w:val="0"/>
          <w:iCs w:val="0"/>
          <w:color w:val="6B2876" w:themeColor="accent5"/>
        </w:rPr>
      </w:pPr>
      <w:bookmarkStart w:name="_Ref195091391" w:id="1588"/>
      <w:bookmarkStart w:name="_Ref223625858" w:id="1589"/>
      <w:r w:rsidRPr="008D1918">
        <w:t xml:space="preserve">Figure </w:t>
      </w:r>
      <w:bookmarkEnd w:id="1588"/>
      <w:r w:rsidRPr="008D1918" w:rsidR="00220C5C">
        <w:fldChar w:fldCharType="begin"/>
      </w:r>
      <w:r w:rsidRPr="008D1918" w:rsidR="00220C5C">
        <w:instrText xml:space="preserve"> SEQ Figure \* ARABIC </w:instrText>
      </w:r>
      <w:r w:rsidRPr="008D1918" w:rsidR="00220C5C">
        <w:fldChar w:fldCharType="separate"/>
      </w:r>
      <w:r w:rsidR="008F56A2">
        <w:rPr>
          <w:noProof/>
        </w:rPr>
        <w:t>37</w:t>
      </w:r>
      <w:r w:rsidRPr="008D1918" w:rsidR="00220C5C">
        <w:fldChar w:fldCharType="end"/>
      </w:r>
      <w:bookmarkEnd w:id="1589"/>
      <w:r w:rsidRPr="008D1918">
        <w:rPr>
          <w:rFonts w:eastAsia="DengXian" w:cs="Cordia New"/>
          <w:color w:val="6B2876" w:themeColor="accent5"/>
        </w:rPr>
        <w:t>: The counts of unregistered providers of support coordination supports by entity type and total payments, July to December 2025</w:t>
      </w:r>
    </w:p>
    <w:p w:rsidRPr="008D1918" w:rsidR="00DD0EA5" w:rsidP="00314FCE" w:rsidRDefault="00DD0EA5" w14:paraId="7B34C4D9" w14:textId="77777777">
      <w:pPr>
        <w:spacing w:after="360"/>
        <w:jc w:val="center"/>
        <w:rPr>
          <w:lang w:val="en-AU"/>
        </w:rPr>
      </w:pPr>
      <w:r w:rsidRPr="008D1918">
        <w:rPr>
          <w:b/>
          <w:bCs/>
          <w:noProof/>
          <w:lang w:val="en-AU"/>
        </w:rPr>
        <w:drawing>
          <wp:inline distT="0" distB="0" distL="0" distR="0" wp14:anchorId="56945B8F" wp14:editId="3FCF6F2A">
            <wp:extent cx="5680800" cy="3290400"/>
            <wp:effectExtent l="0" t="0" r="0" b="5715"/>
            <wp:docPr id="2053539265" name="Picture 3" descr="Figure 37: A stacked bar graph showing the counts of unregistered providers of support coordination supports by entity type and total payments, from July to December 2025.&#10;The graph shows that the majority of providers are receiving total payments of $250k or less over the period, with the majority of those payments going to sole tra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539265" name="Picture 3" descr="Figure 37: A stacked bar graph showing the counts of unregistered providers of support coordination supports by entity type and total payments, from July to December 2025.&#10;The graph shows that the majority of providers are receiving total payments of $250k or less over the period, with the majority of those payments going to sole traders.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DD0EA5" w:rsidP="00E21370" w:rsidRDefault="00DD0EA5" w14:paraId="5474394D" w14:textId="77777777">
      <w:pPr>
        <w:pStyle w:val="LittleH5"/>
      </w:pPr>
      <w:bookmarkStart w:name="_Toc195099189" w:id="1590"/>
      <w:bookmarkStart w:name="_Toc200103563" w:id="1591"/>
      <w:bookmarkStart w:name="_Toc200271675" w:id="1592"/>
      <w:bookmarkStart w:name="_Toc223345420" w:id="1593"/>
      <w:bookmarkStart w:name="_Toc223428495" w:id="1594"/>
      <w:bookmarkStart w:name="_Toc223445963" w:id="1595"/>
      <w:bookmarkStart w:name="_Toc223604797" w:id="1596"/>
      <w:bookmarkStart w:name="_Toc223618654" w:id="1597"/>
      <w:r w:rsidRPr="008D1918">
        <w:t>Provider scale and revenue distribution</w:t>
      </w:r>
      <w:bookmarkEnd w:id="1590"/>
      <w:bookmarkEnd w:id="1591"/>
      <w:bookmarkEnd w:id="1592"/>
      <w:bookmarkEnd w:id="1593"/>
      <w:bookmarkEnd w:id="1594"/>
      <w:bookmarkEnd w:id="1595"/>
      <w:bookmarkEnd w:id="1596"/>
      <w:bookmarkEnd w:id="1597"/>
      <w:r w:rsidRPr="008D1918">
        <w:t xml:space="preserve"> </w:t>
      </w:r>
    </w:p>
    <w:p w:rsidRPr="008D1918" w:rsidR="00DD0EA5" w:rsidRDefault="00DD0EA5" w14:paraId="09C71046" w14:textId="6FD050E6">
      <w:pPr>
        <w:pStyle w:val="Sourcefortableorfigure"/>
        <w:spacing w:before="0" w:after="200" w:line="288" w:lineRule="auto"/>
      </w:pPr>
      <w:r w:rsidRPr="008D1918">
        <w:rPr>
          <w:b w:val="0"/>
          <w:sz w:val="24"/>
          <w:szCs w:val="24"/>
        </w:rPr>
        <w:t xml:space="preserve">The support coordination market is characterised by a large </w:t>
      </w:r>
      <w:r w:rsidRPr="008D1918" w:rsidR="001E2130">
        <w:rPr>
          <w:b w:val="0"/>
          <w:sz w:val="24"/>
          <w:szCs w:val="24"/>
        </w:rPr>
        <w:t>number of smaller providers, with the larger providers dominating revenues</w:t>
      </w:r>
      <w:r w:rsidRPr="008D1918">
        <w:rPr>
          <w:b w:val="0"/>
          <w:sz w:val="24"/>
          <w:szCs w:val="24"/>
        </w:rPr>
        <w:t xml:space="preserve">. The 201 providers supporting 251 or more participants, 1.8% of all active providers, received $214.2 million in payments, representing 34.7% of total support coordination payments in the </w:t>
      </w:r>
      <w:r w:rsidRPr="008D1918" w:rsidR="00AF498E">
        <w:rPr>
          <w:b w:val="0"/>
          <w:sz w:val="24"/>
          <w:szCs w:val="24"/>
        </w:rPr>
        <w:t xml:space="preserve">6 </w:t>
      </w:r>
      <w:r w:rsidRPr="008D1918">
        <w:rPr>
          <w:b w:val="0"/>
          <w:sz w:val="24"/>
          <w:szCs w:val="24"/>
        </w:rPr>
        <w:t xml:space="preserve">months </w:t>
      </w:r>
      <w:r w:rsidRPr="008D1918" w:rsidR="394131E2">
        <w:rPr>
          <w:b w:val="0"/>
          <w:sz w:val="24"/>
          <w:szCs w:val="24"/>
        </w:rPr>
        <w:t>to</w:t>
      </w:r>
      <w:r w:rsidRPr="008D1918">
        <w:rPr>
          <w:b w:val="0"/>
          <w:sz w:val="24"/>
          <w:szCs w:val="24"/>
        </w:rPr>
        <w:t xml:space="preserve"> December 2025. At the other end, the 5,666 providers supporting </w:t>
      </w:r>
      <w:r w:rsidRPr="008D1918" w:rsidR="00186248">
        <w:rPr>
          <w:b w:val="0"/>
          <w:sz w:val="24"/>
          <w:szCs w:val="24"/>
        </w:rPr>
        <w:t xml:space="preserve">5 </w:t>
      </w:r>
      <w:r w:rsidRPr="008D1918">
        <w:rPr>
          <w:b w:val="0"/>
          <w:sz w:val="24"/>
          <w:szCs w:val="24"/>
        </w:rPr>
        <w:t>or fewer participants, 50.9% of all providers, received a combined $22.8 million, or 3.7% of total payments (</w:t>
      </w:r>
      <w:r w:rsidRPr="008D1918" w:rsidR="00704C86">
        <w:rPr>
          <w:b w:val="0"/>
          <w:bCs/>
          <w:sz w:val="24"/>
          <w:szCs w:val="24"/>
        </w:rPr>
        <w:fldChar w:fldCharType="begin"/>
      </w:r>
      <w:r w:rsidRPr="008D1918" w:rsidR="00704C86">
        <w:rPr>
          <w:b w:val="0"/>
          <w:sz w:val="24"/>
          <w:szCs w:val="24"/>
        </w:rPr>
        <w:instrText xml:space="preserve"> REF _Ref195091294 \h  \* MERGEFORMAT</w:instrText>
      </w:r>
      <w:r w:rsidRPr="008D1918" w:rsidR="00704C86">
        <w:rPr>
          <w:b w:val="0"/>
          <w:bCs/>
          <w:sz w:val="24"/>
          <w:szCs w:val="24"/>
        </w:rPr>
        <w:instrText xml:space="preserve"> </w:instrText>
      </w:r>
      <w:r w:rsidRPr="008D1918" w:rsidR="00704C86">
        <w:rPr>
          <w:b w:val="0"/>
          <w:bCs/>
          <w:sz w:val="24"/>
          <w:szCs w:val="24"/>
        </w:rPr>
      </w:r>
      <w:r w:rsidRPr="008D1918" w:rsidR="00704C86">
        <w:rPr>
          <w:b w:val="0"/>
          <w:bCs/>
          <w:sz w:val="24"/>
          <w:szCs w:val="24"/>
        </w:rPr>
        <w:fldChar w:fldCharType="separate"/>
      </w:r>
      <w:r w:rsidRPr="008F56A2" w:rsidR="008F56A2">
        <w:rPr>
          <w:b w:val="0"/>
          <w:bCs/>
          <w:sz w:val="24"/>
          <w:szCs w:val="24"/>
        </w:rPr>
        <w:t>Table</w:t>
      </w:r>
      <w:r w:rsidRPr="008F56A2" w:rsidR="008F56A2">
        <w:rPr>
          <w:b w:val="0"/>
          <w:sz w:val="24"/>
          <w:szCs w:val="24"/>
        </w:rPr>
        <w:t xml:space="preserve"> </w:t>
      </w:r>
      <w:r w:rsidRPr="008F56A2" w:rsidR="008F56A2">
        <w:rPr>
          <w:b w:val="0"/>
          <w:bCs/>
          <w:noProof/>
          <w:sz w:val="24"/>
          <w:szCs w:val="24"/>
        </w:rPr>
        <w:t>32</w:t>
      </w:r>
      <w:r w:rsidRPr="008D1918" w:rsidR="00704C86">
        <w:rPr>
          <w:b w:val="0"/>
          <w:bCs/>
          <w:sz w:val="24"/>
          <w:szCs w:val="24"/>
        </w:rPr>
        <w:fldChar w:fldCharType="end"/>
      </w:r>
      <w:r w:rsidRPr="008D1918">
        <w:rPr>
          <w:b w:val="0"/>
          <w:sz w:val="24"/>
          <w:szCs w:val="24"/>
        </w:rPr>
        <w:t>).</w:t>
      </w:r>
    </w:p>
    <w:p w:rsidRPr="008D1918" w:rsidR="00DD0EA5" w:rsidRDefault="00DD0EA5" w14:paraId="34C803FA" w14:textId="0581EF21">
      <w:pPr>
        <w:pStyle w:val="Sourcefortableorfigure"/>
        <w:spacing w:before="0" w:after="200" w:line="288" w:lineRule="auto"/>
      </w:pPr>
      <w:r w:rsidRPr="008D1918">
        <w:rPr>
          <w:b w:val="0"/>
          <w:bCs/>
          <w:sz w:val="24"/>
          <w:szCs w:val="24"/>
        </w:rPr>
        <w:t xml:space="preserve">The </w:t>
      </w:r>
      <w:r w:rsidRPr="008D1918" w:rsidR="001752EA">
        <w:rPr>
          <w:b w:val="0"/>
          <w:bCs/>
          <w:sz w:val="24"/>
          <w:szCs w:val="24"/>
        </w:rPr>
        <w:t xml:space="preserve">number </w:t>
      </w:r>
      <w:r w:rsidRPr="008D1918" w:rsidR="00E216D9">
        <w:rPr>
          <w:b w:val="0"/>
          <w:bCs/>
          <w:sz w:val="24"/>
          <w:szCs w:val="24"/>
        </w:rPr>
        <w:t>of smaller providers</w:t>
      </w:r>
      <w:r w:rsidRPr="008D1918">
        <w:rPr>
          <w:b w:val="0"/>
          <w:bCs/>
          <w:sz w:val="24"/>
          <w:szCs w:val="24"/>
        </w:rPr>
        <w:t xml:space="preserve"> warrants closer attention. Of the 3,180 providers supporting a single participant, average revenue was $2,000 for the half-year, consistent with a small number of hours of coordination delivered to one person over </w:t>
      </w:r>
      <w:r w:rsidRPr="008D1918" w:rsidR="00AF498E">
        <w:rPr>
          <w:b w:val="0"/>
          <w:bCs/>
          <w:sz w:val="24"/>
          <w:szCs w:val="24"/>
        </w:rPr>
        <w:t xml:space="preserve">6 </w:t>
      </w:r>
      <w:r w:rsidRPr="008D1918">
        <w:rPr>
          <w:b w:val="0"/>
          <w:bCs/>
          <w:sz w:val="24"/>
          <w:szCs w:val="24"/>
        </w:rPr>
        <w:t xml:space="preserve">months. These providers are, in aggregate, barely present in the payment volume (1.1% of total expenditure) despite representing 28.6% of all active providers. </w:t>
      </w:r>
      <w:r w:rsidRPr="008D1918" w:rsidR="00F80A29">
        <w:rPr>
          <w:b w:val="0"/>
          <w:bCs/>
          <w:sz w:val="24"/>
          <w:szCs w:val="24"/>
        </w:rPr>
        <w:t>This</w:t>
      </w:r>
      <w:r w:rsidRPr="008D1918">
        <w:rPr>
          <w:b w:val="0"/>
          <w:bCs/>
          <w:sz w:val="24"/>
          <w:szCs w:val="24"/>
        </w:rPr>
        <w:t xml:space="preserve"> </w:t>
      </w:r>
      <w:r w:rsidRPr="008D1918" w:rsidR="00797D09">
        <w:rPr>
          <w:b w:val="0"/>
          <w:bCs/>
          <w:sz w:val="24"/>
          <w:szCs w:val="24"/>
        </w:rPr>
        <w:t>changes</w:t>
      </w:r>
      <w:r w:rsidRPr="008D1918">
        <w:rPr>
          <w:b w:val="0"/>
          <w:bCs/>
          <w:sz w:val="24"/>
          <w:szCs w:val="24"/>
        </w:rPr>
        <w:t xml:space="preserve"> at the 11-50 participant cohort, where 2,804 providers averaged $47,100 per provider and collectively account</w:t>
      </w:r>
      <w:r w:rsidRPr="008D1918" w:rsidR="00486952">
        <w:rPr>
          <w:b w:val="0"/>
          <w:bCs/>
          <w:sz w:val="24"/>
          <w:szCs w:val="24"/>
        </w:rPr>
        <w:t>ing</w:t>
      </w:r>
      <w:r w:rsidRPr="008D1918">
        <w:rPr>
          <w:b w:val="0"/>
          <w:bCs/>
          <w:sz w:val="24"/>
          <w:szCs w:val="24"/>
        </w:rPr>
        <w:t xml:space="preserve"> for 21.</w:t>
      </w:r>
      <w:r w:rsidRPr="008D1918" w:rsidR="00C74883">
        <w:rPr>
          <w:b w:val="0"/>
          <w:bCs/>
          <w:sz w:val="24"/>
          <w:szCs w:val="24"/>
        </w:rPr>
        <w:t>4</w:t>
      </w:r>
      <w:r w:rsidRPr="008D1918">
        <w:rPr>
          <w:b w:val="0"/>
          <w:bCs/>
          <w:sz w:val="24"/>
          <w:szCs w:val="24"/>
        </w:rPr>
        <w:t>% of payments. Above 101 participants, 708 providers (6.4% of the total) received 57.7% of all support coordination payments (</w:t>
      </w:r>
      <w:r w:rsidRPr="008D1918" w:rsidR="00E16433">
        <w:rPr>
          <w:b w:val="0"/>
          <w:bCs/>
          <w:sz w:val="24"/>
          <w:szCs w:val="24"/>
        </w:rPr>
        <w:fldChar w:fldCharType="begin"/>
      </w:r>
      <w:r w:rsidRPr="008D1918" w:rsidR="00E16433">
        <w:rPr>
          <w:b w:val="0"/>
          <w:bCs/>
          <w:sz w:val="24"/>
          <w:szCs w:val="24"/>
        </w:rPr>
        <w:instrText xml:space="preserve"> REF _Ref195091294 \h  \* MERGEFORMAT </w:instrText>
      </w:r>
      <w:r w:rsidRPr="008D1918" w:rsidR="00E16433">
        <w:rPr>
          <w:b w:val="0"/>
          <w:bCs/>
          <w:sz w:val="24"/>
          <w:szCs w:val="24"/>
        </w:rPr>
      </w:r>
      <w:r w:rsidRPr="008D1918" w:rsidR="00E16433">
        <w:rPr>
          <w:b w:val="0"/>
          <w:bCs/>
          <w:sz w:val="24"/>
          <w:szCs w:val="24"/>
        </w:rPr>
        <w:fldChar w:fldCharType="separate"/>
      </w:r>
      <w:r w:rsidRPr="008F56A2" w:rsidR="008F56A2">
        <w:rPr>
          <w:b w:val="0"/>
          <w:bCs/>
          <w:sz w:val="24"/>
          <w:szCs w:val="24"/>
        </w:rPr>
        <w:t>Table</w:t>
      </w:r>
      <w:r w:rsidRPr="008F56A2" w:rsidR="008F56A2">
        <w:rPr>
          <w:b w:val="0"/>
          <w:sz w:val="24"/>
          <w:szCs w:val="24"/>
        </w:rPr>
        <w:t xml:space="preserve"> </w:t>
      </w:r>
      <w:r w:rsidRPr="008F56A2" w:rsidR="008F56A2">
        <w:rPr>
          <w:b w:val="0"/>
          <w:bCs/>
          <w:noProof/>
          <w:sz w:val="24"/>
          <w:szCs w:val="24"/>
        </w:rPr>
        <w:t>32</w:t>
      </w:r>
      <w:r w:rsidRPr="008D1918" w:rsidR="00E16433">
        <w:rPr>
          <w:b w:val="0"/>
          <w:bCs/>
          <w:sz w:val="24"/>
          <w:szCs w:val="24"/>
        </w:rPr>
        <w:fldChar w:fldCharType="end"/>
      </w:r>
      <w:r w:rsidRPr="008D1918">
        <w:rPr>
          <w:b w:val="0"/>
          <w:bCs/>
          <w:sz w:val="24"/>
          <w:szCs w:val="24"/>
        </w:rPr>
        <w:t>).</w:t>
      </w:r>
      <w:r w:rsidRPr="008D1918">
        <w:rPr>
          <w:sz w:val="24"/>
          <w:szCs w:val="24"/>
        </w:rPr>
        <w:t xml:space="preserve"> </w:t>
      </w:r>
    </w:p>
    <w:p w:rsidRPr="008D1918" w:rsidR="00DD0EA5" w:rsidP="001F5018" w:rsidRDefault="001F5018" w14:paraId="784D70A6" w14:textId="00D68020">
      <w:pPr>
        <w:pStyle w:val="Caption"/>
      </w:pPr>
      <w:bookmarkStart w:name="_Ref195091294" w:id="1598"/>
      <w:r w:rsidRPr="008D1918">
        <w:t xml:space="preserve">Table </w:t>
      </w:r>
      <w:r>
        <w:fldChar w:fldCharType="begin"/>
      </w:r>
      <w:r>
        <w:instrText>SEQ Table \* ARABIC</w:instrText>
      </w:r>
      <w:r>
        <w:fldChar w:fldCharType="separate"/>
      </w:r>
      <w:r w:rsidR="008F56A2">
        <w:rPr>
          <w:noProof/>
        </w:rPr>
        <w:t>32</w:t>
      </w:r>
      <w:r>
        <w:fldChar w:fldCharType="end"/>
      </w:r>
      <w:bookmarkEnd w:id="1598"/>
      <w:r w:rsidRPr="008D1918" w:rsidR="00DD0EA5">
        <w:t>: Statistics on the size of providers for support coordination supports, July to December 2025</w:t>
      </w:r>
    </w:p>
    <w:tbl>
      <w:tblPr>
        <w:tblStyle w:val="GridTable4-Accent121"/>
        <w:tblW w:w="0" w:type="auto"/>
        <w:tblInd w:w="-5" w:type="dxa"/>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2041"/>
        <w:gridCol w:w="1531"/>
        <w:gridCol w:w="1871"/>
        <w:gridCol w:w="1644"/>
        <w:gridCol w:w="1701"/>
      </w:tblGrid>
      <w:tr w:rsidRPr="008D1918" w:rsidR="001B4E78" w:rsidTr="00BD56AB" w14:paraId="15643906"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2041" w:type="dxa"/>
          </w:tcPr>
          <w:p w:rsidRPr="008D1918" w:rsidR="00DD0EA5" w:rsidRDefault="00DD0EA5" w14:paraId="4DE7808C" w14:textId="05CEB0EA">
            <w:pPr>
              <w:spacing w:before="60" w:after="60"/>
              <w:rPr>
                <w:rFonts w:cs="Arial"/>
                <w:sz w:val="20"/>
                <w:szCs w:val="20"/>
                <w:lang w:val="en-AU" w:eastAsia="en-AU"/>
              </w:rPr>
            </w:pPr>
            <w:r w:rsidRPr="008D1918">
              <w:rPr>
                <w:rFonts w:cs="Arial"/>
                <w:sz w:val="20"/>
                <w:szCs w:val="20"/>
                <w:lang w:val="en-AU"/>
              </w:rPr>
              <w:t xml:space="preserve">Size of </w:t>
            </w:r>
            <w:r w:rsidRPr="008D1918" w:rsidR="008D2BE7">
              <w:rPr>
                <w:rFonts w:cs="Arial"/>
                <w:sz w:val="20"/>
                <w:szCs w:val="20"/>
                <w:lang w:val="en-AU"/>
              </w:rPr>
              <w:t>p</w:t>
            </w:r>
            <w:r w:rsidRPr="008D1918">
              <w:rPr>
                <w:rFonts w:cs="Arial"/>
                <w:sz w:val="20"/>
                <w:szCs w:val="20"/>
                <w:lang w:val="en-AU"/>
              </w:rPr>
              <w:t>rovider (number of participants supported)</w:t>
            </w:r>
          </w:p>
        </w:tc>
        <w:tc>
          <w:tcPr>
            <w:tcW w:w="1531" w:type="dxa"/>
          </w:tcPr>
          <w:p w:rsidRPr="008D1918" w:rsidR="00DD0EA5" w:rsidP="00BD56AB" w:rsidRDefault="00DD0EA5" w14:paraId="453B5898" w14:textId="145CCB64">
            <w:pPr>
              <w:spacing w:before="60" w:after="60"/>
              <w:jc w:val="right"/>
              <w:rPr>
                <w:rFonts w:cs="Arial"/>
                <w:sz w:val="20"/>
                <w:szCs w:val="20"/>
                <w:lang w:val="en-AU" w:eastAsia="en-AU"/>
              </w:rPr>
            </w:pPr>
            <w:r w:rsidRPr="008D1918">
              <w:rPr>
                <w:rFonts w:cs="Arial"/>
                <w:sz w:val="20"/>
                <w:szCs w:val="20"/>
                <w:lang w:val="en-AU"/>
              </w:rPr>
              <w:t xml:space="preserve">Number of </w:t>
            </w:r>
            <w:r w:rsidRPr="008D1918" w:rsidR="008D2BE7">
              <w:rPr>
                <w:rFonts w:cs="Arial"/>
                <w:sz w:val="20"/>
                <w:szCs w:val="20"/>
                <w:lang w:val="en-AU"/>
              </w:rPr>
              <w:t>p</w:t>
            </w:r>
            <w:r w:rsidRPr="008D1918">
              <w:rPr>
                <w:rFonts w:cs="Arial"/>
                <w:sz w:val="20"/>
                <w:szCs w:val="20"/>
                <w:lang w:val="en-AU"/>
              </w:rPr>
              <w:t>roviders</w:t>
            </w:r>
          </w:p>
        </w:tc>
        <w:tc>
          <w:tcPr>
            <w:tcW w:w="1871" w:type="dxa"/>
          </w:tcPr>
          <w:p w:rsidRPr="008D1918" w:rsidR="00DD0EA5" w:rsidP="00BD56AB" w:rsidRDefault="00DD0EA5" w14:paraId="10C2A1FA" w14:textId="038C3EA4">
            <w:pPr>
              <w:spacing w:before="60" w:after="60"/>
              <w:jc w:val="right"/>
              <w:rPr>
                <w:rFonts w:cs="Arial"/>
                <w:sz w:val="20"/>
                <w:szCs w:val="20"/>
                <w:lang w:val="en-AU" w:eastAsia="en-AU"/>
              </w:rPr>
            </w:pPr>
            <w:r w:rsidRPr="008D1918">
              <w:rPr>
                <w:rFonts w:cs="Arial"/>
                <w:sz w:val="20"/>
                <w:szCs w:val="20"/>
                <w:lang w:val="en-AU"/>
              </w:rPr>
              <w:t xml:space="preserve">Total </w:t>
            </w:r>
            <w:r w:rsidRPr="008D1918" w:rsidR="008D2BE7">
              <w:rPr>
                <w:rFonts w:cs="Arial"/>
                <w:sz w:val="20"/>
                <w:szCs w:val="20"/>
                <w:lang w:val="en-AU"/>
              </w:rPr>
              <w:t>p</w:t>
            </w:r>
            <w:r w:rsidRPr="008D1918">
              <w:rPr>
                <w:rFonts w:cs="Arial"/>
                <w:sz w:val="20"/>
                <w:szCs w:val="20"/>
                <w:lang w:val="en-AU"/>
              </w:rPr>
              <w:t xml:space="preserve">ayments to </w:t>
            </w:r>
            <w:r w:rsidRPr="008D1918" w:rsidR="008D2BE7">
              <w:rPr>
                <w:rFonts w:cs="Arial"/>
                <w:sz w:val="20"/>
                <w:szCs w:val="20"/>
                <w:lang w:val="en-AU"/>
              </w:rPr>
              <w:t>p</w:t>
            </w:r>
            <w:r w:rsidRPr="008D1918">
              <w:rPr>
                <w:rFonts w:cs="Arial"/>
                <w:sz w:val="20"/>
                <w:szCs w:val="20"/>
                <w:lang w:val="en-AU"/>
              </w:rPr>
              <w:t>roviders (million)</w:t>
            </w:r>
          </w:p>
        </w:tc>
        <w:tc>
          <w:tcPr>
            <w:tcW w:w="1644" w:type="dxa"/>
          </w:tcPr>
          <w:p w:rsidRPr="008D1918" w:rsidR="00DD0EA5" w:rsidP="00BD56AB" w:rsidRDefault="00DD0EA5" w14:paraId="15CCB6BC" w14:textId="2B4FBA18">
            <w:pPr>
              <w:spacing w:before="60" w:after="60"/>
              <w:jc w:val="right"/>
              <w:rPr>
                <w:rFonts w:cs="Arial"/>
                <w:sz w:val="20"/>
                <w:szCs w:val="20"/>
                <w:lang w:val="en-AU"/>
              </w:rPr>
            </w:pPr>
            <w:r w:rsidRPr="008D1918">
              <w:rPr>
                <w:rFonts w:cs="Arial"/>
                <w:sz w:val="20"/>
                <w:szCs w:val="20"/>
                <w:lang w:val="en-AU"/>
              </w:rPr>
              <w:t xml:space="preserve">Average </w:t>
            </w:r>
            <w:r w:rsidRPr="008D1918" w:rsidR="008D2BE7">
              <w:rPr>
                <w:rFonts w:cs="Arial"/>
                <w:sz w:val="20"/>
                <w:szCs w:val="20"/>
                <w:lang w:val="en-AU"/>
              </w:rPr>
              <w:t>p</w:t>
            </w:r>
            <w:r w:rsidRPr="008D1918">
              <w:rPr>
                <w:rFonts w:cs="Arial"/>
                <w:sz w:val="20"/>
                <w:szCs w:val="20"/>
                <w:lang w:val="en-AU"/>
              </w:rPr>
              <w:t xml:space="preserve">ayments to </w:t>
            </w:r>
            <w:r w:rsidRPr="008D1918" w:rsidR="008D2BE7">
              <w:rPr>
                <w:rFonts w:cs="Arial"/>
                <w:sz w:val="20"/>
                <w:szCs w:val="20"/>
                <w:lang w:val="en-AU"/>
              </w:rPr>
              <w:t>p</w:t>
            </w:r>
            <w:r w:rsidRPr="008D1918">
              <w:rPr>
                <w:rFonts w:cs="Arial"/>
                <w:sz w:val="20"/>
                <w:szCs w:val="20"/>
                <w:lang w:val="en-AU"/>
              </w:rPr>
              <w:t>roviders</w:t>
            </w:r>
          </w:p>
        </w:tc>
        <w:tc>
          <w:tcPr>
            <w:tcW w:w="1701" w:type="dxa"/>
          </w:tcPr>
          <w:p w:rsidRPr="008D1918" w:rsidR="00DD0EA5" w:rsidP="00BD56AB" w:rsidRDefault="00DD0EA5" w14:paraId="698B05A3" w14:textId="63335DF9">
            <w:pPr>
              <w:spacing w:before="60" w:after="60"/>
              <w:jc w:val="right"/>
              <w:rPr>
                <w:rFonts w:cs="Arial"/>
                <w:sz w:val="20"/>
                <w:szCs w:val="20"/>
                <w:lang w:val="en-AU" w:eastAsia="en-AU"/>
              </w:rPr>
            </w:pPr>
            <w:r w:rsidRPr="008D1918">
              <w:rPr>
                <w:rFonts w:cs="Arial"/>
                <w:sz w:val="20"/>
                <w:szCs w:val="20"/>
                <w:lang w:val="en-AU"/>
              </w:rPr>
              <w:t xml:space="preserve">Share of </w:t>
            </w:r>
            <w:r w:rsidRPr="008D1918" w:rsidR="008D2BE7">
              <w:rPr>
                <w:rFonts w:cs="Arial"/>
                <w:sz w:val="20"/>
                <w:szCs w:val="20"/>
                <w:lang w:val="en-AU"/>
              </w:rPr>
              <w:t>t</w:t>
            </w:r>
            <w:r w:rsidRPr="008D1918">
              <w:rPr>
                <w:rFonts w:cs="Arial"/>
                <w:sz w:val="20"/>
                <w:szCs w:val="20"/>
                <w:lang w:val="en-AU"/>
              </w:rPr>
              <w:t xml:space="preserve">otal </w:t>
            </w:r>
            <w:r w:rsidRPr="008D1918" w:rsidR="008D2BE7">
              <w:rPr>
                <w:rFonts w:cs="Arial"/>
                <w:sz w:val="20"/>
                <w:szCs w:val="20"/>
                <w:lang w:val="en-AU"/>
              </w:rPr>
              <w:t>p</w:t>
            </w:r>
            <w:r w:rsidRPr="008D1918">
              <w:rPr>
                <w:rFonts w:cs="Arial"/>
                <w:sz w:val="20"/>
                <w:szCs w:val="20"/>
                <w:lang w:val="en-AU"/>
              </w:rPr>
              <w:t>ayments</w:t>
            </w:r>
          </w:p>
        </w:tc>
      </w:tr>
      <w:tr w:rsidRPr="008D1918" w:rsidR="002E562F" w:rsidTr="00BD56AB" w14:paraId="49150593" w14:textId="77777777">
        <w:trPr>
          <w:cnfStyle w:val="000000100000" w:firstRow="0" w:lastRow="0" w:firstColumn="0" w:lastColumn="0" w:oddVBand="0" w:evenVBand="0" w:oddHBand="1" w:evenHBand="0" w:firstRowFirstColumn="0" w:firstRowLastColumn="0" w:lastRowFirstColumn="0" w:lastRowLastColumn="0"/>
          <w:trHeight w:val="397"/>
        </w:trPr>
        <w:tc>
          <w:tcPr>
            <w:tcW w:w="2041" w:type="dxa"/>
            <w:vAlign w:val="center"/>
          </w:tcPr>
          <w:p w:rsidRPr="008D1918" w:rsidR="00DD0EA5" w:rsidRDefault="00DD0EA5" w14:paraId="40EC69DB" w14:textId="77777777">
            <w:pPr>
              <w:spacing w:before="60" w:after="60"/>
              <w:rPr>
                <w:rFonts w:cs="Arial"/>
                <w:sz w:val="20"/>
                <w:szCs w:val="20"/>
                <w:lang w:val="en-AU" w:eastAsia="en-AU"/>
              </w:rPr>
            </w:pPr>
            <w:r w:rsidRPr="008D1918">
              <w:rPr>
                <w:rFonts w:cs="Arial"/>
                <w:sz w:val="20"/>
                <w:szCs w:val="20"/>
                <w:lang w:val="en-AU"/>
              </w:rPr>
              <w:t>1</w:t>
            </w:r>
          </w:p>
        </w:tc>
        <w:tc>
          <w:tcPr>
            <w:tcW w:w="1531" w:type="dxa"/>
            <w:vAlign w:val="center"/>
          </w:tcPr>
          <w:p w:rsidRPr="008D1918" w:rsidR="00DD0EA5" w:rsidP="00900847" w:rsidRDefault="00DD0EA5" w14:paraId="48A5C5C2" w14:textId="77777777">
            <w:pPr>
              <w:spacing w:before="60" w:after="60"/>
              <w:ind w:right="62"/>
              <w:jc w:val="right"/>
              <w:rPr>
                <w:rFonts w:cs="Arial"/>
                <w:color w:val="000000" w:themeColor="accent6"/>
                <w:sz w:val="20"/>
                <w:szCs w:val="20"/>
                <w:lang w:val="en-AU" w:eastAsia="en-AU"/>
              </w:rPr>
            </w:pPr>
            <w:r w:rsidRPr="008D1918">
              <w:rPr>
                <w:rFonts w:cs="Arial"/>
                <w:sz w:val="20"/>
                <w:szCs w:val="20"/>
                <w:lang w:val="en-AU"/>
              </w:rPr>
              <w:t xml:space="preserve"> 3,180 </w:t>
            </w:r>
          </w:p>
        </w:tc>
        <w:tc>
          <w:tcPr>
            <w:tcW w:w="1871" w:type="dxa"/>
            <w:vAlign w:val="center"/>
          </w:tcPr>
          <w:p w:rsidRPr="008D1918" w:rsidR="00DD0EA5" w:rsidP="00900847" w:rsidRDefault="00DD0EA5" w14:paraId="1AA07D18" w14:textId="77777777">
            <w:pPr>
              <w:spacing w:before="60" w:after="60"/>
              <w:ind w:right="62"/>
              <w:jc w:val="right"/>
              <w:rPr>
                <w:rFonts w:cs="Arial"/>
                <w:color w:val="000000" w:themeColor="accent6"/>
                <w:sz w:val="20"/>
                <w:szCs w:val="20"/>
                <w:lang w:val="en-AU" w:eastAsia="en-AU"/>
              </w:rPr>
            </w:pPr>
            <w:r w:rsidRPr="008D1918">
              <w:rPr>
                <w:rFonts w:cs="Arial"/>
                <w:sz w:val="20"/>
                <w:szCs w:val="20"/>
                <w:lang w:val="en-AU"/>
              </w:rPr>
              <w:t xml:space="preserve"> $6.5 </w:t>
            </w:r>
          </w:p>
        </w:tc>
        <w:tc>
          <w:tcPr>
            <w:tcW w:w="1644" w:type="dxa"/>
            <w:vAlign w:val="center"/>
          </w:tcPr>
          <w:p w:rsidRPr="008D1918" w:rsidR="00DD0EA5" w:rsidP="00900847" w:rsidRDefault="00DD0EA5" w14:paraId="19EBBE7D" w14:textId="77777777">
            <w:pPr>
              <w:spacing w:before="60" w:after="60"/>
              <w:ind w:right="62"/>
              <w:jc w:val="right"/>
              <w:rPr>
                <w:rFonts w:cs="Arial"/>
                <w:color w:val="000000" w:themeColor="accent6"/>
                <w:sz w:val="20"/>
                <w:szCs w:val="20"/>
                <w:lang w:val="en-AU" w:eastAsia="en-AU"/>
              </w:rPr>
            </w:pPr>
            <w:r w:rsidRPr="008D1918">
              <w:rPr>
                <w:rFonts w:cs="Arial"/>
                <w:sz w:val="20"/>
                <w:szCs w:val="20"/>
                <w:lang w:val="en-AU"/>
              </w:rPr>
              <w:t xml:space="preserve"> $2,000 </w:t>
            </w:r>
          </w:p>
        </w:tc>
        <w:tc>
          <w:tcPr>
            <w:tcW w:w="1701" w:type="dxa"/>
            <w:vAlign w:val="center"/>
          </w:tcPr>
          <w:p w:rsidRPr="008D1918" w:rsidR="00DD0EA5" w:rsidP="00900847" w:rsidRDefault="00DD0EA5" w14:paraId="03F780CE" w14:textId="77777777">
            <w:pPr>
              <w:spacing w:before="60" w:after="60"/>
              <w:ind w:right="62"/>
              <w:jc w:val="right"/>
              <w:rPr>
                <w:rFonts w:cs="Arial"/>
                <w:color w:val="000000" w:themeColor="accent6"/>
                <w:sz w:val="20"/>
                <w:szCs w:val="20"/>
                <w:lang w:val="en-AU" w:eastAsia="en-AU"/>
              </w:rPr>
            </w:pPr>
            <w:r w:rsidRPr="008D1918">
              <w:rPr>
                <w:rFonts w:cs="Arial"/>
                <w:sz w:val="20"/>
                <w:szCs w:val="20"/>
                <w:lang w:val="en-AU"/>
              </w:rPr>
              <w:t>1.1%</w:t>
            </w:r>
          </w:p>
        </w:tc>
      </w:tr>
      <w:tr w:rsidRPr="008D1918" w:rsidR="00762DF8" w:rsidTr="00BD56AB" w14:paraId="758B37CC" w14:textId="77777777">
        <w:trPr>
          <w:trHeight w:val="397"/>
        </w:trPr>
        <w:tc>
          <w:tcPr>
            <w:tcW w:w="2041" w:type="dxa"/>
            <w:vAlign w:val="center"/>
          </w:tcPr>
          <w:p w:rsidRPr="008D1918" w:rsidR="00DD0EA5" w:rsidRDefault="00DD0EA5" w14:paraId="4683AEB8" w14:textId="77777777">
            <w:pPr>
              <w:spacing w:before="60" w:after="60"/>
              <w:rPr>
                <w:rFonts w:cs="Arial"/>
                <w:sz w:val="20"/>
                <w:szCs w:val="20"/>
                <w:lang w:val="en-AU" w:eastAsia="en-AU"/>
              </w:rPr>
            </w:pPr>
            <w:r w:rsidRPr="008D1918">
              <w:rPr>
                <w:rFonts w:cs="Arial"/>
                <w:sz w:val="20"/>
                <w:szCs w:val="20"/>
                <w:lang w:val="en-AU"/>
              </w:rPr>
              <w:t>2</w:t>
            </w:r>
          </w:p>
        </w:tc>
        <w:tc>
          <w:tcPr>
            <w:tcW w:w="1531" w:type="dxa"/>
            <w:vAlign w:val="center"/>
          </w:tcPr>
          <w:p w:rsidRPr="008D1918" w:rsidR="00DD0EA5" w:rsidP="00900847" w:rsidRDefault="00DD0EA5" w14:paraId="44D2AC46" w14:textId="77777777">
            <w:pPr>
              <w:spacing w:before="60" w:after="60"/>
              <w:ind w:right="62"/>
              <w:jc w:val="right"/>
              <w:rPr>
                <w:rFonts w:cs="Arial"/>
                <w:color w:val="000000" w:themeColor="accent6"/>
                <w:sz w:val="20"/>
                <w:szCs w:val="20"/>
                <w:lang w:val="en-AU" w:eastAsia="en-AU"/>
              </w:rPr>
            </w:pPr>
            <w:r w:rsidRPr="008D1918">
              <w:rPr>
                <w:rFonts w:cs="Arial"/>
                <w:sz w:val="20"/>
                <w:szCs w:val="20"/>
                <w:lang w:val="en-AU"/>
              </w:rPr>
              <w:t xml:space="preserve"> 974 </w:t>
            </w:r>
          </w:p>
        </w:tc>
        <w:tc>
          <w:tcPr>
            <w:tcW w:w="1871" w:type="dxa"/>
            <w:vAlign w:val="center"/>
          </w:tcPr>
          <w:p w:rsidRPr="008D1918" w:rsidR="00DD0EA5" w:rsidP="00900847" w:rsidRDefault="00DD0EA5" w14:paraId="6127D4B1" w14:textId="77777777">
            <w:pPr>
              <w:spacing w:before="60" w:after="60"/>
              <w:ind w:right="62"/>
              <w:jc w:val="right"/>
              <w:rPr>
                <w:rFonts w:cs="Arial"/>
                <w:color w:val="000000" w:themeColor="accent6"/>
                <w:sz w:val="20"/>
                <w:szCs w:val="20"/>
                <w:lang w:val="en-AU" w:eastAsia="en-AU"/>
              </w:rPr>
            </w:pPr>
            <w:r w:rsidRPr="008D1918">
              <w:rPr>
                <w:rFonts w:cs="Arial"/>
                <w:sz w:val="20"/>
                <w:szCs w:val="20"/>
                <w:lang w:val="en-AU"/>
              </w:rPr>
              <w:t xml:space="preserve"> $4.0 </w:t>
            </w:r>
          </w:p>
        </w:tc>
        <w:tc>
          <w:tcPr>
            <w:tcW w:w="1644" w:type="dxa"/>
            <w:vAlign w:val="center"/>
          </w:tcPr>
          <w:p w:rsidRPr="008D1918" w:rsidR="00DD0EA5" w:rsidP="00900847" w:rsidRDefault="00DD0EA5" w14:paraId="50176D48" w14:textId="77777777">
            <w:pPr>
              <w:spacing w:before="60" w:after="60"/>
              <w:ind w:right="62"/>
              <w:jc w:val="right"/>
              <w:rPr>
                <w:rFonts w:cs="Arial"/>
                <w:color w:val="000000" w:themeColor="accent6"/>
                <w:sz w:val="20"/>
                <w:szCs w:val="20"/>
                <w:lang w:val="en-AU" w:eastAsia="en-AU"/>
              </w:rPr>
            </w:pPr>
            <w:r w:rsidRPr="008D1918">
              <w:rPr>
                <w:rFonts w:cs="Arial"/>
                <w:sz w:val="20"/>
                <w:szCs w:val="20"/>
                <w:lang w:val="en-AU"/>
              </w:rPr>
              <w:t xml:space="preserve"> $4,200 </w:t>
            </w:r>
          </w:p>
        </w:tc>
        <w:tc>
          <w:tcPr>
            <w:tcW w:w="1701" w:type="dxa"/>
            <w:vAlign w:val="center"/>
          </w:tcPr>
          <w:p w:rsidRPr="008D1918" w:rsidR="00DD0EA5" w:rsidP="00900847" w:rsidRDefault="00DD0EA5" w14:paraId="2DC83AF9" w14:textId="77777777">
            <w:pPr>
              <w:spacing w:before="60" w:after="60"/>
              <w:ind w:right="62"/>
              <w:jc w:val="right"/>
              <w:rPr>
                <w:rFonts w:cs="Arial"/>
                <w:color w:val="000000" w:themeColor="accent6"/>
                <w:sz w:val="20"/>
                <w:szCs w:val="20"/>
                <w:lang w:val="en-AU" w:eastAsia="en-AU"/>
              </w:rPr>
            </w:pPr>
            <w:r w:rsidRPr="008D1918">
              <w:rPr>
                <w:rFonts w:cs="Arial"/>
                <w:sz w:val="20"/>
                <w:szCs w:val="20"/>
                <w:lang w:val="en-AU"/>
              </w:rPr>
              <w:t>0.7%</w:t>
            </w:r>
          </w:p>
        </w:tc>
      </w:tr>
      <w:tr w:rsidRPr="008D1918" w:rsidR="002E562F" w:rsidTr="00BD56AB" w14:paraId="6296A157" w14:textId="77777777">
        <w:trPr>
          <w:cnfStyle w:val="000000100000" w:firstRow="0" w:lastRow="0" w:firstColumn="0" w:lastColumn="0" w:oddVBand="0" w:evenVBand="0" w:oddHBand="1" w:evenHBand="0" w:firstRowFirstColumn="0" w:firstRowLastColumn="0" w:lastRowFirstColumn="0" w:lastRowLastColumn="0"/>
          <w:trHeight w:val="397"/>
        </w:trPr>
        <w:tc>
          <w:tcPr>
            <w:tcW w:w="2041" w:type="dxa"/>
            <w:vAlign w:val="center"/>
          </w:tcPr>
          <w:p w:rsidRPr="008D1918" w:rsidR="00DD0EA5" w:rsidRDefault="00DD0EA5" w14:paraId="78E8890A" w14:textId="77777777">
            <w:pPr>
              <w:spacing w:before="60" w:after="60"/>
              <w:rPr>
                <w:rFonts w:cs="Arial"/>
                <w:sz w:val="20"/>
                <w:szCs w:val="20"/>
                <w:lang w:val="en-AU" w:eastAsia="en-AU"/>
              </w:rPr>
            </w:pPr>
            <w:r w:rsidRPr="008D1918">
              <w:rPr>
                <w:rFonts w:cs="Arial"/>
                <w:sz w:val="20"/>
                <w:szCs w:val="20"/>
                <w:lang w:val="en-AU"/>
              </w:rPr>
              <w:t>3</w:t>
            </w:r>
          </w:p>
        </w:tc>
        <w:tc>
          <w:tcPr>
            <w:tcW w:w="1531" w:type="dxa"/>
            <w:vAlign w:val="center"/>
          </w:tcPr>
          <w:p w:rsidRPr="008D1918" w:rsidR="00DD0EA5" w:rsidP="00900847" w:rsidRDefault="00DD0EA5" w14:paraId="0BDE2F42" w14:textId="77777777">
            <w:pPr>
              <w:spacing w:before="60" w:after="60"/>
              <w:ind w:right="62"/>
              <w:jc w:val="right"/>
              <w:rPr>
                <w:rFonts w:cs="Arial"/>
                <w:sz w:val="20"/>
                <w:szCs w:val="20"/>
                <w:lang w:val="en-AU"/>
              </w:rPr>
            </w:pPr>
            <w:r w:rsidRPr="008D1918">
              <w:rPr>
                <w:rFonts w:cs="Arial"/>
                <w:sz w:val="20"/>
                <w:szCs w:val="20"/>
                <w:lang w:val="en-AU"/>
              </w:rPr>
              <w:t xml:space="preserve"> 639 </w:t>
            </w:r>
          </w:p>
        </w:tc>
        <w:tc>
          <w:tcPr>
            <w:tcW w:w="1871" w:type="dxa"/>
            <w:vAlign w:val="center"/>
          </w:tcPr>
          <w:p w:rsidRPr="008D1918" w:rsidR="00DD0EA5" w:rsidP="00900847" w:rsidRDefault="00DD0EA5" w14:paraId="65C7BCBC" w14:textId="77777777">
            <w:pPr>
              <w:spacing w:before="60" w:after="60"/>
              <w:ind w:right="62"/>
              <w:jc w:val="right"/>
              <w:rPr>
                <w:rFonts w:cs="Arial"/>
                <w:sz w:val="20"/>
                <w:szCs w:val="20"/>
                <w:lang w:val="en-AU"/>
              </w:rPr>
            </w:pPr>
            <w:r w:rsidRPr="008D1918">
              <w:rPr>
                <w:rFonts w:cs="Arial"/>
                <w:sz w:val="20"/>
                <w:szCs w:val="20"/>
                <w:lang w:val="en-AU"/>
              </w:rPr>
              <w:t xml:space="preserve"> $4.1 </w:t>
            </w:r>
          </w:p>
        </w:tc>
        <w:tc>
          <w:tcPr>
            <w:tcW w:w="1644" w:type="dxa"/>
            <w:vAlign w:val="center"/>
          </w:tcPr>
          <w:p w:rsidRPr="008D1918" w:rsidR="00DD0EA5" w:rsidP="00900847" w:rsidRDefault="00DD0EA5" w14:paraId="3AA05642" w14:textId="77777777">
            <w:pPr>
              <w:spacing w:before="60" w:after="60"/>
              <w:ind w:right="62"/>
              <w:jc w:val="right"/>
              <w:rPr>
                <w:rFonts w:cs="Arial"/>
                <w:sz w:val="20"/>
                <w:szCs w:val="20"/>
                <w:lang w:val="en-AU"/>
              </w:rPr>
            </w:pPr>
            <w:r w:rsidRPr="008D1918">
              <w:rPr>
                <w:rFonts w:cs="Arial"/>
                <w:sz w:val="20"/>
                <w:szCs w:val="20"/>
                <w:lang w:val="en-AU"/>
              </w:rPr>
              <w:t xml:space="preserve"> $6,500 </w:t>
            </w:r>
          </w:p>
        </w:tc>
        <w:tc>
          <w:tcPr>
            <w:tcW w:w="1701" w:type="dxa"/>
            <w:vAlign w:val="center"/>
          </w:tcPr>
          <w:p w:rsidRPr="008D1918" w:rsidR="00DD0EA5" w:rsidP="00900847" w:rsidRDefault="00DD0EA5" w14:paraId="3419F346" w14:textId="77777777">
            <w:pPr>
              <w:spacing w:before="60" w:after="60"/>
              <w:ind w:right="62"/>
              <w:jc w:val="right"/>
              <w:rPr>
                <w:rFonts w:cs="Arial"/>
                <w:sz w:val="20"/>
                <w:szCs w:val="20"/>
                <w:lang w:val="en-AU"/>
              </w:rPr>
            </w:pPr>
            <w:r w:rsidRPr="008D1918">
              <w:rPr>
                <w:rFonts w:cs="Arial"/>
                <w:sz w:val="20"/>
                <w:szCs w:val="20"/>
                <w:lang w:val="en-AU"/>
              </w:rPr>
              <w:t>0.7%</w:t>
            </w:r>
          </w:p>
        </w:tc>
      </w:tr>
      <w:tr w:rsidRPr="008D1918" w:rsidR="00762DF8" w:rsidTr="00BD56AB" w14:paraId="194C5352" w14:textId="77777777">
        <w:trPr>
          <w:trHeight w:val="397"/>
        </w:trPr>
        <w:tc>
          <w:tcPr>
            <w:tcW w:w="2041" w:type="dxa"/>
            <w:vAlign w:val="center"/>
          </w:tcPr>
          <w:p w:rsidRPr="008D1918" w:rsidR="00DD0EA5" w:rsidRDefault="00DD0EA5" w14:paraId="47B86970" w14:textId="77777777">
            <w:pPr>
              <w:spacing w:before="60" w:after="60"/>
              <w:rPr>
                <w:rFonts w:cs="Arial"/>
                <w:b/>
                <w:bCs/>
                <w:sz w:val="20"/>
                <w:szCs w:val="20"/>
                <w:lang w:val="en-AU" w:eastAsia="en-AU"/>
              </w:rPr>
            </w:pPr>
            <w:r w:rsidRPr="008D1918">
              <w:rPr>
                <w:rFonts w:cs="Arial"/>
                <w:sz w:val="20"/>
                <w:szCs w:val="20"/>
                <w:lang w:val="en-AU"/>
              </w:rPr>
              <w:t>4</w:t>
            </w:r>
          </w:p>
        </w:tc>
        <w:tc>
          <w:tcPr>
            <w:tcW w:w="1531" w:type="dxa"/>
            <w:vAlign w:val="center"/>
          </w:tcPr>
          <w:p w:rsidRPr="008D1918" w:rsidR="00DD0EA5" w:rsidP="00900847" w:rsidRDefault="00DD0EA5" w14:paraId="08B1B792" w14:textId="77777777">
            <w:pPr>
              <w:spacing w:before="60" w:after="60"/>
              <w:ind w:right="62"/>
              <w:jc w:val="right"/>
              <w:rPr>
                <w:rFonts w:cs="Arial"/>
                <w:b/>
                <w:bCs/>
                <w:sz w:val="20"/>
                <w:szCs w:val="20"/>
                <w:lang w:val="en-AU"/>
              </w:rPr>
            </w:pPr>
            <w:r w:rsidRPr="008D1918">
              <w:rPr>
                <w:rFonts w:cs="Arial"/>
                <w:sz w:val="20"/>
                <w:szCs w:val="20"/>
                <w:lang w:val="en-AU"/>
              </w:rPr>
              <w:t xml:space="preserve"> 487 </w:t>
            </w:r>
          </w:p>
        </w:tc>
        <w:tc>
          <w:tcPr>
            <w:tcW w:w="1871" w:type="dxa"/>
            <w:vAlign w:val="center"/>
          </w:tcPr>
          <w:p w:rsidRPr="008D1918" w:rsidR="00DD0EA5" w:rsidP="00900847" w:rsidRDefault="00DD0EA5" w14:paraId="24DC1343" w14:textId="77777777">
            <w:pPr>
              <w:spacing w:before="60" w:after="60"/>
              <w:ind w:right="62"/>
              <w:jc w:val="right"/>
              <w:rPr>
                <w:rFonts w:cs="Arial"/>
                <w:b/>
                <w:bCs/>
                <w:sz w:val="20"/>
                <w:szCs w:val="20"/>
                <w:lang w:val="en-AU"/>
              </w:rPr>
            </w:pPr>
            <w:r w:rsidRPr="008D1918">
              <w:rPr>
                <w:rFonts w:cs="Arial"/>
                <w:sz w:val="20"/>
                <w:szCs w:val="20"/>
                <w:lang w:val="en-AU"/>
              </w:rPr>
              <w:t xml:space="preserve"> $4.2 </w:t>
            </w:r>
          </w:p>
        </w:tc>
        <w:tc>
          <w:tcPr>
            <w:tcW w:w="1644" w:type="dxa"/>
            <w:vAlign w:val="center"/>
          </w:tcPr>
          <w:p w:rsidRPr="008D1918" w:rsidR="00DD0EA5" w:rsidP="00900847" w:rsidRDefault="00DD0EA5" w14:paraId="29DBC629" w14:textId="77777777">
            <w:pPr>
              <w:spacing w:before="60" w:after="60"/>
              <w:ind w:right="62"/>
              <w:jc w:val="right"/>
              <w:rPr>
                <w:rFonts w:cs="Arial"/>
                <w:b/>
                <w:bCs/>
                <w:sz w:val="20"/>
                <w:szCs w:val="20"/>
                <w:lang w:val="en-AU"/>
              </w:rPr>
            </w:pPr>
            <w:r w:rsidRPr="008D1918">
              <w:rPr>
                <w:rFonts w:cs="Arial"/>
                <w:sz w:val="20"/>
                <w:szCs w:val="20"/>
                <w:lang w:val="en-AU"/>
              </w:rPr>
              <w:t xml:space="preserve"> $8,600 </w:t>
            </w:r>
          </w:p>
        </w:tc>
        <w:tc>
          <w:tcPr>
            <w:tcW w:w="1701" w:type="dxa"/>
            <w:vAlign w:val="center"/>
          </w:tcPr>
          <w:p w:rsidRPr="008D1918" w:rsidR="00DD0EA5" w:rsidP="00900847" w:rsidRDefault="00DD0EA5" w14:paraId="6F4DDE0C" w14:textId="77777777">
            <w:pPr>
              <w:spacing w:before="60" w:after="60"/>
              <w:ind w:right="62"/>
              <w:jc w:val="right"/>
              <w:rPr>
                <w:rFonts w:cs="Arial"/>
                <w:b/>
                <w:bCs/>
                <w:sz w:val="20"/>
                <w:szCs w:val="20"/>
                <w:lang w:val="en-AU"/>
              </w:rPr>
            </w:pPr>
            <w:r w:rsidRPr="008D1918">
              <w:rPr>
                <w:rFonts w:cs="Arial"/>
                <w:sz w:val="20"/>
                <w:szCs w:val="20"/>
                <w:lang w:val="en-AU"/>
              </w:rPr>
              <w:t>0.7%</w:t>
            </w:r>
          </w:p>
        </w:tc>
      </w:tr>
      <w:tr w:rsidRPr="008D1918" w:rsidR="002E562F" w:rsidTr="00BD56AB" w14:paraId="1A2EBDB7" w14:textId="77777777">
        <w:trPr>
          <w:cnfStyle w:val="000000100000" w:firstRow="0" w:lastRow="0" w:firstColumn="0" w:lastColumn="0" w:oddVBand="0" w:evenVBand="0" w:oddHBand="1" w:evenHBand="0" w:firstRowFirstColumn="0" w:firstRowLastColumn="0" w:lastRowFirstColumn="0" w:lastRowLastColumn="0"/>
          <w:trHeight w:val="397"/>
        </w:trPr>
        <w:tc>
          <w:tcPr>
            <w:tcW w:w="2041" w:type="dxa"/>
            <w:vAlign w:val="center"/>
          </w:tcPr>
          <w:p w:rsidRPr="008D1918" w:rsidR="00DD0EA5" w:rsidRDefault="00DD0EA5" w14:paraId="20252611" w14:textId="77777777">
            <w:pPr>
              <w:spacing w:before="60" w:after="60"/>
              <w:rPr>
                <w:rFonts w:cs="Arial"/>
                <w:b/>
                <w:bCs/>
                <w:sz w:val="20"/>
                <w:szCs w:val="20"/>
                <w:lang w:val="en-AU" w:eastAsia="en-AU"/>
              </w:rPr>
            </w:pPr>
            <w:r w:rsidRPr="008D1918">
              <w:rPr>
                <w:rFonts w:cs="Arial"/>
                <w:sz w:val="20"/>
                <w:szCs w:val="20"/>
                <w:lang w:val="en-AU"/>
              </w:rPr>
              <w:t>5</w:t>
            </w:r>
          </w:p>
        </w:tc>
        <w:tc>
          <w:tcPr>
            <w:tcW w:w="1531" w:type="dxa"/>
            <w:vAlign w:val="center"/>
          </w:tcPr>
          <w:p w:rsidRPr="008D1918" w:rsidR="00DD0EA5" w:rsidP="00900847" w:rsidRDefault="00DD0EA5" w14:paraId="4C321345" w14:textId="77777777">
            <w:pPr>
              <w:spacing w:before="60" w:after="60"/>
              <w:ind w:right="62"/>
              <w:jc w:val="right"/>
              <w:rPr>
                <w:rFonts w:cs="Arial"/>
                <w:b/>
                <w:bCs/>
                <w:sz w:val="20"/>
                <w:szCs w:val="20"/>
                <w:lang w:val="en-AU"/>
              </w:rPr>
            </w:pPr>
            <w:r w:rsidRPr="008D1918">
              <w:rPr>
                <w:rFonts w:cs="Arial"/>
                <w:sz w:val="20"/>
                <w:szCs w:val="20"/>
                <w:lang w:val="en-AU"/>
              </w:rPr>
              <w:t xml:space="preserve"> 386 </w:t>
            </w:r>
          </w:p>
        </w:tc>
        <w:tc>
          <w:tcPr>
            <w:tcW w:w="1871" w:type="dxa"/>
            <w:vAlign w:val="center"/>
          </w:tcPr>
          <w:p w:rsidRPr="008D1918" w:rsidR="00DD0EA5" w:rsidP="00900847" w:rsidRDefault="00DD0EA5" w14:paraId="381A27A4" w14:textId="77777777">
            <w:pPr>
              <w:spacing w:before="60" w:after="60"/>
              <w:ind w:right="62"/>
              <w:jc w:val="right"/>
              <w:rPr>
                <w:rFonts w:cs="Arial"/>
                <w:b/>
                <w:bCs/>
                <w:sz w:val="20"/>
                <w:szCs w:val="20"/>
                <w:lang w:val="en-AU"/>
              </w:rPr>
            </w:pPr>
            <w:r w:rsidRPr="008D1918">
              <w:rPr>
                <w:rFonts w:cs="Arial"/>
                <w:sz w:val="20"/>
                <w:szCs w:val="20"/>
                <w:lang w:val="en-AU"/>
              </w:rPr>
              <w:t xml:space="preserve"> $4.0 </w:t>
            </w:r>
          </w:p>
        </w:tc>
        <w:tc>
          <w:tcPr>
            <w:tcW w:w="1644" w:type="dxa"/>
            <w:vAlign w:val="center"/>
          </w:tcPr>
          <w:p w:rsidRPr="008D1918" w:rsidR="00DD0EA5" w:rsidP="00900847" w:rsidRDefault="00DD0EA5" w14:paraId="5E6F95CB" w14:textId="77777777">
            <w:pPr>
              <w:spacing w:before="60" w:after="60"/>
              <w:ind w:right="62"/>
              <w:jc w:val="right"/>
              <w:rPr>
                <w:rFonts w:cs="Arial"/>
                <w:b/>
                <w:bCs/>
                <w:sz w:val="20"/>
                <w:szCs w:val="20"/>
                <w:lang w:val="en-AU"/>
              </w:rPr>
            </w:pPr>
            <w:r w:rsidRPr="008D1918">
              <w:rPr>
                <w:rFonts w:cs="Arial"/>
                <w:sz w:val="20"/>
                <w:szCs w:val="20"/>
                <w:lang w:val="en-AU"/>
              </w:rPr>
              <w:t xml:space="preserve"> $10,300 </w:t>
            </w:r>
          </w:p>
        </w:tc>
        <w:tc>
          <w:tcPr>
            <w:tcW w:w="1701" w:type="dxa"/>
            <w:vAlign w:val="center"/>
          </w:tcPr>
          <w:p w:rsidRPr="008D1918" w:rsidR="00DD0EA5" w:rsidP="00900847" w:rsidRDefault="00DD0EA5" w14:paraId="79D27711" w14:textId="77777777">
            <w:pPr>
              <w:spacing w:before="60" w:after="60"/>
              <w:ind w:right="62"/>
              <w:jc w:val="right"/>
              <w:rPr>
                <w:rFonts w:cs="Arial"/>
                <w:b/>
                <w:bCs/>
                <w:sz w:val="20"/>
                <w:szCs w:val="20"/>
                <w:lang w:val="en-AU"/>
              </w:rPr>
            </w:pPr>
            <w:r w:rsidRPr="008D1918">
              <w:rPr>
                <w:rFonts w:cs="Arial"/>
                <w:sz w:val="20"/>
                <w:szCs w:val="20"/>
                <w:lang w:val="en-AU"/>
              </w:rPr>
              <w:t>0.6%</w:t>
            </w:r>
          </w:p>
        </w:tc>
      </w:tr>
      <w:tr w:rsidRPr="008D1918" w:rsidR="00762DF8" w:rsidTr="00BD56AB" w14:paraId="2C955AC6" w14:textId="77777777">
        <w:trPr>
          <w:trHeight w:val="397"/>
        </w:trPr>
        <w:tc>
          <w:tcPr>
            <w:tcW w:w="2041" w:type="dxa"/>
            <w:vAlign w:val="center"/>
          </w:tcPr>
          <w:p w:rsidRPr="008D1918" w:rsidR="00DD0EA5" w:rsidRDefault="00DD0EA5" w14:paraId="0E30D6BF" w14:textId="77777777">
            <w:pPr>
              <w:spacing w:before="60" w:after="60"/>
              <w:rPr>
                <w:rFonts w:cs="Arial"/>
                <w:b/>
                <w:bCs/>
                <w:sz w:val="20"/>
                <w:szCs w:val="20"/>
                <w:lang w:val="en-AU" w:eastAsia="en-AU"/>
              </w:rPr>
            </w:pPr>
            <w:r w:rsidRPr="008D1918">
              <w:rPr>
                <w:rFonts w:cs="Arial"/>
                <w:sz w:val="20"/>
                <w:szCs w:val="20"/>
                <w:lang w:val="en-AU"/>
              </w:rPr>
              <w:t>6-10</w:t>
            </w:r>
          </w:p>
        </w:tc>
        <w:tc>
          <w:tcPr>
            <w:tcW w:w="1531" w:type="dxa"/>
            <w:vAlign w:val="center"/>
          </w:tcPr>
          <w:p w:rsidRPr="008D1918" w:rsidR="00DD0EA5" w:rsidP="00900847" w:rsidRDefault="00DD0EA5" w14:paraId="02AB18E2" w14:textId="77777777">
            <w:pPr>
              <w:spacing w:before="60" w:after="60"/>
              <w:ind w:right="62"/>
              <w:jc w:val="right"/>
              <w:rPr>
                <w:rFonts w:cs="Arial"/>
                <w:b/>
                <w:bCs/>
                <w:sz w:val="20"/>
                <w:szCs w:val="20"/>
                <w:lang w:val="en-AU"/>
              </w:rPr>
            </w:pPr>
            <w:r w:rsidRPr="008D1918">
              <w:rPr>
                <w:rFonts w:cs="Arial"/>
                <w:sz w:val="20"/>
                <w:szCs w:val="20"/>
                <w:lang w:val="en-AU"/>
              </w:rPr>
              <w:t xml:space="preserve"> 1,269 </w:t>
            </w:r>
          </w:p>
        </w:tc>
        <w:tc>
          <w:tcPr>
            <w:tcW w:w="1871" w:type="dxa"/>
            <w:vAlign w:val="center"/>
          </w:tcPr>
          <w:p w:rsidRPr="008D1918" w:rsidR="00DD0EA5" w:rsidP="00900847" w:rsidRDefault="00DD0EA5" w14:paraId="78E6521E" w14:textId="77777777">
            <w:pPr>
              <w:spacing w:before="60" w:after="60"/>
              <w:ind w:right="62"/>
              <w:jc w:val="right"/>
              <w:rPr>
                <w:rFonts w:cs="Arial"/>
                <w:b/>
                <w:bCs/>
                <w:sz w:val="20"/>
                <w:szCs w:val="20"/>
                <w:lang w:val="en-AU"/>
              </w:rPr>
            </w:pPr>
            <w:r w:rsidRPr="008D1918">
              <w:rPr>
                <w:rFonts w:cs="Arial"/>
                <w:sz w:val="20"/>
                <w:szCs w:val="20"/>
                <w:lang w:val="en-AU"/>
              </w:rPr>
              <w:t xml:space="preserve"> $20.0 </w:t>
            </w:r>
          </w:p>
        </w:tc>
        <w:tc>
          <w:tcPr>
            <w:tcW w:w="1644" w:type="dxa"/>
            <w:vAlign w:val="center"/>
          </w:tcPr>
          <w:p w:rsidRPr="008D1918" w:rsidR="00DD0EA5" w:rsidP="00900847" w:rsidRDefault="00DD0EA5" w14:paraId="36E935B3" w14:textId="77777777">
            <w:pPr>
              <w:spacing w:before="60" w:after="60"/>
              <w:ind w:right="62"/>
              <w:jc w:val="right"/>
              <w:rPr>
                <w:rFonts w:cs="Arial"/>
                <w:b/>
                <w:bCs/>
                <w:sz w:val="20"/>
                <w:szCs w:val="20"/>
                <w:lang w:val="en-AU"/>
              </w:rPr>
            </w:pPr>
            <w:r w:rsidRPr="008D1918">
              <w:rPr>
                <w:rFonts w:cs="Arial"/>
                <w:sz w:val="20"/>
                <w:szCs w:val="20"/>
                <w:lang w:val="en-AU"/>
              </w:rPr>
              <w:t xml:space="preserve"> $15,800 </w:t>
            </w:r>
          </w:p>
        </w:tc>
        <w:tc>
          <w:tcPr>
            <w:tcW w:w="1701" w:type="dxa"/>
            <w:vAlign w:val="center"/>
          </w:tcPr>
          <w:p w:rsidRPr="008D1918" w:rsidR="00DD0EA5" w:rsidP="00900847" w:rsidRDefault="00DD0EA5" w14:paraId="2BBDD4B1" w14:textId="77777777">
            <w:pPr>
              <w:spacing w:before="60" w:after="60"/>
              <w:ind w:right="62"/>
              <w:jc w:val="right"/>
              <w:rPr>
                <w:rFonts w:cs="Arial"/>
                <w:b/>
                <w:bCs/>
                <w:sz w:val="20"/>
                <w:szCs w:val="20"/>
                <w:lang w:val="en-AU"/>
              </w:rPr>
            </w:pPr>
            <w:r w:rsidRPr="008D1918">
              <w:rPr>
                <w:rFonts w:cs="Arial"/>
                <w:sz w:val="20"/>
                <w:szCs w:val="20"/>
                <w:lang w:val="en-AU"/>
              </w:rPr>
              <w:t>3.2%</w:t>
            </w:r>
          </w:p>
        </w:tc>
      </w:tr>
      <w:tr w:rsidRPr="008D1918" w:rsidR="002E562F" w:rsidTr="00BD56AB" w14:paraId="05593C75" w14:textId="77777777">
        <w:trPr>
          <w:cnfStyle w:val="000000100000" w:firstRow="0" w:lastRow="0" w:firstColumn="0" w:lastColumn="0" w:oddVBand="0" w:evenVBand="0" w:oddHBand="1" w:evenHBand="0" w:firstRowFirstColumn="0" w:firstRowLastColumn="0" w:lastRowFirstColumn="0" w:lastRowLastColumn="0"/>
          <w:trHeight w:val="397"/>
        </w:trPr>
        <w:tc>
          <w:tcPr>
            <w:tcW w:w="2041" w:type="dxa"/>
            <w:vAlign w:val="center"/>
          </w:tcPr>
          <w:p w:rsidRPr="008D1918" w:rsidR="00DD0EA5" w:rsidRDefault="00DD0EA5" w14:paraId="78C83AEA" w14:textId="77777777">
            <w:pPr>
              <w:spacing w:before="60" w:after="60"/>
              <w:rPr>
                <w:rFonts w:cs="Arial"/>
                <w:b/>
                <w:bCs/>
                <w:sz w:val="20"/>
                <w:szCs w:val="20"/>
                <w:lang w:val="en-AU" w:eastAsia="en-AU"/>
              </w:rPr>
            </w:pPr>
            <w:r w:rsidRPr="008D1918">
              <w:rPr>
                <w:rFonts w:cs="Arial"/>
                <w:sz w:val="20"/>
                <w:szCs w:val="20"/>
                <w:lang w:val="en-AU"/>
              </w:rPr>
              <w:t>11-50</w:t>
            </w:r>
          </w:p>
        </w:tc>
        <w:tc>
          <w:tcPr>
            <w:tcW w:w="1531" w:type="dxa"/>
            <w:vAlign w:val="center"/>
          </w:tcPr>
          <w:p w:rsidRPr="008D1918" w:rsidR="00DD0EA5" w:rsidP="00900847" w:rsidRDefault="00DD0EA5" w14:paraId="34890CCF" w14:textId="77777777">
            <w:pPr>
              <w:spacing w:before="60" w:after="60"/>
              <w:ind w:right="62"/>
              <w:jc w:val="right"/>
              <w:rPr>
                <w:rFonts w:cs="Arial"/>
                <w:b/>
                <w:bCs/>
                <w:sz w:val="20"/>
                <w:szCs w:val="20"/>
                <w:lang w:val="en-AU"/>
              </w:rPr>
            </w:pPr>
            <w:r w:rsidRPr="008D1918">
              <w:rPr>
                <w:rFonts w:cs="Arial"/>
                <w:sz w:val="20"/>
                <w:szCs w:val="20"/>
                <w:lang w:val="en-AU"/>
              </w:rPr>
              <w:t xml:space="preserve"> 2,804 </w:t>
            </w:r>
          </w:p>
        </w:tc>
        <w:tc>
          <w:tcPr>
            <w:tcW w:w="1871" w:type="dxa"/>
            <w:vAlign w:val="center"/>
          </w:tcPr>
          <w:p w:rsidRPr="008D1918" w:rsidR="00DD0EA5" w:rsidP="00900847" w:rsidRDefault="00DD0EA5" w14:paraId="08BD26F6" w14:textId="77777777">
            <w:pPr>
              <w:spacing w:before="60" w:after="60"/>
              <w:ind w:right="62"/>
              <w:jc w:val="right"/>
              <w:rPr>
                <w:rFonts w:cs="Arial"/>
                <w:b/>
                <w:bCs/>
                <w:sz w:val="20"/>
                <w:szCs w:val="20"/>
                <w:lang w:val="en-AU"/>
              </w:rPr>
            </w:pPr>
            <w:r w:rsidRPr="008D1918">
              <w:rPr>
                <w:rFonts w:cs="Arial"/>
                <w:sz w:val="20"/>
                <w:szCs w:val="20"/>
                <w:lang w:val="en-AU"/>
              </w:rPr>
              <w:t xml:space="preserve"> $132.1 </w:t>
            </w:r>
          </w:p>
        </w:tc>
        <w:tc>
          <w:tcPr>
            <w:tcW w:w="1644" w:type="dxa"/>
            <w:vAlign w:val="center"/>
          </w:tcPr>
          <w:p w:rsidRPr="008D1918" w:rsidR="00DD0EA5" w:rsidP="00900847" w:rsidRDefault="00DD0EA5" w14:paraId="5B8C62F6" w14:textId="77777777">
            <w:pPr>
              <w:spacing w:before="60" w:after="60"/>
              <w:ind w:right="62"/>
              <w:jc w:val="right"/>
              <w:rPr>
                <w:rFonts w:cs="Arial"/>
                <w:b/>
                <w:bCs/>
                <w:sz w:val="20"/>
                <w:szCs w:val="20"/>
                <w:lang w:val="en-AU"/>
              </w:rPr>
            </w:pPr>
            <w:r w:rsidRPr="008D1918">
              <w:rPr>
                <w:rFonts w:cs="Arial"/>
                <w:sz w:val="20"/>
                <w:szCs w:val="20"/>
                <w:lang w:val="en-AU"/>
              </w:rPr>
              <w:t xml:space="preserve"> $47,100 </w:t>
            </w:r>
          </w:p>
        </w:tc>
        <w:tc>
          <w:tcPr>
            <w:tcW w:w="1701" w:type="dxa"/>
            <w:vAlign w:val="center"/>
          </w:tcPr>
          <w:p w:rsidRPr="008D1918" w:rsidR="00DD0EA5" w:rsidP="00900847" w:rsidRDefault="00DD0EA5" w14:paraId="33BD6F07" w14:textId="1140720B">
            <w:pPr>
              <w:spacing w:before="60" w:after="60"/>
              <w:ind w:right="62"/>
              <w:jc w:val="right"/>
              <w:rPr>
                <w:rFonts w:cs="Arial"/>
                <w:b/>
                <w:bCs/>
                <w:sz w:val="20"/>
                <w:szCs w:val="20"/>
                <w:lang w:val="en-AU"/>
              </w:rPr>
            </w:pPr>
            <w:r w:rsidRPr="008D1918">
              <w:rPr>
                <w:rFonts w:cs="Arial"/>
                <w:sz w:val="20"/>
                <w:szCs w:val="20"/>
                <w:lang w:val="en-AU"/>
              </w:rPr>
              <w:t>21.</w:t>
            </w:r>
            <w:r w:rsidRPr="008D1918" w:rsidR="00C74883">
              <w:rPr>
                <w:rFonts w:cs="Arial"/>
                <w:sz w:val="20"/>
                <w:szCs w:val="20"/>
                <w:lang w:val="en-AU"/>
              </w:rPr>
              <w:t>4</w:t>
            </w:r>
            <w:r w:rsidRPr="008D1918">
              <w:rPr>
                <w:rFonts w:cs="Arial"/>
                <w:sz w:val="20"/>
                <w:szCs w:val="20"/>
                <w:lang w:val="en-AU"/>
              </w:rPr>
              <w:t>%</w:t>
            </w:r>
          </w:p>
        </w:tc>
      </w:tr>
      <w:tr w:rsidRPr="008D1918" w:rsidR="00762DF8" w:rsidTr="00BD56AB" w14:paraId="4E660926" w14:textId="77777777">
        <w:trPr>
          <w:trHeight w:val="397"/>
        </w:trPr>
        <w:tc>
          <w:tcPr>
            <w:tcW w:w="2041" w:type="dxa"/>
            <w:vAlign w:val="center"/>
          </w:tcPr>
          <w:p w:rsidRPr="008D1918" w:rsidR="00DD0EA5" w:rsidRDefault="00DD0EA5" w14:paraId="4B7110F8" w14:textId="77777777">
            <w:pPr>
              <w:spacing w:before="60" w:after="60"/>
              <w:rPr>
                <w:rFonts w:cs="Arial"/>
                <w:b/>
                <w:bCs/>
                <w:sz w:val="20"/>
                <w:szCs w:val="20"/>
                <w:lang w:val="en-AU" w:eastAsia="en-AU"/>
              </w:rPr>
            </w:pPr>
            <w:r w:rsidRPr="008D1918">
              <w:rPr>
                <w:rFonts w:cs="Arial"/>
                <w:sz w:val="20"/>
                <w:szCs w:val="20"/>
                <w:lang w:val="en-AU"/>
              </w:rPr>
              <w:t>51-100</w:t>
            </w:r>
          </w:p>
        </w:tc>
        <w:tc>
          <w:tcPr>
            <w:tcW w:w="1531" w:type="dxa"/>
            <w:vAlign w:val="center"/>
          </w:tcPr>
          <w:p w:rsidRPr="008D1918" w:rsidR="00DD0EA5" w:rsidP="00900847" w:rsidRDefault="00DD0EA5" w14:paraId="4BA4EA56" w14:textId="77777777">
            <w:pPr>
              <w:spacing w:before="60" w:after="60"/>
              <w:ind w:right="62"/>
              <w:jc w:val="right"/>
              <w:rPr>
                <w:rFonts w:cs="Arial"/>
                <w:b/>
                <w:bCs/>
                <w:sz w:val="20"/>
                <w:szCs w:val="20"/>
                <w:lang w:val="en-AU"/>
              </w:rPr>
            </w:pPr>
            <w:r w:rsidRPr="008D1918">
              <w:rPr>
                <w:rFonts w:cs="Arial"/>
                <w:sz w:val="20"/>
                <w:szCs w:val="20"/>
                <w:lang w:val="en-AU"/>
              </w:rPr>
              <w:t xml:space="preserve"> 682 </w:t>
            </w:r>
          </w:p>
        </w:tc>
        <w:tc>
          <w:tcPr>
            <w:tcW w:w="1871" w:type="dxa"/>
            <w:vAlign w:val="center"/>
          </w:tcPr>
          <w:p w:rsidRPr="008D1918" w:rsidR="00DD0EA5" w:rsidP="00900847" w:rsidRDefault="00DD0EA5" w14:paraId="10BEC2D5" w14:textId="77777777">
            <w:pPr>
              <w:spacing w:before="60" w:after="60"/>
              <w:ind w:right="62"/>
              <w:jc w:val="right"/>
              <w:rPr>
                <w:rFonts w:cs="Arial"/>
                <w:b/>
                <w:bCs/>
                <w:sz w:val="20"/>
                <w:szCs w:val="20"/>
                <w:lang w:val="en-AU"/>
              </w:rPr>
            </w:pPr>
            <w:r w:rsidRPr="008D1918">
              <w:rPr>
                <w:rFonts w:cs="Arial"/>
                <w:sz w:val="20"/>
                <w:szCs w:val="20"/>
                <w:lang w:val="en-AU"/>
              </w:rPr>
              <w:t xml:space="preserve"> $86.2 </w:t>
            </w:r>
          </w:p>
        </w:tc>
        <w:tc>
          <w:tcPr>
            <w:tcW w:w="1644" w:type="dxa"/>
            <w:vAlign w:val="center"/>
          </w:tcPr>
          <w:p w:rsidRPr="008D1918" w:rsidR="00DD0EA5" w:rsidP="00900847" w:rsidRDefault="00DD0EA5" w14:paraId="014513D7" w14:textId="77777777">
            <w:pPr>
              <w:spacing w:before="60" w:after="60"/>
              <w:ind w:right="62"/>
              <w:jc w:val="right"/>
              <w:rPr>
                <w:rFonts w:cs="Arial"/>
                <w:b/>
                <w:bCs/>
                <w:sz w:val="20"/>
                <w:szCs w:val="20"/>
                <w:lang w:val="en-AU"/>
              </w:rPr>
            </w:pPr>
            <w:r w:rsidRPr="008D1918">
              <w:rPr>
                <w:rFonts w:cs="Arial"/>
                <w:sz w:val="20"/>
                <w:szCs w:val="20"/>
                <w:lang w:val="en-AU"/>
              </w:rPr>
              <w:t xml:space="preserve"> $126,400 </w:t>
            </w:r>
          </w:p>
        </w:tc>
        <w:tc>
          <w:tcPr>
            <w:tcW w:w="1701" w:type="dxa"/>
            <w:vAlign w:val="center"/>
          </w:tcPr>
          <w:p w:rsidRPr="008D1918" w:rsidR="00DD0EA5" w:rsidP="00900847" w:rsidRDefault="00DD0EA5" w14:paraId="5216C3E5" w14:textId="77777777">
            <w:pPr>
              <w:spacing w:before="60" w:after="60"/>
              <w:ind w:right="62"/>
              <w:jc w:val="right"/>
              <w:rPr>
                <w:rFonts w:cs="Arial"/>
                <w:b/>
                <w:bCs/>
                <w:sz w:val="20"/>
                <w:szCs w:val="20"/>
                <w:lang w:val="en-AU"/>
              </w:rPr>
            </w:pPr>
            <w:r w:rsidRPr="008D1918">
              <w:rPr>
                <w:rFonts w:cs="Arial"/>
                <w:sz w:val="20"/>
                <w:szCs w:val="20"/>
                <w:lang w:val="en-AU"/>
              </w:rPr>
              <w:t>13.9%</w:t>
            </w:r>
          </w:p>
        </w:tc>
      </w:tr>
      <w:tr w:rsidRPr="008D1918" w:rsidR="002E562F" w:rsidTr="00BD56AB" w14:paraId="15690663" w14:textId="77777777">
        <w:trPr>
          <w:cnfStyle w:val="000000100000" w:firstRow="0" w:lastRow="0" w:firstColumn="0" w:lastColumn="0" w:oddVBand="0" w:evenVBand="0" w:oddHBand="1" w:evenHBand="0" w:firstRowFirstColumn="0" w:firstRowLastColumn="0" w:lastRowFirstColumn="0" w:lastRowLastColumn="0"/>
          <w:trHeight w:val="397"/>
        </w:trPr>
        <w:tc>
          <w:tcPr>
            <w:tcW w:w="2041" w:type="dxa"/>
            <w:vAlign w:val="center"/>
          </w:tcPr>
          <w:p w:rsidRPr="008D1918" w:rsidR="00DD0EA5" w:rsidRDefault="00DD0EA5" w14:paraId="3B79DDC2" w14:textId="77777777">
            <w:pPr>
              <w:spacing w:before="60" w:after="60"/>
              <w:rPr>
                <w:rFonts w:cs="Arial"/>
                <w:b/>
                <w:bCs/>
                <w:sz w:val="20"/>
                <w:szCs w:val="20"/>
                <w:lang w:val="en-AU" w:eastAsia="en-AU"/>
              </w:rPr>
            </w:pPr>
            <w:r w:rsidRPr="008D1918">
              <w:rPr>
                <w:rFonts w:cs="Arial"/>
                <w:sz w:val="20"/>
                <w:szCs w:val="20"/>
                <w:lang w:val="en-AU"/>
              </w:rPr>
              <w:t>101-250</w:t>
            </w:r>
          </w:p>
        </w:tc>
        <w:tc>
          <w:tcPr>
            <w:tcW w:w="1531" w:type="dxa"/>
            <w:vAlign w:val="center"/>
          </w:tcPr>
          <w:p w:rsidRPr="008D1918" w:rsidR="00DD0EA5" w:rsidP="00900847" w:rsidRDefault="00DD0EA5" w14:paraId="4D3D24FB" w14:textId="77777777">
            <w:pPr>
              <w:spacing w:before="60" w:after="60"/>
              <w:ind w:right="62"/>
              <w:jc w:val="right"/>
              <w:rPr>
                <w:rFonts w:cs="Arial"/>
                <w:b/>
                <w:bCs/>
                <w:sz w:val="20"/>
                <w:szCs w:val="20"/>
                <w:lang w:val="en-AU"/>
              </w:rPr>
            </w:pPr>
            <w:r w:rsidRPr="008D1918">
              <w:rPr>
                <w:rFonts w:cs="Arial"/>
                <w:sz w:val="20"/>
                <w:szCs w:val="20"/>
                <w:lang w:val="en-AU"/>
              </w:rPr>
              <w:t xml:space="preserve"> 507 </w:t>
            </w:r>
          </w:p>
        </w:tc>
        <w:tc>
          <w:tcPr>
            <w:tcW w:w="1871" w:type="dxa"/>
            <w:vAlign w:val="center"/>
          </w:tcPr>
          <w:p w:rsidRPr="008D1918" w:rsidR="00DD0EA5" w:rsidP="00900847" w:rsidRDefault="00DD0EA5" w14:paraId="3DC0924B" w14:textId="77777777">
            <w:pPr>
              <w:spacing w:before="60" w:after="60"/>
              <w:ind w:right="62"/>
              <w:jc w:val="right"/>
              <w:rPr>
                <w:rFonts w:cs="Arial"/>
                <w:b/>
                <w:bCs/>
                <w:sz w:val="20"/>
                <w:szCs w:val="20"/>
                <w:lang w:val="en-AU"/>
              </w:rPr>
            </w:pPr>
            <w:r w:rsidRPr="008D1918">
              <w:rPr>
                <w:rFonts w:cs="Arial"/>
                <w:sz w:val="20"/>
                <w:szCs w:val="20"/>
                <w:lang w:val="en-AU"/>
              </w:rPr>
              <w:t xml:space="preserve"> $142.7 </w:t>
            </w:r>
          </w:p>
        </w:tc>
        <w:tc>
          <w:tcPr>
            <w:tcW w:w="1644" w:type="dxa"/>
            <w:vAlign w:val="center"/>
          </w:tcPr>
          <w:p w:rsidRPr="008D1918" w:rsidR="00DD0EA5" w:rsidP="00900847" w:rsidRDefault="00DD0EA5" w14:paraId="1FB90A4F" w14:textId="77777777">
            <w:pPr>
              <w:spacing w:before="60" w:after="60"/>
              <w:ind w:right="62"/>
              <w:jc w:val="right"/>
              <w:rPr>
                <w:rFonts w:cs="Arial"/>
                <w:b/>
                <w:bCs/>
                <w:sz w:val="20"/>
                <w:szCs w:val="20"/>
                <w:lang w:val="en-AU"/>
              </w:rPr>
            </w:pPr>
            <w:r w:rsidRPr="008D1918">
              <w:rPr>
                <w:rFonts w:cs="Arial"/>
                <w:sz w:val="20"/>
                <w:szCs w:val="20"/>
                <w:lang w:val="en-AU"/>
              </w:rPr>
              <w:t xml:space="preserve"> $281,400 </w:t>
            </w:r>
          </w:p>
        </w:tc>
        <w:tc>
          <w:tcPr>
            <w:tcW w:w="1701" w:type="dxa"/>
            <w:vAlign w:val="center"/>
          </w:tcPr>
          <w:p w:rsidRPr="008D1918" w:rsidR="00DD0EA5" w:rsidP="00900847" w:rsidRDefault="00DD0EA5" w14:paraId="18CD41FB" w14:textId="77777777">
            <w:pPr>
              <w:spacing w:before="60" w:after="60"/>
              <w:ind w:right="62"/>
              <w:jc w:val="right"/>
              <w:rPr>
                <w:rFonts w:cs="Arial"/>
                <w:b/>
                <w:bCs/>
                <w:sz w:val="20"/>
                <w:szCs w:val="20"/>
                <w:lang w:val="en-AU"/>
              </w:rPr>
            </w:pPr>
            <w:r w:rsidRPr="008D1918">
              <w:rPr>
                <w:rFonts w:cs="Arial"/>
                <w:sz w:val="20"/>
                <w:szCs w:val="20"/>
                <w:lang w:val="en-AU"/>
              </w:rPr>
              <w:t>23.1%</w:t>
            </w:r>
          </w:p>
        </w:tc>
      </w:tr>
      <w:tr w:rsidRPr="008D1918" w:rsidR="00762DF8" w:rsidTr="00BD56AB" w14:paraId="550490EC" w14:textId="77777777">
        <w:trPr>
          <w:trHeight w:val="397"/>
        </w:trPr>
        <w:tc>
          <w:tcPr>
            <w:tcW w:w="2041" w:type="dxa"/>
            <w:vAlign w:val="center"/>
          </w:tcPr>
          <w:p w:rsidRPr="008D1918" w:rsidR="00DD0EA5" w:rsidRDefault="00DD0EA5" w14:paraId="7926D363" w14:textId="77777777">
            <w:pPr>
              <w:spacing w:before="60" w:after="60"/>
              <w:rPr>
                <w:rFonts w:cs="Arial"/>
                <w:b/>
                <w:bCs/>
                <w:sz w:val="20"/>
                <w:szCs w:val="20"/>
                <w:lang w:val="en-AU" w:eastAsia="en-AU"/>
              </w:rPr>
            </w:pPr>
            <w:r w:rsidRPr="008D1918">
              <w:rPr>
                <w:rFonts w:cs="Arial"/>
                <w:sz w:val="20"/>
                <w:szCs w:val="20"/>
                <w:lang w:val="en-AU"/>
              </w:rPr>
              <w:t>251-1000</w:t>
            </w:r>
          </w:p>
        </w:tc>
        <w:tc>
          <w:tcPr>
            <w:tcW w:w="1531" w:type="dxa"/>
            <w:vAlign w:val="center"/>
          </w:tcPr>
          <w:p w:rsidRPr="008D1918" w:rsidR="00DD0EA5" w:rsidP="00900847" w:rsidRDefault="00DD0EA5" w14:paraId="61886B7B" w14:textId="77777777">
            <w:pPr>
              <w:spacing w:before="60" w:after="60"/>
              <w:ind w:right="62"/>
              <w:jc w:val="right"/>
              <w:rPr>
                <w:rFonts w:cs="Arial"/>
                <w:b/>
                <w:bCs/>
                <w:sz w:val="20"/>
                <w:szCs w:val="20"/>
                <w:lang w:val="en-AU"/>
              </w:rPr>
            </w:pPr>
            <w:r w:rsidRPr="008D1918">
              <w:rPr>
                <w:rFonts w:cs="Arial"/>
                <w:sz w:val="20"/>
                <w:szCs w:val="20"/>
                <w:lang w:val="en-AU"/>
              </w:rPr>
              <w:t xml:space="preserve"> 184 </w:t>
            </w:r>
          </w:p>
        </w:tc>
        <w:tc>
          <w:tcPr>
            <w:tcW w:w="1871" w:type="dxa"/>
            <w:vAlign w:val="center"/>
          </w:tcPr>
          <w:p w:rsidRPr="008D1918" w:rsidR="00DD0EA5" w:rsidP="00900847" w:rsidRDefault="00DD0EA5" w14:paraId="49904AE3" w14:textId="77777777">
            <w:pPr>
              <w:spacing w:before="60" w:after="60"/>
              <w:ind w:right="62"/>
              <w:jc w:val="right"/>
              <w:rPr>
                <w:rFonts w:cs="Arial"/>
                <w:b/>
                <w:bCs/>
                <w:sz w:val="20"/>
                <w:szCs w:val="20"/>
                <w:lang w:val="en-AU"/>
              </w:rPr>
            </w:pPr>
            <w:r w:rsidRPr="008D1918">
              <w:rPr>
                <w:rFonts w:cs="Arial"/>
                <w:sz w:val="20"/>
                <w:szCs w:val="20"/>
                <w:lang w:val="en-AU"/>
              </w:rPr>
              <w:t xml:space="preserve"> $152.7 </w:t>
            </w:r>
          </w:p>
        </w:tc>
        <w:tc>
          <w:tcPr>
            <w:tcW w:w="1644" w:type="dxa"/>
            <w:vAlign w:val="center"/>
          </w:tcPr>
          <w:p w:rsidRPr="008D1918" w:rsidR="00DD0EA5" w:rsidP="00900847" w:rsidRDefault="00DD0EA5" w14:paraId="3F95D44F" w14:textId="77777777">
            <w:pPr>
              <w:spacing w:before="60" w:after="60"/>
              <w:ind w:right="62"/>
              <w:jc w:val="right"/>
              <w:rPr>
                <w:rFonts w:cs="Arial"/>
                <w:b/>
                <w:bCs/>
                <w:sz w:val="20"/>
                <w:szCs w:val="20"/>
                <w:lang w:val="en-AU"/>
              </w:rPr>
            </w:pPr>
            <w:r w:rsidRPr="008D1918">
              <w:rPr>
                <w:rFonts w:cs="Arial"/>
                <w:sz w:val="20"/>
                <w:szCs w:val="20"/>
                <w:lang w:val="en-AU"/>
              </w:rPr>
              <w:t xml:space="preserve"> $830,100 </w:t>
            </w:r>
          </w:p>
        </w:tc>
        <w:tc>
          <w:tcPr>
            <w:tcW w:w="1701" w:type="dxa"/>
            <w:vAlign w:val="center"/>
          </w:tcPr>
          <w:p w:rsidRPr="008D1918" w:rsidR="00DD0EA5" w:rsidP="00900847" w:rsidRDefault="00DD0EA5" w14:paraId="71FEBF7A" w14:textId="77777777">
            <w:pPr>
              <w:spacing w:before="60" w:after="60"/>
              <w:ind w:right="62"/>
              <w:jc w:val="right"/>
              <w:rPr>
                <w:rFonts w:cs="Arial"/>
                <w:b/>
                <w:bCs/>
                <w:sz w:val="20"/>
                <w:szCs w:val="20"/>
                <w:lang w:val="en-AU"/>
              </w:rPr>
            </w:pPr>
            <w:r w:rsidRPr="008D1918">
              <w:rPr>
                <w:rFonts w:cs="Arial"/>
                <w:sz w:val="20"/>
                <w:szCs w:val="20"/>
                <w:lang w:val="en-AU"/>
              </w:rPr>
              <w:t>24.7%</w:t>
            </w:r>
          </w:p>
        </w:tc>
      </w:tr>
      <w:tr w:rsidRPr="008D1918" w:rsidR="002E562F" w:rsidTr="00BD56AB" w14:paraId="7B7C3192" w14:textId="77777777">
        <w:trPr>
          <w:cnfStyle w:val="000000100000" w:firstRow="0" w:lastRow="0" w:firstColumn="0" w:lastColumn="0" w:oddVBand="0" w:evenVBand="0" w:oddHBand="1" w:evenHBand="0" w:firstRowFirstColumn="0" w:firstRowLastColumn="0" w:lastRowFirstColumn="0" w:lastRowLastColumn="0"/>
          <w:trHeight w:val="397"/>
        </w:trPr>
        <w:tc>
          <w:tcPr>
            <w:tcW w:w="2041" w:type="dxa"/>
            <w:vAlign w:val="center"/>
          </w:tcPr>
          <w:p w:rsidRPr="008D1918" w:rsidR="00DD0EA5" w:rsidRDefault="00DD0EA5" w14:paraId="2B389344" w14:textId="77777777">
            <w:pPr>
              <w:spacing w:before="60" w:after="60"/>
              <w:rPr>
                <w:rFonts w:cs="Arial"/>
                <w:b/>
                <w:bCs/>
                <w:sz w:val="20"/>
                <w:szCs w:val="20"/>
                <w:lang w:val="en-AU" w:eastAsia="en-AU"/>
              </w:rPr>
            </w:pPr>
            <w:r w:rsidRPr="008D1918">
              <w:rPr>
                <w:rFonts w:cs="Arial"/>
                <w:sz w:val="20"/>
                <w:szCs w:val="20"/>
                <w:lang w:val="en-AU"/>
              </w:rPr>
              <w:t>1000+</w:t>
            </w:r>
          </w:p>
        </w:tc>
        <w:tc>
          <w:tcPr>
            <w:tcW w:w="1531" w:type="dxa"/>
            <w:vAlign w:val="center"/>
          </w:tcPr>
          <w:p w:rsidRPr="008D1918" w:rsidR="00DD0EA5" w:rsidP="00900847" w:rsidRDefault="00DD0EA5" w14:paraId="34764FE6" w14:textId="77777777">
            <w:pPr>
              <w:spacing w:before="60" w:after="60"/>
              <w:ind w:right="62"/>
              <w:jc w:val="right"/>
              <w:rPr>
                <w:rFonts w:cs="Arial"/>
                <w:b/>
                <w:bCs/>
                <w:sz w:val="20"/>
                <w:szCs w:val="20"/>
                <w:lang w:val="en-AU"/>
              </w:rPr>
            </w:pPr>
            <w:r w:rsidRPr="008D1918">
              <w:rPr>
                <w:rFonts w:cs="Arial"/>
                <w:sz w:val="20"/>
                <w:szCs w:val="20"/>
                <w:lang w:val="en-AU"/>
              </w:rPr>
              <w:t xml:space="preserve"> 17 </w:t>
            </w:r>
          </w:p>
        </w:tc>
        <w:tc>
          <w:tcPr>
            <w:tcW w:w="1871" w:type="dxa"/>
            <w:vAlign w:val="center"/>
          </w:tcPr>
          <w:p w:rsidRPr="008D1918" w:rsidR="00DD0EA5" w:rsidP="00900847" w:rsidRDefault="00DD0EA5" w14:paraId="39E40D3C" w14:textId="77777777">
            <w:pPr>
              <w:spacing w:before="60" w:after="60"/>
              <w:ind w:right="62"/>
              <w:jc w:val="right"/>
              <w:rPr>
                <w:rFonts w:cs="Arial"/>
                <w:b/>
                <w:bCs/>
                <w:sz w:val="20"/>
                <w:szCs w:val="20"/>
                <w:lang w:val="en-AU"/>
              </w:rPr>
            </w:pPr>
            <w:r w:rsidRPr="008D1918">
              <w:rPr>
                <w:rFonts w:cs="Arial"/>
                <w:sz w:val="20"/>
                <w:szCs w:val="20"/>
                <w:lang w:val="en-AU"/>
              </w:rPr>
              <w:t xml:space="preserve"> $61.5 </w:t>
            </w:r>
          </w:p>
        </w:tc>
        <w:tc>
          <w:tcPr>
            <w:tcW w:w="1644" w:type="dxa"/>
            <w:vAlign w:val="center"/>
          </w:tcPr>
          <w:p w:rsidRPr="008D1918" w:rsidR="00DD0EA5" w:rsidP="00900847" w:rsidRDefault="00DD0EA5" w14:paraId="7CDC9919" w14:textId="77777777">
            <w:pPr>
              <w:spacing w:before="60" w:after="60"/>
              <w:ind w:right="62"/>
              <w:jc w:val="right"/>
              <w:rPr>
                <w:rFonts w:cs="Arial"/>
                <w:b/>
                <w:bCs/>
                <w:sz w:val="20"/>
                <w:szCs w:val="20"/>
                <w:lang w:val="en-AU"/>
              </w:rPr>
            </w:pPr>
            <w:r w:rsidRPr="008D1918">
              <w:rPr>
                <w:rFonts w:cs="Arial"/>
                <w:sz w:val="20"/>
                <w:szCs w:val="20"/>
                <w:lang w:val="en-AU"/>
              </w:rPr>
              <w:t xml:space="preserve"> $3.6m </w:t>
            </w:r>
          </w:p>
        </w:tc>
        <w:tc>
          <w:tcPr>
            <w:tcW w:w="1701" w:type="dxa"/>
            <w:vAlign w:val="center"/>
          </w:tcPr>
          <w:p w:rsidRPr="008D1918" w:rsidR="00DD0EA5" w:rsidP="00900847" w:rsidRDefault="00DD0EA5" w14:paraId="35EA6046" w14:textId="77777777">
            <w:pPr>
              <w:spacing w:before="60" w:after="60"/>
              <w:ind w:right="62"/>
              <w:jc w:val="right"/>
              <w:rPr>
                <w:rFonts w:cs="Arial"/>
                <w:b/>
                <w:bCs/>
                <w:sz w:val="20"/>
                <w:szCs w:val="20"/>
                <w:lang w:val="en-AU"/>
              </w:rPr>
            </w:pPr>
            <w:r w:rsidRPr="008D1918">
              <w:rPr>
                <w:rFonts w:cs="Arial"/>
                <w:sz w:val="20"/>
                <w:szCs w:val="20"/>
                <w:lang w:val="en-AU"/>
              </w:rPr>
              <w:t>9.9%</w:t>
            </w:r>
          </w:p>
        </w:tc>
      </w:tr>
      <w:tr w:rsidRPr="008D1918" w:rsidR="00762DF8" w:rsidTr="00BD56AB" w14:paraId="5DCE20FB" w14:textId="77777777">
        <w:trPr>
          <w:trHeight w:val="397"/>
        </w:trPr>
        <w:tc>
          <w:tcPr>
            <w:tcW w:w="2041" w:type="dxa"/>
            <w:vAlign w:val="center"/>
          </w:tcPr>
          <w:p w:rsidRPr="008D1918" w:rsidR="00DD0EA5" w:rsidRDefault="00DD0EA5" w14:paraId="6686AD91" w14:textId="77777777">
            <w:pPr>
              <w:spacing w:before="60" w:after="60"/>
              <w:rPr>
                <w:rFonts w:cs="Arial"/>
                <w:b/>
                <w:bCs/>
                <w:sz w:val="20"/>
                <w:szCs w:val="20"/>
                <w:lang w:val="en-AU"/>
              </w:rPr>
            </w:pPr>
            <w:r w:rsidRPr="008D1918">
              <w:rPr>
                <w:rFonts w:cs="Arial"/>
                <w:b/>
                <w:bCs/>
                <w:sz w:val="20"/>
                <w:szCs w:val="20"/>
                <w:lang w:val="en-AU"/>
              </w:rPr>
              <w:t>Overall</w:t>
            </w:r>
          </w:p>
        </w:tc>
        <w:tc>
          <w:tcPr>
            <w:tcW w:w="1531" w:type="dxa"/>
            <w:vAlign w:val="center"/>
          </w:tcPr>
          <w:p w:rsidRPr="008D1918" w:rsidR="00DD0EA5" w:rsidP="00900847" w:rsidRDefault="00DD0EA5" w14:paraId="57BD7382" w14:textId="77777777">
            <w:pPr>
              <w:spacing w:before="60" w:after="60"/>
              <w:ind w:right="62"/>
              <w:jc w:val="right"/>
              <w:rPr>
                <w:rFonts w:cs="Arial"/>
                <w:b/>
                <w:bCs/>
                <w:sz w:val="20"/>
                <w:szCs w:val="20"/>
                <w:lang w:val="en-AU"/>
              </w:rPr>
            </w:pPr>
            <w:r w:rsidRPr="008D1918">
              <w:rPr>
                <w:rFonts w:cs="Arial"/>
                <w:b/>
                <w:bCs/>
                <w:sz w:val="20"/>
                <w:szCs w:val="20"/>
                <w:lang w:val="en-AU"/>
              </w:rPr>
              <w:t xml:space="preserve"> 11,129 </w:t>
            </w:r>
          </w:p>
        </w:tc>
        <w:tc>
          <w:tcPr>
            <w:tcW w:w="1871" w:type="dxa"/>
            <w:vAlign w:val="center"/>
          </w:tcPr>
          <w:p w:rsidRPr="008D1918" w:rsidR="00DD0EA5" w:rsidP="00900847" w:rsidRDefault="00DD0EA5" w14:paraId="1A052848" w14:textId="77777777">
            <w:pPr>
              <w:spacing w:before="60" w:after="60"/>
              <w:ind w:right="62"/>
              <w:jc w:val="right"/>
              <w:rPr>
                <w:rFonts w:cs="Arial"/>
                <w:b/>
                <w:bCs/>
                <w:sz w:val="20"/>
                <w:szCs w:val="20"/>
                <w:lang w:val="en-AU"/>
              </w:rPr>
            </w:pPr>
            <w:r w:rsidRPr="008D1918">
              <w:rPr>
                <w:rFonts w:cs="Arial"/>
                <w:b/>
                <w:bCs/>
                <w:sz w:val="20"/>
                <w:szCs w:val="20"/>
                <w:lang w:val="en-AU"/>
              </w:rPr>
              <w:t xml:space="preserve"> $618.1 </w:t>
            </w:r>
          </w:p>
        </w:tc>
        <w:tc>
          <w:tcPr>
            <w:tcW w:w="1644" w:type="dxa"/>
            <w:vAlign w:val="center"/>
          </w:tcPr>
          <w:p w:rsidRPr="008D1918" w:rsidR="00DD0EA5" w:rsidP="00900847" w:rsidRDefault="00DD0EA5" w14:paraId="52E714C4" w14:textId="77777777">
            <w:pPr>
              <w:spacing w:before="60" w:after="60"/>
              <w:ind w:right="62"/>
              <w:jc w:val="right"/>
              <w:rPr>
                <w:rFonts w:cs="Arial"/>
                <w:b/>
                <w:bCs/>
                <w:sz w:val="20"/>
                <w:szCs w:val="20"/>
                <w:lang w:val="en-AU"/>
              </w:rPr>
            </w:pPr>
            <w:r w:rsidRPr="008D1918">
              <w:rPr>
                <w:rFonts w:cs="Arial"/>
                <w:b/>
                <w:bCs/>
                <w:sz w:val="20"/>
                <w:szCs w:val="20"/>
                <w:lang w:val="en-AU"/>
              </w:rPr>
              <w:t xml:space="preserve"> $55,500 </w:t>
            </w:r>
          </w:p>
        </w:tc>
        <w:tc>
          <w:tcPr>
            <w:tcW w:w="1701" w:type="dxa"/>
            <w:vAlign w:val="center"/>
          </w:tcPr>
          <w:p w:rsidRPr="008D1918" w:rsidR="00DD0EA5" w:rsidP="00900847" w:rsidRDefault="00DD0EA5" w14:paraId="06148F67" w14:textId="77777777">
            <w:pPr>
              <w:spacing w:before="60" w:after="60"/>
              <w:ind w:right="62"/>
              <w:jc w:val="right"/>
              <w:rPr>
                <w:rFonts w:cs="Arial"/>
                <w:b/>
                <w:bCs/>
                <w:sz w:val="20"/>
                <w:szCs w:val="20"/>
                <w:lang w:val="en-AU"/>
              </w:rPr>
            </w:pPr>
            <w:r w:rsidRPr="008D1918">
              <w:rPr>
                <w:rFonts w:cs="Arial"/>
                <w:b/>
                <w:bCs/>
                <w:sz w:val="20"/>
                <w:szCs w:val="20"/>
                <w:lang w:val="en-AU"/>
              </w:rPr>
              <w:t>100%</w:t>
            </w:r>
          </w:p>
        </w:tc>
      </w:tr>
    </w:tbl>
    <w:p w:rsidRPr="008D1918" w:rsidR="00DD0EA5" w:rsidRDefault="00DD0EA5" w14:paraId="47D430B9"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DD0EA5" w:rsidP="00CC1BF5" w:rsidRDefault="00DD0EA5" w14:paraId="325E067E" w14:textId="77777777">
      <w:pPr>
        <w:spacing w:before="120" w:after="360" w:line="240" w:lineRule="atLeast"/>
        <w:rPr>
          <w:rFonts w:cs="Calibri"/>
          <w:sz w:val="20"/>
          <w:szCs w:val="18"/>
          <w:lang w:val="en-AU" w:eastAsia="en-AU"/>
        </w:rPr>
      </w:pPr>
      <w:r w:rsidRPr="008D1918">
        <w:rPr>
          <w:rFonts w:cs="Calibri"/>
          <w:sz w:val="20"/>
          <w:szCs w:val="18"/>
          <w:lang w:val="en-AU" w:eastAsia="en-AU"/>
        </w:rPr>
        <w:t>Note: Average revenue is rounded up to the nearest hundred.</w:t>
      </w:r>
    </w:p>
    <w:p w:rsidRPr="008D1918" w:rsidR="00DD0EA5" w:rsidP="004344B4" w:rsidRDefault="00DD0EA5" w14:paraId="1C7FD445" w14:textId="7063D0F5">
      <w:pPr>
        <w:pStyle w:val="Heading31"/>
        <w:ind w:left="1077" w:hanging="720"/>
      </w:pPr>
      <w:bookmarkStart w:name="_Toc195099190" w:id="1599"/>
      <w:bookmarkStart w:name="_Toc196754644" w:id="1600"/>
      <w:bookmarkStart w:name="_Toc196758246" w:id="1601"/>
      <w:bookmarkStart w:name="_Toc197344322" w:id="1602"/>
      <w:bookmarkStart w:name="_Toc200271676" w:id="1603"/>
      <w:bookmarkStart w:name="_Toc223539735" w:id="1604"/>
      <w:bookmarkStart w:name="_Toc223539948" w:id="1605"/>
      <w:bookmarkStart w:name="_Toc223540416" w:id="1606"/>
      <w:bookmarkStart w:name="_Toc223540632" w:id="1607"/>
      <w:bookmarkStart w:name="_Toc223542172" w:id="1608"/>
      <w:bookmarkStart w:name="_Toc223604358" w:id="1609"/>
      <w:bookmarkStart w:name="_Toc223604569" w:id="1610"/>
      <w:bookmarkStart w:name="_Toc227337138" w:id="1611"/>
      <w:r w:rsidRPr="008D1918">
        <w:t xml:space="preserve">Business </w:t>
      </w:r>
      <w:r w:rsidRPr="008D1918" w:rsidR="00FE7458">
        <w:t>d</w:t>
      </w:r>
      <w:r w:rsidRPr="008D1918">
        <w:t>ynamism</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rsidRPr="008D1918" w:rsidR="00DD0EA5" w:rsidDel="00A22561" w:rsidP="00041468" w:rsidRDefault="00DD0EA5" w14:paraId="4AB55278" w14:textId="77777777">
      <w:pPr>
        <w:pStyle w:val="StyleStyle112pt"/>
      </w:pPr>
      <w:bookmarkStart w:name="_Toc194056166" w:id="1612"/>
      <w:bookmarkStart w:name="_Toc194056167" w:id="1613"/>
      <w:bookmarkStart w:name="_Toc194056168" w:id="1614"/>
      <w:bookmarkStart w:name="_Toc194056171" w:id="1615"/>
      <w:bookmarkStart w:name="_Toc194056172" w:id="1616"/>
      <w:bookmarkStart w:name="_Toc195099191" w:id="1617"/>
      <w:bookmarkStart w:name="_Toc223345422" w:id="1618"/>
      <w:bookmarkStart w:name="_Toc223428497" w:id="1619"/>
      <w:bookmarkStart w:name="_Toc223445965" w:id="1620"/>
      <w:bookmarkStart w:name="_Toc223539736" w:id="1621"/>
      <w:bookmarkStart w:name="_Toc223539949" w:id="1622"/>
      <w:bookmarkStart w:name="_Toc223540417" w:id="1623"/>
      <w:bookmarkStart w:name="_Toc223540633" w:id="1624"/>
      <w:bookmarkStart w:name="_Toc223542173" w:id="1625"/>
      <w:bookmarkStart w:name="_Toc223604359" w:id="1626"/>
      <w:bookmarkStart w:name="_Toc223604570" w:id="1627"/>
      <w:bookmarkStart w:name="_Toc223604799" w:id="1628"/>
      <w:bookmarkStart w:name="_Toc223618656" w:id="1629"/>
      <w:bookmarkStart w:name="_Toc223702885" w:id="1630"/>
      <w:bookmarkStart w:name="_Toc227318771" w:id="1631"/>
      <w:bookmarkStart w:name="_Toc227337139" w:id="1632"/>
      <w:bookmarkEnd w:id="1612"/>
      <w:bookmarkEnd w:id="1613"/>
      <w:bookmarkEnd w:id="1614"/>
      <w:bookmarkEnd w:id="1615"/>
      <w:bookmarkEnd w:id="1616"/>
      <w:bookmarkEnd w:id="1617"/>
      <w:r w:rsidRPr="008D1918">
        <w:t>Market entry and exit</w:t>
      </w:r>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r w:rsidRPr="008D1918">
        <w:t xml:space="preserve"> </w:t>
      </w:r>
    </w:p>
    <w:p w:rsidRPr="008D1918" w:rsidR="00DD0EA5" w:rsidRDefault="00DD0EA5" w14:paraId="29299CE3" w14:textId="1E3B9417">
      <w:pPr>
        <w:rPr>
          <w:lang w:val="en-AU"/>
        </w:rPr>
      </w:pPr>
      <w:r w:rsidRPr="008D1918">
        <w:rPr>
          <w:lang w:val="en-AU"/>
        </w:rPr>
        <w:t xml:space="preserve">Market entry remained high across both segments in the </w:t>
      </w:r>
      <w:r w:rsidRPr="008D1918" w:rsidR="00AF498E">
        <w:rPr>
          <w:lang w:val="en-AU"/>
        </w:rPr>
        <w:t xml:space="preserve">6 </w:t>
      </w:r>
      <w:r w:rsidRPr="008D1918">
        <w:rPr>
          <w:lang w:val="en-AU"/>
        </w:rPr>
        <w:t>months to December 2025, with 1,579 newly active unregistered providers and 619 newly active registered providers (</w:t>
      </w:r>
      <w:r w:rsidRPr="008D1918" w:rsidR="00220C5C">
        <w:rPr>
          <w:lang w:val="en-AU"/>
        </w:rPr>
        <w:fldChar w:fldCharType="begin"/>
      </w:r>
      <w:r w:rsidRPr="008D1918" w:rsidR="00220C5C">
        <w:rPr>
          <w:lang w:val="en-AU"/>
        </w:rPr>
        <w:instrText xml:space="preserve"> REF _Ref223625885 \h </w:instrText>
      </w:r>
      <w:r w:rsidRPr="008D1918" w:rsidR="00762DF8">
        <w:rPr>
          <w:lang w:val="en-AU"/>
        </w:rPr>
        <w:instrText xml:space="preserve"> \* MERGEFORMAT </w:instrText>
      </w:r>
      <w:r w:rsidRPr="008D1918" w:rsidR="00220C5C">
        <w:rPr>
          <w:lang w:val="en-AU"/>
        </w:rPr>
      </w:r>
      <w:r w:rsidRPr="008D1918" w:rsidR="00220C5C">
        <w:rPr>
          <w:lang w:val="en-AU"/>
        </w:rPr>
        <w:fldChar w:fldCharType="separate"/>
      </w:r>
      <w:r w:rsidRPr="008F56A2" w:rsidR="008F56A2">
        <w:rPr>
          <w:lang w:val="en-AU"/>
        </w:rPr>
        <w:t>Figure</w:t>
      </w:r>
      <w:r w:rsidRPr="008D1918" w:rsidR="008F56A2">
        <w:t xml:space="preserve"> </w:t>
      </w:r>
      <w:r w:rsidR="008F56A2">
        <w:rPr>
          <w:noProof/>
        </w:rPr>
        <w:t>38</w:t>
      </w:r>
      <w:r w:rsidRPr="008D1918" w:rsidR="00220C5C">
        <w:rPr>
          <w:lang w:val="en-AU"/>
        </w:rPr>
        <w:fldChar w:fldCharType="end"/>
      </w:r>
      <w:r w:rsidRPr="008D1918">
        <w:rPr>
          <w:lang w:val="en-AU"/>
        </w:rPr>
        <w:t>). However, the net effect of this entry differed markedly by segment</w:t>
      </w:r>
      <w:r w:rsidRPr="008D1918" w:rsidR="00577162">
        <w:rPr>
          <w:lang w:val="en-AU"/>
        </w:rPr>
        <w:t xml:space="preserve"> when provider exits are also considered</w:t>
      </w:r>
      <w:r w:rsidRPr="008D1918">
        <w:rPr>
          <w:lang w:val="en-AU"/>
        </w:rPr>
        <w:t xml:space="preserve">. The unregistered market recorded net growth of 221 active providers, indicating that departures nearly matched entries. The registered market achieved net growth of 821 active providers, indicating substantially stronger retention. </w:t>
      </w:r>
    </w:p>
    <w:p w:rsidRPr="008D1918" w:rsidR="00DD0EA5" w:rsidP="00220C5C" w:rsidRDefault="00DD0EA5" w14:paraId="3C747B65" w14:textId="388ACAFE">
      <w:pPr>
        <w:pStyle w:val="Caption"/>
        <w:rPr>
          <w:rFonts w:eastAsia="DengXian" w:cs="Cordia New"/>
          <w:i w:val="0"/>
          <w:iCs w:val="0"/>
          <w:color w:val="6B2876" w:themeColor="accent5"/>
        </w:rPr>
      </w:pPr>
      <w:bookmarkStart w:name="_Ref195091407" w:id="1633"/>
      <w:bookmarkStart w:name="_Ref223625885" w:id="1634"/>
      <w:r w:rsidRPr="008D1918">
        <w:t xml:space="preserve">Figure </w:t>
      </w:r>
      <w:r>
        <w:fldChar w:fldCharType="begin"/>
      </w:r>
      <w:r>
        <w:instrText>SEQ Figure \* ARABIC</w:instrText>
      </w:r>
      <w:r>
        <w:fldChar w:fldCharType="separate"/>
      </w:r>
      <w:r w:rsidR="008F56A2">
        <w:rPr>
          <w:noProof/>
        </w:rPr>
        <w:t>38</w:t>
      </w:r>
      <w:r>
        <w:fldChar w:fldCharType="end"/>
      </w:r>
      <w:bookmarkEnd w:id="1633"/>
      <w:bookmarkEnd w:id="1634"/>
      <w:r w:rsidRPr="008D1918">
        <w:rPr>
          <w:rFonts w:eastAsia="DengXian" w:cs="Cordia New"/>
          <w:color w:val="6B2876" w:themeColor="accent5"/>
        </w:rPr>
        <w:t>: Newly active support coordination provider counts, January 2023 to December 2025</w:t>
      </w:r>
    </w:p>
    <w:p w:rsidRPr="008D1918" w:rsidR="00DD0EA5" w:rsidRDefault="007967AA" w14:paraId="54E669E0" w14:textId="700D8785">
      <w:pPr>
        <w:spacing w:line="276" w:lineRule="auto"/>
        <w:jc w:val="center"/>
        <w:rPr>
          <w:lang w:val="en-AU"/>
        </w:rPr>
      </w:pPr>
      <w:r w:rsidRPr="008D1918">
        <w:rPr>
          <w:noProof/>
          <w:lang w:val="en-AU"/>
        </w:rPr>
        <w:drawing>
          <wp:inline distT="0" distB="0" distL="0" distR="0" wp14:anchorId="4A42A892" wp14:editId="76A6BC1C">
            <wp:extent cx="5677200" cy="3294000"/>
            <wp:effectExtent l="0" t="0" r="0" b="1905"/>
            <wp:docPr id="1873019656" name="Picture 18" descr="Figure 38: A bar graph showing newly active support coordination provider counts, from January 2023 to December 2025.&#10;The graph shows that there has been an increase in newly active unregistered support coordination providers - initially dropping from 458 to 371, then increasing steadily to 619 in July-December 2025. Newly active registered support coordination providers have decreased across the same period - initially increasing from 1,743 to 1,883 then steadily decreasing to 1,579 in July-December 2025. Source: Internal NDIS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19656" name="Picture 18" descr="Figure 38: A bar graph showing newly active support coordination provider counts, from January 2023 to December 2025.&#10;The graph shows that there has been an increase in newly active unregistered support coordination providers - initially dropping from 458 to 371, then increasing steadily to 619 in July-December 2025. Newly active registered support coordination providers have decreased across the same period - initially increasing from 1,743 to 1,883 then steadily decreasing to 1,579 in July-December 2025. Source: Internal NDIS administrative data."/>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77200" cy="3294000"/>
                    </a:xfrm>
                    <a:prstGeom prst="rect">
                      <a:avLst/>
                    </a:prstGeom>
                    <a:noFill/>
                  </pic:spPr>
                </pic:pic>
              </a:graphicData>
            </a:graphic>
          </wp:inline>
        </w:drawing>
      </w:r>
    </w:p>
    <w:p w:rsidRPr="008D1918" w:rsidR="00DD0EA5" w:rsidP="00041468" w:rsidRDefault="00DD0EA5" w14:paraId="267886C6" w14:textId="77777777">
      <w:pPr>
        <w:pStyle w:val="StyleStyle112pt"/>
      </w:pPr>
      <w:bookmarkStart w:name="_Toc164424437" w:id="1635"/>
      <w:bookmarkStart w:name="_Toc164970298" w:id="1636"/>
      <w:bookmarkStart w:name="_Toc195099193" w:id="1637"/>
      <w:bookmarkStart w:name="_Toc200103566" w:id="1638"/>
      <w:bookmarkStart w:name="_Toc200271678" w:id="1639"/>
      <w:bookmarkStart w:name="_Toc223345423" w:id="1640"/>
      <w:bookmarkStart w:name="_Toc223428498" w:id="1641"/>
      <w:bookmarkStart w:name="_Toc223445966" w:id="1642"/>
      <w:bookmarkStart w:name="_Toc223539737" w:id="1643"/>
      <w:bookmarkStart w:name="_Toc223539950" w:id="1644"/>
      <w:bookmarkStart w:name="_Toc223540418" w:id="1645"/>
      <w:bookmarkStart w:name="_Toc223540634" w:id="1646"/>
      <w:bookmarkStart w:name="_Toc223542174" w:id="1647"/>
      <w:bookmarkStart w:name="_Toc223604360" w:id="1648"/>
      <w:bookmarkStart w:name="_Toc223604571" w:id="1649"/>
      <w:bookmarkStart w:name="_Toc223604800" w:id="1650"/>
      <w:bookmarkStart w:name="_Toc223618657" w:id="1651"/>
      <w:bookmarkStart w:name="_Toc223702886" w:id="1652"/>
      <w:bookmarkStart w:name="_Toc227318772" w:id="1653"/>
      <w:bookmarkStart w:name="_Toc227337140" w:id="1654"/>
      <w:r w:rsidRPr="008D1918">
        <w:t>Comparison of provider payments for ‘new activity’ and ‘inactivity</w:t>
      </w:r>
      <w:bookmarkEnd w:id="1635"/>
      <w:bookmarkEnd w:id="1636"/>
      <w:bookmarkEnd w:id="1637"/>
      <w:r w:rsidRPr="008D1918">
        <w:t>’</w:t>
      </w:r>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p>
    <w:p w:rsidRPr="008D1918" w:rsidR="00DD0EA5" w:rsidRDefault="00DD0EA5" w14:paraId="78D72FF2" w14:textId="5A819038">
      <w:pPr>
        <w:rPr>
          <w:lang w:val="en-AU"/>
        </w:rPr>
      </w:pPr>
      <w:r w:rsidRPr="008D1918">
        <w:rPr>
          <w:lang w:val="en-AU"/>
        </w:rPr>
        <w:t xml:space="preserve">Payments attributable to new activity accounted for 1.7% of total payments in the </w:t>
      </w:r>
      <w:r w:rsidRPr="008D1918" w:rsidR="00AF498E">
        <w:rPr>
          <w:lang w:val="en-AU"/>
        </w:rPr>
        <w:t xml:space="preserve">6 </w:t>
      </w:r>
      <w:r w:rsidRPr="008D1918">
        <w:rPr>
          <w:lang w:val="en-AU"/>
        </w:rPr>
        <w:t xml:space="preserve">months to December 2025, compared with 0.8% </w:t>
      </w:r>
      <w:r w:rsidRPr="008D1918" w:rsidR="003C1F6D">
        <w:rPr>
          <w:lang w:val="en-AU"/>
        </w:rPr>
        <w:t xml:space="preserve">reduction </w:t>
      </w:r>
      <w:r w:rsidRPr="008D1918">
        <w:rPr>
          <w:lang w:val="en-AU"/>
        </w:rPr>
        <w:t>for inactivity (</w:t>
      </w:r>
      <w:r w:rsidRPr="008D1918" w:rsidR="006F206B">
        <w:rPr>
          <w:lang w:val="en-AU"/>
        </w:rPr>
        <w:fldChar w:fldCharType="begin"/>
      </w:r>
      <w:r w:rsidRPr="008D1918" w:rsidR="006F206B">
        <w:rPr>
          <w:lang w:val="en-AU"/>
        </w:rPr>
        <w:instrText xml:space="preserve"> REF _Ref223625914 \h </w:instrText>
      </w:r>
      <w:r w:rsidR="008D1918">
        <w:rPr>
          <w:lang w:val="en-AU"/>
        </w:rPr>
        <w:instrText xml:space="preserve"> \* MERGEFORMAT </w:instrText>
      </w:r>
      <w:r w:rsidRPr="008D1918" w:rsidR="006F206B">
        <w:rPr>
          <w:lang w:val="en-AU"/>
        </w:rPr>
      </w:r>
      <w:r w:rsidRPr="008D1918" w:rsidR="006F206B">
        <w:rPr>
          <w:lang w:val="en-AU"/>
        </w:rPr>
        <w:fldChar w:fldCharType="separate"/>
      </w:r>
      <w:r w:rsidRPr="008D1918" w:rsidR="008F56A2">
        <w:t xml:space="preserve">Figure </w:t>
      </w:r>
      <w:r w:rsidR="008F56A2">
        <w:rPr>
          <w:noProof/>
        </w:rPr>
        <w:t>39</w:t>
      </w:r>
      <w:r w:rsidRPr="008D1918" w:rsidR="006F206B">
        <w:rPr>
          <w:lang w:val="en-AU"/>
        </w:rPr>
        <w:fldChar w:fldCharType="end"/>
      </w:r>
      <w:r w:rsidRPr="008D1918">
        <w:rPr>
          <w:lang w:val="en-AU"/>
        </w:rPr>
        <w:t>). Entry continues to exceed exit in value terms, and this pattern has been consistent across th</w:t>
      </w:r>
      <w:r w:rsidRPr="008D1918" w:rsidR="00B66294">
        <w:rPr>
          <w:lang w:val="en-AU"/>
        </w:rPr>
        <w:t>e</w:t>
      </w:r>
      <w:r w:rsidRPr="008D1918">
        <w:rPr>
          <w:lang w:val="en-AU"/>
        </w:rPr>
        <w:t xml:space="preserve"> </w:t>
      </w:r>
      <w:r w:rsidRPr="008D1918" w:rsidR="00186248">
        <w:rPr>
          <w:lang w:val="en-AU"/>
        </w:rPr>
        <w:t>3</w:t>
      </w:r>
      <w:r w:rsidRPr="008D1918">
        <w:rPr>
          <w:lang w:val="en-AU"/>
        </w:rPr>
        <w:t xml:space="preserve">-year review period. The registered segment drives this dynamic: registered providers contributed the majority of new payments, consistent with the stronger net provider growth recorded in the registered market (821 net providers, compared with 221 for unregistered). </w:t>
      </w:r>
      <w:r w:rsidRPr="008D1918" w:rsidR="00DA0080">
        <w:rPr>
          <w:lang w:val="en-AU"/>
        </w:rPr>
        <w:t>Overall,</w:t>
      </w:r>
      <w:r w:rsidRPr="008D1918" w:rsidR="00C434BB">
        <w:rPr>
          <w:lang w:val="en-AU"/>
        </w:rPr>
        <w:t xml:space="preserve"> the market continues to grow </w:t>
      </w:r>
      <w:r w:rsidRPr="008D1918" w:rsidR="00DA0080">
        <w:rPr>
          <w:lang w:val="en-AU"/>
        </w:rPr>
        <w:t>to</w:t>
      </w:r>
      <w:r w:rsidRPr="008D1918" w:rsidR="00C434BB">
        <w:rPr>
          <w:lang w:val="en-AU"/>
        </w:rPr>
        <w:t xml:space="preserve"> meet demand</w:t>
      </w:r>
      <w:r w:rsidRPr="008D1918" w:rsidR="00DA0080">
        <w:rPr>
          <w:lang w:val="en-AU"/>
        </w:rPr>
        <w:t>,</w:t>
      </w:r>
      <w:r w:rsidRPr="008D1918">
        <w:rPr>
          <w:lang w:val="en-AU"/>
        </w:rPr>
        <w:t xml:space="preserve"> </w:t>
      </w:r>
      <w:r w:rsidRPr="008D1918" w:rsidR="00DA0080">
        <w:rPr>
          <w:lang w:val="en-AU"/>
        </w:rPr>
        <w:t xml:space="preserve">with </w:t>
      </w:r>
      <w:r w:rsidRPr="008D1918">
        <w:rPr>
          <w:lang w:val="en-AU"/>
        </w:rPr>
        <w:t xml:space="preserve">registered </w:t>
      </w:r>
      <w:r w:rsidRPr="008D1918" w:rsidR="00DA0080">
        <w:rPr>
          <w:lang w:val="en-AU"/>
        </w:rPr>
        <w:t>providers showing greate</w:t>
      </w:r>
      <w:r w:rsidRPr="008D1918" w:rsidR="0014268E">
        <w:rPr>
          <w:lang w:val="en-AU"/>
        </w:rPr>
        <w:t>st</w:t>
      </w:r>
      <w:r w:rsidRPr="008D1918" w:rsidR="00DA0080">
        <w:rPr>
          <w:lang w:val="en-AU"/>
        </w:rPr>
        <w:t xml:space="preserve"> stability</w:t>
      </w:r>
      <w:r w:rsidRPr="008D1918" w:rsidR="00EC0940">
        <w:rPr>
          <w:lang w:val="en-AU"/>
        </w:rPr>
        <w:t xml:space="preserve"> in service provision</w:t>
      </w:r>
      <w:r w:rsidRPr="008D1918">
        <w:rPr>
          <w:lang w:val="en-AU"/>
        </w:rPr>
        <w:t xml:space="preserve">. </w:t>
      </w:r>
    </w:p>
    <w:p w:rsidRPr="008D1918" w:rsidR="00DD0EA5" w:rsidP="00220C5C" w:rsidRDefault="00DD0EA5" w14:paraId="725744D5" w14:textId="27A9BE39">
      <w:pPr>
        <w:pStyle w:val="Caption"/>
        <w:rPr>
          <w:rFonts w:eastAsia="DengXian" w:cs="Cordia New"/>
          <w:color w:val="6B2876" w:themeColor="accent5"/>
        </w:rPr>
      </w:pPr>
      <w:bookmarkStart w:name="_Ref223625914" w:id="1655"/>
      <w:r w:rsidRPr="008D1918">
        <w:t xml:space="preserve">Figure </w:t>
      </w:r>
      <w:r>
        <w:fldChar w:fldCharType="begin"/>
      </w:r>
      <w:r>
        <w:instrText>SEQ Figure \* ARABIC</w:instrText>
      </w:r>
      <w:r>
        <w:fldChar w:fldCharType="separate"/>
      </w:r>
      <w:r w:rsidR="008F56A2">
        <w:rPr>
          <w:noProof/>
        </w:rPr>
        <w:t>39</w:t>
      </w:r>
      <w:r>
        <w:fldChar w:fldCharType="end"/>
      </w:r>
      <w:bookmarkEnd w:id="1655"/>
      <w:r w:rsidRPr="008D1918">
        <w:rPr>
          <w:rFonts w:eastAsia="DengXian" w:cs="Cordia New"/>
          <w:color w:val="6B2876" w:themeColor="accent5"/>
        </w:rPr>
        <w:t>: Support coordination registered provider activity movements, January 2023 to December 2025</w:t>
      </w:r>
    </w:p>
    <w:p w:rsidRPr="008D1918" w:rsidR="00DD0EA5" w:rsidRDefault="00DD0EA5" w14:paraId="18F88B34" w14:textId="77777777">
      <w:pPr>
        <w:pStyle w:val="Image"/>
        <w:rPr>
          <w:noProof w:val="0"/>
        </w:rPr>
      </w:pPr>
      <w:r w:rsidRPr="008D1918">
        <w:drawing>
          <wp:inline distT="0" distB="0" distL="0" distR="0" wp14:anchorId="147856A3" wp14:editId="4EEB16FD">
            <wp:extent cx="5677200" cy="3294000"/>
            <wp:effectExtent l="0" t="0" r="0" b="1905"/>
            <wp:docPr id="675225242" name="Picture 1" descr="Figure 39: A bar graph showing support coordination registered provider activity movements, from January 2023 to December 2025.&#10;The graph shows that new activity for registered support coordinators initially grew from 1.4% to 2.3% before dropping to 1.1% and steadily increasing to 1.7% at July-December 2025. Inactivity has been more stable, starting at 0.6%, peaking at 1% and is currently 0.8%. Source: Internal NDIS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25242" name="Picture 1" descr="Figure 39: A bar graph showing support coordination registered provider activity movements, from January 2023 to December 2025.&#10;The graph shows that new activity for registered support coordinators initially grew from 1.4% to 2.3% before dropping to 1.1% and steadily increasing to 1.7% at July-December 2025. Inactivity has been more stable, starting at 0.6%, peaking at 1% and is currently 0.8%. Source: Internal NDIS administrative data."/>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77200" cy="3294000"/>
                    </a:xfrm>
                    <a:prstGeom prst="rect">
                      <a:avLst/>
                    </a:prstGeom>
                    <a:noFill/>
                  </pic:spPr>
                </pic:pic>
              </a:graphicData>
            </a:graphic>
          </wp:inline>
        </w:drawing>
      </w:r>
    </w:p>
    <w:p w:rsidRPr="008D1918" w:rsidR="00DD0EA5" w:rsidP="00CC1BF5" w:rsidRDefault="00DD0EA5" w14:paraId="12010C0E" w14:textId="77777777">
      <w:pPr>
        <w:spacing w:before="120" w:after="360" w:line="240" w:lineRule="atLeast"/>
        <w:rPr>
          <w:rFonts w:eastAsia="DengXian" w:cs="Calibri"/>
          <w:sz w:val="20"/>
          <w:szCs w:val="20"/>
          <w:lang w:val="en-AU"/>
        </w:rPr>
      </w:pPr>
      <w:r w:rsidRPr="008D1918">
        <w:rPr>
          <w:rFonts w:eastAsia="DengXian" w:cs="Calibri"/>
          <w:sz w:val="20"/>
          <w:szCs w:val="20"/>
          <w:lang w:val="en-AU"/>
        </w:rPr>
        <w:t>Note: ‘New Activity’ within a half-year period is identified when providers who were inactive in the previous half-year begin to receive payments. Conversely, ‘Inactivity’ is noted when providers that received payments in one half-year do not in the subsequent one. These fluctuations are measured as a percentage of the total payments made within that half-year, or the previous one, in the case of inactivity.</w:t>
      </w:r>
    </w:p>
    <w:p w:rsidRPr="008D1918" w:rsidR="00DD0EA5" w:rsidP="00041468" w:rsidRDefault="00DD0EA5" w14:paraId="4D383779" w14:textId="77777777">
      <w:pPr>
        <w:pStyle w:val="StyleStyle112pt"/>
      </w:pPr>
      <w:bookmarkStart w:name="_Toc195095102" w:id="1656"/>
      <w:bookmarkStart w:name="_Toc195099194" w:id="1657"/>
      <w:bookmarkStart w:name="_Toc195099195" w:id="1658"/>
      <w:bookmarkStart w:name="_Toc200103567" w:id="1659"/>
      <w:bookmarkStart w:name="_Toc200271679" w:id="1660"/>
      <w:bookmarkStart w:name="_Toc223345424" w:id="1661"/>
      <w:bookmarkStart w:name="_Toc223428499" w:id="1662"/>
      <w:bookmarkStart w:name="_Toc223445967" w:id="1663"/>
      <w:bookmarkStart w:name="_Toc223539738" w:id="1664"/>
      <w:bookmarkStart w:name="_Toc223539951" w:id="1665"/>
      <w:bookmarkStart w:name="_Toc223540419" w:id="1666"/>
      <w:bookmarkStart w:name="_Toc223540635" w:id="1667"/>
      <w:bookmarkStart w:name="_Toc223542175" w:id="1668"/>
      <w:bookmarkStart w:name="_Toc223604361" w:id="1669"/>
      <w:bookmarkStart w:name="_Toc223604572" w:id="1670"/>
      <w:bookmarkStart w:name="_Toc223604801" w:id="1671"/>
      <w:bookmarkStart w:name="_Toc223618658" w:id="1672"/>
      <w:bookmarkStart w:name="_Toc223702887" w:id="1673"/>
      <w:bookmarkStart w:name="_Toc227318773" w:id="1674"/>
      <w:bookmarkStart w:name="_Toc227337141" w:id="1675"/>
      <w:bookmarkEnd w:id="1656"/>
      <w:bookmarkEnd w:id="1657"/>
      <w:r w:rsidRPr="008D1918">
        <w:t xml:space="preserve">Payment </w:t>
      </w:r>
      <w:bookmarkEnd w:id="1658"/>
      <w:bookmarkEnd w:id="1659"/>
      <w:bookmarkEnd w:id="1660"/>
      <w:r w:rsidRPr="008D1918">
        <w:t>consistency</w:t>
      </w:r>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r w:rsidRPr="008D1918">
        <w:t xml:space="preserve"> </w:t>
      </w:r>
    </w:p>
    <w:p w:rsidRPr="008D1918" w:rsidR="00DD0EA5" w:rsidRDefault="00DD0EA5" w14:paraId="00B4F441" w14:textId="60467732">
      <w:pPr>
        <w:rPr>
          <w:lang w:val="en-AU"/>
        </w:rPr>
      </w:pPr>
      <w:r w:rsidRPr="008D1918">
        <w:rPr>
          <w:lang w:val="en-AU"/>
        </w:rPr>
        <w:t xml:space="preserve">Provider continuity data shows a meaningful difference in stability between the </w:t>
      </w:r>
      <w:r w:rsidRPr="008D1918" w:rsidR="00FD4ECE">
        <w:rPr>
          <w:lang w:val="en-AU"/>
        </w:rPr>
        <w:t xml:space="preserve">2 </w:t>
      </w:r>
      <w:r w:rsidRPr="008D1918">
        <w:rPr>
          <w:lang w:val="en-AU"/>
        </w:rPr>
        <w:t xml:space="preserve">segments. Among registered providers, 37% were active across all </w:t>
      </w:r>
      <w:r w:rsidRPr="008D1918" w:rsidR="00AF498E">
        <w:rPr>
          <w:lang w:val="en-AU"/>
        </w:rPr>
        <w:t xml:space="preserve">6 </w:t>
      </w:r>
      <w:r w:rsidRPr="008D1918">
        <w:rPr>
          <w:lang w:val="en-AU"/>
        </w:rPr>
        <w:t>half-year periods from January 2023 to December 2025, accounting for 85% of total registered payments (</w:t>
      </w:r>
      <w:r w:rsidRPr="008D1918" w:rsidR="00220C5C">
        <w:rPr>
          <w:lang w:val="en-AU"/>
        </w:rPr>
        <w:fldChar w:fldCharType="begin"/>
      </w:r>
      <w:r w:rsidRPr="008D1918" w:rsidR="00220C5C">
        <w:rPr>
          <w:lang w:val="en-AU"/>
        </w:rPr>
        <w:instrText xml:space="preserve"> REF _Ref223625942 \h </w:instrText>
      </w:r>
      <w:r w:rsidRPr="008D1918" w:rsidR="00762DF8">
        <w:rPr>
          <w:lang w:val="en-AU"/>
        </w:rPr>
        <w:instrText xml:space="preserve"> \* MERGEFORMAT </w:instrText>
      </w:r>
      <w:r w:rsidRPr="008D1918" w:rsidR="00220C5C">
        <w:rPr>
          <w:lang w:val="en-AU"/>
        </w:rPr>
      </w:r>
      <w:r w:rsidRPr="008D1918" w:rsidR="00220C5C">
        <w:rPr>
          <w:lang w:val="en-AU"/>
        </w:rPr>
        <w:fldChar w:fldCharType="separate"/>
      </w:r>
      <w:r w:rsidRPr="008F56A2" w:rsidR="008F56A2">
        <w:rPr>
          <w:lang w:val="en-AU"/>
        </w:rPr>
        <w:t>Figure</w:t>
      </w:r>
      <w:r w:rsidRPr="008D1918" w:rsidR="008F56A2">
        <w:t xml:space="preserve"> </w:t>
      </w:r>
      <w:r w:rsidR="008F56A2">
        <w:rPr>
          <w:noProof/>
        </w:rPr>
        <w:t>40</w:t>
      </w:r>
      <w:r w:rsidRPr="008D1918" w:rsidR="00220C5C">
        <w:rPr>
          <w:lang w:val="en-AU"/>
        </w:rPr>
        <w:fldChar w:fldCharType="end"/>
      </w:r>
      <w:r w:rsidRPr="008D1918">
        <w:rPr>
          <w:lang w:val="en-AU"/>
        </w:rPr>
        <w:t xml:space="preserve">). Among unregistered providers, only 15% were active across all </w:t>
      </w:r>
      <w:r w:rsidRPr="008D1918" w:rsidR="00AF498E">
        <w:rPr>
          <w:lang w:val="en-AU"/>
        </w:rPr>
        <w:t>6</w:t>
      </w:r>
      <w:r w:rsidRPr="008D1918">
        <w:rPr>
          <w:lang w:val="en-AU"/>
        </w:rPr>
        <w:t>-year periods, with a large share active for only one half-year period. That 15% stable cohort claimed 63% of unregistered payments (</w:t>
      </w:r>
      <w:r w:rsidRPr="008D1918" w:rsidR="00220C5C">
        <w:rPr>
          <w:lang w:val="en-AU"/>
        </w:rPr>
        <w:fldChar w:fldCharType="begin"/>
      </w:r>
      <w:r w:rsidRPr="008D1918" w:rsidR="00220C5C">
        <w:rPr>
          <w:lang w:val="en-AU"/>
        </w:rPr>
        <w:instrText xml:space="preserve"> REF _Ref223625942 \h </w:instrText>
      </w:r>
      <w:r w:rsidRPr="008D1918" w:rsidR="00762DF8">
        <w:rPr>
          <w:lang w:val="en-AU"/>
        </w:rPr>
        <w:instrText xml:space="preserve"> \* MERGEFORMAT </w:instrText>
      </w:r>
      <w:r w:rsidRPr="008D1918" w:rsidR="00220C5C">
        <w:rPr>
          <w:lang w:val="en-AU"/>
        </w:rPr>
      </w:r>
      <w:r w:rsidRPr="008D1918" w:rsidR="00220C5C">
        <w:rPr>
          <w:lang w:val="en-AU"/>
        </w:rPr>
        <w:fldChar w:fldCharType="separate"/>
      </w:r>
      <w:r w:rsidRPr="008F56A2" w:rsidR="008F56A2">
        <w:rPr>
          <w:lang w:val="en-AU"/>
        </w:rPr>
        <w:t>Figure</w:t>
      </w:r>
      <w:r w:rsidRPr="008D1918" w:rsidR="008F56A2">
        <w:t xml:space="preserve"> </w:t>
      </w:r>
      <w:r w:rsidR="008F56A2">
        <w:rPr>
          <w:noProof/>
        </w:rPr>
        <w:t>40</w:t>
      </w:r>
      <w:r w:rsidRPr="008D1918" w:rsidR="00220C5C">
        <w:rPr>
          <w:lang w:val="en-AU"/>
        </w:rPr>
        <w:fldChar w:fldCharType="end"/>
      </w:r>
      <w:r w:rsidRPr="008D1918">
        <w:rPr>
          <w:lang w:val="en-AU"/>
        </w:rPr>
        <w:t xml:space="preserve">). </w:t>
      </w:r>
    </w:p>
    <w:p w:rsidRPr="008D1918" w:rsidR="00DD0EA5" w:rsidP="00220C5C" w:rsidRDefault="00DD0EA5" w14:paraId="390B062E" w14:textId="0871A396">
      <w:pPr>
        <w:pStyle w:val="Caption"/>
        <w:rPr>
          <w:rFonts w:eastAsia="DengXian" w:cs="Cordia New"/>
          <w:color w:val="6B2876" w:themeColor="accent5"/>
        </w:rPr>
      </w:pPr>
      <w:bookmarkStart w:name="_Ref223625942" w:id="1676"/>
      <w:r w:rsidRPr="008D1918">
        <w:t xml:space="preserve">Figure </w:t>
      </w:r>
      <w:r>
        <w:fldChar w:fldCharType="begin"/>
      </w:r>
      <w:r>
        <w:instrText>SEQ Figure \* ARABIC</w:instrText>
      </w:r>
      <w:r>
        <w:fldChar w:fldCharType="separate"/>
      </w:r>
      <w:r w:rsidR="008F56A2">
        <w:rPr>
          <w:noProof/>
        </w:rPr>
        <w:t>40</w:t>
      </w:r>
      <w:r>
        <w:fldChar w:fldCharType="end"/>
      </w:r>
      <w:bookmarkEnd w:id="1676"/>
      <w:r w:rsidRPr="008D1918">
        <w:rPr>
          <w:rFonts w:eastAsia="DengXian" w:cs="Cordia New"/>
          <w:color w:val="6B2876" w:themeColor="accent5"/>
        </w:rPr>
        <w:t>: Provider continuity for support coordination supports by registration status and percentage of total payments, January 2023 to December 2025</w:t>
      </w:r>
    </w:p>
    <w:p w:rsidRPr="008D1918" w:rsidR="00DD0EA5" w:rsidP="00F5340F" w:rsidRDefault="00DD0EA5" w14:paraId="76F8DEC3" w14:textId="77777777">
      <w:pPr>
        <w:spacing w:after="360"/>
        <w:rPr>
          <w:lang w:val="en-AU"/>
        </w:rPr>
      </w:pPr>
      <w:r w:rsidRPr="008D1918">
        <w:rPr>
          <w:noProof/>
          <w:lang w:val="en-AU"/>
        </w:rPr>
        <mc:AlternateContent>
          <mc:Choice Requires="wps">
            <w:drawing>
              <wp:inline distT="0" distB="0" distL="0" distR="0" wp14:anchorId="0E661D97" wp14:editId="7E89D084">
                <wp:extent cx="5688000" cy="2448000"/>
                <wp:effectExtent l="0" t="0" r="8255" b="9525"/>
                <wp:docPr id="484773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448000"/>
                        </a:xfrm>
                        <a:prstGeom prst="rect">
                          <a:avLst/>
                        </a:prstGeom>
                        <a:solidFill>
                          <a:srgbClr val="FFFFFF"/>
                        </a:solidFill>
                        <a:ln w="9525">
                          <a:noFill/>
                          <a:miter lim="800000"/>
                          <a:headEnd/>
                          <a:tailEnd/>
                        </a:ln>
                      </wps:spPr>
                      <wps:txbx>
                        <w:txbxContent>
                          <w:p w:rsidR="00DD0EA5" w:rsidRDefault="0054111F" w14:paraId="5CE1BCFF" w14:textId="3D13B408">
                            <w:pPr>
                              <w:pStyle w:val="Sourcefortableorfigure"/>
                            </w:pPr>
                            <w:r w:rsidRPr="0054111F">
                              <w:rPr>
                                <w:noProof/>
                              </w:rPr>
                              <w:drawing>
                                <wp:inline distT="0" distB="0" distL="0" distR="0" wp14:anchorId="2D90D5F4" wp14:editId="7E9A8019">
                                  <wp:extent cx="2416629" cy="2040721"/>
                                  <wp:effectExtent l="0" t="0" r="3175" b="0"/>
                                  <wp:docPr id="796366589" name="Picture 1" descr="Figure 40: The first image (left) is a column and dot graph showing the number of half years with payment, compared to the percentage of total payments, amongst registered providers from January 2023 to December 2025.&#10;&#10;Most registered providers (roughly 2,600) had payments in all 6 of the last half years. These providers made up roughly 85% of total payments.&#10;&#10;There were roughly 1,500 registered providers who had only 1 half year with payments. These providers made up roughly close to 0% of total payments. &#10;&#10;Each of the remaining categories (2, 3, 4, and 5 half years with payments) each had roughly between 500 to 900 registered providers, and each made up roughly between 0 to 10% of total payments.&#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366589" name="Picture 1" descr="Figure 40: The first image (left) is a column and dot graph showing the number of half years with payment, compared to the percentage of total payments, amongst registered providers from January 2023 to December 2025.&#10;&#10;Most registered providers (roughly 2,600) had payments in all 6 of the last half years. These providers made up roughly 85% of total payments.&#10;&#10;There were roughly 1,500 registered providers who had only 1 half year with payments. These providers made up roughly close to 0% of total payments. &#10;&#10;Each of the remaining categories (2, 3, 4, and 5 half years with payments) each had roughly between 500 to 900 registered providers, and each made up roughly between 0 to 10% of total payments.&#10;&#10;Source: NDIS internal administrative data.&#10;"/>
                                          <pic:cNvPicPr/>
                                        </pic:nvPicPr>
                                        <pic:blipFill>
                                          <a:blip r:embed="rId58"/>
                                          <a:stretch>
                                            <a:fillRect/>
                                          </a:stretch>
                                        </pic:blipFill>
                                        <pic:spPr>
                                          <a:xfrm>
                                            <a:off x="0" y="0"/>
                                            <a:ext cx="2424063" cy="2046998"/>
                                          </a:xfrm>
                                          <a:prstGeom prst="rect">
                                            <a:avLst/>
                                          </a:prstGeom>
                                        </pic:spPr>
                                      </pic:pic>
                                    </a:graphicData>
                                  </a:graphic>
                                </wp:inline>
                              </w:drawing>
                            </w:r>
                            <w:r w:rsidR="00DD0EA5">
                              <w:t xml:space="preserve">       </w:t>
                            </w:r>
                            <w:r w:rsidRPr="0025567F" w:rsidR="0025567F">
                              <w:rPr>
                                <w:noProof/>
                              </w:rPr>
                              <w:drawing>
                                <wp:inline distT="0" distB="0" distL="0" distR="0" wp14:anchorId="017707C8" wp14:editId="16BDF196">
                                  <wp:extent cx="2369976" cy="2013744"/>
                                  <wp:effectExtent l="0" t="0" r="0" b="5715"/>
                                  <wp:docPr id="1790609505" name="Picture 1" descr="The second image (right) is a column and dot graph showing the number of half years with payment, compared to the percentage of total payments, amongst unregistered providers from January 2023 to December 2025.&#10;&#10;A majority of unregistered providers are on one or two half years of payment, and those with 6 half years of payment are contributing roughly 40% of total payments.&#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09505" name="Picture 1" descr="The second image (right) is a column and dot graph showing the number of half years with payment, compared to the percentage of total payments, amongst unregistered providers from January 2023 to December 2025.&#10;&#10;A majority of unregistered providers are on one or two half years of payment, and those with 6 half years of payment are contributing roughly 40% of total payments.&#10;&#10;Source: NDIS internal administrative data.&#10;"/>
                                          <pic:cNvPicPr/>
                                        </pic:nvPicPr>
                                        <pic:blipFill>
                                          <a:blip r:embed="rId59"/>
                                          <a:stretch>
                                            <a:fillRect/>
                                          </a:stretch>
                                        </pic:blipFill>
                                        <pic:spPr>
                                          <a:xfrm>
                                            <a:off x="0" y="0"/>
                                            <a:ext cx="2380458" cy="2022651"/>
                                          </a:xfrm>
                                          <a:prstGeom prst="rect">
                                            <a:avLst/>
                                          </a:prstGeom>
                                        </pic:spPr>
                                      </pic:pic>
                                    </a:graphicData>
                                  </a:graphic>
                                </wp:inline>
                              </w:drawing>
                            </w:r>
                          </w:p>
                          <w:p w:rsidR="00DD0EA5" w:rsidRDefault="00DD0EA5" w14:paraId="5B1C69BD" w14:textId="77777777">
                            <w:pPr>
                              <w:pStyle w:val="Sourcefortableorfigure"/>
                            </w:pPr>
                            <w:r w:rsidRPr="00566FE3">
                              <w:rPr>
                                <w:sz w:val="16"/>
                                <w:szCs w:val="16"/>
                              </w:rPr>
                              <w:t>Source: NDIS internal administrative data</w:t>
                            </w:r>
                          </w:p>
                        </w:txbxContent>
                      </wps:txbx>
                      <wps:bodyPr rot="0" vert="horz" wrap="square" lIns="91440" tIns="45720" rIns="91440" bIns="45720" anchor="t" anchorCtr="0">
                        <a:noAutofit/>
                      </wps:bodyPr>
                    </wps:wsp>
                  </a:graphicData>
                </a:graphic>
              </wp:inline>
            </w:drawing>
          </mc:Choice>
          <mc:Fallback>
            <w:pict w14:anchorId="38B864FB">
              <v:shape id="_x0000_s1028" style="width:447.85pt;height:192.75pt;visibility:visible;mso-wrap-style:square;mso-left-percent:-10001;mso-top-percent:-10001;mso-position-horizontal:absolute;mso-position-horizontal-relative:char;mso-position-vertical:absolute;mso-position-vertical-relative:line;mso-left-percent:-10001;mso-top-percent:-10001;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" w14:anchorId="0E661D97">
                <v:textbox>
                  <w:txbxContent>
                    <w:p w:rsidR="00DD0EA5" w:rsidRDefault="0054111F" w14:paraId="3891630B" w14:textId="3D13B408">
                      <w:pPr>
                        <w:pStyle w:val="Sourcefortableorfigure"/>
                      </w:pPr>
                      <w:r w:rsidRPr="0054111F">
                        <w:rPr>
                          <w:noProof/>
                        </w:rPr>
                        <w:drawing>
                          <wp:inline distT="0" distB="0" distL="0" distR="0" wp14:anchorId="4D9E9FC4" wp14:editId="7E9A8019">
                            <wp:extent cx="2416629" cy="2040721"/>
                            <wp:effectExtent l="0" t="0" r="3175" b="0"/>
                            <wp:docPr id="110777048" name="Picture 1" descr="Figure 40: The first image (left) is a column and dot graph showing the number of half years with payment, compared to the percentage of total payments, amongst registered providers from January 2023 to December 2025.&#10;&#10;Most registered providers (roughly 2,600) had payments in all 6 of the last half years. These providers made up roughly 85% of total payments.&#10;&#10;There were roughly 1,500 registered providers who had only 1 half year with payments. These providers made up roughly close to 0% of total payments. &#10;&#10;Each of the remaining categories (2, 3, 4, and 5 half years with payments) each had roughly between 500 to 900 registered providers, and each made up roughly between 0 to 10% of total payments.&#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366589" name="Picture 1" descr="Figure 40: The first image (left) is a column and dot graph showing the number of half years with payment, compared to the percentage of total payments, amongst registered providers from January 2023 to December 2025.&#10;&#10;Most registered providers (roughly 2,600) had payments in all 6 of the last half years. These providers made up roughly 85% of total payments.&#10;&#10;There were roughly 1,500 registered providers who had only 1 half year with payments. These providers made up roughly close to 0% of total payments. &#10;&#10;Each of the remaining categories (2, 3, 4, and 5 half years with payments) each had roughly between 500 to 900 registered providers, and each made up roughly between 0 to 10% of total payments.&#10;&#10;Source: NDIS internal administrative data.&#10;"/>
                                    <pic:cNvPicPr/>
                                  </pic:nvPicPr>
                                  <pic:blipFill>
                                    <a:blip r:embed="rId58"/>
                                    <a:stretch>
                                      <a:fillRect/>
                                    </a:stretch>
                                  </pic:blipFill>
                                  <pic:spPr>
                                    <a:xfrm>
                                      <a:off x="0" y="0"/>
                                      <a:ext cx="2424063" cy="2046998"/>
                                    </a:xfrm>
                                    <a:prstGeom prst="rect">
                                      <a:avLst/>
                                    </a:prstGeom>
                                  </pic:spPr>
                                </pic:pic>
                              </a:graphicData>
                            </a:graphic>
                          </wp:inline>
                        </w:drawing>
                      </w:r>
                      <w:r w:rsidR="00DD0EA5">
                        <w:t xml:space="preserve">       </w:t>
                      </w:r>
                      <w:r w:rsidRPr="0025567F" w:rsidR="0025567F">
                        <w:rPr>
                          <w:noProof/>
                        </w:rPr>
                        <w:drawing>
                          <wp:inline distT="0" distB="0" distL="0" distR="0" wp14:anchorId="4CB9C444" wp14:editId="16BDF196">
                            <wp:extent cx="2369976" cy="2013744"/>
                            <wp:effectExtent l="0" t="0" r="0" b="5715"/>
                            <wp:docPr id="1951155660" name="Picture 1" descr="The second image (right) is a column and dot graph showing the number of half years with payment, compared to the percentage of total payments, amongst unregistered providers from January 2023 to December 2025.&#10;&#10;A majority of unregistered providers are on one or two half years of payment, and those with 6 half years of payment are contributing roughly 40% of total payments.&#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09505" name="Picture 1" descr="The second image (right) is a column and dot graph showing the number of half years with payment, compared to the percentage of total payments, amongst unregistered providers from January 2023 to December 2025.&#10;&#10;A majority of unregistered providers are on one or two half years of payment, and those with 6 half years of payment are contributing roughly 40% of total payments.&#10;&#10;Source: NDIS internal administrative data.&#10;"/>
                                    <pic:cNvPicPr/>
                                  </pic:nvPicPr>
                                  <pic:blipFill>
                                    <a:blip r:embed="rId59"/>
                                    <a:stretch>
                                      <a:fillRect/>
                                    </a:stretch>
                                  </pic:blipFill>
                                  <pic:spPr>
                                    <a:xfrm>
                                      <a:off x="0" y="0"/>
                                      <a:ext cx="2380458" cy="2022651"/>
                                    </a:xfrm>
                                    <a:prstGeom prst="rect">
                                      <a:avLst/>
                                    </a:prstGeom>
                                  </pic:spPr>
                                </pic:pic>
                              </a:graphicData>
                            </a:graphic>
                          </wp:inline>
                        </w:drawing>
                      </w:r>
                    </w:p>
                    <w:p w:rsidR="00DD0EA5" w:rsidRDefault="00DD0EA5" w14:paraId="6F9F7239" w14:textId="77777777">
                      <w:pPr>
                        <w:pStyle w:val="Sourcefortableorfigure"/>
                      </w:pPr>
                      <w:r w:rsidRPr="00566FE3">
                        <w:rPr>
                          <w:sz w:val="16"/>
                          <w:szCs w:val="16"/>
                        </w:rPr>
                        <w:t>Source: NDIS internal administrative data</w:t>
                      </w:r>
                    </w:p>
                  </w:txbxContent>
                </v:textbox>
                <w10:anchorlock/>
              </v:shape>
            </w:pict>
          </mc:Fallback>
        </mc:AlternateContent>
      </w:r>
    </w:p>
    <w:p w:rsidRPr="008D1918" w:rsidR="0031247B" w:rsidP="0031247B" w:rsidRDefault="00DD0EA5" w14:paraId="4486D228" w14:textId="77777777">
      <w:pPr>
        <w:pStyle w:val="Heading31"/>
        <w:ind w:left="1077" w:hanging="720"/>
      </w:pPr>
      <w:bookmarkStart w:name="_Toc223539739" w:id="1677"/>
      <w:bookmarkStart w:name="_Toc223539952" w:id="1678"/>
      <w:bookmarkStart w:name="_Toc223540420" w:id="1679"/>
      <w:bookmarkStart w:name="_Toc223540636" w:id="1680"/>
      <w:bookmarkStart w:name="_Toc223542176" w:id="1681"/>
      <w:bookmarkStart w:name="_Toc223604362" w:id="1682"/>
      <w:bookmarkStart w:name="_Toc223604573" w:id="1683"/>
      <w:bookmarkStart w:name="_Toc227337142" w:id="1684"/>
      <w:bookmarkStart w:name="_Toc195099196" w:id="1685"/>
      <w:bookmarkStart w:name="_Toc196754645" w:id="1686"/>
      <w:bookmarkStart w:name="_Toc196758247" w:id="1687"/>
      <w:bookmarkStart w:name="_Toc197344323" w:id="1688"/>
      <w:bookmarkStart w:name="_Toc200271680" w:id="1689"/>
      <w:r w:rsidRPr="008D1918">
        <w:t>Consultation</w:t>
      </w:r>
      <w:bookmarkEnd w:id="1677"/>
      <w:bookmarkEnd w:id="1678"/>
      <w:bookmarkEnd w:id="1679"/>
      <w:bookmarkEnd w:id="1680"/>
      <w:bookmarkEnd w:id="1681"/>
      <w:bookmarkEnd w:id="1682"/>
      <w:bookmarkEnd w:id="1683"/>
      <w:bookmarkEnd w:id="1684"/>
      <w:r w:rsidRPr="008D1918">
        <w:t xml:space="preserve"> </w:t>
      </w:r>
    </w:p>
    <w:p w:rsidRPr="008D1918" w:rsidR="00791B12" w:rsidP="001D163B" w:rsidRDefault="00791B12" w14:paraId="6E93550A" w14:textId="3777AB4C">
      <w:r w:rsidRPr="008D1918">
        <w:t xml:space="preserve">Consultation evidence in this chapter informs interpretation of the market data but does not determine pricing conclusions. Because </w:t>
      </w:r>
      <w:r w:rsidRPr="008D1918" w:rsidR="00491851">
        <w:t xml:space="preserve">the </w:t>
      </w:r>
      <w:r w:rsidRPr="008D1918">
        <w:t xml:space="preserve">support coordination </w:t>
      </w:r>
      <w:r w:rsidRPr="008D1918" w:rsidR="00491851">
        <w:t>market</w:t>
      </w:r>
      <w:r w:rsidRPr="008D1918">
        <w:t xml:space="preserve"> is </w:t>
      </w:r>
      <w:r w:rsidRPr="008D1918" w:rsidR="004F42FE">
        <w:t xml:space="preserve">created by the Scheme and has </w:t>
      </w:r>
      <w:r w:rsidRPr="008D1918">
        <w:t xml:space="preserve">no external price </w:t>
      </w:r>
      <w:r w:rsidRPr="008D1918" w:rsidR="00913099">
        <w:t>comparisons</w:t>
      </w:r>
      <w:r w:rsidRPr="008D1918">
        <w:t>, there is no independent market rate to validate against. Participant and provider feedback therefore serves a different analytical function</w:t>
      </w:r>
      <w:r w:rsidRPr="008D1918" w:rsidR="00B206A9">
        <w:t xml:space="preserve"> here than in </w:t>
      </w:r>
      <w:r w:rsidRPr="008D1918" w:rsidR="005B7FDD">
        <w:t xml:space="preserve">the </w:t>
      </w:r>
      <w:r w:rsidRPr="008D1918" w:rsidR="00B206A9">
        <w:t xml:space="preserve">benchmarked </w:t>
      </w:r>
      <w:r w:rsidRPr="008D1918" w:rsidR="005B7FDD">
        <w:t>therapy market</w:t>
      </w:r>
      <w:r w:rsidRPr="008D1918" w:rsidR="00443EAE">
        <w:t xml:space="preserve">. It </w:t>
      </w:r>
      <w:r w:rsidRPr="008D1918" w:rsidR="00B206A9">
        <w:t xml:space="preserve">identifies what participants value in support coordination, flags where the scope of the role may have shifted relative to its pricing basis and </w:t>
      </w:r>
      <w:r w:rsidRPr="008D1918" w:rsidR="007C62C7">
        <w:t>show</w:t>
      </w:r>
      <w:r w:rsidRPr="008D1918" w:rsidR="00771C82">
        <w:t>s</w:t>
      </w:r>
      <w:r w:rsidRPr="008D1918" w:rsidR="00B206A9">
        <w:t xml:space="preserve"> access risks that market data may not fully capture. </w:t>
      </w:r>
      <w:r w:rsidRPr="008D1918" w:rsidR="008F105D">
        <w:t>While t</w:t>
      </w:r>
      <w:r w:rsidRPr="008D1918" w:rsidR="00B206A9">
        <w:t>hese are important inputs</w:t>
      </w:r>
      <w:r w:rsidRPr="008D1918" w:rsidR="008F105D">
        <w:t xml:space="preserve">, </w:t>
      </w:r>
      <w:r w:rsidRPr="008D1918" w:rsidR="001A4873">
        <w:t>they</w:t>
      </w:r>
      <w:r w:rsidRPr="008D1918" w:rsidR="00B206A9">
        <w:t xml:space="preserve"> do not </w:t>
      </w:r>
      <w:r w:rsidRPr="008D1918" w:rsidR="00447611">
        <w:t>establish on their own</w:t>
      </w:r>
      <w:r w:rsidRPr="008D1918" w:rsidR="00B206A9">
        <w:t xml:space="preserve"> that current </w:t>
      </w:r>
      <w:r w:rsidRPr="008D1918" w:rsidR="009A0856">
        <w:t xml:space="preserve">maximum </w:t>
      </w:r>
      <w:r w:rsidRPr="008D1918" w:rsidR="00B206A9">
        <w:t>price</w:t>
      </w:r>
      <w:r w:rsidRPr="008D1918" w:rsidR="00913099">
        <w:t>s</w:t>
      </w:r>
      <w:r w:rsidRPr="008D1918" w:rsidR="00B206A9">
        <w:t xml:space="preserve"> are inadequate. </w:t>
      </w:r>
    </w:p>
    <w:p w:rsidRPr="008D1918" w:rsidR="007B789B" w:rsidP="00041468" w:rsidRDefault="00DD0EA5" w14:paraId="23294EE9" w14:textId="1FA3849A">
      <w:pPr>
        <w:pStyle w:val="StyleStyle112pt"/>
      </w:pPr>
      <w:bookmarkStart w:name="_Toc223345426" w:id="1690"/>
      <w:bookmarkStart w:name="_Toc223428501" w:id="1691"/>
      <w:bookmarkStart w:name="_Toc223445969" w:id="1692"/>
      <w:bookmarkStart w:name="_Toc223539740" w:id="1693"/>
      <w:bookmarkStart w:name="_Toc223539953" w:id="1694"/>
      <w:bookmarkStart w:name="_Toc223540421" w:id="1695"/>
      <w:bookmarkStart w:name="_Toc223540637" w:id="1696"/>
      <w:bookmarkStart w:name="_Toc223542177" w:id="1697"/>
      <w:bookmarkStart w:name="_Toc223604363" w:id="1698"/>
      <w:bookmarkStart w:name="_Toc223604574" w:id="1699"/>
      <w:bookmarkStart w:name="_Toc223604803" w:id="1700"/>
      <w:bookmarkStart w:name="_Toc223618660" w:id="1701"/>
      <w:bookmarkStart w:name="_Toc223702889" w:id="1702"/>
      <w:bookmarkStart w:name="_Toc227318775" w:id="1703"/>
      <w:bookmarkStart w:name="_Toc227337143" w:id="1704"/>
      <w:r w:rsidRPr="008D1918">
        <w:t xml:space="preserve">Participant </w:t>
      </w:r>
      <w:r w:rsidRPr="008D1918" w:rsidR="00F5340F">
        <w:t>c</w:t>
      </w:r>
      <w:r w:rsidRPr="008D1918">
        <w:t>onsultation</w:t>
      </w:r>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p>
    <w:p w:rsidRPr="008D1918" w:rsidR="007B789B" w:rsidP="007B789B" w:rsidRDefault="007B789B" w14:paraId="19186093" w14:textId="4971A98C">
      <w:pPr>
        <w:rPr>
          <w:lang w:val="en-AU"/>
        </w:rPr>
      </w:pPr>
      <w:r w:rsidRPr="008D1918">
        <w:rPr>
          <w:lang w:val="en-AU"/>
        </w:rPr>
        <w:t>Consistent with the participant</w:t>
      </w:r>
      <w:r w:rsidRPr="008D1918" w:rsidR="003A3FB7">
        <w:rPr>
          <w:lang w:val="en-AU"/>
        </w:rPr>
        <w:t xml:space="preserve"> </w:t>
      </w:r>
      <w:r w:rsidRPr="008D1918">
        <w:rPr>
          <w:lang w:val="en-AU"/>
        </w:rPr>
        <w:t xml:space="preserve">choice findings reported in Chapter 4, trust and relationship quality, qualifications and training and availability were the </w:t>
      </w:r>
      <w:r w:rsidRPr="008D1918" w:rsidR="007D5904">
        <w:rPr>
          <w:lang w:val="en-AU"/>
        </w:rPr>
        <w:t>most cited</w:t>
      </w:r>
      <w:r w:rsidRPr="008D1918">
        <w:rPr>
          <w:lang w:val="en-AU"/>
        </w:rPr>
        <w:t xml:space="preserve"> factors in choosing a support coordinator. Registration status was identified by 13%</w:t>
      </w:r>
      <w:r w:rsidRPr="008D1918" w:rsidR="00BB539A">
        <w:rPr>
          <w:lang w:val="en-AU"/>
        </w:rPr>
        <w:t xml:space="preserve"> as a factor influencing </w:t>
      </w:r>
      <w:r w:rsidRPr="008D1918" w:rsidR="00F60C7E">
        <w:rPr>
          <w:lang w:val="en-AU"/>
        </w:rPr>
        <w:t>choice of provider</w:t>
      </w:r>
      <w:r w:rsidRPr="008D1918">
        <w:rPr>
          <w:lang w:val="en-AU"/>
        </w:rPr>
        <w:t xml:space="preserve">. Participants in regional areas placed greater emphasis on availability than those in major cities, reflecting thinner provider </w:t>
      </w:r>
      <w:r w:rsidRPr="008D1918" w:rsidR="006043F4">
        <w:rPr>
          <w:lang w:val="en-AU"/>
        </w:rPr>
        <w:t>presence</w:t>
      </w:r>
      <w:r w:rsidRPr="008D1918">
        <w:rPr>
          <w:lang w:val="en-AU"/>
        </w:rPr>
        <w:t xml:space="preserve">. </w:t>
      </w:r>
    </w:p>
    <w:p w:rsidRPr="008D1918" w:rsidR="007B789B" w:rsidP="007B789B" w:rsidRDefault="007B789B" w14:paraId="573DB8C6" w14:textId="59EEAD9B">
      <w:pPr>
        <w:rPr>
          <w:lang w:val="en-AU"/>
        </w:rPr>
      </w:pPr>
      <w:r w:rsidRPr="008D1918">
        <w:rPr>
          <w:lang w:val="en-AU"/>
        </w:rPr>
        <w:t>Provider continuity was a prominent conce</w:t>
      </w:r>
      <w:r w:rsidRPr="008D1918" w:rsidR="00FB7F33">
        <w:rPr>
          <w:lang w:val="en-AU"/>
        </w:rPr>
        <w:t>rn</w:t>
      </w:r>
      <w:r w:rsidRPr="008D1918">
        <w:rPr>
          <w:lang w:val="en-AU"/>
        </w:rPr>
        <w:t xml:space="preserve">: 54% identified losing their current provider as a risk </w:t>
      </w:r>
      <w:r w:rsidRPr="008D1918" w:rsidR="00F816EE">
        <w:rPr>
          <w:lang w:val="en-AU"/>
        </w:rPr>
        <w:t xml:space="preserve">with any </w:t>
      </w:r>
      <w:r w:rsidRPr="008D1918">
        <w:rPr>
          <w:lang w:val="en-AU"/>
        </w:rPr>
        <w:t xml:space="preserve">pricing changes, and 65% were concerned about receiving fewer hours. These concerns were more pronounced among plan-managed respondents (56% and 69% respectively). Participants </w:t>
      </w:r>
      <w:r w:rsidRPr="008D1918" w:rsidR="00341FB5">
        <w:rPr>
          <w:lang w:val="en-AU"/>
        </w:rPr>
        <w:t>described</w:t>
      </w:r>
      <w:r w:rsidRPr="008D1918">
        <w:rPr>
          <w:lang w:val="en-AU"/>
        </w:rPr>
        <w:t xml:space="preserve"> their support coordinator as essential to understanding plan budgets, identifying providers and maintaining continuity across plan periods. </w:t>
      </w:r>
    </w:p>
    <w:p w:rsidRPr="008D1918" w:rsidR="00DD0EA5" w:rsidP="00041468" w:rsidRDefault="00DD0EA5" w14:paraId="61659DF0" w14:textId="77777777">
      <w:pPr>
        <w:pStyle w:val="StyleStyle112pt"/>
      </w:pPr>
      <w:bookmarkStart w:name="_Toc223345427" w:id="1705"/>
      <w:bookmarkStart w:name="_Toc223428502" w:id="1706"/>
      <w:bookmarkStart w:name="_Toc223445970" w:id="1707"/>
      <w:bookmarkStart w:name="_Toc223539741" w:id="1708"/>
      <w:bookmarkStart w:name="_Toc223539954" w:id="1709"/>
      <w:bookmarkStart w:name="_Toc223540422" w:id="1710"/>
      <w:bookmarkStart w:name="_Toc223540638" w:id="1711"/>
      <w:bookmarkStart w:name="_Toc223542178" w:id="1712"/>
      <w:bookmarkStart w:name="_Toc223604364" w:id="1713"/>
      <w:bookmarkStart w:name="_Toc223604575" w:id="1714"/>
      <w:bookmarkStart w:name="_Toc223604804" w:id="1715"/>
      <w:bookmarkStart w:name="_Toc223618661" w:id="1716"/>
      <w:bookmarkStart w:name="_Toc223702890" w:id="1717"/>
      <w:bookmarkStart w:name="_Toc227318776" w:id="1718"/>
      <w:bookmarkStart w:name="_Toc227337144" w:id="1719"/>
      <w:r w:rsidRPr="008D1918">
        <w:t>Provider consultation</w:t>
      </w:r>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r w:rsidRPr="008D1918">
        <w:t xml:space="preserve"> </w:t>
      </w:r>
    </w:p>
    <w:p w:rsidRPr="008D1918" w:rsidR="00B91F81" w:rsidP="00B91F81" w:rsidRDefault="6D268097" w14:paraId="09E65F5F" w14:textId="630FF279">
      <w:pPr>
        <w:rPr>
          <w:lang w:val="en-AU"/>
        </w:rPr>
      </w:pPr>
      <w:r w:rsidRPr="008D1918">
        <w:rPr>
          <w:lang w:val="en-AU"/>
        </w:rPr>
        <w:t>Among</w:t>
      </w:r>
      <w:r w:rsidRPr="008D1918" w:rsidR="00B91F81">
        <w:rPr>
          <w:lang w:val="en-AU"/>
        </w:rPr>
        <w:t xml:space="preserve"> provider respondents, 16% delivered support coordination services. Registered support coordination providers favoured registration as the basis for pricing differentiation (56%); unregistered providers preferred participant complexity (48%) and workforce </w:t>
      </w:r>
      <w:r w:rsidRPr="008D1918" w:rsidR="00FB7F33">
        <w:rPr>
          <w:lang w:val="en-AU"/>
        </w:rPr>
        <w:t>qualifications</w:t>
      </w:r>
      <w:r w:rsidRPr="008D1918" w:rsidR="00B91F81">
        <w:rPr>
          <w:lang w:val="en-AU"/>
        </w:rPr>
        <w:t xml:space="preserve"> (21%). This divergence </w:t>
      </w:r>
      <w:r w:rsidRPr="008D1918" w:rsidR="00FB7F33">
        <w:rPr>
          <w:lang w:val="en-AU"/>
        </w:rPr>
        <w:t>mirrors</w:t>
      </w:r>
      <w:r w:rsidRPr="008D1918" w:rsidR="00B91F81">
        <w:rPr>
          <w:lang w:val="en-AU"/>
        </w:rPr>
        <w:t xml:space="preserve"> the patterns observed across all support types. </w:t>
      </w:r>
    </w:p>
    <w:p w:rsidRPr="008D1918" w:rsidR="00B91F81" w:rsidP="00B91F81" w:rsidRDefault="00B91F81" w14:paraId="65E56D11" w14:textId="0728B9B6">
      <w:pPr>
        <w:rPr>
          <w:lang w:val="en-AU"/>
        </w:rPr>
      </w:pPr>
      <w:r w:rsidRPr="008D1918">
        <w:rPr>
          <w:lang w:val="en-AU"/>
        </w:rPr>
        <w:t>Provider responses consistently identified a gap between the scope of the role as currently practised and the scope assumed by pricing. The most frequently raised issues were expanded cross-system navigation (housing, health, justice and education)</w:t>
      </w:r>
      <w:r w:rsidRPr="008D1918" w:rsidR="00367ED2">
        <w:rPr>
          <w:lang w:val="en-AU"/>
        </w:rPr>
        <w:t>;</w:t>
      </w:r>
      <w:r w:rsidRPr="008D1918">
        <w:rPr>
          <w:lang w:val="en-AU"/>
        </w:rPr>
        <w:t xml:space="preserve"> crisis intervention including after-hours response, non-billable administrative work (reporting, service liaison, plan review preparation)</w:t>
      </w:r>
      <w:r w:rsidRPr="008D1918" w:rsidR="00367ED2">
        <w:rPr>
          <w:lang w:val="en-AU"/>
        </w:rPr>
        <w:t>;</w:t>
      </w:r>
      <w:r w:rsidRPr="008D1918">
        <w:rPr>
          <w:lang w:val="en-AU"/>
        </w:rPr>
        <w:t xml:space="preserve"> and intensive capacity building with participants and families. These structural </w:t>
      </w:r>
      <w:r w:rsidRPr="008D1918" w:rsidR="00FB7F33">
        <w:rPr>
          <w:lang w:val="en-AU"/>
        </w:rPr>
        <w:t>observations</w:t>
      </w:r>
      <w:r w:rsidRPr="008D1918">
        <w:rPr>
          <w:lang w:val="en-AU"/>
        </w:rPr>
        <w:t xml:space="preserve"> </w:t>
      </w:r>
      <w:r w:rsidRPr="008D1918" w:rsidR="00A43A56">
        <w:rPr>
          <w:lang w:val="en-AU"/>
        </w:rPr>
        <w:t>were</w:t>
      </w:r>
      <w:r w:rsidRPr="008D1918">
        <w:rPr>
          <w:lang w:val="en-AU"/>
        </w:rPr>
        <w:t xml:space="preserve"> about the evolving scope of the </w:t>
      </w:r>
      <w:r w:rsidRPr="008D1918" w:rsidR="00E23039">
        <w:rPr>
          <w:lang w:val="en-AU"/>
        </w:rPr>
        <w:t xml:space="preserve">support </w:t>
      </w:r>
      <w:r w:rsidRPr="008D1918">
        <w:rPr>
          <w:lang w:val="en-AU"/>
        </w:rPr>
        <w:t xml:space="preserve">coordination role, not the specific price. The </w:t>
      </w:r>
      <w:r w:rsidRPr="008D1918" w:rsidR="00A43A56">
        <w:rPr>
          <w:lang w:val="en-AU"/>
        </w:rPr>
        <w:t xml:space="preserve">Quality Supports </w:t>
      </w:r>
      <w:r w:rsidRPr="008D1918" w:rsidR="005002D9">
        <w:rPr>
          <w:lang w:val="en-AU"/>
        </w:rPr>
        <w:t>Program</w:t>
      </w:r>
      <w:r w:rsidRPr="008D1918" w:rsidR="00A43A56">
        <w:rPr>
          <w:lang w:val="en-AU"/>
        </w:rPr>
        <w:t xml:space="preserve"> </w:t>
      </w:r>
      <w:r w:rsidRPr="008D1918" w:rsidR="00AC666C">
        <w:rPr>
          <w:rFonts w:eastAsia="Arial" w:cs="Arial"/>
          <w:color w:val="000000"/>
          <w:lang w:val="en-AU"/>
        </w:rPr>
        <w:t xml:space="preserve">Support Coordination </w:t>
      </w:r>
      <w:r w:rsidRPr="008D1918" w:rsidR="0002167C">
        <w:rPr>
          <w:lang w:val="en-AU"/>
        </w:rPr>
        <w:t>p</w:t>
      </w:r>
      <w:r w:rsidRPr="008D1918" w:rsidR="00A43A56">
        <w:rPr>
          <w:lang w:val="en-AU"/>
        </w:rPr>
        <w:t xml:space="preserve">ilot </w:t>
      </w:r>
      <w:r w:rsidRPr="008D1918">
        <w:rPr>
          <w:lang w:val="en-AU"/>
        </w:rPr>
        <w:t xml:space="preserve">will provide the first evidence base for assessing whether </w:t>
      </w:r>
      <w:r w:rsidRPr="008D1918" w:rsidR="00A43A56">
        <w:rPr>
          <w:lang w:val="en-AU"/>
        </w:rPr>
        <w:t xml:space="preserve">the </w:t>
      </w:r>
      <w:r w:rsidRPr="008D1918">
        <w:rPr>
          <w:lang w:val="en-AU"/>
        </w:rPr>
        <w:t>current pricing remains aligned with how the role is delivered in practice.</w:t>
      </w:r>
    </w:p>
    <w:p w:rsidRPr="008D1918" w:rsidR="00281FE0" w:rsidP="001D163B" w:rsidRDefault="006E539C" w14:paraId="71D34A79" w14:textId="1ED34831">
      <w:pPr>
        <w:pStyle w:val="Heading31"/>
        <w:ind w:left="1077" w:hanging="720"/>
      </w:pPr>
      <w:bookmarkStart w:name="_Toc227131365" w:id="1720"/>
      <w:bookmarkStart w:name="_Toc227337145" w:id="1721"/>
      <w:bookmarkEnd w:id="1720"/>
      <w:r w:rsidRPr="008D1918">
        <w:t>Discussion</w:t>
      </w:r>
      <w:bookmarkEnd w:id="1721"/>
    </w:p>
    <w:p w:rsidRPr="008D1918" w:rsidR="00281FE0" w:rsidP="005418A1" w:rsidRDefault="008A5AE9" w14:paraId="1EB092F2" w14:textId="22EA79A9">
      <w:pPr>
        <w:rPr>
          <w:rFonts w:eastAsia="Arial" w:cs="Arial"/>
          <w:color w:val="000000"/>
          <w:lang w:val="en-AU"/>
        </w:rPr>
      </w:pPr>
      <w:r w:rsidRPr="008D1918">
        <w:rPr>
          <w:rFonts w:eastAsia="Arial" w:cs="Arial"/>
          <w:color w:val="000000"/>
          <w:lang w:val="en-AU"/>
        </w:rPr>
        <w:t xml:space="preserve">The support coordination market is a Scheme-created market. Its size, structure and conduct are shaped directly by NDIS plan design, eligibility </w:t>
      </w:r>
      <w:r w:rsidRPr="008D1918" w:rsidR="00D969B8">
        <w:rPr>
          <w:rFonts w:eastAsia="Arial" w:cs="Arial"/>
          <w:color w:val="000000"/>
          <w:lang w:val="en-AU"/>
        </w:rPr>
        <w:t>settings and price</w:t>
      </w:r>
      <w:r w:rsidRPr="008D1918" w:rsidR="009A0856">
        <w:rPr>
          <w:rFonts w:eastAsia="Arial" w:cs="Arial"/>
          <w:color w:val="000000"/>
          <w:lang w:val="en-AU"/>
        </w:rPr>
        <w:t xml:space="preserve">s </w:t>
      </w:r>
      <w:r w:rsidRPr="008D1918" w:rsidR="00D969B8">
        <w:rPr>
          <w:rFonts w:eastAsia="Arial" w:cs="Arial"/>
          <w:color w:val="000000"/>
          <w:lang w:val="en-AU"/>
        </w:rPr>
        <w:t xml:space="preserve">rather than by independent </w:t>
      </w:r>
      <w:r w:rsidRPr="008D1918" w:rsidR="00A877BD">
        <w:rPr>
          <w:rFonts w:eastAsia="Arial" w:cs="Arial"/>
          <w:color w:val="000000"/>
          <w:lang w:val="en-AU"/>
        </w:rPr>
        <w:t>supply</w:t>
      </w:r>
      <w:r w:rsidRPr="008D1918" w:rsidR="00D969B8">
        <w:rPr>
          <w:rFonts w:eastAsia="Arial" w:cs="Arial"/>
          <w:color w:val="000000"/>
          <w:lang w:val="en-AU"/>
        </w:rPr>
        <w:t xml:space="preserve"> and demand dynamics. Assess</w:t>
      </w:r>
      <w:r w:rsidRPr="008D1918" w:rsidR="005B7FDD">
        <w:rPr>
          <w:rFonts w:eastAsia="Arial" w:cs="Arial"/>
          <w:color w:val="000000"/>
          <w:lang w:val="en-AU"/>
        </w:rPr>
        <w:t>ing</w:t>
      </w:r>
      <w:r w:rsidRPr="008D1918" w:rsidR="00D969B8">
        <w:rPr>
          <w:rFonts w:eastAsia="Arial" w:cs="Arial"/>
          <w:color w:val="000000"/>
          <w:lang w:val="en-AU"/>
        </w:rPr>
        <w:t xml:space="preserve"> whether pric</w:t>
      </w:r>
      <w:r w:rsidRPr="008D1918" w:rsidR="00075786">
        <w:rPr>
          <w:rFonts w:eastAsia="Arial" w:cs="Arial"/>
          <w:color w:val="000000"/>
          <w:lang w:val="en-AU"/>
        </w:rPr>
        <w:t>es</w:t>
      </w:r>
      <w:r w:rsidRPr="008D1918" w:rsidR="00D969B8">
        <w:rPr>
          <w:rFonts w:eastAsia="Arial" w:cs="Arial"/>
          <w:color w:val="000000"/>
          <w:lang w:val="en-AU"/>
        </w:rPr>
        <w:t xml:space="preserve"> remain appropriate therefore requires a different frame</w:t>
      </w:r>
      <w:r w:rsidRPr="008D1918" w:rsidR="005B7FDD">
        <w:rPr>
          <w:rFonts w:eastAsia="Arial" w:cs="Arial"/>
          <w:color w:val="000000"/>
          <w:lang w:val="en-AU"/>
        </w:rPr>
        <w:t>work</w:t>
      </w:r>
      <w:r w:rsidRPr="008D1918" w:rsidR="00D969B8">
        <w:rPr>
          <w:rFonts w:eastAsia="Arial" w:cs="Arial"/>
          <w:color w:val="000000"/>
          <w:lang w:val="en-AU"/>
        </w:rPr>
        <w:t xml:space="preserve"> from the benchmarked therapy market and the DSW market</w:t>
      </w:r>
      <w:r w:rsidRPr="008D1918" w:rsidR="00CC3BBD">
        <w:rPr>
          <w:rFonts w:eastAsia="Arial" w:cs="Arial"/>
          <w:color w:val="000000"/>
          <w:lang w:val="en-AU"/>
        </w:rPr>
        <w:t>,</w:t>
      </w:r>
      <w:r w:rsidRPr="008D1918" w:rsidR="00D969B8">
        <w:rPr>
          <w:rFonts w:eastAsia="Arial" w:cs="Arial"/>
          <w:color w:val="000000"/>
          <w:lang w:val="en-AU"/>
        </w:rPr>
        <w:t xml:space="preserve"> priced through the DSW Cost Model.</w:t>
      </w:r>
      <w:r w:rsidRPr="008D1918" w:rsidR="00902533">
        <w:rPr>
          <w:rFonts w:eastAsia="Arial" w:cs="Arial"/>
          <w:color w:val="000000"/>
          <w:lang w:val="en-AU"/>
        </w:rPr>
        <w:t xml:space="preserve"> The issue is not whether prices are aligned with external benchmarks, there are none, but whether current price</w:t>
      </w:r>
      <w:r w:rsidRPr="008D1918" w:rsidR="00075786">
        <w:rPr>
          <w:rFonts w:eastAsia="Arial" w:cs="Arial"/>
          <w:color w:val="000000"/>
          <w:lang w:val="en-AU"/>
        </w:rPr>
        <w:t>s would</w:t>
      </w:r>
      <w:r w:rsidRPr="008D1918" w:rsidR="00902533">
        <w:rPr>
          <w:rFonts w:eastAsia="Arial" w:cs="Arial"/>
          <w:color w:val="000000"/>
          <w:lang w:val="en-AU"/>
        </w:rPr>
        <w:t xml:space="preserve"> support a market that delivers quality support coordination, and whether the scope of what providers are delivering has moved materially relative to what pricing assumes. This chapter addresses both </w:t>
      </w:r>
      <w:r w:rsidRPr="008D1918" w:rsidR="005B7FDD">
        <w:rPr>
          <w:rFonts w:eastAsia="Arial" w:cs="Arial"/>
          <w:color w:val="000000"/>
          <w:lang w:val="en-AU"/>
        </w:rPr>
        <w:t xml:space="preserve">of </w:t>
      </w:r>
      <w:r w:rsidRPr="008D1918" w:rsidR="00902533">
        <w:rPr>
          <w:rFonts w:eastAsia="Arial" w:cs="Arial"/>
          <w:color w:val="000000"/>
          <w:lang w:val="en-AU"/>
        </w:rPr>
        <w:t xml:space="preserve">those questions. </w:t>
      </w:r>
    </w:p>
    <w:p w:rsidRPr="008D1918" w:rsidR="00902533" w:rsidP="005418A1" w:rsidRDefault="00902533" w14:paraId="42D4214B" w14:textId="69CEE5FE">
      <w:pPr>
        <w:rPr>
          <w:rFonts w:eastAsia="Arial" w:cs="Arial"/>
          <w:color w:val="000000"/>
          <w:lang w:val="en-AU"/>
        </w:rPr>
      </w:pPr>
      <w:r w:rsidRPr="008D1918">
        <w:rPr>
          <w:rFonts w:eastAsia="Arial" w:cs="Arial"/>
          <w:color w:val="000000"/>
          <w:lang w:val="en-AU"/>
        </w:rPr>
        <w:t xml:space="preserve">On the first question, the market data supports maintaining </w:t>
      </w:r>
      <w:r w:rsidRPr="008743A8">
        <w:rPr>
          <w:rFonts w:eastAsia="Arial" w:cs="Arial"/>
          <w:color w:val="000000"/>
          <w:lang w:val="en-AU"/>
        </w:rPr>
        <w:t xml:space="preserve">current </w:t>
      </w:r>
      <w:r w:rsidRPr="008743A8" w:rsidR="009A0856">
        <w:rPr>
          <w:rFonts w:eastAsia="Arial" w:cs="Arial"/>
          <w:color w:val="000000"/>
          <w:lang w:val="en-AU"/>
        </w:rPr>
        <w:t xml:space="preserve">maximum </w:t>
      </w:r>
      <w:r w:rsidRPr="008743A8">
        <w:rPr>
          <w:rFonts w:eastAsia="Arial" w:cs="Arial"/>
          <w:color w:val="000000"/>
          <w:lang w:val="en-AU"/>
        </w:rPr>
        <w:t>price</w:t>
      </w:r>
      <w:r w:rsidRPr="008743A8" w:rsidR="00075786">
        <w:rPr>
          <w:rFonts w:eastAsia="Arial" w:cs="Arial"/>
          <w:color w:val="000000"/>
          <w:lang w:val="en-AU"/>
        </w:rPr>
        <w:t>s</w:t>
      </w:r>
      <w:r w:rsidRPr="008743A8">
        <w:rPr>
          <w:rFonts w:eastAsia="Arial" w:cs="Arial"/>
          <w:color w:val="000000"/>
          <w:lang w:val="en-AU"/>
        </w:rPr>
        <w:t>.</w:t>
      </w:r>
      <w:r w:rsidRPr="008D1918">
        <w:rPr>
          <w:rFonts w:eastAsia="Arial" w:cs="Arial"/>
          <w:color w:val="000000"/>
          <w:lang w:val="en-AU"/>
        </w:rPr>
        <w:t xml:space="preserve"> The core case is the stability and scale </w:t>
      </w:r>
      <w:r w:rsidRPr="008D1918" w:rsidR="00A877BD">
        <w:rPr>
          <w:rFonts w:eastAsia="Arial" w:cs="Arial"/>
          <w:color w:val="000000"/>
          <w:lang w:val="en-AU"/>
        </w:rPr>
        <w:t xml:space="preserve">of the continuously active registered provider cohort. Thirty-seven per cent of registered providers were active across all </w:t>
      </w:r>
      <w:r w:rsidRPr="008D1918" w:rsidR="008016A8">
        <w:rPr>
          <w:rFonts w:eastAsia="Arial" w:cs="Arial"/>
          <w:color w:val="000000"/>
          <w:lang w:val="en-AU"/>
        </w:rPr>
        <w:t>6</w:t>
      </w:r>
      <w:r w:rsidRPr="008D1918" w:rsidR="00A877BD">
        <w:rPr>
          <w:rFonts w:eastAsia="Arial" w:cs="Arial"/>
          <w:color w:val="000000"/>
          <w:lang w:val="en-AU"/>
        </w:rPr>
        <w:t xml:space="preserve"> half-year periods from January 2023 to December 2025 and accounts for 85</w:t>
      </w:r>
      <w:r w:rsidRPr="008D1918" w:rsidR="008016A8">
        <w:rPr>
          <w:rFonts w:eastAsia="Arial" w:cs="Arial"/>
          <w:color w:val="000000"/>
          <w:lang w:val="en-AU"/>
        </w:rPr>
        <w:t>%</w:t>
      </w:r>
      <w:r w:rsidRPr="008D1918" w:rsidR="00A877BD">
        <w:rPr>
          <w:rFonts w:eastAsia="Arial" w:cs="Arial"/>
          <w:color w:val="000000"/>
          <w:lang w:val="en-AU"/>
        </w:rPr>
        <w:t xml:space="preserve"> of total registered provider payments. This segment delivers the most support coordination at scale and it is not showing signs of distress. Entry consistently exceeds exit in value terms. Average revenue for the stable cohort is consistent with a viable business model at the scale these providers operate. The decline in average registered provider revenue reflects dilution across a rapidly expanding provider base, 20</w:t>
      </w:r>
      <w:r w:rsidRPr="008D1918" w:rsidR="007144E2">
        <w:rPr>
          <w:rFonts w:eastAsia="Arial" w:cs="Arial"/>
          <w:color w:val="000000"/>
          <w:lang w:val="en-AU"/>
        </w:rPr>
        <w:t>%</w:t>
      </w:r>
      <w:r w:rsidRPr="008D1918" w:rsidR="00A877BD">
        <w:rPr>
          <w:rFonts w:eastAsia="Arial" w:cs="Arial"/>
          <w:color w:val="000000"/>
          <w:lang w:val="en-AU"/>
        </w:rPr>
        <w:t xml:space="preserve"> growth in provider numbers in the most recent period, rather than a deterioration among established operators. These signals collectively support the </w:t>
      </w:r>
      <w:r w:rsidRPr="008D1918" w:rsidR="00A877BD">
        <w:rPr>
          <w:rFonts w:eastAsia="Arial" w:cs="Arial"/>
          <w:color w:val="000000"/>
          <w:lang w:val="en-AU"/>
        </w:rPr>
        <w:t>conclusion that current price</w:t>
      </w:r>
      <w:r w:rsidRPr="008D1918" w:rsidR="00C675FD">
        <w:rPr>
          <w:rFonts w:eastAsia="Arial" w:cs="Arial"/>
          <w:color w:val="000000"/>
          <w:lang w:val="en-AU"/>
        </w:rPr>
        <w:t xml:space="preserve">s </w:t>
      </w:r>
      <w:r w:rsidRPr="008D1918" w:rsidR="00A877BD">
        <w:rPr>
          <w:rFonts w:eastAsia="Arial" w:cs="Arial"/>
          <w:color w:val="000000"/>
          <w:lang w:val="en-AU"/>
        </w:rPr>
        <w:t xml:space="preserve">are not preventing the core provider base from sustaining delivery. </w:t>
      </w:r>
    </w:p>
    <w:p w:rsidRPr="008D1918" w:rsidR="00A877BD" w:rsidP="005418A1" w:rsidRDefault="00A877BD" w14:paraId="51A71EF2" w14:textId="27F121C9">
      <w:pPr>
        <w:rPr>
          <w:rFonts w:eastAsia="Arial" w:cs="Arial"/>
          <w:color w:val="000000"/>
          <w:lang w:val="en-AU"/>
        </w:rPr>
      </w:pPr>
      <w:r w:rsidRPr="008D1918">
        <w:rPr>
          <w:rFonts w:eastAsia="Arial" w:cs="Arial"/>
          <w:color w:val="000000"/>
          <w:lang w:val="en-AU"/>
        </w:rPr>
        <w:t>The high churn in the unregistered market segment warrants a separate interpretation. Unregistered providers are a single category. They include sole traders building small businesses and a much large</w:t>
      </w:r>
      <w:r w:rsidRPr="008D1918" w:rsidR="00A5307C">
        <w:rPr>
          <w:rFonts w:eastAsia="Arial" w:cs="Arial"/>
          <w:color w:val="000000"/>
          <w:lang w:val="en-AU"/>
        </w:rPr>
        <w:t>r</w:t>
      </w:r>
      <w:r w:rsidRPr="008D1918">
        <w:rPr>
          <w:rFonts w:eastAsia="Arial" w:cs="Arial"/>
          <w:color w:val="000000"/>
          <w:lang w:val="en-AU"/>
        </w:rPr>
        <w:t xml:space="preserve"> group </w:t>
      </w:r>
      <w:r w:rsidRPr="008D1918" w:rsidR="00C326F6">
        <w:rPr>
          <w:rFonts w:eastAsia="Arial" w:cs="Arial"/>
          <w:color w:val="000000"/>
          <w:lang w:val="en-AU"/>
        </w:rPr>
        <w:t>of providers that cycle</w:t>
      </w:r>
      <w:r w:rsidRPr="008D1918">
        <w:rPr>
          <w:rFonts w:eastAsia="Arial" w:cs="Arial"/>
          <w:color w:val="000000"/>
          <w:lang w:val="en-AU"/>
        </w:rPr>
        <w:t xml:space="preserve"> in and out of the market with</w:t>
      </w:r>
      <w:r w:rsidR="00D33FB6">
        <w:rPr>
          <w:rFonts w:eastAsia="Arial" w:cs="Arial"/>
          <w:color w:val="000000"/>
          <w:lang w:val="en-AU"/>
        </w:rPr>
        <w:t>in</w:t>
      </w:r>
      <w:r w:rsidRPr="008D1918">
        <w:rPr>
          <w:rFonts w:eastAsia="Arial" w:cs="Arial"/>
          <w:color w:val="000000"/>
          <w:lang w:val="en-AU"/>
        </w:rPr>
        <w:t xml:space="preserve"> a single reporting period. The latter group is not responding to pricing signals</w:t>
      </w:r>
      <w:r w:rsidRPr="008D1918" w:rsidR="00A5307C">
        <w:rPr>
          <w:rFonts w:eastAsia="Arial" w:cs="Arial"/>
          <w:color w:val="000000"/>
          <w:lang w:val="en-AU"/>
        </w:rPr>
        <w:t>. P</w:t>
      </w:r>
      <w:r w:rsidRPr="008D1918">
        <w:rPr>
          <w:rFonts w:eastAsia="Arial" w:cs="Arial"/>
          <w:color w:val="000000"/>
          <w:lang w:val="en-AU"/>
        </w:rPr>
        <w:t xml:space="preserve">roviders entering to support a specific participant and then exiting when that relationship ends are participating in a different type of market dynamic. Treating unregistered churn as a pricing concern would misread the data. The relevant question is whether the stable unregistered cohort is viable, and the evidence is consistent with it being so. </w:t>
      </w:r>
    </w:p>
    <w:p w:rsidRPr="008D1918" w:rsidR="00A877BD" w:rsidP="005418A1" w:rsidRDefault="006C2AD6" w14:paraId="0002A1CC" w14:textId="3D77D3D9">
      <w:pPr>
        <w:rPr>
          <w:rFonts w:eastAsia="Arial" w:cs="Arial"/>
          <w:color w:val="000000"/>
          <w:lang w:val="en-AU"/>
        </w:rPr>
      </w:pPr>
      <w:r w:rsidRPr="008D1918">
        <w:rPr>
          <w:rFonts w:eastAsia="Arial" w:cs="Arial"/>
          <w:color w:val="000000"/>
          <w:lang w:val="en-AU"/>
        </w:rPr>
        <w:t>On the second question, consultation evidence identifies a material gap between the scope of the support coordination role as currently practice</w:t>
      </w:r>
      <w:r w:rsidRPr="008D1918" w:rsidR="009D5FE9">
        <w:rPr>
          <w:rFonts w:eastAsia="Arial" w:cs="Arial"/>
          <w:color w:val="000000"/>
          <w:lang w:val="en-AU"/>
        </w:rPr>
        <w:t>d</w:t>
      </w:r>
      <w:r w:rsidRPr="008D1918">
        <w:rPr>
          <w:rFonts w:eastAsia="Arial" w:cs="Arial"/>
          <w:color w:val="000000"/>
          <w:lang w:val="en-AU"/>
        </w:rPr>
        <w:t xml:space="preserve"> and the scope the pricing approach was designed around. Providers consistently described activities, </w:t>
      </w:r>
      <w:r w:rsidRPr="008D1918" w:rsidR="00FC7E22">
        <w:rPr>
          <w:rFonts w:eastAsia="Arial" w:cs="Arial"/>
          <w:color w:val="000000"/>
          <w:lang w:val="en-AU"/>
        </w:rPr>
        <w:t xml:space="preserve">including </w:t>
      </w:r>
      <w:r w:rsidRPr="008D1918">
        <w:rPr>
          <w:rFonts w:eastAsia="Arial" w:cs="Arial"/>
          <w:color w:val="000000"/>
          <w:lang w:val="en-AU"/>
        </w:rPr>
        <w:t>cross-system navigation, crisis response, intensive capacity building</w:t>
      </w:r>
      <w:r w:rsidRPr="008D1918" w:rsidR="00FC7E22">
        <w:rPr>
          <w:rFonts w:eastAsia="Arial" w:cs="Arial"/>
          <w:color w:val="000000"/>
          <w:lang w:val="en-AU"/>
        </w:rPr>
        <w:t xml:space="preserve"> and</w:t>
      </w:r>
      <w:r w:rsidRPr="008D1918">
        <w:rPr>
          <w:rFonts w:eastAsia="Arial" w:cs="Arial"/>
          <w:color w:val="000000"/>
          <w:lang w:val="en-AU"/>
        </w:rPr>
        <w:t xml:space="preserve"> non-billable administrative work, that extend</w:t>
      </w:r>
      <w:r w:rsidR="00B2575F">
        <w:rPr>
          <w:rFonts w:eastAsia="Arial" w:cs="Arial"/>
          <w:color w:val="000000"/>
          <w:lang w:val="en-AU"/>
        </w:rPr>
        <w:t>s</w:t>
      </w:r>
      <w:r w:rsidRPr="008D1918">
        <w:rPr>
          <w:rFonts w:eastAsia="Arial" w:cs="Arial"/>
          <w:color w:val="000000"/>
          <w:lang w:val="en-AU"/>
        </w:rPr>
        <w:t xml:space="preserve"> beyond the support coordination function implicit in current pricing. This is not a new observation, but it has not previously been supported by cost and service data at the provider level. The Support Coordination </w:t>
      </w:r>
      <w:r w:rsidRPr="008D1918" w:rsidR="00FC4F46">
        <w:rPr>
          <w:rFonts w:eastAsia="Arial" w:cs="Arial"/>
          <w:color w:val="000000"/>
          <w:lang w:val="en-AU"/>
        </w:rPr>
        <w:t>p</w:t>
      </w:r>
      <w:r w:rsidRPr="008D1918" w:rsidR="00417B2B">
        <w:rPr>
          <w:rFonts w:eastAsia="Arial" w:cs="Arial"/>
          <w:color w:val="000000"/>
          <w:lang w:val="en-AU"/>
        </w:rPr>
        <w:t xml:space="preserve">ilot will, for the first time, generate direct evidence on cost structures and service characteristics associated with quality support coordination. That evidence </w:t>
      </w:r>
      <w:r w:rsidRPr="008D1918" w:rsidR="007E3F62">
        <w:rPr>
          <w:rFonts w:eastAsia="Arial" w:cs="Arial"/>
          <w:color w:val="000000"/>
          <w:lang w:val="en-AU"/>
        </w:rPr>
        <w:t>will provide</w:t>
      </w:r>
      <w:r w:rsidRPr="008D1918" w:rsidR="00417B2B">
        <w:rPr>
          <w:rFonts w:eastAsia="Arial" w:cs="Arial"/>
          <w:color w:val="000000"/>
          <w:lang w:val="en-AU"/>
        </w:rPr>
        <w:t xml:space="preserve"> the appropriate basis for assessing whether the framework</w:t>
      </w:r>
      <w:r w:rsidRPr="008D1918" w:rsidR="00075786">
        <w:rPr>
          <w:rFonts w:eastAsia="Arial" w:cs="Arial"/>
          <w:color w:val="000000"/>
          <w:lang w:val="en-AU"/>
        </w:rPr>
        <w:t xml:space="preserve"> for recommending NDIS pricing</w:t>
      </w:r>
      <w:r w:rsidRPr="008D1918" w:rsidR="00417B2B">
        <w:rPr>
          <w:rFonts w:eastAsia="Arial" w:cs="Arial"/>
          <w:color w:val="000000"/>
          <w:lang w:val="en-AU"/>
        </w:rPr>
        <w:t xml:space="preserve"> needs to be updated, rather than consultation </w:t>
      </w:r>
      <w:r w:rsidRPr="008D1918" w:rsidR="007E3F62">
        <w:rPr>
          <w:rFonts w:eastAsia="Arial" w:cs="Arial"/>
          <w:color w:val="000000"/>
          <w:lang w:val="en-AU"/>
        </w:rPr>
        <w:t>data</w:t>
      </w:r>
      <w:r w:rsidRPr="008D1918" w:rsidR="00417B2B">
        <w:rPr>
          <w:rFonts w:eastAsia="Arial" w:cs="Arial"/>
          <w:color w:val="000000"/>
          <w:lang w:val="en-AU"/>
        </w:rPr>
        <w:t xml:space="preserve"> alone. Maintaining current </w:t>
      </w:r>
      <w:r w:rsidRPr="00D33FB6" w:rsidR="00417B2B">
        <w:rPr>
          <w:rFonts w:eastAsia="Arial" w:cs="Arial"/>
          <w:color w:val="000000"/>
          <w:lang w:val="en-AU"/>
        </w:rPr>
        <w:t>price</w:t>
      </w:r>
      <w:r w:rsidRPr="00D33FB6" w:rsidR="009A0856">
        <w:rPr>
          <w:rFonts w:eastAsia="Arial" w:cs="Arial"/>
          <w:color w:val="000000"/>
          <w:lang w:val="en-AU"/>
        </w:rPr>
        <w:t xml:space="preserve"> maximums</w:t>
      </w:r>
      <w:r w:rsidRPr="00D33FB6" w:rsidR="00417B2B">
        <w:rPr>
          <w:rFonts w:eastAsia="Arial" w:cs="Arial"/>
          <w:color w:val="000000"/>
          <w:lang w:val="en-AU"/>
        </w:rPr>
        <w:t xml:space="preserve"> while</w:t>
      </w:r>
      <w:r w:rsidRPr="008D1918" w:rsidR="00417B2B">
        <w:rPr>
          <w:rFonts w:eastAsia="Arial" w:cs="Arial"/>
          <w:color w:val="000000"/>
          <w:lang w:val="en-AU"/>
        </w:rPr>
        <w:t xml:space="preserve"> the pilot generates evidence is a deliberate sequencing decision rather than an </w:t>
      </w:r>
      <w:r w:rsidRPr="008D1918" w:rsidR="00F3424C">
        <w:rPr>
          <w:rFonts w:eastAsia="Arial" w:cs="Arial"/>
          <w:color w:val="000000"/>
          <w:lang w:val="en-AU"/>
        </w:rPr>
        <w:t>absence of policy position</w:t>
      </w:r>
      <w:r w:rsidRPr="008D1918" w:rsidR="00417B2B">
        <w:rPr>
          <w:rFonts w:eastAsia="Arial" w:cs="Arial"/>
          <w:color w:val="000000"/>
          <w:lang w:val="en-AU"/>
        </w:rPr>
        <w:t xml:space="preserve">. </w:t>
      </w:r>
    </w:p>
    <w:p w:rsidRPr="008D1918" w:rsidR="00DD0EA5" w:rsidP="004344B4" w:rsidRDefault="00DD0EA5" w14:paraId="1A1505BB" w14:textId="5E0AF1FE">
      <w:pPr>
        <w:pStyle w:val="Heading31"/>
        <w:ind w:left="1077" w:hanging="720"/>
      </w:pPr>
      <w:bookmarkStart w:name="_Toc195095105" w:id="1722"/>
      <w:bookmarkStart w:name="_Toc195099197" w:id="1723"/>
      <w:bookmarkStart w:name="_Toc195095106" w:id="1724"/>
      <w:bookmarkStart w:name="_Toc195099198" w:id="1725"/>
      <w:bookmarkStart w:name="_Toc195095107" w:id="1726"/>
      <w:bookmarkStart w:name="_Toc195099199" w:id="1727"/>
      <w:bookmarkStart w:name="_Toc195095108" w:id="1728"/>
      <w:bookmarkStart w:name="_Toc195099200" w:id="1729"/>
      <w:bookmarkStart w:name="_Toc195095109" w:id="1730"/>
      <w:bookmarkStart w:name="_Toc195099201" w:id="1731"/>
      <w:bookmarkStart w:name="_Toc195095110" w:id="1732"/>
      <w:bookmarkStart w:name="_Toc195099202" w:id="1733"/>
      <w:bookmarkStart w:name="_Toc195095111" w:id="1734"/>
      <w:bookmarkStart w:name="_Toc195099203" w:id="1735"/>
      <w:bookmarkStart w:name="_Toc195099204" w:id="1736"/>
      <w:bookmarkStart w:name="_Toc196754646" w:id="1737"/>
      <w:bookmarkStart w:name="_Toc196758248" w:id="1738"/>
      <w:bookmarkStart w:name="_Toc197344324" w:id="1739"/>
      <w:bookmarkStart w:name="_Toc200271681" w:id="1740"/>
      <w:bookmarkStart w:name="_Toc223539746" w:id="1741"/>
      <w:bookmarkStart w:name="_Toc223539959" w:id="1742"/>
      <w:bookmarkStart w:name="_Toc223540427" w:id="1743"/>
      <w:bookmarkStart w:name="_Toc223540643" w:id="1744"/>
      <w:bookmarkStart w:name="_Toc223542183" w:id="1745"/>
      <w:bookmarkStart w:name="_Toc223604369" w:id="1746"/>
      <w:bookmarkStart w:name="_Toc223604580" w:id="1747"/>
      <w:bookmarkStart w:name="_Toc227337146" w:id="1748"/>
      <w:bookmarkEnd w:id="1685"/>
      <w:bookmarkEnd w:id="1686"/>
      <w:bookmarkEnd w:id="1687"/>
      <w:bookmarkEnd w:id="1688"/>
      <w:bookmarkEnd w:id="1689"/>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r w:rsidRPr="008D1918">
        <w:t>Recommendations</w:t>
      </w:r>
      <w:bookmarkEnd w:id="1736"/>
      <w:bookmarkEnd w:id="1737"/>
      <w:bookmarkEnd w:id="1738"/>
      <w:bookmarkEnd w:id="1739"/>
      <w:bookmarkEnd w:id="1740"/>
      <w:bookmarkEnd w:id="1741"/>
      <w:bookmarkEnd w:id="1742"/>
      <w:bookmarkEnd w:id="1743"/>
      <w:bookmarkEnd w:id="1744"/>
      <w:bookmarkEnd w:id="1745"/>
      <w:bookmarkEnd w:id="1746"/>
      <w:bookmarkEnd w:id="1747"/>
      <w:bookmarkEnd w:id="1748"/>
    </w:p>
    <w:p w:rsidRPr="008D1918" w:rsidR="00DD0EA5" w:rsidP="00E21370" w:rsidRDefault="00DD0EA5" w14:paraId="338995CD" w14:textId="77777777">
      <w:pPr>
        <w:pStyle w:val="LittleH4"/>
      </w:pPr>
      <w:bookmarkStart w:name="_Toc223345433" w:id="1749"/>
      <w:bookmarkStart w:name="_Toc223428508" w:id="1750"/>
      <w:bookmarkStart w:name="_Toc223445976" w:id="1751"/>
      <w:bookmarkStart w:name="_Toc223604810" w:id="1752"/>
      <w:r w:rsidRPr="008D1918">
        <w:t>Support Coordination</w:t>
      </w:r>
      <w:bookmarkEnd w:id="1749"/>
      <w:bookmarkEnd w:id="1750"/>
      <w:bookmarkEnd w:id="1751"/>
      <w:bookmarkEnd w:id="1752"/>
    </w:p>
    <w:p w:rsidRPr="008D1918" w:rsidR="00DD0EA5" w:rsidRDefault="00DD0EA5" w14:paraId="40449C29" w14:textId="513CE1FA">
      <w:pPr>
        <w:rPr>
          <w:lang w:val="en-AU"/>
        </w:rPr>
      </w:pPr>
      <w:r w:rsidRPr="008D1918">
        <w:rPr>
          <w:lang w:val="en-AU"/>
        </w:rPr>
        <w:t xml:space="preserve">On balance, analysis indicates that while the Support Coordination market structure and dynamics have been evolving in recent years, there is no evidence to suggest supply is unable to meet participant demand. </w:t>
      </w:r>
    </w:p>
    <w:p w:rsidRPr="008D1918" w:rsidR="00DD0EA5" w:rsidP="007A12F2" w:rsidRDefault="00DD0EA5" w14:paraId="23279DB3" w14:textId="211659D1">
      <w:pPr>
        <w:pStyle w:val="RecommendationH5"/>
      </w:pPr>
      <w:r w:rsidRPr="008D1918">
        <w:t xml:space="preserve">Recommendation </w:t>
      </w:r>
      <w:r w:rsidRPr="008D1918" w:rsidR="00113676">
        <w:t>1</w:t>
      </w:r>
      <w:r w:rsidRPr="008D1918" w:rsidR="001E3041">
        <w:t>2</w:t>
      </w:r>
      <w:r w:rsidRPr="008D1918">
        <w:t>:</w:t>
      </w:r>
    </w:p>
    <w:p w:rsidRPr="008D1918" w:rsidR="00C675FD" w:rsidP="00C675FD" w:rsidRDefault="00C675FD" w14:paraId="15F3EC8E" w14:textId="77777777">
      <w:pPr>
        <w:pStyle w:val="Normalrecommendationtext"/>
      </w:pPr>
      <w:r w:rsidRPr="008D1918">
        <w:t xml:space="preserve">The </w:t>
      </w:r>
      <w:r w:rsidRPr="00D33FB6">
        <w:t>maximum prices</w:t>
      </w:r>
      <w:r w:rsidRPr="008D1918">
        <w:t xml:space="preserve"> for Support Coordination should be:</w:t>
      </w:r>
    </w:p>
    <w:p w:rsidRPr="008D1918" w:rsidR="00C675FD" w:rsidP="009F6459" w:rsidRDefault="00C675FD" w14:paraId="34B87EF1" w14:textId="77777777">
      <w:pPr>
        <w:pStyle w:val="Normalrecommendationtext"/>
        <w:numPr>
          <w:ilvl w:val="0"/>
          <w:numId w:val="43"/>
        </w:numPr>
      </w:pPr>
      <w:r w:rsidRPr="008D1918">
        <w:t xml:space="preserve">$80.06 for Level 1: Support Connection </w:t>
      </w:r>
    </w:p>
    <w:p w:rsidRPr="008D1918" w:rsidR="008D1918" w:rsidP="009F6459" w:rsidRDefault="00C675FD" w14:paraId="5EADE2F0" w14:textId="77777777">
      <w:pPr>
        <w:pStyle w:val="Normalrecommendationtext"/>
        <w:numPr>
          <w:ilvl w:val="0"/>
          <w:numId w:val="43"/>
        </w:numPr>
      </w:pPr>
      <w:r w:rsidRPr="008D1918">
        <w:t xml:space="preserve">$100.14 for Level 2: Coordination of Supports </w:t>
      </w:r>
    </w:p>
    <w:p w:rsidRPr="008D1918" w:rsidR="00E21370" w:rsidP="009F6459" w:rsidRDefault="00C675FD" w14:paraId="78B97774" w14:textId="2EFDEE5B">
      <w:pPr>
        <w:pStyle w:val="Normalrecommendationtext"/>
        <w:numPr>
          <w:ilvl w:val="0"/>
          <w:numId w:val="43"/>
        </w:numPr>
      </w:pPr>
      <w:r w:rsidRPr="008D1918">
        <w:t>$190.54 for Level 3: Specialist Support Coordination.</w:t>
      </w:r>
    </w:p>
    <w:p w:rsidRPr="008D1918" w:rsidR="00DD0EA5" w:rsidP="00E21370" w:rsidRDefault="00DD0EA5" w14:paraId="1D95F3FB" w14:textId="4EB5BC9A">
      <w:pPr>
        <w:pStyle w:val="LittleH4"/>
      </w:pPr>
      <w:bookmarkStart w:name="_Toc223345434" w:id="1753"/>
      <w:bookmarkStart w:name="_Toc223428509" w:id="1754"/>
      <w:bookmarkStart w:name="_Toc223445977" w:id="1755"/>
      <w:bookmarkStart w:name="_Toc223604811" w:id="1756"/>
      <w:r w:rsidRPr="008D1918">
        <w:t>Psychosocial Recovery Coaching</w:t>
      </w:r>
      <w:bookmarkEnd w:id="1753"/>
      <w:bookmarkEnd w:id="1754"/>
      <w:bookmarkEnd w:id="1755"/>
      <w:bookmarkEnd w:id="1756"/>
      <w:r w:rsidRPr="008D1918">
        <w:t xml:space="preserve"> </w:t>
      </w:r>
    </w:p>
    <w:p w:rsidRPr="008D1918" w:rsidR="00DD0EA5" w:rsidRDefault="00DD0EA5" w14:paraId="1CBD9B55" w14:textId="33C09D23">
      <w:pPr>
        <w:rPr>
          <w:rFonts w:eastAsia="Arial" w:cs="Arial"/>
          <w:color w:val="000000" w:themeColor="accent6"/>
          <w:lang w:val="en-AU"/>
        </w:rPr>
      </w:pPr>
      <w:r w:rsidRPr="008D1918">
        <w:rPr>
          <w:rFonts w:eastAsia="Arial" w:cs="Arial"/>
          <w:color w:val="000000" w:themeColor="accent6"/>
          <w:lang w:val="en-AU"/>
        </w:rPr>
        <w:t xml:space="preserve">Aligning Psychosocial Recovery Coaching with the DSW Cost Model </w:t>
      </w:r>
      <w:r w:rsidRPr="008D1918" w:rsidR="00DC5162">
        <w:rPr>
          <w:rFonts w:eastAsia="Arial" w:cs="Arial"/>
          <w:color w:val="000000" w:themeColor="accent6"/>
          <w:lang w:val="en-AU"/>
        </w:rPr>
        <w:t xml:space="preserve">would </w:t>
      </w:r>
      <w:r w:rsidRPr="008D1918">
        <w:rPr>
          <w:rFonts w:eastAsia="Arial" w:cs="Arial"/>
          <w:color w:val="000000" w:themeColor="accent6"/>
          <w:lang w:val="en-AU"/>
        </w:rPr>
        <w:t>ensure price</w:t>
      </w:r>
      <w:r w:rsidRPr="008D1918" w:rsidR="00DC5162">
        <w:rPr>
          <w:rFonts w:eastAsia="Arial" w:cs="Arial"/>
          <w:color w:val="000000" w:themeColor="accent6"/>
          <w:lang w:val="en-AU"/>
        </w:rPr>
        <w:t>s</w:t>
      </w:r>
      <w:r w:rsidRPr="008D1918">
        <w:rPr>
          <w:rFonts w:eastAsia="Arial" w:cs="Arial"/>
          <w:color w:val="000000" w:themeColor="accent6"/>
          <w:lang w:val="en-AU"/>
        </w:rPr>
        <w:t xml:space="preserve"> appropriately reflect</w:t>
      </w:r>
      <w:r w:rsidRPr="008D1918" w:rsidR="00DC5162">
        <w:rPr>
          <w:rFonts w:eastAsia="Arial" w:cs="Arial"/>
          <w:color w:val="000000" w:themeColor="accent6"/>
          <w:lang w:val="en-AU"/>
        </w:rPr>
        <w:t>ed</w:t>
      </w:r>
      <w:r w:rsidRPr="008D1918">
        <w:rPr>
          <w:rFonts w:eastAsia="Arial" w:cs="Arial"/>
          <w:color w:val="000000" w:themeColor="accent6"/>
          <w:lang w:val="en-AU"/>
        </w:rPr>
        <w:t xml:space="preserve"> movements in the SCHADS Award, including minimum wage increases, superannuation changes and other employment</w:t>
      </w:r>
      <w:r w:rsidRPr="008D1918">
        <w:rPr>
          <w:rFonts w:ascii="Cambria Math" w:hAnsi="Cambria Math" w:eastAsia="Cambria Math" w:cs="Cambria Math"/>
          <w:color w:val="000000" w:themeColor="accent6"/>
          <w:lang w:val="en-AU"/>
        </w:rPr>
        <w:t>‑</w:t>
      </w:r>
      <w:r w:rsidRPr="008D1918">
        <w:rPr>
          <w:rFonts w:eastAsia="Arial" w:cs="Arial"/>
          <w:color w:val="000000" w:themeColor="accent6"/>
          <w:lang w:val="en-AU"/>
        </w:rPr>
        <w:t>related on</w:t>
      </w:r>
      <w:r w:rsidRPr="008D1918">
        <w:rPr>
          <w:rFonts w:ascii="Cambria Math" w:hAnsi="Cambria Math" w:eastAsia="Cambria Math" w:cs="Cambria Math"/>
          <w:color w:val="000000" w:themeColor="accent6"/>
          <w:lang w:val="en-AU"/>
        </w:rPr>
        <w:t>‑</w:t>
      </w:r>
      <w:r w:rsidRPr="008D1918">
        <w:rPr>
          <w:rFonts w:eastAsia="Arial" w:cs="Arial"/>
          <w:color w:val="000000" w:themeColor="accent6"/>
          <w:lang w:val="en-AU"/>
        </w:rPr>
        <w:t xml:space="preserve">costs considered through the </w:t>
      </w:r>
      <w:r w:rsidRPr="008D1918" w:rsidR="008C2DCA">
        <w:rPr>
          <w:rFonts w:eastAsia="Arial" w:cs="Arial"/>
          <w:color w:val="000000" w:themeColor="accent6"/>
          <w:lang w:val="en-AU"/>
        </w:rPr>
        <w:t>APR</w:t>
      </w:r>
      <w:r w:rsidRPr="008D1918">
        <w:rPr>
          <w:rFonts w:eastAsia="Arial" w:cs="Arial"/>
          <w:color w:val="000000" w:themeColor="accent6"/>
          <w:lang w:val="en-AU"/>
        </w:rPr>
        <w:t xml:space="preserve">. This approach </w:t>
      </w:r>
      <w:r w:rsidRPr="008D1918" w:rsidR="00DC5162">
        <w:rPr>
          <w:rFonts w:eastAsia="Arial" w:cs="Arial"/>
          <w:color w:val="000000" w:themeColor="accent6"/>
          <w:lang w:val="en-AU"/>
        </w:rPr>
        <w:t xml:space="preserve">would </w:t>
      </w:r>
      <w:r w:rsidRPr="008D1918">
        <w:rPr>
          <w:rFonts w:eastAsia="Arial" w:cs="Arial"/>
          <w:color w:val="000000" w:themeColor="accent6"/>
          <w:lang w:val="en-AU"/>
        </w:rPr>
        <w:t>support workforce viability, promote consistency across DSW</w:t>
      </w:r>
      <w:r w:rsidRPr="008D1918">
        <w:rPr>
          <w:rFonts w:ascii="Cambria Math" w:hAnsi="Cambria Math" w:eastAsia="Cambria Math" w:cs="Cambria Math"/>
          <w:color w:val="000000" w:themeColor="accent6"/>
          <w:lang w:val="en-AU"/>
        </w:rPr>
        <w:t>‑</w:t>
      </w:r>
      <w:r w:rsidRPr="008D1918">
        <w:rPr>
          <w:rFonts w:eastAsia="Arial" w:cs="Arial"/>
          <w:color w:val="000000" w:themeColor="accent6"/>
          <w:lang w:val="en-AU"/>
        </w:rPr>
        <w:t>related supports, and help safeguard participant access to clinically appropriate, recovery</w:t>
      </w:r>
      <w:r w:rsidRPr="008D1918">
        <w:rPr>
          <w:rFonts w:ascii="Cambria Math" w:hAnsi="Cambria Math" w:eastAsia="Cambria Math" w:cs="Cambria Math"/>
          <w:color w:val="000000" w:themeColor="accent6"/>
          <w:lang w:val="en-AU"/>
        </w:rPr>
        <w:t>‑</w:t>
      </w:r>
      <w:r w:rsidRPr="008D1918">
        <w:rPr>
          <w:rFonts w:eastAsia="Arial" w:cs="Arial"/>
          <w:color w:val="000000" w:themeColor="accent6"/>
          <w:lang w:val="en-AU"/>
        </w:rPr>
        <w:t>oriented services.</w:t>
      </w:r>
    </w:p>
    <w:p w:rsidRPr="008D1918" w:rsidR="0078548F" w:rsidP="007A12F2" w:rsidRDefault="0078548F" w14:paraId="69516A47" w14:textId="77777777">
      <w:pPr>
        <w:pStyle w:val="RecommendationH5"/>
      </w:pPr>
      <w:r w:rsidRPr="008D1918">
        <w:t>Recommendation 13:</w:t>
      </w:r>
    </w:p>
    <w:p w:rsidRPr="008D1918" w:rsidR="00DC5162" w:rsidP="00DC5162" w:rsidRDefault="00DC5162" w14:paraId="30F504B7" w14:textId="08A73727">
      <w:pPr>
        <w:pStyle w:val="Normalrecommendationtext"/>
        <w:spacing w:line="288" w:lineRule="auto"/>
      </w:pPr>
      <w:r w:rsidRPr="008D1918">
        <w:t>Prices for Psychosocial Recovery Coaches should align with the indexation of</w:t>
      </w:r>
      <w:r w:rsidR="001931F1">
        <w:t> </w:t>
      </w:r>
      <w:r w:rsidRPr="008D1918">
        <w:t>supports determined by the Disability Support Worker Cost Model in Recommendation 1.</w:t>
      </w:r>
    </w:p>
    <w:p w:rsidRPr="008D1918" w:rsidR="007C50D8" w:rsidP="00496934" w:rsidRDefault="007C50D8" w14:paraId="1C66429D" w14:textId="57D3F27C">
      <w:pPr>
        <w:rPr>
          <w:lang w:val="en-AU"/>
        </w:rPr>
      </w:pPr>
      <w:r w:rsidRPr="008D1918">
        <w:rPr>
          <w:lang w:val="en-AU"/>
        </w:rPr>
        <w:br w:type="page"/>
      </w:r>
    </w:p>
    <w:p w:rsidRPr="008D1918" w:rsidR="00337E33" w:rsidP="0041120E" w:rsidRDefault="00337E33" w14:paraId="22E36FE7" w14:textId="3DF934AA">
      <w:pPr>
        <w:pStyle w:val="Heading21"/>
        <w:ind w:left="1077" w:hanging="720"/>
      </w:pPr>
      <w:bookmarkStart w:name="_Toc223539747" w:id="1757"/>
      <w:bookmarkStart w:name="_Toc223539960" w:id="1758"/>
      <w:bookmarkStart w:name="_Toc223540428" w:id="1759"/>
      <w:bookmarkStart w:name="_Toc223540644" w:id="1760"/>
      <w:bookmarkStart w:name="_Toc223542184" w:id="1761"/>
      <w:bookmarkStart w:name="_Toc223604370" w:id="1762"/>
      <w:bookmarkStart w:name="_Toc223604581" w:id="1763"/>
      <w:bookmarkStart w:name="_Toc227337147" w:id="1764"/>
      <w:r w:rsidRPr="008D1918">
        <w:t>Plan Management</w:t>
      </w:r>
      <w:bookmarkEnd w:id="1757"/>
      <w:bookmarkEnd w:id="1758"/>
      <w:bookmarkEnd w:id="1759"/>
      <w:bookmarkEnd w:id="1760"/>
      <w:bookmarkEnd w:id="1761"/>
      <w:bookmarkEnd w:id="1762"/>
      <w:bookmarkEnd w:id="1763"/>
      <w:bookmarkEnd w:id="1764"/>
      <w:r w:rsidRPr="008D1918">
        <w:t xml:space="preserve"> </w:t>
      </w:r>
    </w:p>
    <w:p w:rsidRPr="008D1918" w:rsidR="00055299" w:rsidP="00FA118E" w:rsidRDefault="00055299" w14:paraId="15432F28" w14:textId="77777777">
      <w:pPr>
        <w:pStyle w:val="Heading31"/>
        <w:ind w:left="1077" w:hanging="720"/>
      </w:pPr>
      <w:bookmarkStart w:name="_Toc196304224" w:id="1765"/>
      <w:bookmarkStart w:name="_Toc196754648" w:id="1766"/>
      <w:bookmarkStart w:name="_Toc196758250" w:id="1767"/>
      <w:bookmarkStart w:name="_Toc197344326" w:id="1768"/>
      <w:bookmarkStart w:name="_Toc200271683" w:id="1769"/>
      <w:bookmarkStart w:name="_Toc223539748" w:id="1770"/>
      <w:bookmarkStart w:name="_Toc223539961" w:id="1771"/>
      <w:bookmarkStart w:name="_Toc223540429" w:id="1772"/>
      <w:bookmarkStart w:name="_Toc223540645" w:id="1773"/>
      <w:bookmarkStart w:name="_Toc223542185" w:id="1774"/>
      <w:bookmarkStart w:name="_Toc223604371" w:id="1775"/>
      <w:bookmarkStart w:name="_Toc223604582" w:id="1776"/>
      <w:bookmarkStart w:name="_Toc227337148" w:id="1777"/>
      <w:r w:rsidRPr="008D1918">
        <w:t>Context</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rsidRPr="008D1918" w:rsidR="00055299" w:rsidRDefault="00055299" w14:paraId="4D74E11B" w14:textId="3020890E">
      <w:pPr>
        <w:rPr>
          <w:lang w:val="en-AU"/>
        </w:rPr>
      </w:pPr>
      <w:r w:rsidRPr="008D1918">
        <w:rPr>
          <w:lang w:val="en-AU"/>
        </w:rPr>
        <w:t xml:space="preserve">There are </w:t>
      </w:r>
      <w:r w:rsidRPr="008D1918" w:rsidR="00186248">
        <w:rPr>
          <w:lang w:val="en-AU"/>
        </w:rPr>
        <w:t xml:space="preserve">3 </w:t>
      </w:r>
      <w:r w:rsidRPr="008D1918">
        <w:rPr>
          <w:lang w:val="en-AU"/>
        </w:rPr>
        <w:t xml:space="preserve">options available for managing participant funding: self-management, plan management, and </w:t>
      </w:r>
      <w:r w:rsidRPr="008D1918" w:rsidR="00D05CDD">
        <w:rPr>
          <w:lang w:val="en-AU"/>
        </w:rPr>
        <w:t>Agency-</w:t>
      </w:r>
      <w:r w:rsidRPr="008D1918">
        <w:rPr>
          <w:lang w:val="en-AU"/>
        </w:rPr>
        <w:t>management, which can be used in combination.</w:t>
      </w:r>
    </w:p>
    <w:p w:rsidRPr="008D1918" w:rsidR="00055299" w:rsidRDefault="00055299" w14:paraId="6B98D271" w14:textId="5CB9DB3E">
      <w:pPr>
        <w:rPr>
          <w:lang w:val="en-AU"/>
        </w:rPr>
      </w:pPr>
      <w:r w:rsidRPr="008D1918">
        <w:rPr>
          <w:lang w:val="en-AU"/>
        </w:rPr>
        <w:t>Under plan management, participants engage a registered plan manager to pay invoices, monitor budgets, and maintain financial records on their behalf. Plan</w:t>
      </w:r>
      <w:r w:rsidRPr="008D1918" w:rsidR="00CE7A6B">
        <w:rPr>
          <w:lang w:val="en-AU"/>
        </w:rPr>
        <w:t>-</w:t>
      </w:r>
      <w:r w:rsidRPr="008D1918">
        <w:rPr>
          <w:lang w:val="en-AU"/>
        </w:rPr>
        <w:t xml:space="preserve">managed participants can access both registered and unregistered providers, an option that is not available under </w:t>
      </w:r>
      <w:r w:rsidRPr="008D1918" w:rsidR="00D05CDD">
        <w:rPr>
          <w:lang w:val="en-AU"/>
        </w:rPr>
        <w:t>Agency-</w:t>
      </w:r>
      <w:r w:rsidRPr="008D1918">
        <w:rPr>
          <w:lang w:val="en-AU"/>
        </w:rPr>
        <w:t>managed arrangements alone.</w:t>
      </w:r>
      <w:r w:rsidRPr="008D1918" w:rsidR="00410B73">
        <w:rPr>
          <w:lang w:val="en-AU"/>
        </w:rPr>
        <w:t xml:space="preserve"> </w:t>
      </w:r>
      <w:r w:rsidRPr="008D1918" w:rsidR="004616D8">
        <w:rPr>
          <w:lang w:val="en-AU"/>
        </w:rPr>
        <w:t>P</w:t>
      </w:r>
      <w:r w:rsidRPr="008D1918">
        <w:rPr>
          <w:lang w:val="en-AU"/>
        </w:rPr>
        <w:t xml:space="preserve">lan managers can claim for </w:t>
      </w:r>
      <w:r w:rsidRPr="008D1918" w:rsidR="00FD4ECE">
        <w:rPr>
          <w:lang w:val="en-AU"/>
        </w:rPr>
        <w:t xml:space="preserve">2 </w:t>
      </w:r>
      <w:r w:rsidRPr="008D1918">
        <w:rPr>
          <w:lang w:val="en-AU"/>
        </w:rPr>
        <w:t>distinct services: a fixed monthly fee for ongoing financial administration and a separate capacity‑building support when assisting participants to develop the skills needed to manage their funding independently.</w:t>
      </w:r>
    </w:p>
    <w:p w:rsidRPr="008D1918" w:rsidR="00055299" w:rsidRDefault="009A0856" w14:paraId="60CE20AD" w14:textId="1ADB3E0D">
      <w:pPr>
        <w:rPr>
          <w:lang w:val="en-AU"/>
        </w:rPr>
      </w:pPr>
      <w:r w:rsidRPr="008D1918">
        <w:rPr>
          <w:lang w:val="en-AU"/>
        </w:rPr>
        <w:t>The</w:t>
      </w:r>
      <w:r w:rsidRPr="008D1918" w:rsidR="00055299">
        <w:rPr>
          <w:lang w:val="en-AU"/>
        </w:rPr>
        <w:t xml:space="preserve"> </w:t>
      </w:r>
      <w:r w:rsidRPr="008D1918" w:rsidR="00C370F3">
        <w:rPr>
          <w:lang w:val="en-AU"/>
        </w:rPr>
        <w:t>previous</w:t>
      </w:r>
      <w:r w:rsidRPr="008D1918" w:rsidR="00055299">
        <w:rPr>
          <w:lang w:val="en-AU"/>
        </w:rPr>
        <w:t xml:space="preserve"> </w:t>
      </w:r>
      <w:r w:rsidRPr="008D1918" w:rsidR="00E03F8D">
        <w:rPr>
          <w:lang w:val="en-AU"/>
        </w:rPr>
        <w:t>APR</w:t>
      </w:r>
      <w:r w:rsidRPr="008D1918" w:rsidR="00055299">
        <w:rPr>
          <w:lang w:val="en-AU"/>
        </w:rPr>
        <w:t xml:space="preserve"> </w:t>
      </w:r>
      <w:r w:rsidRPr="008D1918">
        <w:rPr>
          <w:lang w:val="en-AU"/>
        </w:rPr>
        <w:t xml:space="preserve">led to </w:t>
      </w:r>
      <w:r w:rsidRPr="008D1918" w:rsidR="00055299">
        <w:rPr>
          <w:lang w:val="en-AU"/>
        </w:rPr>
        <w:t>the introduction of a single national rate and the removal of the one-off establishment fee. Following the removal of remote and very remote loadings, plan management is now priced at a flat national rate with no geographical variation.</w:t>
      </w:r>
    </w:p>
    <w:p w:rsidR="000064F8" w:rsidRDefault="00055299" w14:paraId="0AA4C03D" w14:textId="77777777">
      <w:pPr>
        <w:rPr>
          <w:lang w:val="en-AU"/>
        </w:rPr>
      </w:pPr>
      <w:r w:rsidRPr="008D1918">
        <w:rPr>
          <w:lang w:val="en-AU"/>
        </w:rPr>
        <w:t xml:space="preserve">As use of plan management has increased, the provider market has consolidated around larger and more specialised organisations with the systems and scale required to process high volumes of transactions efficiently. </w:t>
      </w:r>
      <w:r w:rsidRPr="008D1918" w:rsidR="009C2FB0">
        <w:rPr>
          <w:lang w:val="en-AU"/>
        </w:rPr>
        <w:t xml:space="preserve">Plan management is a fee-based, administrative </w:t>
      </w:r>
      <w:r w:rsidRPr="008D1918" w:rsidR="00355061">
        <w:rPr>
          <w:lang w:val="en-AU"/>
        </w:rPr>
        <w:t xml:space="preserve">service. Its cost drivers, transaction volume, processing systems, </w:t>
      </w:r>
      <w:r w:rsidRPr="008D1918" w:rsidR="00AA4CB0">
        <w:rPr>
          <w:lang w:val="en-AU"/>
        </w:rPr>
        <w:t>and</w:t>
      </w:r>
      <w:r w:rsidRPr="008D1918" w:rsidR="00355061">
        <w:rPr>
          <w:lang w:val="en-AU"/>
        </w:rPr>
        <w:t xml:space="preserve"> operational scale are structurally different from those of hourly clinical or support services. </w:t>
      </w:r>
    </w:p>
    <w:p w:rsidRPr="008D1918" w:rsidR="00055299" w:rsidRDefault="004616D8" w14:paraId="5EC86EC7" w14:textId="27E155C9">
      <w:pPr>
        <w:rPr>
          <w:lang w:val="en-AU"/>
        </w:rPr>
      </w:pPr>
      <w:r w:rsidRPr="008D1918">
        <w:rPr>
          <w:lang w:val="en-AU"/>
        </w:rPr>
        <w:t>The question of appropriate prices</w:t>
      </w:r>
      <w:r w:rsidRPr="008D1918" w:rsidR="00355061">
        <w:rPr>
          <w:lang w:val="en-AU"/>
        </w:rPr>
        <w:t xml:space="preserve"> is therefore not whether fees align with external labour market rates, but whether the current fee structure reflects how services </w:t>
      </w:r>
      <w:r w:rsidRPr="008D1918" w:rsidR="00B555CF">
        <w:rPr>
          <w:lang w:val="en-AU"/>
        </w:rPr>
        <w:t>are</w:t>
      </w:r>
      <w:r w:rsidRPr="008D1918" w:rsidR="00355061">
        <w:rPr>
          <w:lang w:val="en-AU"/>
        </w:rPr>
        <w:t xml:space="preserve"> delivered and creates appropriate incentives for the role plan managers play in the Scheme’s payment architecture. This chapter addresses both the </w:t>
      </w:r>
      <w:r w:rsidRPr="008D1918" w:rsidR="008A48BA">
        <w:rPr>
          <w:lang w:val="en-AU"/>
        </w:rPr>
        <w:t>near-term</w:t>
      </w:r>
      <w:r w:rsidRPr="008D1918" w:rsidR="00355061">
        <w:rPr>
          <w:lang w:val="en-AU"/>
        </w:rPr>
        <w:t xml:space="preserve"> pricing </w:t>
      </w:r>
      <w:r w:rsidRPr="008D1918">
        <w:rPr>
          <w:lang w:val="en-AU"/>
        </w:rPr>
        <w:t xml:space="preserve">recommendations </w:t>
      </w:r>
      <w:r w:rsidRPr="008D1918" w:rsidR="00355061">
        <w:rPr>
          <w:lang w:val="en-AU"/>
        </w:rPr>
        <w:t xml:space="preserve">and the case for </w:t>
      </w:r>
      <w:r w:rsidRPr="008D1918">
        <w:rPr>
          <w:lang w:val="en-AU"/>
        </w:rPr>
        <w:t>why the fee structure should be reviewed</w:t>
      </w:r>
      <w:r w:rsidRPr="008D1918" w:rsidR="00355061">
        <w:rPr>
          <w:lang w:val="en-AU"/>
        </w:rPr>
        <w:t>.</w:t>
      </w:r>
    </w:p>
    <w:p w:rsidRPr="008D1918" w:rsidR="00055299" w:rsidP="00FA118E" w:rsidRDefault="00055299" w14:paraId="4A4EB1A4" w14:textId="68D849C2">
      <w:pPr>
        <w:pStyle w:val="Heading31"/>
        <w:ind w:left="1077" w:hanging="720"/>
      </w:pPr>
      <w:bookmarkStart w:name="_Toc196304225" w:id="1778"/>
      <w:bookmarkStart w:name="_Toc196754649" w:id="1779"/>
      <w:bookmarkStart w:name="_Toc196758251" w:id="1780"/>
      <w:bookmarkStart w:name="_Toc197344327" w:id="1781"/>
      <w:bookmarkStart w:name="_Toc200271684" w:id="1782"/>
      <w:bookmarkStart w:name="_Toc223539749" w:id="1783"/>
      <w:bookmarkStart w:name="_Toc223539962" w:id="1784"/>
      <w:bookmarkStart w:name="_Toc223540430" w:id="1785"/>
      <w:bookmarkStart w:name="_Toc223540646" w:id="1786"/>
      <w:bookmarkStart w:name="_Toc223542186" w:id="1787"/>
      <w:bookmarkStart w:name="_Toc223604372" w:id="1788"/>
      <w:bookmarkStart w:name="_Toc223604583" w:id="1789"/>
      <w:bookmarkStart w:name="_Toc227337149" w:id="1790"/>
      <w:r w:rsidRPr="008D1918">
        <w:t xml:space="preserve">Scheme </w:t>
      </w:r>
      <w:r w:rsidRPr="008D1918" w:rsidR="009D7B72">
        <w:t>s</w:t>
      </w:r>
      <w:r w:rsidRPr="008D1918">
        <w:t>tatistics</w:t>
      </w:r>
      <w:bookmarkEnd w:id="1778"/>
      <w:bookmarkEnd w:id="1779"/>
      <w:bookmarkEnd w:id="1780"/>
      <w:bookmarkEnd w:id="1781"/>
      <w:bookmarkEnd w:id="1782"/>
      <w:bookmarkEnd w:id="1783"/>
      <w:bookmarkEnd w:id="1784"/>
      <w:bookmarkEnd w:id="1785"/>
      <w:bookmarkEnd w:id="1786"/>
      <w:bookmarkEnd w:id="1787"/>
      <w:bookmarkEnd w:id="1788"/>
      <w:bookmarkEnd w:id="1789"/>
      <w:bookmarkEnd w:id="1790"/>
      <w:r w:rsidRPr="008D1918">
        <w:t xml:space="preserve"> </w:t>
      </w:r>
    </w:p>
    <w:p w:rsidRPr="008D1918" w:rsidR="00055299" w:rsidP="00041468" w:rsidRDefault="00055299" w14:paraId="4801C941" w14:textId="77777777">
      <w:pPr>
        <w:pStyle w:val="StyleStyle112pt"/>
      </w:pPr>
      <w:bookmarkStart w:name="_Toc196304226" w:id="1791"/>
      <w:bookmarkStart w:name="_Toc200103573" w:id="1792"/>
      <w:bookmarkStart w:name="_Toc200271685" w:id="1793"/>
      <w:bookmarkStart w:name="_Toc223345438" w:id="1794"/>
      <w:bookmarkStart w:name="_Toc223428513" w:id="1795"/>
      <w:bookmarkStart w:name="_Toc223445981" w:id="1796"/>
      <w:bookmarkStart w:name="_Toc223539750" w:id="1797"/>
      <w:bookmarkStart w:name="_Toc223539963" w:id="1798"/>
      <w:bookmarkStart w:name="_Toc223540431" w:id="1799"/>
      <w:bookmarkStart w:name="_Toc223540647" w:id="1800"/>
      <w:bookmarkStart w:name="_Toc223542187" w:id="1801"/>
      <w:bookmarkStart w:name="_Toc223604373" w:id="1802"/>
      <w:bookmarkStart w:name="_Toc223604584" w:id="1803"/>
      <w:bookmarkStart w:name="_Toc223604815" w:id="1804"/>
      <w:bookmarkStart w:name="_Toc223618670" w:id="1805"/>
      <w:bookmarkStart w:name="_Toc223702899" w:id="1806"/>
      <w:bookmarkStart w:name="_Toc227318782" w:id="1807"/>
      <w:bookmarkStart w:name="_Toc227337150" w:id="1808"/>
      <w:r w:rsidRPr="008D1918">
        <w:t>Market overview</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rsidRPr="008D1918" w:rsidR="00055299" w:rsidRDefault="00055299" w14:paraId="079292F1" w14:textId="54472172">
      <w:pPr>
        <w:rPr>
          <w:lang w:val="en-AU"/>
        </w:rPr>
      </w:pPr>
      <w:bookmarkStart w:name="_Ref195636401" w:id="1809"/>
      <w:r w:rsidRPr="008D1918">
        <w:rPr>
          <w:lang w:val="en-AU"/>
        </w:rPr>
        <w:t>Between July and December 2025, 1,616 registered plan managers submitted at least one claim (</w:t>
      </w:r>
      <w:r w:rsidRPr="008D1918" w:rsidR="00C26276">
        <w:rPr>
          <w:lang w:val="en-AU"/>
        </w:rPr>
        <w:fldChar w:fldCharType="begin"/>
      </w:r>
      <w:r w:rsidRPr="008D1918" w:rsidR="00C26276">
        <w:rPr>
          <w:lang w:val="en-AU"/>
        </w:rPr>
        <w:instrText xml:space="preserve"> REF _Ref223692215 \h </w:instrText>
      </w:r>
      <w:r w:rsidRPr="008D1918" w:rsidR="00762DF8">
        <w:rPr>
          <w:lang w:val="en-AU"/>
        </w:rPr>
        <w:instrText xml:space="preserve"> \* MERGEFORMAT </w:instrText>
      </w:r>
      <w:r w:rsidRPr="008D1918" w:rsidR="00C26276">
        <w:rPr>
          <w:lang w:val="en-AU"/>
        </w:rPr>
      </w:r>
      <w:r w:rsidRPr="008D1918" w:rsidR="00C26276">
        <w:rPr>
          <w:lang w:val="en-AU"/>
        </w:rPr>
        <w:fldChar w:fldCharType="separate"/>
      </w:r>
      <w:r w:rsidRPr="008F56A2" w:rsidR="008F56A2">
        <w:rPr>
          <w:lang w:val="en-AU"/>
        </w:rPr>
        <w:t>Table</w:t>
      </w:r>
      <w:r w:rsidRPr="008D1918" w:rsidR="008F56A2">
        <w:t xml:space="preserve"> </w:t>
      </w:r>
      <w:r w:rsidR="008F56A2">
        <w:rPr>
          <w:noProof/>
        </w:rPr>
        <w:t>33</w:t>
      </w:r>
      <w:r w:rsidRPr="008D1918" w:rsidR="00C26276">
        <w:rPr>
          <w:lang w:val="en-AU"/>
        </w:rPr>
        <w:fldChar w:fldCharType="end"/>
      </w:r>
      <w:r w:rsidRPr="008D1918">
        <w:rPr>
          <w:lang w:val="en-AU"/>
        </w:rPr>
        <w:t xml:space="preserve">), processing just under $16 billion in payments from participant plans. Of this, $320 million was claimed directly as plan management fees, while the remaining $15.6 billion reflects payments made to other providers on behalf of participants. </w:t>
      </w:r>
    </w:p>
    <w:p w:rsidRPr="008D1918" w:rsidR="00055299" w:rsidRDefault="00055299" w14:paraId="1D1BD03D" w14:textId="590D32F5">
      <w:pPr>
        <w:rPr>
          <w:lang w:val="en-AU"/>
        </w:rPr>
      </w:pPr>
      <w:r w:rsidRPr="008D1918">
        <w:rPr>
          <w:lang w:val="en-AU"/>
        </w:rPr>
        <w:t xml:space="preserve">Participant numbers grew by 15.5% to 518,548 participants, while plan management payments grew by 3.7% to $320 million in the </w:t>
      </w:r>
      <w:r w:rsidRPr="008D1918" w:rsidR="00AF498E">
        <w:rPr>
          <w:lang w:val="en-AU"/>
        </w:rPr>
        <w:t xml:space="preserve">6 </w:t>
      </w:r>
      <w:r w:rsidRPr="008D1918">
        <w:rPr>
          <w:lang w:val="en-AU"/>
        </w:rPr>
        <w:t>months to December 2025. This divergence reflects the removal of the establishment fee and remote loadings that took effect from 1 July 2025.</w:t>
      </w:r>
    </w:p>
    <w:p w:rsidRPr="008D1918" w:rsidR="00055299" w:rsidP="00C26276" w:rsidRDefault="00C26276" w14:paraId="4F107FD6" w14:textId="77D5A33C">
      <w:pPr>
        <w:pStyle w:val="Caption"/>
      </w:pPr>
      <w:bookmarkStart w:name="_Ref223692215" w:id="1810"/>
      <w:r w:rsidRPr="008D1918">
        <w:t xml:space="preserve">Table </w:t>
      </w:r>
      <w:r>
        <w:fldChar w:fldCharType="begin"/>
      </w:r>
      <w:r>
        <w:instrText>SEQ Table \* ARABIC</w:instrText>
      </w:r>
      <w:r>
        <w:fldChar w:fldCharType="separate"/>
      </w:r>
      <w:r w:rsidR="008F56A2">
        <w:rPr>
          <w:noProof/>
        </w:rPr>
        <w:t>33</w:t>
      </w:r>
      <w:r>
        <w:fldChar w:fldCharType="end"/>
      </w:r>
      <w:bookmarkEnd w:id="1810"/>
      <w:r w:rsidRPr="008D1918" w:rsidR="00055299">
        <w:t xml:space="preserve">: Plan management </w:t>
      </w:r>
      <w:r w:rsidRPr="008D1918" w:rsidR="0011608D">
        <w:t>S</w:t>
      </w:r>
      <w:r w:rsidRPr="008D1918" w:rsidR="00055299">
        <w:t>cheme statistics</w:t>
      </w:r>
      <w:r w:rsidRPr="008D1918" w:rsidR="00F01716">
        <w:t>,</w:t>
      </w:r>
      <w:r w:rsidRPr="008D1918" w:rsidR="007513F2">
        <w:t xml:space="preserve"> July </w:t>
      </w:r>
      <w:r w:rsidRPr="008D1918" w:rsidR="000A2E4E">
        <w:t xml:space="preserve">2024 </w:t>
      </w:r>
      <w:r w:rsidRPr="008D1918" w:rsidR="007513F2">
        <w:t>to December 2025</w:t>
      </w:r>
    </w:p>
    <w:tbl>
      <w:tblPr>
        <w:tblStyle w:val="GridTable4-Accent121"/>
        <w:tblW w:w="0" w:type="auto"/>
        <w:tblInd w:w="-5" w:type="dxa"/>
        <w:tblLayout w:type="fixed"/>
        <w:tblLook w:val="04A0" w:firstRow="1" w:lastRow="0" w:firstColumn="1" w:lastColumn="0" w:noHBand="0" w:noVBand="1"/>
      </w:tblPr>
      <w:tblGrid>
        <w:gridCol w:w="3629"/>
        <w:gridCol w:w="1985"/>
        <w:gridCol w:w="1985"/>
        <w:gridCol w:w="1418"/>
      </w:tblGrid>
      <w:tr w:rsidRPr="008D1918" w:rsidR="001B4E78" w:rsidTr="00424FFA" w14:paraId="487805D6" w14:textId="7777777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3629" w:type="dxa"/>
            <w:hideMark/>
          </w:tcPr>
          <w:p w:rsidRPr="008D1918" w:rsidR="00055299" w:rsidRDefault="00055299" w14:paraId="4705201D" w14:textId="77777777">
            <w:pPr>
              <w:spacing w:before="60" w:after="60"/>
              <w:rPr>
                <w:rFonts w:cs="Arial"/>
                <w:sz w:val="20"/>
                <w:szCs w:val="20"/>
                <w:lang w:val="en-AU" w:eastAsia="zh-CN" w:bidi="th-TH"/>
              </w:rPr>
            </w:pPr>
            <w:r w:rsidRPr="008D1918">
              <w:rPr>
                <w:rFonts w:cs="Arial"/>
                <w:sz w:val="20"/>
                <w:szCs w:val="20"/>
                <w:lang w:val="en-AU" w:eastAsia="zh-CN" w:bidi="th-TH"/>
              </w:rPr>
              <w:t>Statistics</w:t>
            </w:r>
          </w:p>
        </w:tc>
        <w:tc>
          <w:tcPr>
            <w:tcW w:w="1985" w:type="dxa"/>
          </w:tcPr>
          <w:p w:rsidRPr="008D1918" w:rsidR="00055299" w:rsidP="00424FFA" w:rsidRDefault="00055299" w14:paraId="2AADDD8A"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val="en-AU" w:eastAsia="zh-CN" w:bidi="th-TH"/>
              </w:rPr>
            </w:pPr>
            <w:r w:rsidRPr="008D1918">
              <w:rPr>
                <w:rFonts w:cs="Arial"/>
                <w:sz w:val="20"/>
                <w:szCs w:val="20"/>
                <w:lang w:val="en-AU" w:eastAsia="zh-CN" w:bidi="th-TH"/>
              </w:rPr>
              <w:t>July – December 2024</w:t>
            </w:r>
          </w:p>
        </w:tc>
        <w:tc>
          <w:tcPr>
            <w:tcW w:w="1985" w:type="dxa"/>
            <w:hideMark/>
          </w:tcPr>
          <w:p w:rsidRPr="008D1918" w:rsidR="00055299" w:rsidP="00424FFA" w:rsidRDefault="00055299" w14:paraId="6B18CB46"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val="en-AU" w:eastAsia="zh-CN" w:bidi="th-TH"/>
              </w:rPr>
            </w:pPr>
            <w:r w:rsidRPr="008D1918">
              <w:rPr>
                <w:rFonts w:cs="Arial"/>
                <w:sz w:val="20"/>
                <w:szCs w:val="20"/>
                <w:lang w:val="en-AU" w:eastAsia="zh-CN" w:bidi="th-TH"/>
              </w:rPr>
              <w:t>July – December 2025</w:t>
            </w:r>
          </w:p>
        </w:tc>
        <w:tc>
          <w:tcPr>
            <w:tcW w:w="1418" w:type="dxa"/>
          </w:tcPr>
          <w:p w:rsidRPr="008D1918" w:rsidR="00055299" w:rsidP="00424FFA" w:rsidRDefault="00055299" w14:paraId="313B3BF5" w14:textId="7C309DE0">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val="en-AU" w:eastAsia="zh-CN" w:bidi="th-TH"/>
              </w:rPr>
            </w:pPr>
            <w:r w:rsidRPr="008D1918">
              <w:rPr>
                <w:rFonts w:cs="Arial"/>
                <w:sz w:val="20"/>
                <w:szCs w:val="20"/>
                <w:lang w:val="en-AU" w:eastAsia="zh-CN" w:bidi="th-TH"/>
              </w:rPr>
              <w:t xml:space="preserve">Percentage </w:t>
            </w:r>
            <w:r w:rsidRPr="008D1918" w:rsidR="00CF16F8">
              <w:rPr>
                <w:rFonts w:cs="Arial"/>
                <w:sz w:val="20"/>
                <w:szCs w:val="20"/>
                <w:lang w:val="en-AU" w:eastAsia="zh-CN" w:bidi="th-TH"/>
              </w:rPr>
              <w:t>c</w:t>
            </w:r>
            <w:r w:rsidRPr="008D1918">
              <w:rPr>
                <w:rFonts w:cs="Arial"/>
                <w:sz w:val="20"/>
                <w:szCs w:val="20"/>
                <w:lang w:val="en-AU" w:eastAsia="zh-CN" w:bidi="th-TH"/>
              </w:rPr>
              <w:t>hange</w:t>
            </w:r>
          </w:p>
        </w:tc>
      </w:tr>
      <w:tr w:rsidRPr="008D1918" w:rsidR="00A238C6" w:rsidTr="00424FFA" w14:paraId="711B587C"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055299" w:rsidRDefault="00055299" w14:paraId="3F84C8CB" w14:textId="77777777">
            <w:pPr>
              <w:spacing w:before="60" w:after="60"/>
              <w:rPr>
                <w:rFonts w:cs="Arial"/>
                <w:b/>
                <w:color w:val="000000"/>
                <w:sz w:val="20"/>
                <w:szCs w:val="20"/>
                <w:lang w:val="en-AU" w:eastAsia="zh-CN" w:bidi="th-TH"/>
              </w:rPr>
            </w:pPr>
            <w:r w:rsidRPr="008D1918">
              <w:rPr>
                <w:rFonts w:cs="Arial"/>
                <w:sz w:val="20"/>
                <w:szCs w:val="20"/>
                <w:lang w:val="en-AU"/>
              </w:rPr>
              <w:t>Total number of NDIS participants</w:t>
            </w:r>
          </w:p>
        </w:tc>
        <w:tc>
          <w:tcPr>
            <w:tcW w:w="1985" w:type="dxa"/>
            <w:vAlign w:val="center"/>
          </w:tcPr>
          <w:p w:rsidRPr="008D1918" w:rsidR="00055299" w:rsidP="00424FFA" w:rsidRDefault="00055299" w14:paraId="6417FCB8"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AU" w:eastAsia="zh-CN" w:bidi="th-TH"/>
              </w:rPr>
            </w:pPr>
            <w:r w:rsidRPr="008D1918">
              <w:rPr>
                <w:sz w:val="20"/>
                <w:szCs w:val="20"/>
                <w:lang w:val="en-AU"/>
              </w:rPr>
              <w:t>448,951</w:t>
            </w:r>
          </w:p>
        </w:tc>
        <w:tc>
          <w:tcPr>
            <w:tcW w:w="1985" w:type="dxa"/>
            <w:noWrap/>
            <w:vAlign w:val="center"/>
          </w:tcPr>
          <w:p w:rsidRPr="008D1918" w:rsidR="00055299" w:rsidP="00424FFA" w:rsidRDefault="00055299" w14:paraId="07470B0B"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AU" w:eastAsia="zh-CN" w:bidi="th-TH"/>
              </w:rPr>
            </w:pPr>
            <w:r w:rsidRPr="008D1918">
              <w:rPr>
                <w:sz w:val="20"/>
                <w:szCs w:val="20"/>
                <w:lang w:val="en-AU"/>
              </w:rPr>
              <w:t>518,548</w:t>
            </w:r>
          </w:p>
        </w:tc>
        <w:tc>
          <w:tcPr>
            <w:tcW w:w="1418" w:type="dxa"/>
            <w:vAlign w:val="center"/>
          </w:tcPr>
          <w:p w:rsidRPr="008D1918" w:rsidR="00055299" w:rsidP="00424FFA" w:rsidRDefault="00055299" w14:paraId="4B7F6390"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sz w:val="20"/>
                <w:szCs w:val="20"/>
                <w:lang w:val="en-AU"/>
              </w:rPr>
              <w:t>+15.5%</w:t>
            </w:r>
          </w:p>
        </w:tc>
      </w:tr>
      <w:tr w:rsidRPr="008D1918" w:rsidR="00055299" w:rsidTr="00424FFA" w14:paraId="114D6334" w14:textId="77777777">
        <w:trPr>
          <w:trHeight w:val="397"/>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055299" w:rsidRDefault="00055299" w14:paraId="411E90B2" w14:textId="77777777">
            <w:pPr>
              <w:spacing w:before="60" w:after="60"/>
              <w:rPr>
                <w:rFonts w:cs="Arial"/>
                <w:b/>
                <w:color w:val="000000"/>
                <w:sz w:val="20"/>
                <w:szCs w:val="20"/>
                <w:lang w:val="en-AU" w:eastAsia="zh-CN" w:bidi="th-TH"/>
              </w:rPr>
            </w:pPr>
            <w:r w:rsidRPr="008D1918">
              <w:rPr>
                <w:rFonts w:cs="Arial"/>
                <w:sz w:val="20"/>
                <w:szCs w:val="20"/>
                <w:lang w:val="en-AU"/>
              </w:rPr>
              <w:t>Total number of active providers</w:t>
            </w:r>
          </w:p>
        </w:tc>
        <w:tc>
          <w:tcPr>
            <w:tcW w:w="1985" w:type="dxa"/>
            <w:vAlign w:val="center"/>
          </w:tcPr>
          <w:p w:rsidRPr="008D1918" w:rsidR="00055299" w:rsidP="00424FFA" w:rsidRDefault="00055299" w14:paraId="4CA1DC0C"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zh-CN" w:bidi="th-TH"/>
              </w:rPr>
            </w:pPr>
            <w:r w:rsidRPr="008D1918">
              <w:rPr>
                <w:sz w:val="20"/>
                <w:szCs w:val="20"/>
                <w:lang w:val="en-AU"/>
              </w:rPr>
              <w:t>1,624</w:t>
            </w:r>
          </w:p>
        </w:tc>
        <w:tc>
          <w:tcPr>
            <w:tcW w:w="1985" w:type="dxa"/>
            <w:noWrap/>
            <w:vAlign w:val="center"/>
          </w:tcPr>
          <w:p w:rsidRPr="008D1918" w:rsidR="00055299" w:rsidP="00424FFA" w:rsidRDefault="00055299" w14:paraId="78839AF6"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zh-CN" w:bidi="th-TH"/>
              </w:rPr>
            </w:pPr>
            <w:r w:rsidRPr="008D1918">
              <w:rPr>
                <w:sz w:val="20"/>
                <w:szCs w:val="20"/>
                <w:lang w:val="en-AU"/>
              </w:rPr>
              <w:t>1,616</w:t>
            </w:r>
          </w:p>
        </w:tc>
        <w:tc>
          <w:tcPr>
            <w:tcW w:w="1418" w:type="dxa"/>
            <w:vAlign w:val="center"/>
          </w:tcPr>
          <w:p w:rsidRPr="008D1918" w:rsidR="00055299" w:rsidP="00424FFA" w:rsidRDefault="00055299" w14:paraId="6BDCD111"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sz w:val="20"/>
                <w:szCs w:val="20"/>
                <w:lang w:val="en-AU"/>
              </w:rPr>
              <w:t>-0.5%</w:t>
            </w:r>
          </w:p>
        </w:tc>
      </w:tr>
      <w:tr w:rsidRPr="008D1918" w:rsidR="00A238C6" w:rsidTr="00424FFA" w14:paraId="388A0ADE"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055299" w:rsidRDefault="00055299" w14:paraId="60E37644" w14:textId="77777777">
            <w:pPr>
              <w:spacing w:before="60" w:after="60"/>
              <w:rPr>
                <w:rFonts w:cs="Arial"/>
                <w:b/>
                <w:color w:val="000000"/>
                <w:sz w:val="20"/>
                <w:szCs w:val="20"/>
                <w:lang w:val="en-AU" w:eastAsia="zh-CN" w:bidi="th-TH"/>
              </w:rPr>
            </w:pPr>
            <w:r w:rsidRPr="008D1918">
              <w:rPr>
                <w:rFonts w:cs="Arial"/>
                <w:sz w:val="20"/>
                <w:szCs w:val="20"/>
                <w:lang w:val="en-AU"/>
              </w:rPr>
              <w:t xml:space="preserve">Total </w:t>
            </w:r>
            <w:r w:rsidRPr="008D1918">
              <w:rPr>
                <w:sz w:val="20"/>
                <w:szCs w:val="20"/>
                <w:lang w:val="en-AU"/>
              </w:rPr>
              <w:t xml:space="preserve">amount claimed for </w:t>
            </w:r>
            <w:r w:rsidRPr="008D1918">
              <w:rPr>
                <w:rFonts w:cs="Arial"/>
                <w:sz w:val="20"/>
                <w:szCs w:val="20"/>
                <w:lang w:val="en-AU"/>
              </w:rPr>
              <w:t xml:space="preserve">plan management fees </w:t>
            </w:r>
          </w:p>
        </w:tc>
        <w:tc>
          <w:tcPr>
            <w:tcW w:w="1985" w:type="dxa"/>
            <w:vAlign w:val="center"/>
          </w:tcPr>
          <w:p w:rsidRPr="008D1918" w:rsidR="00055299" w:rsidP="00424FFA" w:rsidRDefault="00055299" w14:paraId="113CE746"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AU" w:eastAsia="zh-CN" w:bidi="th-TH"/>
              </w:rPr>
            </w:pPr>
            <w:r w:rsidRPr="008D1918">
              <w:rPr>
                <w:sz w:val="20"/>
                <w:szCs w:val="20"/>
                <w:lang w:val="en-AU"/>
              </w:rPr>
              <w:t>$309 million</w:t>
            </w:r>
          </w:p>
        </w:tc>
        <w:tc>
          <w:tcPr>
            <w:tcW w:w="1985" w:type="dxa"/>
            <w:noWrap/>
            <w:vAlign w:val="center"/>
          </w:tcPr>
          <w:p w:rsidRPr="008D1918" w:rsidR="00055299" w:rsidP="00424FFA" w:rsidRDefault="00055299" w14:paraId="6881105D"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AU" w:eastAsia="zh-CN" w:bidi="th-TH"/>
              </w:rPr>
            </w:pPr>
            <w:r w:rsidRPr="008D1918">
              <w:rPr>
                <w:sz w:val="20"/>
                <w:szCs w:val="20"/>
                <w:lang w:val="en-AU"/>
              </w:rPr>
              <w:t>$320 million</w:t>
            </w:r>
          </w:p>
        </w:tc>
        <w:tc>
          <w:tcPr>
            <w:tcW w:w="1418" w:type="dxa"/>
            <w:vAlign w:val="center"/>
          </w:tcPr>
          <w:p w:rsidRPr="008D1918" w:rsidR="00055299" w:rsidP="00424FFA" w:rsidRDefault="00055299" w14:paraId="3A5DB8DF"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sz w:val="20"/>
                <w:szCs w:val="20"/>
                <w:lang w:val="en-AU"/>
              </w:rPr>
              <w:t>+3.7%</w:t>
            </w:r>
          </w:p>
        </w:tc>
      </w:tr>
      <w:tr w:rsidRPr="008D1918" w:rsidR="00055299" w:rsidTr="00424FFA" w14:paraId="38B60948" w14:textId="77777777">
        <w:trPr>
          <w:trHeight w:val="397"/>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055299" w:rsidRDefault="00055299" w14:paraId="22CFC7E8" w14:textId="77777777">
            <w:pPr>
              <w:spacing w:before="60" w:after="60"/>
              <w:rPr>
                <w:rFonts w:cs="Arial"/>
                <w:b/>
                <w:sz w:val="20"/>
                <w:szCs w:val="20"/>
                <w:lang w:val="en-AU"/>
              </w:rPr>
            </w:pPr>
            <w:r w:rsidRPr="008D1918">
              <w:rPr>
                <w:rFonts w:cs="Arial"/>
                <w:sz w:val="20"/>
                <w:szCs w:val="20"/>
                <w:lang w:val="en-AU"/>
              </w:rPr>
              <w:t>Total number of active providers claiming fees</w:t>
            </w:r>
          </w:p>
        </w:tc>
        <w:tc>
          <w:tcPr>
            <w:tcW w:w="1985" w:type="dxa"/>
            <w:vAlign w:val="center"/>
          </w:tcPr>
          <w:p w:rsidRPr="008D1918" w:rsidR="00055299" w:rsidP="00424FFA" w:rsidRDefault="00055299" w14:paraId="1834E048"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sz w:val="20"/>
                <w:szCs w:val="20"/>
                <w:lang w:val="en-AU"/>
              </w:rPr>
              <w:t>1,376</w:t>
            </w:r>
          </w:p>
        </w:tc>
        <w:tc>
          <w:tcPr>
            <w:tcW w:w="1985" w:type="dxa"/>
            <w:noWrap/>
            <w:vAlign w:val="center"/>
          </w:tcPr>
          <w:p w:rsidRPr="008D1918" w:rsidR="00055299" w:rsidP="00424FFA" w:rsidRDefault="00055299" w14:paraId="3F8CEB32"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sz w:val="20"/>
                <w:szCs w:val="20"/>
                <w:lang w:val="en-AU"/>
              </w:rPr>
              <w:t>1,335</w:t>
            </w:r>
          </w:p>
        </w:tc>
        <w:tc>
          <w:tcPr>
            <w:tcW w:w="1418" w:type="dxa"/>
            <w:vAlign w:val="center"/>
          </w:tcPr>
          <w:p w:rsidRPr="008D1918" w:rsidR="00055299" w:rsidP="00424FFA" w:rsidRDefault="00055299" w14:paraId="1C27AA1E"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sz w:val="20"/>
                <w:szCs w:val="20"/>
                <w:lang w:val="en-AU"/>
              </w:rPr>
              <w:t>-3.0%</w:t>
            </w:r>
          </w:p>
        </w:tc>
      </w:tr>
      <w:tr w:rsidRPr="008D1918" w:rsidR="00A238C6" w:rsidTr="00424FFA" w14:paraId="5DF89CC6"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29" w:type="dxa"/>
            <w:noWrap/>
            <w:vAlign w:val="center"/>
          </w:tcPr>
          <w:p w:rsidRPr="008D1918" w:rsidR="00055299" w:rsidRDefault="00055299" w14:paraId="3A8ED477" w14:textId="77777777">
            <w:pPr>
              <w:spacing w:before="60" w:after="60"/>
              <w:rPr>
                <w:rFonts w:cs="Arial"/>
                <w:b/>
                <w:sz w:val="20"/>
                <w:szCs w:val="20"/>
                <w:lang w:val="en-AU"/>
              </w:rPr>
            </w:pPr>
            <w:r w:rsidRPr="008D1918">
              <w:rPr>
                <w:rFonts w:cs="Arial"/>
                <w:sz w:val="20"/>
                <w:szCs w:val="20"/>
                <w:lang w:val="en-AU"/>
              </w:rPr>
              <w:t>Average amount claimed for plan management fees per provider</w:t>
            </w:r>
          </w:p>
        </w:tc>
        <w:tc>
          <w:tcPr>
            <w:tcW w:w="1985" w:type="dxa"/>
            <w:vAlign w:val="center"/>
          </w:tcPr>
          <w:p w:rsidRPr="008D1918" w:rsidR="00055299" w:rsidP="00424FFA" w:rsidRDefault="00055299" w14:paraId="1479B3BF"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AU" w:eastAsia="zh-CN" w:bidi="th-TH"/>
              </w:rPr>
            </w:pPr>
            <w:r w:rsidRPr="008D1918">
              <w:rPr>
                <w:sz w:val="20"/>
                <w:szCs w:val="20"/>
                <w:lang w:val="en-AU"/>
              </w:rPr>
              <w:t>$224,500</w:t>
            </w:r>
          </w:p>
        </w:tc>
        <w:tc>
          <w:tcPr>
            <w:tcW w:w="1985" w:type="dxa"/>
            <w:noWrap/>
            <w:vAlign w:val="center"/>
          </w:tcPr>
          <w:p w:rsidRPr="008D1918" w:rsidR="00055299" w:rsidP="00424FFA" w:rsidRDefault="00055299" w14:paraId="1BF16A0D"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AU" w:eastAsia="zh-CN" w:bidi="th-TH"/>
              </w:rPr>
            </w:pPr>
            <w:r w:rsidRPr="008D1918">
              <w:rPr>
                <w:sz w:val="20"/>
                <w:szCs w:val="20"/>
                <w:lang w:val="en-AU"/>
              </w:rPr>
              <w:t>$240,000</w:t>
            </w:r>
          </w:p>
        </w:tc>
        <w:tc>
          <w:tcPr>
            <w:tcW w:w="1418" w:type="dxa"/>
            <w:vAlign w:val="center"/>
          </w:tcPr>
          <w:p w:rsidRPr="008D1918" w:rsidR="00055299" w:rsidP="00424FFA" w:rsidRDefault="00055299" w14:paraId="177E2907"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sz w:val="20"/>
                <w:szCs w:val="20"/>
                <w:lang w:val="en-AU"/>
              </w:rPr>
              <w:t>+6.9%</w:t>
            </w:r>
          </w:p>
        </w:tc>
      </w:tr>
    </w:tbl>
    <w:p w:rsidRPr="008D1918" w:rsidR="00055299" w:rsidRDefault="00055299" w14:paraId="25A350B7"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055299" w:rsidP="002B3625" w:rsidRDefault="00055299" w14:paraId="055C4ED5" w14:textId="380523FC">
      <w:pPr>
        <w:spacing w:before="120" w:after="360" w:line="240" w:lineRule="atLeast"/>
        <w:rPr>
          <w:rFonts w:cs="Calibri" w:eastAsiaTheme="minorEastAsia"/>
          <w:sz w:val="20"/>
          <w:szCs w:val="20"/>
          <w:lang w:val="en-AU"/>
        </w:rPr>
      </w:pPr>
      <w:r w:rsidRPr="008D1918">
        <w:rPr>
          <w:rFonts w:cs="Calibri"/>
          <w:sz w:val="20"/>
          <w:szCs w:val="20"/>
          <w:lang w:val="en-AU"/>
        </w:rPr>
        <w:t xml:space="preserve">Note: Figures reflect payments made for plan management supports and may differ from the number of providers registered with the NDIS Quality and Safeguards Commission or participants with plan-management funding. </w:t>
      </w:r>
    </w:p>
    <w:p w:rsidRPr="008D1918" w:rsidR="00055299" w:rsidRDefault="003B651D" w14:paraId="24BB8031" w14:textId="6BE15DAB">
      <w:pPr>
        <w:rPr>
          <w:lang w:val="en-AU"/>
        </w:rPr>
      </w:pPr>
      <w:r w:rsidRPr="008D1918">
        <w:rPr>
          <w:lang w:val="en-AU"/>
        </w:rPr>
        <w:fldChar w:fldCharType="begin"/>
      </w:r>
      <w:r w:rsidRPr="008D1918">
        <w:rPr>
          <w:lang w:val="en-AU"/>
        </w:rPr>
        <w:instrText xml:space="preserve"> REF _Ref223626007 \h </w:instrText>
      </w:r>
      <w:r w:rsidRPr="008D1918" w:rsidR="00762DF8">
        <w:rPr>
          <w:lang w:val="en-AU"/>
        </w:rPr>
        <w:instrText xml:space="preserve"> \* MERGEFORMAT </w:instrText>
      </w:r>
      <w:r w:rsidRPr="008D1918">
        <w:rPr>
          <w:lang w:val="en-AU"/>
        </w:rPr>
      </w:r>
      <w:r w:rsidRPr="008D1918">
        <w:rPr>
          <w:lang w:val="en-AU"/>
        </w:rPr>
        <w:fldChar w:fldCharType="separate"/>
      </w:r>
      <w:r w:rsidRPr="008F56A2" w:rsidR="008F56A2">
        <w:rPr>
          <w:lang w:val="en-AU"/>
        </w:rPr>
        <w:t>Figure</w:t>
      </w:r>
      <w:r w:rsidRPr="008D1918" w:rsidR="008F56A2">
        <w:t xml:space="preserve"> </w:t>
      </w:r>
      <w:r w:rsidR="008F56A2">
        <w:rPr>
          <w:noProof/>
        </w:rPr>
        <w:t>41</w:t>
      </w:r>
      <w:r w:rsidRPr="008D1918">
        <w:rPr>
          <w:lang w:val="en-AU"/>
        </w:rPr>
        <w:fldChar w:fldCharType="end"/>
      </w:r>
      <w:r w:rsidRPr="008D1918" w:rsidR="00055299">
        <w:rPr>
          <w:lang w:val="en-AU"/>
        </w:rPr>
        <w:t xml:space="preserve"> shows plan‑managed payments now account for approximately 60% of total Scheme payments, exceeding the share of participants using plan management (50%).</w:t>
      </w:r>
    </w:p>
    <w:p w:rsidRPr="008D1918" w:rsidR="00055299" w:rsidP="003B651D" w:rsidRDefault="00055299" w14:paraId="4831A6ED" w14:textId="11F0F081">
      <w:pPr>
        <w:pStyle w:val="Caption"/>
        <w:rPr>
          <w:rFonts w:eastAsia="DengXian" w:cs="Cordia New"/>
          <w:i w:val="0"/>
          <w:color w:val="6B2876" w:themeColor="accent5"/>
        </w:rPr>
      </w:pPr>
      <w:bookmarkStart w:name="_Ref223626007" w:id="1811"/>
      <w:r w:rsidRPr="008D1918">
        <w:t xml:space="preserve">Figure </w:t>
      </w:r>
      <w:r>
        <w:fldChar w:fldCharType="begin"/>
      </w:r>
      <w:r>
        <w:instrText>SEQ Figure \* ARABIC</w:instrText>
      </w:r>
      <w:r>
        <w:fldChar w:fldCharType="separate"/>
      </w:r>
      <w:r w:rsidR="008F56A2">
        <w:rPr>
          <w:noProof/>
        </w:rPr>
        <w:t>41</w:t>
      </w:r>
      <w:r>
        <w:fldChar w:fldCharType="end"/>
      </w:r>
      <w:bookmarkEnd w:id="1811"/>
      <w:r w:rsidRPr="008D1918">
        <w:rPr>
          <w:rFonts w:eastAsia="DengXian" w:cs="Cordia New"/>
          <w:color w:val="6B2876" w:themeColor="accent5"/>
        </w:rPr>
        <w:t>: Distribution of payments (by payments made) by plan management type, January 2023 to December 2025</w:t>
      </w:r>
    </w:p>
    <w:p w:rsidRPr="008D1918" w:rsidR="00055299" w:rsidRDefault="00055299" w14:paraId="33DDA4BF" w14:textId="77777777">
      <w:pPr>
        <w:jc w:val="center"/>
        <w:rPr>
          <w:lang w:val="en-AU"/>
        </w:rPr>
      </w:pPr>
      <w:r w:rsidRPr="008D1918">
        <w:rPr>
          <w:noProof/>
          <w:lang w:val="en-AU"/>
        </w:rPr>
        <w:drawing>
          <wp:inline distT="0" distB="0" distL="0" distR="0" wp14:anchorId="18E55C4A" wp14:editId="6DCA105B">
            <wp:extent cx="5688000" cy="3599366"/>
            <wp:effectExtent l="0" t="0" r="8255" b="1270"/>
            <wp:docPr id="1299515345" name="Picture 5" descr="Figure 41: A stacked bar graph showing the distribution of payments (by payments made) by plan management type, from January 2023 to December 2025.&#10;The graph shows that from January 2023 to December 2025 payments to participants using plan managers steadily increased from 54% to 63%. During the same period, payments to self-managed participants decreased from 12% to 10%. Payments to Agency-managed participants also decreased across the period from 34% to 27%. Source: Internal NDIS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15345" name="Picture 5" descr="Figure 41: A stacked bar graph showing the distribution of payments (by payments made) by plan management type, from January 2023 to December 2025.&#10;The graph shows that from January 2023 to December 2025 payments to participants using plan managers steadily increased from 54% to 63%. During the same period, payments to self-managed participants decreased from 12% to 10%. Payments to Agency-managed participants also decreased across the period from 34% to 27%. Source: Internal NDIS administrative data."/>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5688000" cy="3599366"/>
                    </a:xfrm>
                    <a:prstGeom prst="rect">
                      <a:avLst/>
                    </a:prstGeom>
                    <a:noFill/>
                  </pic:spPr>
                </pic:pic>
              </a:graphicData>
            </a:graphic>
          </wp:inline>
        </w:drawing>
      </w:r>
    </w:p>
    <w:p w:rsidRPr="008D1918" w:rsidR="00055299" w:rsidP="00CC1BF5" w:rsidRDefault="00055299" w14:paraId="5905F446" w14:textId="46024450">
      <w:pPr>
        <w:spacing w:before="120" w:after="360" w:line="240" w:lineRule="atLeast"/>
        <w:rPr>
          <w:rFonts w:eastAsia="DengXian" w:cs="Calibri"/>
          <w:sz w:val="20"/>
          <w:szCs w:val="20"/>
          <w:lang w:val="en-AU"/>
        </w:rPr>
      </w:pPr>
      <w:r w:rsidRPr="008D1918">
        <w:rPr>
          <w:rFonts w:eastAsia="DengXian" w:cs="Calibri"/>
          <w:sz w:val="20"/>
          <w:szCs w:val="20"/>
          <w:lang w:val="en-AU"/>
        </w:rPr>
        <w:t xml:space="preserve">Note: Management type is determined by the payment management type. Payment type can only either be </w:t>
      </w:r>
      <w:r w:rsidR="00D946BF">
        <w:rPr>
          <w:rFonts w:eastAsia="DengXian" w:cs="Calibri"/>
          <w:sz w:val="20"/>
          <w:szCs w:val="20"/>
          <w:lang w:val="en-AU"/>
        </w:rPr>
        <w:t>A</w:t>
      </w:r>
      <w:r w:rsidRPr="008D1918">
        <w:rPr>
          <w:rFonts w:eastAsia="DengXian" w:cs="Calibri"/>
          <w:sz w:val="20"/>
          <w:szCs w:val="20"/>
          <w:lang w:val="en-AU"/>
        </w:rPr>
        <w:t xml:space="preserve">gency-managed, plan-managed or self-managed. Therefore, there is no mixed payment type, in contrast to participants in </w:t>
      </w:r>
      <w:r w:rsidRPr="008D1918" w:rsidR="006F206B">
        <w:rPr>
          <w:rFonts w:eastAsia="DengXian" w:cs="Calibri"/>
          <w:sz w:val="20"/>
          <w:szCs w:val="20"/>
          <w:lang w:val="en-AU"/>
        </w:rPr>
        <w:fldChar w:fldCharType="begin"/>
      </w:r>
      <w:r w:rsidRPr="008D1918" w:rsidR="006F206B">
        <w:rPr>
          <w:rFonts w:eastAsia="DengXian" w:cs="Calibri"/>
          <w:sz w:val="20"/>
          <w:szCs w:val="20"/>
          <w:lang w:val="en-AU"/>
        </w:rPr>
        <w:instrText xml:space="preserve"> REF _Ref223626035 \h  \* MERGEFORMAT </w:instrText>
      </w:r>
      <w:r w:rsidRPr="008D1918" w:rsidR="006F206B">
        <w:rPr>
          <w:rFonts w:eastAsia="DengXian" w:cs="Calibri"/>
          <w:sz w:val="20"/>
          <w:szCs w:val="20"/>
          <w:lang w:val="en-AU"/>
        </w:rPr>
      </w:r>
      <w:r w:rsidRPr="008D1918" w:rsidR="006F206B">
        <w:rPr>
          <w:rFonts w:eastAsia="DengXian" w:cs="Calibri"/>
          <w:sz w:val="20"/>
          <w:szCs w:val="20"/>
          <w:lang w:val="en-AU"/>
        </w:rPr>
        <w:fldChar w:fldCharType="separate"/>
      </w:r>
      <w:r w:rsidRPr="008F56A2" w:rsidR="008F56A2">
        <w:rPr>
          <w:sz w:val="20"/>
          <w:szCs w:val="20"/>
        </w:rPr>
        <w:t xml:space="preserve">Figure </w:t>
      </w:r>
      <w:r w:rsidRPr="008F56A2" w:rsidR="008F56A2">
        <w:rPr>
          <w:noProof/>
          <w:sz w:val="20"/>
          <w:szCs w:val="20"/>
        </w:rPr>
        <w:t>42</w:t>
      </w:r>
      <w:r w:rsidRPr="008D1918" w:rsidR="006F206B">
        <w:rPr>
          <w:rFonts w:eastAsia="DengXian" w:cs="Calibri"/>
          <w:sz w:val="20"/>
          <w:szCs w:val="20"/>
          <w:lang w:val="en-AU"/>
        </w:rPr>
        <w:fldChar w:fldCharType="end"/>
      </w:r>
      <w:r w:rsidRPr="008D1918">
        <w:rPr>
          <w:rFonts w:eastAsia="DengXian" w:cs="Calibri"/>
          <w:sz w:val="20"/>
          <w:szCs w:val="20"/>
          <w:lang w:val="en-AU"/>
        </w:rPr>
        <w:t>.</w:t>
      </w:r>
    </w:p>
    <w:bookmarkEnd w:id="1809"/>
    <w:p w:rsidRPr="008D1918" w:rsidR="00055299" w:rsidRDefault="00055299" w14:paraId="547906CF" w14:textId="4BEF68AA">
      <w:pPr>
        <w:rPr>
          <w:lang w:val="en-AU"/>
        </w:rPr>
      </w:pPr>
      <w:r w:rsidRPr="008D1918">
        <w:rPr>
          <w:lang w:val="en-AU"/>
        </w:rPr>
        <w:t>Plan management payments grew 18.6% from $13.5 billion to $16 billion, driven primarily by Core – Daily Activities (up 21%) and Core – Community (up 18%). Growth was broad-based across support categories (</w:t>
      </w:r>
      <w:r w:rsidRPr="008D1918" w:rsidR="00C26276">
        <w:rPr>
          <w:lang w:val="en-AU"/>
        </w:rPr>
        <w:fldChar w:fldCharType="begin"/>
      </w:r>
      <w:r w:rsidRPr="008D1918" w:rsidR="00C26276">
        <w:rPr>
          <w:lang w:val="en-AU"/>
        </w:rPr>
        <w:instrText xml:space="preserve"> REF _Ref195636422 \h </w:instrText>
      </w:r>
      <w:r w:rsidRPr="008D1918" w:rsidR="00762DF8">
        <w:rPr>
          <w:lang w:val="en-AU"/>
        </w:rPr>
        <w:instrText xml:space="preserve"> \* MERGEFORMAT </w:instrText>
      </w:r>
      <w:r w:rsidRPr="008D1918" w:rsidR="00C26276">
        <w:rPr>
          <w:lang w:val="en-AU"/>
        </w:rPr>
      </w:r>
      <w:r w:rsidRPr="008D1918" w:rsidR="00C26276">
        <w:rPr>
          <w:lang w:val="en-AU"/>
        </w:rPr>
        <w:fldChar w:fldCharType="separate"/>
      </w:r>
      <w:r w:rsidRPr="008F56A2" w:rsidR="008F56A2">
        <w:rPr>
          <w:lang w:val="en-AU"/>
        </w:rPr>
        <w:t>Table</w:t>
      </w:r>
      <w:r w:rsidRPr="008D1918" w:rsidR="008F56A2">
        <w:t xml:space="preserve"> </w:t>
      </w:r>
      <w:r w:rsidR="008F56A2">
        <w:rPr>
          <w:noProof/>
        </w:rPr>
        <w:t>34</w:t>
      </w:r>
      <w:r w:rsidRPr="008D1918" w:rsidR="00C26276">
        <w:rPr>
          <w:lang w:val="en-AU"/>
        </w:rPr>
        <w:fldChar w:fldCharType="end"/>
      </w:r>
      <w:r w:rsidRPr="008D1918">
        <w:rPr>
          <w:lang w:val="en-AU"/>
        </w:rPr>
        <w:t xml:space="preserve">). </w:t>
      </w:r>
    </w:p>
    <w:p w:rsidRPr="008D1918" w:rsidR="00055299" w:rsidP="00C26276" w:rsidRDefault="00C26276" w14:paraId="222A7A37" w14:textId="768FDEA4">
      <w:pPr>
        <w:pStyle w:val="Caption"/>
      </w:pPr>
      <w:bookmarkStart w:name="_Ref195636422" w:id="1812"/>
      <w:r w:rsidRPr="008D1918">
        <w:t xml:space="preserve">Table </w:t>
      </w:r>
      <w:r>
        <w:fldChar w:fldCharType="begin"/>
      </w:r>
      <w:r>
        <w:instrText>SEQ Table \* ARABIC</w:instrText>
      </w:r>
      <w:r>
        <w:fldChar w:fldCharType="separate"/>
      </w:r>
      <w:r w:rsidR="008F56A2">
        <w:rPr>
          <w:noProof/>
        </w:rPr>
        <w:t>34</w:t>
      </w:r>
      <w:r>
        <w:fldChar w:fldCharType="end"/>
      </w:r>
      <w:bookmarkEnd w:id="1812"/>
      <w:r w:rsidRPr="008D1918" w:rsidR="00055299">
        <w:t>: Total payment via active registered plan managers (including plan management fee)</w:t>
      </w:r>
      <w:r w:rsidRPr="008D1918" w:rsidR="00E45780">
        <w:t>,</w:t>
      </w:r>
      <w:r w:rsidRPr="008D1918" w:rsidR="00B803F2">
        <w:t xml:space="preserve"> July 2024 to December 2025</w:t>
      </w:r>
    </w:p>
    <w:tbl>
      <w:tblPr>
        <w:tblStyle w:val="GridTable4-Accent121"/>
        <w:tblW w:w="9072" w:type="dxa"/>
        <w:tblInd w:w="-5" w:type="dxa"/>
        <w:tblLayout w:type="fixed"/>
        <w:tblLook w:val="04A0" w:firstRow="1" w:lastRow="0" w:firstColumn="1" w:lastColumn="0" w:noHBand="0" w:noVBand="1"/>
      </w:tblPr>
      <w:tblGrid>
        <w:gridCol w:w="3969"/>
        <w:gridCol w:w="1843"/>
        <w:gridCol w:w="1843"/>
        <w:gridCol w:w="1417"/>
      </w:tblGrid>
      <w:tr w:rsidRPr="008D1918" w:rsidR="00173A73" w:rsidTr="00D14911" w14:paraId="7151FEA7" w14:textId="7777777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055299" w:rsidP="00C26276" w:rsidRDefault="00055299" w14:paraId="529F4B2C" w14:textId="21591356">
            <w:pPr>
              <w:keepNext/>
              <w:spacing w:before="60" w:after="60"/>
              <w:rPr>
                <w:rFonts w:cs="Arial"/>
                <w:sz w:val="20"/>
                <w:szCs w:val="20"/>
                <w:lang w:val="en-AU" w:eastAsia="zh-CN" w:bidi="th-TH"/>
              </w:rPr>
            </w:pPr>
            <w:r w:rsidRPr="008D1918">
              <w:rPr>
                <w:rFonts w:cs="Arial"/>
                <w:sz w:val="20"/>
                <w:szCs w:val="20"/>
                <w:lang w:val="en-AU" w:eastAsia="zh-CN" w:bidi="th-TH"/>
              </w:rPr>
              <w:t xml:space="preserve">Support </w:t>
            </w:r>
            <w:r w:rsidRPr="008D1918" w:rsidR="00C26276">
              <w:rPr>
                <w:rFonts w:cs="Arial"/>
                <w:sz w:val="20"/>
                <w:szCs w:val="20"/>
                <w:lang w:val="en-AU" w:eastAsia="zh-CN" w:bidi="th-TH"/>
              </w:rPr>
              <w:t>c</w:t>
            </w:r>
            <w:r w:rsidRPr="008D1918">
              <w:rPr>
                <w:rFonts w:cs="Arial"/>
                <w:sz w:val="20"/>
                <w:szCs w:val="20"/>
                <w:lang w:val="en-AU" w:eastAsia="zh-CN" w:bidi="th-TH"/>
              </w:rPr>
              <w:t>ategory</w:t>
            </w:r>
          </w:p>
        </w:tc>
        <w:tc>
          <w:tcPr>
            <w:tcW w:w="1843" w:type="dxa"/>
          </w:tcPr>
          <w:p w:rsidRPr="008D1918" w:rsidR="00055299" w:rsidP="00554C8F" w:rsidRDefault="00055299" w14:paraId="4413C3DB" w14:textId="77777777">
            <w:pPr>
              <w:keepNext/>
              <w:spacing w:before="60" w:after="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AU" w:eastAsia="zh-CN" w:bidi="th-TH"/>
              </w:rPr>
            </w:pPr>
            <w:r w:rsidRPr="008D1918">
              <w:rPr>
                <w:rFonts w:cs="Arial"/>
                <w:sz w:val="20"/>
                <w:szCs w:val="20"/>
                <w:lang w:val="en-AU" w:eastAsia="zh-CN" w:bidi="th-TH"/>
              </w:rPr>
              <w:t>July – December 2024</w:t>
            </w:r>
          </w:p>
          <w:p w:rsidRPr="008D1918" w:rsidR="00055299" w:rsidP="00424FFA" w:rsidRDefault="00055299" w14:paraId="454D7F7A" w14:textId="77777777">
            <w:pPr>
              <w:keepNext/>
              <w:spacing w:before="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val="en-AU" w:eastAsia="zh-CN" w:bidi="th-TH"/>
              </w:rPr>
            </w:pPr>
            <w:r w:rsidRPr="008D1918">
              <w:rPr>
                <w:rFonts w:cs="Arial"/>
                <w:sz w:val="20"/>
                <w:szCs w:val="20"/>
                <w:lang w:val="en-AU" w:eastAsia="zh-CN" w:bidi="th-TH"/>
              </w:rPr>
              <w:t>(million)</w:t>
            </w:r>
          </w:p>
        </w:tc>
        <w:tc>
          <w:tcPr>
            <w:tcW w:w="1843" w:type="dxa"/>
            <w:hideMark/>
          </w:tcPr>
          <w:p w:rsidRPr="008D1918" w:rsidR="00055299" w:rsidP="00554C8F" w:rsidRDefault="00055299" w14:paraId="492039C5" w14:textId="77777777">
            <w:pPr>
              <w:keepNext/>
              <w:spacing w:before="60" w:after="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AU" w:eastAsia="zh-CN" w:bidi="th-TH"/>
              </w:rPr>
            </w:pPr>
            <w:r w:rsidRPr="008D1918">
              <w:rPr>
                <w:rFonts w:cs="Arial"/>
                <w:sz w:val="20"/>
                <w:szCs w:val="20"/>
                <w:lang w:val="en-AU" w:eastAsia="zh-CN" w:bidi="th-TH"/>
              </w:rPr>
              <w:t>July – December 2025</w:t>
            </w:r>
          </w:p>
          <w:p w:rsidRPr="008D1918" w:rsidR="00055299" w:rsidP="00424FFA" w:rsidRDefault="00055299" w14:paraId="74551B39" w14:textId="77777777">
            <w:pPr>
              <w:keepNext/>
              <w:spacing w:before="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val="en-AU" w:eastAsia="zh-CN" w:bidi="th-TH"/>
              </w:rPr>
            </w:pPr>
            <w:r w:rsidRPr="008D1918">
              <w:rPr>
                <w:rFonts w:cs="Arial"/>
                <w:sz w:val="20"/>
                <w:szCs w:val="20"/>
                <w:lang w:val="en-AU" w:eastAsia="zh-CN" w:bidi="th-TH"/>
              </w:rPr>
              <w:t>(million)</w:t>
            </w:r>
          </w:p>
        </w:tc>
        <w:tc>
          <w:tcPr>
            <w:tcW w:w="1417" w:type="dxa"/>
            <w:vAlign w:val="center"/>
          </w:tcPr>
          <w:p w:rsidRPr="008D1918" w:rsidR="00055299" w:rsidP="00C26276" w:rsidRDefault="00055299" w14:paraId="00023FB0" w14:textId="42F8E747">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val="en-AU" w:eastAsia="zh-CN" w:bidi="th-TH"/>
              </w:rPr>
            </w:pPr>
            <w:r w:rsidRPr="008D1918">
              <w:rPr>
                <w:rFonts w:cs="Arial"/>
                <w:sz w:val="20"/>
                <w:szCs w:val="20"/>
                <w:lang w:val="en-AU" w:eastAsia="zh-CN" w:bidi="th-TH"/>
              </w:rPr>
              <w:t xml:space="preserve">Percentage </w:t>
            </w:r>
            <w:r w:rsidRPr="008D1918" w:rsidR="00C26276">
              <w:rPr>
                <w:rFonts w:cs="Arial"/>
                <w:sz w:val="20"/>
                <w:szCs w:val="20"/>
                <w:lang w:val="en-AU" w:eastAsia="zh-CN" w:bidi="th-TH"/>
              </w:rPr>
              <w:t>c</w:t>
            </w:r>
            <w:r w:rsidRPr="008D1918">
              <w:rPr>
                <w:rFonts w:cs="Arial"/>
                <w:sz w:val="20"/>
                <w:szCs w:val="20"/>
                <w:lang w:val="en-AU" w:eastAsia="zh-CN" w:bidi="th-TH"/>
              </w:rPr>
              <w:t>hange</w:t>
            </w:r>
          </w:p>
        </w:tc>
      </w:tr>
      <w:tr w:rsidRPr="008D1918" w:rsidR="00A238C6" w:rsidTr="00D14911" w14:paraId="4CE85C73"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71A343F4" w14:textId="77777777">
            <w:pPr>
              <w:keepNext/>
              <w:spacing w:before="60" w:after="60"/>
              <w:rPr>
                <w:rFonts w:cs="Arial"/>
                <w:b/>
                <w:color w:val="000000"/>
                <w:sz w:val="20"/>
                <w:szCs w:val="20"/>
                <w:lang w:val="en-AU" w:eastAsia="zh-CN" w:bidi="th-TH"/>
              </w:rPr>
            </w:pPr>
            <w:r w:rsidRPr="008D1918">
              <w:rPr>
                <w:rFonts w:cs="Arial"/>
                <w:sz w:val="20"/>
                <w:szCs w:val="20"/>
                <w:lang w:val="en-AU"/>
              </w:rPr>
              <w:t>Core - Daily Activities</w:t>
            </w:r>
          </w:p>
        </w:tc>
        <w:tc>
          <w:tcPr>
            <w:tcW w:w="1843" w:type="dxa"/>
            <w:vAlign w:val="center"/>
          </w:tcPr>
          <w:p w:rsidRPr="008D1918" w:rsidR="00055299" w:rsidP="00424FFA" w:rsidRDefault="00055299" w14:paraId="1F72D603"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AU" w:eastAsia="zh-CN" w:bidi="th-TH"/>
              </w:rPr>
            </w:pPr>
            <w:r w:rsidRPr="008D1918">
              <w:rPr>
                <w:rFonts w:cs="Arial"/>
                <w:sz w:val="20"/>
                <w:szCs w:val="20"/>
                <w:lang w:val="en-AU"/>
              </w:rPr>
              <w:t>$6,012.4</w:t>
            </w:r>
          </w:p>
        </w:tc>
        <w:tc>
          <w:tcPr>
            <w:tcW w:w="1843" w:type="dxa"/>
            <w:noWrap/>
            <w:vAlign w:val="center"/>
          </w:tcPr>
          <w:p w:rsidRPr="008D1918" w:rsidR="00055299" w:rsidP="00424FFA" w:rsidRDefault="00055299" w14:paraId="1388FA00"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AU" w:eastAsia="zh-CN" w:bidi="th-TH"/>
              </w:rPr>
            </w:pPr>
            <w:r w:rsidRPr="008D1918">
              <w:rPr>
                <w:rFonts w:cs="Arial"/>
                <w:sz w:val="20"/>
                <w:szCs w:val="20"/>
                <w:lang w:val="en-AU"/>
              </w:rPr>
              <w:t>$7,276.6</w:t>
            </w:r>
          </w:p>
        </w:tc>
        <w:tc>
          <w:tcPr>
            <w:tcW w:w="1417" w:type="dxa"/>
            <w:vAlign w:val="center"/>
          </w:tcPr>
          <w:p w:rsidRPr="008D1918" w:rsidR="00055299" w:rsidP="00424FFA" w:rsidRDefault="00055299" w14:paraId="08EB7B5D"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+21.0%</w:t>
            </w:r>
          </w:p>
        </w:tc>
      </w:tr>
      <w:tr w:rsidRPr="008D1918" w:rsidR="00055299" w:rsidTr="00D14911" w14:paraId="0FB6E7D0" w14:textId="77777777">
        <w:trPr>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092F946D" w14:textId="77777777">
            <w:pPr>
              <w:keepNext/>
              <w:spacing w:before="60" w:after="60"/>
              <w:rPr>
                <w:rFonts w:cs="Arial"/>
                <w:b/>
                <w:color w:val="000000"/>
                <w:sz w:val="20"/>
                <w:szCs w:val="20"/>
                <w:lang w:val="en-AU" w:eastAsia="zh-CN" w:bidi="th-TH"/>
              </w:rPr>
            </w:pPr>
            <w:r w:rsidRPr="008D1918">
              <w:rPr>
                <w:rFonts w:cs="Arial"/>
                <w:sz w:val="20"/>
                <w:szCs w:val="20"/>
                <w:lang w:val="en-AU"/>
              </w:rPr>
              <w:t>Core - Community</w:t>
            </w:r>
          </w:p>
        </w:tc>
        <w:tc>
          <w:tcPr>
            <w:tcW w:w="1843" w:type="dxa"/>
            <w:vAlign w:val="center"/>
          </w:tcPr>
          <w:p w:rsidRPr="008D1918" w:rsidR="00055299" w:rsidP="00424FFA" w:rsidRDefault="00055299" w14:paraId="015DDB9D"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zh-CN" w:bidi="th-TH"/>
              </w:rPr>
            </w:pPr>
            <w:r w:rsidRPr="008D1918">
              <w:rPr>
                <w:rFonts w:cs="Arial"/>
                <w:sz w:val="20"/>
                <w:szCs w:val="20"/>
                <w:lang w:val="en-AU"/>
              </w:rPr>
              <w:t>$4,147.2</w:t>
            </w:r>
          </w:p>
        </w:tc>
        <w:tc>
          <w:tcPr>
            <w:tcW w:w="1843" w:type="dxa"/>
            <w:noWrap/>
            <w:vAlign w:val="center"/>
          </w:tcPr>
          <w:p w:rsidRPr="008D1918" w:rsidR="00055299" w:rsidP="00424FFA" w:rsidRDefault="00055299" w14:paraId="08BECA7D"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zh-CN" w:bidi="th-TH"/>
              </w:rPr>
            </w:pPr>
            <w:r w:rsidRPr="008D1918">
              <w:rPr>
                <w:rFonts w:cs="Arial"/>
                <w:sz w:val="20"/>
                <w:szCs w:val="20"/>
                <w:lang w:val="en-AU"/>
              </w:rPr>
              <w:t>$4,894.2</w:t>
            </w:r>
          </w:p>
        </w:tc>
        <w:tc>
          <w:tcPr>
            <w:tcW w:w="1417" w:type="dxa"/>
            <w:vAlign w:val="center"/>
          </w:tcPr>
          <w:p w:rsidRPr="008D1918" w:rsidR="00055299" w:rsidP="00424FFA" w:rsidRDefault="00055299" w14:paraId="1A6AD696"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+18.0%</w:t>
            </w:r>
          </w:p>
        </w:tc>
      </w:tr>
      <w:tr w:rsidRPr="008D1918" w:rsidR="00A238C6" w:rsidTr="00D14911" w14:paraId="1E863D3D"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76E7D1F1" w14:textId="77777777">
            <w:pPr>
              <w:keepNext/>
              <w:spacing w:before="60" w:after="60"/>
              <w:rPr>
                <w:rFonts w:cs="Arial"/>
                <w:b/>
                <w:color w:val="000000"/>
                <w:sz w:val="20"/>
                <w:szCs w:val="20"/>
                <w:lang w:val="en-AU" w:eastAsia="zh-CN" w:bidi="th-TH"/>
              </w:rPr>
            </w:pPr>
            <w:r w:rsidRPr="008D1918">
              <w:rPr>
                <w:rFonts w:cs="Arial"/>
                <w:sz w:val="20"/>
                <w:szCs w:val="20"/>
                <w:lang w:val="en-AU"/>
              </w:rPr>
              <w:t>Capacity Building - Daily Activities</w:t>
            </w:r>
          </w:p>
        </w:tc>
        <w:tc>
          <w:tcPr>
            <w:tcW w:w="1843" w:type="dxa"/>
            <w:vAlign w:val="center"/>
          </w:tcPr>
          <w:p w:rsidRPr="008D1918" w:rsidR="00055299" w:rsidP="00424FFA" w:rsidRDefault="00055299" w14:paraId="366DF5A9"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AU" w:eastAsia="zh-CN" w:bidi="th-TH"/>
              </w:rPr>
            </w:pPr>
            <w:r w:rsidRPr="008D1918">
              <w:rPr>
                <w:rFonts w:cs="Arial"/>
                <w:sz w:val="20"/>
                <w:szCs w:val="20"/>
                <w:lang w:val="en-AU"/>
              </w:rPr>
              <w:t>$1,925.2</w:t>
            </w:r>
          </w:p>
        </w:tc>
        <w:tc>
          <w:tcPr>
            <w:tcW w:w="1843" w:type="dxa"/>
            <w:noWrap/>
            <w:vAlign w:val="center"/>
          </w:tcPr>
          <w:p w:rsidRPr="008D1918" w:rsidR="00055299" w:rsidP="00424FFA" w:rsidRDefault="00055299" w14:paraId="3376343B"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AU" w:eastAsia="zh-CN" w:bidi="th-TH"/>
              </w:rPr>
            </w:pPr>
            <w:r w:rsidRPr="008D1918">
              <w:rPr>
                <w:rFonts w:cs="Arial"/>
                <w:sz w:val="20"/>
                <w:szCs w:val="20"/>
                <w:lang w:val="en-AU"/>
              </w:rPr>
              <w:t>$2,125.9</w:t>
            </w:r>
          </w:p>
        </w:tc>
        <w:tc>
          <w:tcPr>
            <w:tcW w:w="1417" w:type="dxa"/>
            <w:vAlign w:val="center"/>
          </w:tcPr>
          <w:p w:rsidRPr="008D1918" w:rsidR="00055299" w:rsidP="00424FFA" w:rsidRDefault="00055299" w14:paraId="58BE7B1F"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+10.4%</w:t>
            </w:r>
          </w:p>
        </w:tc>
      </w:tr>
      <w:tr w:rsidRPr="008D1918" w:rsidR="00055299" w:rsidTr="00D14911" w14:paraId="39CC862D" w14:textId="77777777">
        <w:trPr>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1EE812FF" w14:textId="77777777">
            <w:pPr>
              <w:keepNext/>
              <w:spacing w:before="60" w:after="60"/>
              <w:rPr>
                <w:rFonts w:cs="Arial"/>
                <w:b/>
                <w:sz w:val="20"/>
                <w:szCs w:val="20"/>
                <w:lang w:val="en-AU"/>
              </w:rPr>
            </w:pPr>
            <w:r w:rsidRPr="008D1918">
              <w:rPr>
                <w:rFonts w:cs="Arial"/>
                <w:sz w:val="20"/>
                <w:szCs w:val="20"/>
                <w:lang w:val="en-AU"/>
              </w:rPr>
              <w:t>Capacity Building - Support Coordination</w:t>
            </w:r>
          </w:p>
        </w:tc>
        <w:tc>
          <w:tcPr>
            <w:tcW w:w="1843" w:type="dxa"/>
            <w:vAlign w:val="center"/>
          </w:tcPr>
          <w:p w:rsidRPr="008D1918" w:rsidR="00055299" w:rsidP="00424FFA" w:rsidRDefault="00055299" w14:paraId="482D7F34"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$316.2</w:t>
            </w:r>
          </w:p>
        </w:tc>
        <w:tc>
          <w:tcPr>
            <w:tcW w:w="1843" w:type="dxa"/>
            <w:noWrap/>
            <w:vAlign w:val="center"/>
          </w:tcPr>
          <w:p w:rsidRPr="008D1918" w:rsidR="00055299" w:rsidP="00424FFA" w:rsidRDefault="00055299" w14:paraId="1475BB12"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$397.2</w:t>
            </w:r>
          </w:p>
        </w:tc>
        <w:tc>
          <w:tcPr>
            <w:tcW w:w="1417" w:type="dxa"/>
            <w:vAlign w:val="center"/>
          </w:tcPr>
          <w:p w:rsidRPr="008D1918" w:rsidR="00055299" w:rsidP="00424FFA" w:rsidRDefault="00055299" w14:paraId="03965877"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+25.6%</w:t>
            </w:r>
          </w:p>
        </w:tc>
      </w:tr>
      <w:tr w:rsidRPr="008D1918" w:rsidR="00A238C6" w:rsidTr="00D14911" w14:paraId="7FEFF085"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764447FB" w14:textId="77777777">
            <w:pPr>
              <w:keepNext/>
              <w:spacing w:before="60" w:after="60"/>
              <w:rPr>
                <w:rFonts w:cs="Arial"/>
                <w:sz w:val="20"/>
                <w:szCs w:val="20"/>
                <w:lang w:val="en-AU"/>
              </w:rPr>
            </w:pPr>
            <w:r w:rsidRPr="008D1918">
              <w:rPr>
                <w:rFonts w:cs="Arial"/>
                <w:sz w:val="20"/>
                <w:szCs w:val="20"/>
                <w:lang w:val="en-AU"/>
              </w:rPr>
              <w:t>Capacity Building - Choice and Control</w:t>
            </w:r>
          </w:p>
        </w:tc>
        <w:tc>
          <w:tcPr>
            <w:tcW w:w="1843" w:type="dxa"/>
            <w:vAlign w:val="center"/>
          </w:tcPr>
          <w:p w:rsidRPr="008D1918" w:rsidR="00055299" w:rsidP="00424FFA" w:rsidRDefault="00055299" w14:paraId="348A6E02"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$308.9</w:t>
            </w:r>
          </w:p>
        </w:tc>
        <w:tc>
          <w:tcPr>
            <w:tcW w:w="1843" w:type="dxa"/>
            <w:noWrap/>
            <w:vAlign w:val="center"/>
          </w:tcPr>
          <w:p w:rsidRPr="008D1918" w:rsidR="00055299" w:rsidP="00424FFA" w:rsidRDefault="00055299" w14:paraId="3DAB0616"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$320.5</w:t>
            </w:r>
          </w:p>
        </w:tc>
        <w:tc>
          <w:tcPr>
            <w:tcW w:w="1417" w:type="dxa"/>
            <w:vAlign w:val="center"/>
          </w:tcPr>
          <w:p w:rsidRPr="008D1918" w:rsidR="00055299" w:rsidP="00424FFA" w:rsidRDefault="00055299" w14:paraId="65155F25"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+3.7%</w:t>
            </w:r>
          </w:p>
        </w:tc>
      </w:tr>
      <w:tr w:rsidRPr="008D1918" w:rsidR="00055299" w:rsidTr="00D14911" w14:paraId="41F15F1D" w14:textId="77777777">
        <w:trPr>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32EB159A" w14:textId="77777777">
            <w:pPr>
              <w:keepNext/>
              <w:spacing w:before="60" w:after="60"/>
              <w:rPr>
                <w:rFonts w:cs="Arial"/>
                <w:sz w:val="20"/>
                <w:szCs w:val="20"/>
                <w:lang w:val="en-AU"/>
              </w:rPr>
            </w:pPr>
            <w:r w:rsidRPr="008D1918">
              <w:rPr>
                <w:rFonts w:cs="Arial"/>
                <w:sz w:val="20"/>
                <w:szCs w:val="20"/>
                <w:lang w:val="en-AU"/>
              </w:rPr>
              <w:t>Capital - Assistive Technology</w:t>
            </w:r>
          </w:p>
        </w:tc>
        <w:tc>
          <w:tcPr>
            <w:tcW w:w="1843" w:type="dxa"/>
            <w:vAlign w:val="center"/>
          </w:tcPr>
          <w:p w:rsidRPr="008D1918" w:rsidR="00055299" w:rsidP="00424FFA" w:rsidRDefault="00055299" w14:paraId="7FA89560"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$237.0</w:t>
            </w:r>
          </w:p>
        </w:tc>
        <w:tc>
          <w:tcPr>
            <w:tcW w:w="1843" w:type="dxa"/>
            <w:noWrap/>
            <w:vAlign w:val="center"/>
          </w:tcPr>
          <w:p w:rsidRPr="008D1918" w:rsidR="00055299" w:rsidP="00424FFA" w:rsidRDefault="00055299" w14:paraId="01777B51"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$300.6</w:t>
            </w:r>
          </w:p>
        </w:tc>
        <w:tc>
          <w:tcPr>
            <w:tcW w:w="1417" w:type="dxa"/>
            <w:vAlign w:val="center"/>
          </w:tcPr>
          <w:p w:rsidRPr="008D1918" w:rsidR="00055299" w:rsidP="00424FFA" w:rsidRDefault="00055299" w14:paraId="5FC27438"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+26.8%</w:t>
            </w:r>
          </w:p>
        </w:tc>
      </w:tr>
      <w:tr w:rsidRPr="008D1918" w:rsidR="00A238C6" w:rsidTr="00D14911" w14:paraId="36A05ECF"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63DAA783" w14:textId="77777777">
            <w:pPr>
              <w:keepNext/>
              <w:spacing w:before="60" w:after="60"/>
              <w:rPr>
                <w:rFonts w:cs="Arial"/>
                <w:sz w:val="20"/>
                <w:szCs w:val="20"/>
                <w:lang w:val="en-AU"/>
              </w:rPr>
            </w:pPr>
            <w:r w:rsidRPr="008D1918">
              <w:rPr>
                <w:rFonts w:cs="Arial"/>
                <w:sz w:val="20"/>
                <w:szCs w:val="20"/>
                <w:lang w:val="en-AU"/>
              </w:rPr>
              <w:t>Core - Consumables</w:t>
            </w:r>
          </w:p>
        </w:tc>
        <w:tc>
          <w:tcPr>
            <w:tcW w:w="1843" w:type="dxa"/>
            <w:vAlign w:val="center"/>
          </w:tcPr>
          <w:p w:rsidRPr="008D1918" w:rsidR="00055299" w:rsidP="00424FFA" w:rsidRDefault="00055299" w14:paraId="56592D79"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$226.8</w:t>
            </w:r>
          </w:p>
        </w:tc>
        <w:tc>
          <w:tcPr>
            <w:tcW w:w="1843" w:type="dxa"/>
            <w:noWrap/>
            <w:vAlign w:val="center"/>
          </w:tcPr>
          <w:p w:rsidRPr="008D1918" w:rsidR="00055299" w:rsidP="00424FFA" w:rsidRDefault="00055299" w14:paraId="36324F7A"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$224.2</w:t>
            </w:r>
          </w:p>
        </w:tc>
        <w:tc>
          <w:tcPr>
            <w:tcW w:w="1417" w:type="dxa"/>
            <w:vAlign w:val="center"/>
          </w:tcPr>
          <w:p w:rsidRPr="008D1918" w:rsidR="00055299" w:rsidP="00424FFA" w:rsidRDefault="00055299" w14:paraId="431FD0F7"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-1.1%</w:t>
            </w:r>
          </w:p>
        </w:tc>
      </w:tr>
      <w:tr w:rsidRPr="008D1918" w:rsidR="00055299" w:rsidTr="00D14911" w14:paraId="14E3209A" w14:textId="77777777">
        <w:trPr>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41620530" w14:textId="77777777">
            <w:pPr>
              <w:keepNext/>
              <w:spacing w:before="60" w:after="60"/>
              <w:rPr>
                <w:rFonts w:cs="Arial"/>
                <w:sz w:val="20"/>
                <w:szCs w:val="20"/>
                <w:lang w:val="en-AU"/>
              </w:rPr>
            </w:pPr>
            <w:r w:rsidRPr="008D1918">
              <w:rPr>
                <w:rFonts w:cs="Arial"/>
                <w:sz w:val="20"/>
                <w:szCs w:val="20"/>
                <w:lang w:val="en-AU"/>
              </w:rPr>
              <w:t>Capacity Building - Relationships</w:t>
            </w:r>
          </w:p>
        </w:tc>
        <w:tc>
          <w:tcPr>
            <w:tcW w:w="1843" w:type="dxa"/>
            <w:vAlign w:val="center"/>
          </w:tcPr>
          <w:p w:rsidRPr="008D1918" w:rsidR="00055299" w:rsidP="00424FFA" w:rsidRDefault="00055299" w14:paraId="686DE20B"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$78.2</w:t>
            </w:r>
          </w:p>
        </w:tc>
        <w:tc>
          <w:tcPr>
            <w:tcW w:w="1843" w:type="dxa"/>
            <w:noWrap/>
            <w:vAlign w:val="center"/>
          </w:tcPr>
          <w:p w:rsidRPr="008D1918" w:rsidR="00055299" w:rsidP="00424FFA" w:rsidRDefault="00055299" w14:paraId="5A85B781"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$140.5</w:t>
            </w:r>
          </w:p>
        </w:tc>
        <w:tc>
          <w:tcPr>
            <w:tcW w:w="1417" w:type="dxa"/>
            <w:vAlign w:val="center"/>
          </w:tcPr>
          <w:p w:rsidRPr="008D1918" w:rsidR="00055299" w:rsidP="00424FFA" w:rsidRDefault="00055299" w14:paraId="56DDC533"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+79.5%</w:t>
            </w:r>
          </w:p>
        </w:tc>
      </w:tr>
      <w:tr w:rsidRPr="008D1918" w:rsidR="00A238C6" w:rsidTr="00D14911" w14:paraId="4E9E5382"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68667D13" w14:textId="77777777">
            <w:pPr>
              <w:keepNext/>
              <w:spacing w:before="60" w:after="60"/>
              <w:rPr>
                <w:rFonts w:cs="Arial"/>
                <w:sz w:val="20"/>
                <w:szCs w:val="20"/>
                <w:lang w:val="en-AU"/>
              </w:rPr>
            </w:pPr>
            <w:r w:rsidRPr="008D1918">
              <w:rPr>
                <w:rFonts w:cs="Arial"/>
                <w:sz w:val="20"/>
                <w:szCs w:val="20"/>
                <w:lang w:val="en-AU"/>
              </w:rPr>
              <w:t>Capacity Building - Social and Civic</w:t>
            </w:r>
          </w:p>
        </w:tc>
        <w:tc>
          <w:tcPr>
            <w:tcW w:w="1843" w:type="dxa"/>
            <w:vAlign w:val="center"/>
          </w:tcPr>
          <w:p w:rsidRPr="008D1918" w:rsidR="00055299" w:rsidP="00424FFA" w:rsidRDefault="00055299" w14:paraId="3ED92688"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$75.5</w:t>
            </w:r>
          </w:p>
        </w:tc>
        <w:tc>
          <w:tcPr>
            <w:tcW w:w="1843" w:type="dxa"/>
            <w:noWrap/>
            <w:vAlign w:val="center"/>
          </w:tcPr>
          <w:p w:rsidRPr="008D1918" w:rsidR="00055299" w:rsidP="00424FFA" w:rsidRDefault="00055299" w14:paraId="2BA80713"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$95.7</w:t>
            </w:r>
          </w:p>
        </w:tc>
        <w:tc>
          <w:tcPr>
            <w:tcW w:w="1417" w:type="dxa"/>
            <w:vAlign w:val="center"/>
          </w:tcPr>
          <w:p w:rsidRPr="008D1918" w:rsidR="00055299" w:rsidP="00424FFA" w:rsidRDefault="00055299" w14:paraId="68242B4F"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+26.7%</w:t>
            </w:r>
          </w:p>
        </w:tc>
      </w:tr>
      <w:tr w:rsidRPr="008D1918" w:rsidR="00055299" w:rsidTr="00D14911" w14:paraId="7F4CC9CD" w14:textId="77777777">
        <w:trPr>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2AF68BF4" w14:textId="77777777">
            <w:pPr>
              <w:keepNext/>
              <w:spacing w:before="60" w:after="60"/>
              <w:rPr>
                <w:rFonts w:cs="Arial"/>
                <w:sz w:val="20"/>
                <w:szCs w:val="20"/>
                <w:lang w:val="en-AU"/>
              </w:rPr>
            </w:pPr>
            <w:r w:rsidRPr="008D1918">
              <w:rPr>
                <w:rFonts w:cs="Arial"/>
                <w:sz w:val="20"/>
                <w:szCs w:val="20"/>
                <w:lang w:val="en-AU"/>
              </w:rPr>
              <w:t>Capital - Home Modifications</w:t>
            </w:r>
          </w:p>
        </w:tc>
        <w:tc>
          <w:tcPr>
            <w:tcW w:w="1843" w:type="dxa"/>
            <w:vAlign w:val="center"/>
          </w:tcPr>
          <w:p w:rsidRPr="008D1918" w:rsidR="00055299" w:rsidP="00424FFA" w:rsidRDefault="00055299" w14:paraId="4F63CE6E"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$48.6</w:t>
            </w:r>
          </w:p>
        </w:tc>
        <w:tc>
          <w:tcPr>
            <w:tcW w:w="1843" w:type="dxa"/>
            <w:noWrap/>
            <w:vAlign w:val="center"/>
          </w:tcPr>
          <w:p w:rsidRPr="008D1918" w:rsidR="00055299" w:rsidP="00424FFA" w:rsidRDefault="00055299" w14:paraId="42F3340B"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$82.5</w:t>
            </w:r>
          </w:p>
        </w:tc>
        <w:tc>
          <w:tcPr>
            <w:tcW w:w="1417" w:type="dxa"/>
            <w:vAlign w:val="center"/>
          </w:tcPr>
          <w:p w:rsidRPr="008D1918" w:rsidR="00055299" w:rsidP="00424FFA" w:rsidRDefault="00055299" w14:paraId="07205AEC"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+69.6%</w:t>
            </w:r>
          </w:p>
        </w:tc>
      </w:tr>
      <w:tr w:rsidRPr="008D1918" w:rsidR="00A238C6" w:rsidTr="00D14911" w14:paraId="653BF62B"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3FE6B4E9" w14:textId="77777777">
            <w:pPr>
              <w:keepNext/>
              <w:spacing w:before="60" w:after="60"/>
              <w:rPr>
                <w:rFonts w:cs="Arial"/>
                <w:sz w:val="20"/>
                <w:szCs w:val="20"/>
                <w:lang w:val="en-AU"/>
              </w:rPr>
            </w:pPr>
            <w:r w:rsidRPr="008D1918">
              <w:rPr>
                <w:rFonts w:cs="Arial"/>
                <w:sz w:val="20"/>
                <w:szCs w:val="20"/>
                <w:lang w:val="en-AU"/>
              </w:rPr>
              <w:t>Capacity Building - Employment</w:t>
            </w:r>
          </w:p>
        </w:tc>
        <w:tc>
          <w:tcPr>
            <w:tcW w:w="1843" w:type="dxa"/>
            <w:vAlign w:val="center"/>
          </w:tcPr>
          <w:p w:rsidRPr="008D1918" w:rsidR="00055299" w:rsidP="00424FFA" w:rsidRDefault="00055299" w14:paraId="10B716CE"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$51.4</w:t>
            </w:r>
          </w:p>
        </w:tc>
        <w:tc>
          <w:tcPr>
            <w:tcW w:w="1843" w:type="dxa"/>
            <w:noWrap/>
            <w:vAlign w:val="center"/>
          </w:tcPr>
          <w:p w:rsidRPr="008D1918" w:rsidR="00055299" w:rsidP="00424FFA" w:rsidRDefault="00055299" w14:paraId="5AF28D3D"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$70.0</w:t>
            </w:r>
          </w:p>
        </w:tc>
        <w:tc>
          <w:tcPr>
            <w:tcW w:w="1417" w:type="dxa"/>
            <w:vAlign w:val="center"/>
          </w:tcPr>
          <w:p w:rsidRPr="008D1918" w:rsidR="00055299" w:rsidP="00424FFA" w:rsidRDefault="00055299" w14:paraId="2621440A"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+36.2%</w:t>
            </w:r>
          </w:p>
        </w:tc>
      </w:tr>
      <w:tr w:rsidRPr="008D1918" w:rsidR="00055299" w:rsidTr="00D14911" w14:paraId="1CDC0220" w14:textId="77777777">
        <w:trPr>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485FB4D9" w14:textId="77777777">
            <w:pPr>
              <w:keepNext/>
              <w:spacing w:before="60" w:after="60"/>
              <w:rPr>
                <w:rFonts w:cs="Arial"/>
                <w:sz w:val="20"/>
                <w:szCs w:val="20"/>
                <w:lang w:val="en-AU"/>
              </w:rPr>
            </w:pPr>
            <w:r w:rsidRPr="008D1918">
              <w:rPr>
                <w:rFonts w:cs="Arial"/>
                <w:sz w:val="20"/>
                <w:szCs w:val="20"/>
                <w:lang w:val="en-AU"/>
              </w:rPr>
              <w:t>Core - Transport</w:t>
            </w:r>
          </w:p>
        </w:tc>
        <w:tc>
          <w:tcPr>
            <w:tcW w:w="1843" w:type="dxa"/>
            <w:vAlign w:val="center"/>
          </w:tcPr>
          <w:p w:rsidRPr="008D1918" w:rsidR="00055299" w:rsidP="00424FFA" w:rsidRDefault="00055299" w14:paraId="1AA9D1E2"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$15.2</w:t>
            </w:r>
          </w:p>
        </w:tc>
        <w:tc>
          <w:tcPr>
            <w:tcW w:w="1843" w:type="dxa"/>
            <w:noWrap/>
            <w:vAlign w:val="center"/>
          </w:tcPr>
          <w:p w:rsidRPr="008D1918" w:rsidR="00055299" w:rsidP="00424FFA" w:rsidRDefault="00055299" w14:paraId="7FE597E6"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$16.8</w:t>
            </w:r>
          </w:p>
        </w:tc>
        <w:tc>
          <w:tcPr>
            <w:tcW w:w="1417" w:type="dxa"/>
            <w:vAlign w:val="center"/>
          </w:tcPr>
          <w:p w:rsidRPr="008D1918" w:rsidR="00055299" w:rsidP="00424FFA" w:rsidRDefault="00055299" w14:paraId="260159BA"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+10.6%</w:t>
            </w:r>
          </w:p>
        </w:tc>
      </w:tr>
      <w:tr w:rsidRPr="008D1918" w:rsidR="00A238C6" w:rsidTr="00D14911" w14:paraId="42858B8F"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3F4A3907" w14:textId="77777777">
            <w:pPr>
              <w:keepNext/>
              <w:spacing w:before="60" w:after="60"/>
              <w:rPr>
                <w:rFonts w:cs="Arial"/>
                <w:sz w:val="20"/>
                <w:szCs w:val="20"/>
                <w:lang w:val="en-AU"/>
              </w:rPr>
            </w:pPr>
            <w:r w:rsidRPr="008D1918">
              <w:rPr>
                <w:rFonts w:cs="Arial"/>
                <w:sz w:val="20"/>
                <w:szCs w:val="20"/>
                <w:lang w:val="en-AU"/>
              </w:rPr>
              <w:t>Capacity Building - Health and Wellbeing</w:t>
            </w:r>
          </w:p>
        </w:tc>
        <w:tc>
          <w:tcPr>
            <w:tcW w:w="1843" w:type="dxa"/>
            <w:vAlign w:val="center"/>
          </w:tcPr>
          <w:p w:rsidRPr="008D1918" w:rsidR="00055299" w:rsidP="00424FFA" w:rsidRDefault="00055299" w14:paraId="1D7A8C40"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$8.8</w:t>
            </w:r>
          </w:p>
        </w:tc>
        <w:tc>
          <w:tcPr>
            <w:tcW w:w="1843" w:type="dxa"/>
            <w:noWrap/>
            <w:vAlign w:val="center"/>
          </w:tcPr>
          <w:p w:rsidRPr="008D1918" w:rsidR="00055299" w:rsidP="00424FFA" w:rsidRDefault="00055299" w14:paraId="01632A67"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$7.6</w:t>
            </w:r>
          </w:p>
        </w:tc>
        <w:tc>
          <w:tcPr>
            <w:tcW w:w="1417" w:type="dxa"/>
            <w:vAlign w:val="center"/>
          </w:tcPr>
          <w:p w:rsidRPr="008D1918" w:rsidR="00055299" w:rsidP="00424FFA" w:rsidRDefault="00055299" w14:paraId="545E58E7"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-13.4%</w:t>
            </w:r>
          </w:p>
        </w:tc>
      </w:tr>
      <w:tr w:rsidRPr="008D1918" w:rsidR="00055299" w:rsidTr="00D14911" w14:paraId="0B26915B" w14:textId="77777777">
        <w:trPr>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1847B2A3" w14:textId="77777777">
            <w:pPr>
              <w:keepNext/>
              <w:spacing w:before="60" w:after="60"/>
              <w:rPr>
                <w:rFonts w:cs="Arial"/>
                <w:sz w:val="20"/>
                <w:szCs w:val="20"/>
                <w:lang w:val="en-AU"/>
              </w:rPr>
            </w:pPr>
            <w:r w:rsidRPr="008D1918">
              <w:rPr>
                <w:rFonts w:cs="Arial"/>
                <w:sz w:val="20"/>
                <w:szCs w:val="20"/>
                <w:lang w:val="en-AU"/>
              </w:rPr>
              <w:t>Capacity Building - Home Living</w:t>
            </w:r>
          </w:p>
        </w:tc>
        <w:tc>
          <w:tcPr>
            <w:tcW w:w="1843" w:type="dxa"/>
            <w:vAlign w:val="center"/>
          </w:tcPr>
          <w:p w:rsidRPr="008D1918" w:rsidR="00055299" w:rsidP="00424FFA" w:rsidRDefault="00055299" w14:paraId="119CC7D9"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$0.4</w:t>
            </w:r>
          </w:p>
        </w:tc>
        <w:tc>
          <w:tcPr>
            <w:tcW w:w="1843" w:type="dxa"/>
            <w:noWrap/>
            <w:vAlign w:val="center"/>
          </w:tcPr>
          <w:p w:rsidRPr="008D1918" w:rsidR="00055299" w:rsidP="00424FFA" w:rsidRDefault="00055299" w14:paraId="46AB7EE3"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$0.6</w:t>
            </w:r>
          </w:p>
        </w:tc>
        <w:tc>
          <w:tcPr>
            <w:tcW w:w="1417" w:type="dxa"/>
            <w:vAlign w:val="center"/>
          </w:tcPr>
          <w:p w:rsidRPr="008D1918" w:rsidR="00055299" w:rsidP="00424FFA" w:rsidRDefault="00055299" w14:paraId="3C2FA700"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+41.8%</w:t>
            </w:r>
          </w:p>
        </w:tc>
      </w:tr>
      <w:tr w:rsidRPr="008D1918" w:rsidR="00A238C6" w:rsidTr="00D14911" w14:paraId="156A796D"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61A3082E" w14:textId="77777777">
            <w:pPr>
              <w:keepNext/>
              <w:spacing w:before="60" w:after="60"/>
              <w:rPr>
                <w:rFonts w:cs="Arial"/>
                <w:sz w:val="20"/>
                <w:szCs w:val="20"/>
                <w:lang w:val="en-AU"/>
              </w:rPr>
            </w:pPr>
            <w:r w:rsidRPr="008D1918">
              <w:rPr>
                <w:rFonts w:cs="Arial"/>
                <w:sz w:val="20"/>
                <w:szCs w:val="20"/>
                <w:lang w:val="en-AU"/>
              </w:rPr>
              <w:t>Capacity Building - Lifelong Learning</w:t>
            </w:r>
          </w:p>
        </w:tc>
        <w:tc>
          <w:tcPr>
            <w:tcW w:w="1843" w:type="dxa"/>
            <w:vAlign w:val="center"/>
          </w:tcPr>
          <w:p w:rsidRPr="008D1918" w:rsidR="00055299" w:rsidP="00424FFA" w:rsidRDefault="00055299" w14:paraId="467DA86C"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$0.1</w:t>
            </w:r>
          </w:p>
        </w:tc>
        <w:tc>
          <w:tcPr>
            <w:tcW w:w="1843" w:type="dxa"/>
            <w:noWrap/>
            <w:vAlign w:val="center"/>
          </w:tcPr>
          <w:p w:rsidRPr="008D1918" w:rsidR="00055299" w:rsidP="00424FFA" w:rsidRDefault="00055299" w14:paraId="5DB31DA9"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$0.2</w:t>
            </w:r>
          </w:p>
        </w:tc>
        <w:tc>
          <w:tcPr>
            <w:tcW w:w="1417" w:type="dxa"/>
            <w:vAlign w:val="center"/>
          </w:tcPr>
          <w:p w:rsidRPr="008D1918" w:rsidR="00055299" w:rsidP="00424FFA" w:rsidRDefault="00055299" w14:paraId="3B85C1D9" w14:textId="77777777">
            <w:pPr>
              <w:keepNext/>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+38.8%</w:t>
            </w:r>
          </w:p>
        </w:tc>
      </w:tr>
      <w:tr w:rsidRPr="008D1918" w:rsidR="00055299" w:rsidTr="00D14911" w14:paraId="22B4ABCA" w14:textId="77777777">
        <w:trPr>
          <w:trHeight w:val="397"/>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rsidRPr="008D1918" w:rsidR="00055299" w:rsidP="00424FFA" w:rsidRDefault="00055299" w14:paraId="30C10B0A" w14:textId="4A0A19A1">
            <w:pPr>
              <w:keepNext/>
              <w:spacing w:before="60" w:after="60"/>
              <w:rPr>
                <w:rFonts w:cs="Arial"/>
                <w:b/>
                <w:sz w:val="20"/>
                <w:szCs w:val="20"/>
                <w:lang w:val="en-AU"/>
              </w:rPr>
            </w:pPr>
            <w:r w:rsidRPr="008D1918">
              <w:rPr>
                <w:rFonts w:cs="Arial"/>
                <w:b/>
                <w:sz w:val="20"/>
                <w:szCs w:val="20"/>
                <w:lang w:val="en-AU"/>
              </w:rPr>
              <w:t xml:space="preserve">Total </w:t>
            </w:r>
            <w:r w:rsidRPr="008D1918" w:rsidR="00EA63F0">
              <w:rPr>
                <w:rFonts w:cs="Arial"/>
                <w:b/>
                <w:sz w:val="20"/>
                <w:szCs w:val="20"/>
                <w:lang w:val="en-AU"/>
              </w:rPr>
              <w:t>p</w:t>
            </w:r>
            <w:r w:rsidRPr="008D1918">
              <w:rPr>
                <w:rFonts w:cs="Arial"/>
                <w:b/>
                <w:sz w:val="20"/>
                <w:szCs w:val="20"/>
                <w:lang w:val="en-AU"/>
              </w:rPr>
              <w:t>ayments via Plan Managers (including plan management fee)</w:t>
            </w:r>
          </w:p>
        </w:tc>
        <w:tc>
          <w:tcPr>
            <w:tcW w:w="1843" w:type="dxa"/>
            <w:vAlign w:val="center"/>
          </w:tcPr>
          <w:p w:rsidRPr="008D1918" w:rsidR="00055299" w:rsidP="00424FFA" w:rsidRDefault="00055299" w14:paraId="78D13A33" w14:textId="012C54DA">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val="en-AU" w:eastAsia="zh-CN" w:bidi="th-TH"/>
              </w:rPr>
            </w:pPr>
            <w:r w:rsidRPr="008D1918">
              <w:rPr>
                <w:rFonts w:cs="Arial"/>
                <w:b/>
                <w:bCs/>
                <w:sz w:val="20"/>
                <w:szCs w:val="20"/>
                <w:lang w:val="en-AU"/>
              </w:rPr>
              <w:t>$13.5</w:t>
            </w:r>
            <w:r w:rsidRPr="008D1918" w:rsidR="00C92E16">
              <w:rPr>
                <w:rFonts w:cs="Arial"/>
                <w:b/>
                <w:bCs/>
                <w:sz w:val="20"/>
                <w:szCs w:val="20"/>
                <w:lang w:val="en-AU"/>
              </w:rPr>
              <w:t xml:space="preserve"> </w:t>
            </w:r>
            <w:r w:rsidRPr="008D1918">
              <w:rPr>
                <w:rFonts w:cs="Arial"/>
                <w:b/>
                <w:bCs/>
                <w:sz w:val="20"/>
                <w:szCs w:val="20"/>
                <w:lang w:val="en-AU"/>
              </w:rPr>
              <w:t>billion</w:t>
            </w:r>
          </w:p>
        </w:tc>
        <w:tc>
          <w:tcPr>
            <w:tcW w:w="1843" w:type="dxa"/>
            <w:noWrap/>
            <w:vAlign w:val="center"/>
          </w:tcPr>
          <w:p w:rsidRPr="008D1918" w:rsidR="00055299" w:rsidP="00424FFA" w:rsidRDefault="00055299" w14:paraId="0DB29FE1" w14:textId="74B1E051">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val="en-AU" w:eastAsia="zh-CN" w:bidi="th-TH"/>
              </w:rPr>
            </w:pPr>
            <w:r w:rsidRPr="008D1918">
              <w:rPr>
                <w:rFonts w:cs="Arial"/>
                <w:b/>
                <w:bCs/>
                <w:sz w:val="20"/>
                <w:szCs w:val="20"/>
                <w:lang w:val="en-AU"/>
              </w:rPr>
              <w:t>$16.0</w:t>
            </w:r>
            <w:r w:rsidRPr="008D1918" w:rsidR="00C92E16">
              <w:rPr>
                <w:rFonts w:cs="Arial"/>
                <w:b/>
                <w:bCs/>
                <w:sz w:val="20"/>
                <w:szCs w:val="20"/>
                <w:lang w:val="en-AU"/>
              </w:rPr>
              <w:t xml:space="preserve"> </w:t>
            </w:r>
            <w:r w:rsidRPr="008D1918">
              <w:rPr>
                <w:rFonts w:cs="Arial"/>
                <w:b/>
                <w:bCs/>
                <w:sz w:val="20"/>
                <w:szCs w:val="20"/>
                <w:lang w:val="en-AU"/>
              </w:rPr>
              <w:t>billion</w:t>
            </w:r>
          </w:p>
        </w:tc>
        <w:tc>
          <w:tcPr>
            <w:tcW w:w="1417" w:type="dxa"/>
            <w:vAlign w:val="center"/>
          </w:tcPr>
          <w:p w:rsidRPr="008D1918" w:rsidR="00055299" w:rsidP="00424FFA" w:rsidRDefault="00055299" w14:paraId="18AC3D34" w14:textId="77777777">
            <w:pPr>
              <w:keepNext/>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b/>
                <w:sz w:val="20"/>
                <w:szCs w:val="20"/>
                <w:lang w:val="en-AU"/>
              </w:rPr>
            </w:pPr>
            <w:r w:rsidRPr="008D1918">
              <w:rPr>
                <w:rFonts w:cs="Arial"/>
                <w:b/>
                <w:bCs/>
                <w:sz w:val="20"/>
                <w:szCs w:val="20"/>
                <w:lang w:val="en-AU"/>
              </w:rPr>
              <w:t>+18.6%</w:t>
            </w:r>
          </w:p>
        </w:tc>
      </w:tr>
    </w:tbl>
    <w:p w:rsidRPr="008D1918" w:rsidR="00055299" w:rsidP="00554C8F" w:rsidRDefault="00055299" w14:paraId="082F2B32" w14:textId="4E22062B">
      <w:pPr>
        <w:keepNext/>
        <w:spacing w:before="120" w:after="60" w:line="240" w:lineRule="atLeast"/>
        <w:rPr>
          <w:b/>
          <w:sz w:val="20"/>
          <w:szCs w:val="20"/>
          <w:lang w:val="en-AU"/>
        </w:rPr>
      </w:pPr>
      <w:r w:rsidRPr="008D1918">
        <w:rPr>
          <w:b/>
          <w:sz w:val="20"/>
          <w:szCs w:val="20"/>
          <w:lang w:val="en-AU"/>
        </w:rPr>
        <w:t>Source: NDIS internal administrative data.</w:t>
      </w:r>
    </w:p>
    <w:p w:rsidRPr="008D1918" w:rsidR="00055299" w:rsidP="002B3625" w:rsidRDefault="00055299" w14:paraId="1498C33B" w14:textId="77777777">
      <w:pPr>
        <w:spacing w:before="120" w:after="360" w:line="240" w:lineRule="atLeast"/>
        <w:rPr>
          <w:sz w:val="20"/>
          <w:szCs w:val="20"/>
          <w:lang w:val="en-AU"/>
        </w:rPr>
      </w:pPr>
      <w:r w:rsidRPr="008D1918">
        <w:rPr>
          <w:sz w:val="20"/>
          <w:szCs w:val="20"/>
          <w:lang w:val="en-AU"/>
        </w:rPr>
        <w:t>Note: Some support categories have experienced large percentage growth, reflecting increases from small bases. These categories and line items should be interpreted with caution.</w:t>
      </w:r>
    </w:p>
    <w:p w:rsidRPr="008D1918" w:rsidR="00055299" w:rsidP="00041468" w:rsidRDefault="00055299" w14:paraId="43866C66" w14:textId="77777777">
      <w:pPr>
        <w:pStyle w:val="StyleStyle112pt"/>
      </w:pPr>
      <w:bookmarkStart w:name="_Toc223345439" w:id="1813"/>
      <w:bookmarkStart w:name="_Toc223428514" w:id="1814"/>
      <w:bookmarkStart w:name="_Toc223445982" w:id="1815"/>
      <w:bookmarkStart w:name="_Toc223539751" w:id="1816"/>
      <w:bookmarkStart w:name="_Toc223539964" w:id="1817"/>
      <w:bookmarkStart w:name="_Toc223540432" w:id="1818"/>
      <w:bookmarkStart w:name="_Toc223540648" w:id="1819"/>
      <w:bookmarkStart w:name="_Toc223542188" w:id="1820"/>
      <w:bookmarkStart w:name="_Toc223604374" w:id="1821"/>
      <w:bookmarkStart w:name="_Toc223604585" w:id="1822"/>
      <w:bookmarkStart w:name="_Toc223604816" w:id="1823"/>
      <w:bookmarkStart w:name="_Toc223618671" w:id="1824"/>
      <w:bookmarkStart w:name="_Toc223702900" w:id="1825"/>
      <w:bookmarkStart w:name="_Toc227318783" w:id="1826"/>
      <w:bookmarkStart w:name="_Toc227337151" w:id="1827"/>
      <w:r w:rsidRPr="008D1918">
        <w:t>Participants</w:t>
      </w:r>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r w:rsidRPr="008D1918">
        <w:t xml:space="preserve"> </w:t>
      </w:r>
    </w:p>
    <w:p w:rsidRPr="008D1918" w:rsidR="00055299" w:rsidRDefault="00055299" w14:paraId="16F96737" w14:textId="0D9E9B2B">
      <w:pPr>
        <w:rPr>
          <w:lang w:val="en-AU"/>
        </w:rPr>
      </w:pPr>
      <w:r w:rsidRPr="008D1918">
        <w:rPr>
          <w:lang w:val="en-AU"/>
        </w:rPr>
        <w:t>The proportion of participants using plan management continued to increase</w:t>
      </w:r>
      <w:r w:rsidRPr="008D1918" w:rsidR="008F2F68">
        <w:rPr>
          <w:lang w:val="en-AU"/>
        </w:rPr>
        <w:t xml:space="preserve"> and reached </w:t>
      </w:r>
      <w:r w:rsidRPr="008D1918">
        <w:rPr>
          <w:lang w:val="en-AU"/>
        </w:rPr>
        <w:t>50% of all Scheme participants in the second half of 2025 (</w:t>
      </w:r>
      <w:r w:rsidRPr="008D1918" w:rsidR="006F206B">
        <w:rPr>
          <w:lang w:val="en-AU"/>
        </w:rPr>
        <w:fldChar w:fldCharType="begin"/>
      </w:r>
      <w:r w:rsidRPr="008D1918" w:rsidR="006F206B">
        <w:rPr>
          <w:lang w:val="en-AU"/>
        </w:rPr>
        <w:instrText xml:space="preserve"> REF _Ref223626035 \h </w:instrText>
      </w:r>
      <w:r w:rsidR="008D1918">
        <w:rPr>
          <w:lang w:val="en-AU"/>
        </w:rPr>
        <w:instrText xml:space="preserve"> \* MERGEFORMAT </w:instrText>
      </w:r>
      <w:r w:rsidRPr="008D1918" w:rsidR="006F206B">
        <w:rPr>
          <w:lang w:val="en-AU"/>
        </w:rPr>
      </w:r>
      <w:r w:rsidRPr="008D1918" w:rsidR="006F206B">
        <w:rPr>
          <w:lang w:val="en-AU"/>
        </w:rPr>
        <w:fldChar w:fldCharType="separate"/>
      </w:r>
      <w:r w:rsidRPr="008D1918" w:rsidR="008F56A2">
        <w:t xml:space="preserve">Figure </w:t>
      </w:r>
      <w:r w:rsidR="008F56A2">
        <w:rPr>
          <w:noProof/>
        </w:rPr>
        <w:t>42</w:t>
      </w:r>
      <w:r w:rsidRPr="008D1918" w:rsidR="006F206B">
        <w:rPr>
          <w:lang w:val="en-AU"/>
        </w:rPr>
        <w:fldChar w:fldCharType="end"/>
      </w:r>
      <w:r w:rsidRPr="008D1918" w:rsidR="00174531">
        <w:rPr>
          <w:lang w:val="en-AU"/>
        </w:rPr>
        <w:t>)</w:t>
      </w:r>
      <w:r w:rsidRPr="008D1918">
        <w:rPr>
          <w:lang w:val="en-AU"/>
        </w:rPr>
        <w:t>.</w:t>
      </w:r>
    </w:p>
    <w:p w:rsidRPr="008D1918" w:rsidR="00055299" w:rsidRDefault="00055299" w14:paraId="78F95A81" w14:textId="46DBFFB8">
      <w:pPr>
        <w:pStyle w:val="Caption"/>
      </w:pPr>
      <w:bookmarkStart w:name="_Ref223626035" w:id="1828"/>
      <w:r w:rsidRPr="008D1918">
        <w:t xml:space="preserve">Figure </w:t>
      </w:r>
      <w:r>
        <w:fldChar w:fldCharType="begin"/>
      </w:r>
      <w:r>
        <w:instrText>SEQ Figure \* ARABIC</w:instrText>
      </w:r>
      <w:r>
        <w:fldChar w:fldCharType="separate"/>
      </w:r>
      <w:r w:rsidR="008F56A2">
        <w:rPr>
          <w:noProof/>
        </w:rPr>
        <w:t>42</w:t>
      </w:r>
      <w:r>
        <w:fldChar w:fldCharType="end"/>
      </w:r>
      <w:bookmarkEnd w:id="1828"/>
      <w:r w:rsidRPr="008D1918">
        <w:t>: Distribution of participants (by payments made) by plan management type, January 2023 to December 2025</w:t>
      </w:r>
    </w:p>
    <w:p w:rsidRPr="008D1918" w:rsidR="00055299" w:rsidRDefault="00055299" w14:paraId="1112098B" w14:textId="77777777">
      <w:pPr>
        <w:jc w:val="center"/>
        <w:rPr>
          <w:lang w:val="en-AU"/>
        </w:rPr>
      </w:pPr>
      <w:r w:rsidRPr="008D1918">
        <w:rPr>
          <w:noProof/>
          <w:lang w:val="en-AU"/>
        </w:rPr>
        <w:drawing>
          <wp:inline distT="0" distB="0" distL="0" distR="0" wp14:anchorId="00F86ADF" wp14:editId="1377BB43">
            <wp:extent cx="5580000" cy="3540426"/>
            <wp:effectExtent l="0" t="0" r="1905" b="3175"/>
            <wp:docPr id="517813783" name="Picture 3" descr="Figure 42: A stacked bar graph showing the distribution of participants (by payments made) by plan management type, from January 2023 to December 2025.&#10;The graph shows that the distribution of participants (by payment made) has seen the plan-managed category steadily increase while the other categories (agency-managed, self-managed (partly), and self-managed (fully)) have steadily decreased. &#10;From July to December in 2025, 4% were agency-managed, 25% were partly self-managed, 21% were fully self-managed, and 50% were plan-mana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13783" name="Picture 3" descr="Figure 42: A stacked bar graph showing the distribution of participants (by payments made) by plan management type, from January 2023 to December 2025.&#10;The graph shows that the distribution of participants (by payment made) has seen the plan-managed category steadily increase while the other categories (agency-managed, self-managed (partly), and self-managed (fully)) have steadily decreased. &#10;From July to December in 2025, 4% were agency-managed, 25% were partly self-managed, 21% were fully self-managed, and 50% were plan-managed."/>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5580000" cy="3540426"/>
                    </a:xfrm>
                    <a:prstGeom prst="rect">
                      <a:avLst/>
                    </a:prstGeom>
                    <a:noFill/>
                  </pic:spPr>
                </pic:pic>
              </a:graphicData>
            </a:graphic>
          </wp:inline>
        </w:drawing>
      </w:r>
    </w:p>
    <w:p w:rsidRPr="008D1918" w:rsidR="00055299" w:rsidP="00CC1BF5" w:rsidRDefault="00055299" w14:paraId="7C04C494" w14:textId="77777777">
      <w:pPr>
        <w:spacing w:before="60" w:after="60" w:line="240" w:lineRule="atLeast"/>
        <w:rPr>
          <w:rFonts w:cs="Calibri" w:eastAsiaTheme="minorEastAsia"/>
          <w:sz w:val="20"/>
          <w:szCs w:val="20"/>
          <w:lang w:val="en-AU"/>
        </w:rPr>
      </w:pPr>
      <w:r w:rsidRPr="008D1918">
        <w:rPr>
          <w:rFonts w:cs="Calibri" w:eastAsiaTheme="minorEastAsia"/>
          <w:sz w:val="20"/>
          <w:szCs w:val="20"/>
          <w:lang w:val="en-AU"/>
        </w:rPr>
        <w:t>Note: Management type of the participants is determined by the payment management type and is consistent with the Quarterly Report to Disability Ministers.</w:t>
      </w:r>
    </w:p>
    <w:p w:rsidRPr="008D1918" w:rsidR="00055299" w:rsidP="00CC1BF5" w:rsidRDefault="00055299" w14:paraId="4CE5FDC6" w14:textId="28E7ACE6">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 xml:space="preserve">“Agency-managed” participants refer to participants with only </w:t>
      </w:r>
      <w:r w:rsidR="004557C9">
        <w:rPr>
          <w:rFonts w:cs="Calibri" w:eastAsiaTheme="minorEastAsia"/>
          <w:sz w:val="20"/>
          <w:szCs w:val="20"/>
          <w:lang w:val="en-AU"/>
        </w:rPr>
        <w:t>A</w:t>
      </w:r>
      <w:r w:rsidRPr="008D1918" w:rsidR="00D61966">
        <w:rPr>
          <w:rFonts w:cs="Calibri" w:eastAsiaTheme="minorEastAsia"/>
          <w:sz w:val="20"/>
          <w:szCs w:val="20"/>
          <w:lang w:val="en-AU"/>
        </w:rPr>
        <w:t>gency</w:t>
      </w:r>
      <w:r w:rsidRPr="008D1918">
        <w:rPr>
          <w:rFonts w:cs="Calibri" w:eastAsiaTheme="minorEastAsia"/>
          <w:sz w:val="20"/>
          <w:szCs w:val="20"/>
          <w:lang w:val="en-AU"/>
        </w:rPr>
        <w:t xml:space="preserve">-managed payments during the period. “Self-managed partly” participants refer to participants with self-managed payments as well as either </w:t>
      </w:r>
      <w:r w:rsidR="004557C9">
        <w:rPr>
          <w:rFonts w:cs="Calibri" w:eastAsiaTheme="minorEastAsia"/>
          <w:sz w:val="20"/>
          <w:szCs w:val="20"/>
          <w:lang w:val="en-AU"/>
        </w:rPr>
        <w:t>A</w:t>
      </w:r>
      <w:r w:rsidRPr="008D1918" w:rsidR="004557C9">
        <w:rPr>
          <w:rFonts w:cs="Calibri" w:eastAsiaTheme="minorEastAsia"/>
          <w:sz w:val="20"/>
          <w:szCs w:val="20"/>
          <w:lang w:val="en-AU"/>
        </w:rPr>
        <w:t>gency</w:t>
      </w:r>
      <w:r w:rsidRPr="008D1918">
        <w:rPr>
          <w:rFonts w:cs="Calibri" w:eastAsiaTheme="minorEastAsia"/>
          <w:sz w:val="20"/>
          <w:szCs w:val="20"/>
          <w:lang w:val="en-AU"/>
        </w:rPr>
        <w:t xml:space="preserve">-managed and/or plan-managed payments during the period. “Self-managed fully” participants refer to participants with only self-managed payments during the period. “Plan-managed” participants refer to participants with only plan-managed payments and those with </w:t>
      </w:r>
      <w:r w:rsidR="004557C9">
        <w:rPr>
          <w:rFonts w:cs="Calibri" w:eastAsiaTheme="minorEastAsia"/>
          <w:sz w:val="20"/>
          <w:szCs w:val="20"/>
          <w:lang w:val="en-AU"/>
        </w:rPr>
        <w:t>A</w:t>
      </w:r>
      <w:r w:rsidRPr="008D1918" w:rsidR="004557C9">
        <w:rPr>
          <w:rFonts w:cs="Calibri" w:eastAsiaTheme="minorEastAsia"/>
          <w:sz w:val="20"/>
          <w:szCs w:val="20"/>
          <w:lang w:val="en-AU"/>
        </w:rPr>
        <w:t>gency</w:t>
      </w:r>
      <w:r w:rsidRPr="008D1918">
        <w:rPr>
          <w:rFonts w:cs="Calibri" w:eastAsiaTheme="minorEastAsia"/>
          <w:sz w:val="20"/>
          <w:szCs w:val="20"/>
          <w:lang w:val="en-AU"/>
        </w:rPr>
        <w:t>-managed payments during the period.</w:t>
      </w:r>
    </w:p>
    <w:p w:rsidRPr="008D1918" w:rsidR="00055299" w:rsidP="00E21370" w:rsidRDefault="00055299" w14:paraId="2E456D7F" w14:textId="77777777">
      <w:pPr>
        <w:pStyle w:val="LittleH5"/>
      </w:pPr>
      <w:bookmarkStart w:name="_Toc223345440" w:id="1829"/>
      <w:bookmarkStart w:name="_Toc223428515" w:id="1830"/>
      <w:bookmarkStart w:name="_Toc223445983" w:id="1831"/>
      <w:bookmarkStart w:name="_Toc223604817" w:id="1832"/>
      <w:r w:rsidRPr="008D1918">
        <w:t>Participants by remoteness</w:t>
      </w:r>
      <w:bookmarkEnd w:id="1829"/>
      <w:bookmarkEnd w:id="1830"/>
      <w:bookmarkEnd w:id="1831"/>
      <w:bookmarkEnd w:id="1832"/>
      <w:r w:rsidRPr="008D1918">
        <w:t xml:space="preserve"> </w:t>
      </w:r>
    </w:p>
    <w:p w:rsidRPr="008D1918" w:rsidR="00055299" w:rsidRDefault="00055299" w14:paraId="38866F70" w14:textId="2B4326D9">
      <w:pPr>
        <w:rPr>
          <w:lang w:val="en-AU"/>
        </w:rPr>
      </w:pPr>
      <w:r w:rsidRPr="008D1918">
        <w:rPr>
          <w:lang w:val="en-AU"/>
        </w:rPr>
        <w:t xml:space="preserve">The use of plan managers among participants in remote and very remote areas continued to grow across the </w:t>
      </w:r>
      <w:r w:rsidRPr="008D1918" w:rsidR="00186248">
        <w:rPr>
          <w:lang w:val="en-AU"/>
        </w:rPr>
        <w:t>3</w:t>
      </w:r>
      <w:r w:rsidRPr="008D1918">
        <w:rPr>
          <w:lang w:val="en-AU"/>
        </w:rPr>
        <w:t xml:space="preserve">-year period to December 2025. In very remote areas, participant numbers increased from 2,972 in the first half of 2023, </w:t>
      </w:r>
      <w:r w:rsidRPr="008D1918" w:rsidR="00803557">
        <w:rPr>
          <w:lang w:val="en-AU"/>
        </w:rPr>
        <w:t xml:space="preserve">and </w:t>
      </w:r>
      <w:r w:rsidRPr="008D1918">
        <w:rPr>
          <w:lang w:val="en-AU"/>
        </w:rPr>
        <w:t>to 4,293 in the second half of 2025. Remote areas showed growth from 4,307 to 6,256 over the same period, despite some variation between half-year periods (</w:t>
      </w:r>
      <w:r w:rsidRPr="008D1918" w:rsidR="008962EC">
        <w:rPr>
          <w:lang w:val="en-AU"/>
        </w:rPr>
        <w:fldChar w:fldCharType="begin"/>
      </w:r>
      <w:r w:rsidRPr="008D1918" w:rsidR="008962EC">
        <w:rPr>
          <w:lang w:val="en-AU"/>
        </w:rPr>
        <w:instrText xml:space="preserve"> REF _Ref223692492 \h </w:instrText>
      </w:r>
      <w:r w:rsidRPr="008D1918" w:rsidR="00762DF8">
        <w:rPr>
          <w:lang w:val="en-AU"/>
        </w:rPr>
        <w:instrText xml:space="preserve"> \* MERGEFORMAT </w:instrText>
      </w:r>
      <w:r w:rsidRPr="008D1918" w:rsidR="008962EC">
        <w:rPr>
          <w:lang w:val="en-AU"/>
        </w:rPr>
      </w:r>
      <w:r w:rsidRPr="008D1918" w:rsidR="008962EC">
        <w:rPr>
          <w:lang w:val="en-AU"/>
        </w:rPr>
        <w:fldChar w:fldCharType="separate"/>
      </w:r>
      <w:r w:rsidRPr="008F56A2" w:rsidR="008F56A2">
        <w:rPr>
          <w:lang w:val="en-AU"/>
        </w:rPr>
        <w:t>Table</w:t>
      </w:r>
      <w:r w:rsidRPr="008D1918" w:rsidR="008F56A2">
        <w:t xml:space="preserve"> </w:t>
      </w:r>
      <w:r w:rsidR="008F56A2">
        <w:rPr>
          <w:noProof/>
        </w:rPr>
        <w:t>35</w:t>
      </w:r>
      <w:r w:rsidRPr="008D1918" w:rsidR="008962EC">
        <w:rPr>
          <w:lang w:val="en-AU"/>
        </w:rPr>
        <w:fldChar w:fldCharType="end"/>
      </w:r>
      <w:r w:rsidRPr="008D1918">
        <w:rPr>
          <w:lang w:val="en-AU"/>
        </w:rPr>
        <w:t>).</w:t>
      </w:r>
    </w:p>
    <w:p w:rsidRPr="008D1918" w:rsidR="00055299" w:rsidP="008962EC" w:rsidRDefault="008962EC" w14:paraId="186DEE69" w14:textId="6D4672D8">
      <w:pPr>
        <w:pStyle w:val="Caption"/>
      </w:pPr>
      <w:bookmarkStart w:name="_Ref223692492" w:id="1833"/>
      <w:r w:rsidRPr="008D1918">
        <w:t xml:space="preserve">Table </w:t>
      </w:r>
      <w:r>
        <w:fldChar w:fldCharType="begin"/>
      </w:r>
      <w:r>
        <w:instrText>SEQ Table \* ARABIC</w:instrText>
      </w:r>
      <w:r>
        <w:fldChar w:fldCharType="separate"/>
      </w:r>
      <w:r w:rsidR="008F56A2">
        <w:rPr>
          <w:noProof/>
        </w:rPr>
        <w:t>35</w:t>
      </w:r>
      <w:r>
        <w:fldChar w:fldCharType="end"/>
      </w:r>
      <w:bookmarkEnd w:id="1833"/>
      <w:r w:rsidRPr="008D1918" w:rsidR="00055299">
        <w:t>: Participants by remoteness for plan management supports</w:t>
      </w:r>
      <w:r w:rsidRPr="008D1918" w:rsidR="00D558E0">
        <w:t>,</w:t>
      </w:r>
      <w:r w:rsidRPr="008D1918" w:rsidR="00175F1C">
        <w:t xml:space="preserve"> </w:t>
      </w:r>
      <w:r w:rsidRPr="008D1918" w:rsidR="00E87373">
        <w:t>January</w:t>
      </w:r>
      <w:r w:rsidRPr="008D1918" w:rsidR="00055299">
        <w:t xml:space="preserve"> 2023 to December 2025</w:t>
      </w:r>
    </w:p>
    <w:tbl>
      <w:tblPr>
        <w:tblStyle w:val="GridTable4-Accent121"/>
        <w:tblW w:w="9070" w:type="dxa"/>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588"/>
        <w:gridCol w:w="1247"/>
        <w:gridCol w:w="1247"/>
        <w:gridCol w:w="1247"/>
        <w:gridCol w:w="1247"/>
        <w:gridCol w:w="1247"/>
        <w:gridCol w:w="1247"/>
      </w:tblGrid>
      <w:tr w:rsidRPr="008D1918" w:rsidR="00173A73" w:rsidTr="00DF77A8" w14:paraId="254B3AA1"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1588" w:type="dxa"/>
          </w:tcPr>
          <w:p w:rsidRPr="008D1918" w:rsidR="00055299" w:rsidP="00EA63F0" w:rsidRDefault="00055299" w14:paraId="4C5FFA00" w14:textId="77777777">
            <w:pPr>
              <w:keepNext/>
              <w:spacing w:before="60" w:after="0"/>
              <w:rPr>
                <w:rFonts w:cs="Calibri"/>
                <w:sz w:val="20"/>
                <w:szCs w:val="20"/>
                <w:lang w:val="en-AU" w:eastAsia="en-AU"/>
              </w:rPr>
            </w:pPr>
            <w:r w:rsidRPr="008D1918">
              <w:rPr>
                <w:sz w:val="20"/>
                <w:szCs w:val="20"/>
                <w:lang w:val="en-AU"/>
              </w:rPr>
              <w:t>Remoteness</w:t>
            </w:r>
          </w:p>
        </w:tc>
        <w:tc>
          <w:tcPr>
            <w:tcW w:w="1247" w:type="dxa"/>
          </w:tcPr>
          <w:p w:rsidRPr="008D1918" w:rsidR="00055299" w:rsidP="00DF77A8" w:rsidRDefault="00055299" w14:paraId="1906B342" w14:textId="77777777">
            <w:pPr>
              <w:keepNext/>
              <w:spacing w:before="60" w:after="0"/>
              <w:jc w:val="right"/>
              <w:rPr>
                <w:b w:val="0"/>
                <w:bCs w:val="0"/>
                <w:sz w:val="20"/>
                <w:szCs w:val="20"/>
                <w:lang w:val="en-AU"/>
              </w:rPr>
            </w:pPr>
            <w:r w:rsidRPr="008D1918">
              <w:rPr>
                <w:sz w:val="20"/>
                <w:szCs w:val="20"/>
                <w:lang w:val="en-AU"/>
              </w:rPr>
              <w:t>January – June</w:t>
            </w:r>
          </w:p>
          <w:p w:rsidRPr="008D1918" w:rsidR="00055299" w:rsidP="00DF77A8" w:rsidRDefault="00055299" w14:paraId="3117BBFA" w14:textId="77777777">
            <w:pPr>
              <w:keepNext/>
              <w:spacing w:before="0" w:after="60"/>
              <w:jc w:val="right"/>
              <w:rPr>
                <w:rFonts w:cs="Calibri"/>
                <w:sz w:val="20"/>
                <w:szCs w:val="20"/>
                <w:lang w:val="en-AU" w:eastAsia="en-AU"/>
              </w:rPr>
            </w:pPr>
            <w:r w:rsidRPr="008D1918">
              <w:rPr>
                <w:sz w:val="20"/>
                <w:szCs w:val="20"/>
                <w:lang w:val="en-AU"/>
              </w:rPr>
              <w:t>2023</w:t>
            </w:r>
          </w:p>
        </w:tc>
        <w:tc>
          <w:tcPr>
            <w:tcW w:w="1247" w:type="dxa"/>
          </w:tcPr>
          <w:p w:rsidRPr="008D1918" w:rsidR="00055299" w:rsidP="00DF77A8" w:rsidRDefault="00055299" w14:paraId="769326DB" w14:textId="77777777">
            <w:pPr>
              <w:keepNext/>
              <w:spacing w:before="60" w:after="60"/>
              <w:jc w:val="right"/>
              <w:rPr>
                <w:rFonts w:cs="Calibri"/>
                <w:sz w:val="20"/>
                <w:szCs w:val="20"/>
                <w:lang w:val="en-AU" w:eastAsia="en-AU"/>
              </w:rPr>
            </w:pPr>
            <w:r w:rsidRPr="008D1918">
              <w:rPr>
                <w:sz w:val="20"/>
                <w:szCs w:val="20"/>
                <w:lang w:val="en-AU"/>
              </w:rPr>
              <w:t>July – December 2023</w:t>
            </w:r>
          </w:p>
        </w:tc>
        <w:tc>
          <w:tcPr>
            <w:tcW w:w="1247" w:type="dxa"/>
          </w:tcPr>
          <w:p w:rsidRPr="008D1918" w:rsidR="00055299" w:rsidP="00DF77A8" w:rsidRDefault="00055299" w14:paraId="064692E1" w14:textId="77777777">
            <w:pPr>
              <w:keepNext/>
              <w:spacing w:before="60" w:after="0"/>
              <w:jc w:val="right"/>
              <w:rPr>
                <w:b w:val="0"/>
                <w:bCs w:val="0"/>
                <w:sz w:val="20"/>
                <w:szCs w:val="20"/>
                <w:lang w:val="en-AU"/>
              </w:rPr>
            </w:pPr>
            <w:r w:rsidRPr="008D1918">
              <w:rPr>
                <w:sz w:val="20"/>
                <w:szCs w:val="20"/>
                <w:lang w:val="en-AU"/>
              </w:rPr>
              <w:t>January – June</w:t>
            </w:r>
          </w:p>
          <w:p w:rsidRPr="008D1918" w:rsidR="00055299" w:rsidP="00DF77A8" w:rsidRDefault="00055299" w14:paraId="5C7D63D4" w14:textId="77777777">
            <w:pPr>
              <w:keepNext/>
              <w:spacing w:before="0" w:after="60"/>
              <w:jc w:val="right"/>
              <w:rPr>
                <w:rFonts w:cs="Calibri"/>
                <w:sz w:val="20"/>
                <w:szCs w:val="20"/>
                <w:lang w:val="en-AU" w:eastAsia="en-AU"/>
              </w:rPr>
            </w:pPr>
            <w:r w:rsidRPr="008D1918">
              <w:rPr>
                <w:sz w:val="20"/>
                <w:szCs w:val="20"/>
                <w:lang w:val="en-AU"/>
              </w:rPr>
              <w:t>2024</w:t>
            </w:r>
          </w:p>
        </w:tc>
        <w:tc>
          <w:tcPr>
            <w:tcW w:w="1247" w:type="dxa"/>
          </w:tcPr>
          <w:p w:rsidRPr="008D1918" w:rsidR="00055299" w:rsidP="00DF77A8" w:rsidRDefault="00055299" w14:paraId="516BAEA8" w14:textId="77777777">
            <w:pPr>
              <w:keepNext/>
              <w:spacing w:before="60" w:after="60"/>
              <w:jc w:val="right"/>
              <w:rPr>
                <w:rFonts w:cs="Calibri"/>
                <w:sz w:val="20"/>
                <w:szCs w:val="20"/>
                <w:lang w:val="en-AU" w:eastAsia="en-AU"/>
              </w:rPr>
            </w:pPr>
            <w:r w:rsidRPr="008D1918">
              <w:rPr>
                <w:sz w:val="20"/>
                <w:szCs w:val="20"/>
                <w:lang w:val="en-AU"/>
              </w:rPr>
              <w:t>July – December 2024</w:t>
            </w:r>
          </w:p>
        </w:tc>
        <w:tc>
          <w:tcPr>
            <w:tcW w:w="1247" w:type="dxa"/>
          </w:tcPr>
          <w:p w:rsidRPr="008D1918" w:rsidR="00055299" w:rsidP="00DF77A8" w:rsidRDefault="00055299" w14:paraId="2B18396D" w14:textId="77777777">
            <w:pPr>
              <w:keepNext/>
              <w:spacing w:before="60" w:after="0"/>
              <w:jc w:val="right"/>
              <w:rPr>
                <w:b w:val="0"/>
                <w:bCs w:val="0"/>
                <w:sz w:val="20"/>
                <w:szCs w:val="20"/>
                <w:lang w:val="en-AU"/>
              </w:rPr>
            </w:pPr>
            <w:r w:rsidRPr="008D1918">
              <w:rPr>
                <w:sz w:val="20"/>
                <w:szCs w:val="20"/>
                <w:lang w:val="en-AU"/>
              </w:rPr>
              <w:t>January – June</w:t>
            </w:r>
          </w:p>
          <w:p w:rsidRPr="008D1918" w:rsidR="00055299" w:rsidP="00DF77A8" w:rsidRDefault="00055299" w14:paraId="5B5FCEA2" w14:textId="77777777">
            <w:pPr>
              <w:keepNext/>
              <w:spacing w:before="0" w:after="60"/>
              <w:jc w:val="right"/>
              <w:rPr>
                <w:rFonts w:cs="Calibri"/>
                <w:sz w:val="20"/>
                <w:szCs w:val="20"/>
                <w:lang w:val="en-AU" w:eastAsia="en-AU"/>
              </w:rPr>
            </w:pPr>
            <w:r w:rsidRPr="008D1918">
              <w:rPr>
                <w:sz w:val="20"/>
                <w:szCs w:val="20"/>
                <w:lang w:val="en-AU"/>
              </w:rPr>
              <w:t>2025</w:t>
            </w:r>
          </w:p>
        </w:tc>
        <w:tc>
          <w:tcPr>
            <w:tcW w:w="1247" w:type="dxa"/>
          </w:tcPr>
          <w:p w:rsidRPr="008D1918" w:rsidR="00055299" w:rsidP="00DF77A8" w:rsidRDefault="00055299" w14:paraId="0586F3FF" w14:textId="77777777">
            <w:pPr>
              <w:keepNext/>
              <w:spacing w:before="60" w:after="60"/>
              <w:jc w:val="right"/>
              <w:rPr>
                <w:rFonts w:cs="Calibri"/>
                <w:sz w:val="20"/>
                <w:szCs w:val="20"/>
                <w:lang w:val="en-AU" w:eastAsia="en-AU"/>
              </w:rPr>
            </w:pPr>
            <w:r w:rsidRPr="008D1918">
              <w:rPr>
                <w:sz w:val="20"/>
                <w:szCs w:val="20"/>
                <w:lang w:val="en-AU"/>
              </w:rPr>
              <w:t>July – December 2025</w:t>
            </w:r>
          </w:p>
        </w:tc>
      </w:tr>
      <w:tr w:rsidRPr="008D1918" w:rsidR="00A238C6" w:rsidTr="00DF77A8" w14:paraId="7FF01FFC" w14:textId="77777777">
        <w:trPr>
          <w:cnfStyle w:val="000000100000" w:firstRow="0" w:lastRow="0" w:firstColumn="0" w:lastColumn="0" w:oddVBand="0" w:evenVBand="0" w:oddHBand="1" w:evenHBand="0" w:firstRowFirstColumn="0" w:firstRowLastColumn="0" w:lastRowFirstColumn="0" w:lastRowLastColumn="0"/>
          <w:trHeight w:val="397"/>
        </w:trPr>
        <w:tc>
          <w:tcPr>
            <w:tcW w:w="1588" w:type="dxa"/>
            <w:vAlign w:val="center"/>
          </w:tcPr>
          <w:p w:rsidRPr="008D1918" w:rsidR="00055299" w:rsidP="002B3625" w:rsidRDefault="00055299" w14:paraId="521506C8" w14:textId="77777777">
            <w:pPr>
              <w:keepNext/>
              <w:spacing w:before="60" w:after="60"/>
              <w:rPr>
                <w:rFonts w:cs="Calibri"/>
                <w:sz w:val="20"/>
                <w:szCs w:val="20"/>
                <w:lang w:val="en-AU" w:eastAsia="en-AU"/>
              </w:rPr>
            </w:pPr>
            <w:r w:rsidRPr="008D1918">
              <w:rPr>
                <w:sz w:val="20"/>
                <w:szCs w:val="20"/>
                <w:lang w:val="en-AU"/>
              </w:rPr>
              <w:t>Non-remote</w:t>
            </w:r>
          </w:p>
        </w:tc>
        <w:tc>
          <w:tcPr>
            <w:tcW w:w="1247" w:type="dxa"/>
            <w:vAlign w:val="center"/>
          </w:tcPr>
          <w:p w:rsidRPr="008D1918" w:rsidR="00055299" w:rsidP="00DF77A8" w:rsidRDefault="00055299" w14:paraId="0BB20DC3" w14:textId="77777777">
            <w:pPr>
              <w:keepNext/>
              <w:spacing w:before="60" w:after="60"/>
              <w:jc w:val="right"/>
              <w:rPr>
                <w:rFonts w:cs="Calibri"/>
                <w:color w:val="000000"/>
                <w:sz w:val="20"/>
                <w:szCs w:val="20"/>
                <w:lang w:val="en-AU" w:eastAsia="en-AU"/>
              </w:rPr>
            </w:pPr>
            <w:r w:rsidRPr="008D1918">
              <w:rPr>
                <w:sz w:val="20"/>
                <w:szCs w:val="20"/>
                <w:lang w:val="en-AU"/>
              </w:rPr>
              <w:t>357,743</w:t>
            </w:r>
          </w:p>
        </w:tc>
        <w:tc>
          <w:tcPr>
            <w:tcW w:w="1247" w:type="dxa"/>
            <w:vAlign w:val="center"/>
          </w:tcPr>
          <w:p w:rsidRPr="008D1918" w:rsidR="00055299" w:rsidP="00DF77A8" w:rsidRDefault="00055299" w14:paraId="48C6A2EB" w14:textId="77777777">
            <w:pPr>
              <w:keepNext/>
              <w:spacing w:before="60" w:after="60"/>
              <w:jc w:val="right"/>
              <w:rPr>
                <w:rFonts w:cs="Calibri"/>
                <w:color w:val="000000"/>
                <w:sz w:val="20"/>
                <w:szCs w:val="20"/>
                <w:lang w:val="en-AU" w:eastAsia="en-AU"/>
              </w:rPr>
            </w:pPr>
            <w:r w:rsidRPr="008D1918">
              <w:rPr>
                <w:sz w:val="20"/>
                <w:szCs w:val="20"/>
                <w:lang w:val="en-AU"/>
              </w:rPr>
              <w:t>392,657</w:t>
            </w:r>
          </w:p>
        </w:tc>
        <w:tc>
          <w:tcPr>
            <w:tcW w:w="1247" w:type="dxa"/>
            <w:vAlign w:val="center"/>
          </w:tcPr>
          <w:p w:rsidRPr="008D1918" w:rsidR="00055299" w:rsidP="00DF77A8" w:rsidRDefault="00055299" w14:paraId="0764EA3D" w14:textId="77777777">
            <w:pPr>
              <w:keepNext/>
              <w:spacing w:before="60" w:after="60"/>
              <w:jc w:val="right"/>
              <w:rPr>
                <w:rFonts w:cs="Calibri"/>
                <w:color w:val="000000"/>
                <w:sz w:val="20"/>
                <w:szCs w:val="20"/>
                <w:lang w:val="en-AU" w:eastAsia="en-AU"/>
              </w:rPr>
            </w:pPr>
            <w:r w:rsidRPr="008D1918">
              <w:rPr>
                <w:sz w:val="20"/>
                <w:szCs w:val="20"/>
                <w:lang w:val="en-AU"/>
              </w:rPr>
              <w:t>409,758</w:t>
            </w:r>
          </w:p>
        </w:tc>
        <w:tc>
          <w:tcPr>
            <w:tcW w:w="1247" w:type="dxa"/>
            <w:vAlign w:val="center"/>
          </w:tcPr>
          <w:p w:rsidRPr="008D1918" w:rsidR="00055299" w:rsidP="00DF77A8" w:rsidRDefault="00055299" w14:paraId="457AE9F8" w14:textId="77777777">
            <w:pPr>
              <w:keepNext/>
              <w:spacing w:before="60" w:after="60"/>
              <w:jc w:val="right"/>
              <w:rPr>
                <w:rFonts w:cs="Calibri"/>
                <w:color w:val="000000"/>
                <w:sz w:val="20"/>
                <w:szCs w:val="20"/>
                <w:lang w:val="en-AU" w:eastAsia="en-AU"/>
              </w:rPr>
            </w:pPr>
            <w:r w:rsidRPr="008D1918">
              <w:rPr>
                <w:sz w:val="20"/>
                <w:szCs w:val="20"/>
                <w:lang w:val="en-AU"/>
              </w:rPr>
              <w:t>440,190</w:t>
            </w:r>
          </w:p>
        </w:tc>
        <w:tc>
          <w:tcPr>
            <w:tcW w:w="1247" w:type="dxa"/>
            <w:vAlign w:val="center"/>
          </w:tcPr>
          <w:p w:rsidRPr="008D1918" w:rsidR="00055299" w:rsidP="00DF77A8" w:rsidRDefault="00055299" w14:paraId="176EB7B2" w14:textId="77777777">
            <w:pPr>
              <w:keepNext/>
              <w:spacing w:before="60" w:after="60"/>
              <w:jc w:val="right"/>
              <w:rPr>
                <w:rFonts w:cs="Calibri"/>
                <w:sz w:val="20"/>
                <w:szCs w:val="20"/>
                <w:lang w:val="en-AU" w:eastAsia="en-US"/>
              </w:rPr>
            </w:pPr>
            <w:r w:rsidRPr="008D1918">
              <w:rPr>
                <w:sz w:val="20"/>
                <w:szCs w:val="20"/>
                <w:lang w:val="en-AU"/>
              </w:rPr>
              <w:t>475,023</w:t>
            </w:r>
          </w:p>
        </w:tc>
        <w:tc>
          <w:tcPr>
            <w:tcW w:w="1247" w:type="dxa"/>
            <w:vAlign w:val="center"/>
          </w:tcPr>
          <w:p w:rsidRPr="008D1918" w:rsidR="00055299" w:rsidP="00DF77A8" w:rsidRDefault="00055299" w14:paraId="0D89F106" w14:textId="77777777">
            <w:pPr>
              <w:keepNext/>
              <w:spacing w:before="60" w:after="60"/>
              <w:jc w:val="right"/>
              <w:rPr>
                <w:rFonts w:cs="Calibri"/>
                <w:sz w:val="20"/>
                <w:szCs w:val="20"/>
                <w:lang w:val="en-AU"/>
              </w:rPr>
            </w:pPr>
            <w:r w:rsidRPr="008D1918">
              <w:rPr>
                <w:sz w:val="20"/>
                <w:szCs w:val="20"/>
                <w:lang w:val="en-AU"/>
              </w:rPr>
              <w:t>508,660</w:t>
            </w:r>
          </w:p>
        </w:tc>
      </w:tr>
      <w:tr w:rsidRPr="008D1918" w:rsidR="00055299" w:rsidTr="00DF77A8" w14:paraId="4FE4902C" w14:textId="77777777">
        <w:trPr>
          <w:trHeight w:val="397"/>
        </w:trPr>
        <w:tc>
          <w:tcPr>
            <w:tcW w:w="1588" w:type="dxa"/>
            <w:vAlign w:val="center"/>
          </w:tcPr>
          <w:p w:rsidRPr="008D1918" w:rsidR="00055299" w:rsidP="002B3625" w:rsidRDefault="00055299" w14:paraId="3A07F837" w14:textId="77777777">
            <w:pPr>
              <w:keepNext/>
              <w:spacing w:before="60" w:after="60"/>
              <w:rPr>
                <w:rFonts w:cs="Calibri"/>
                <w:sz w:val="20"/>
                <w:szCs w:val="20"/>
                <w:lang w:val="en-AU" w:eastAsia="en-AU"/>
              </w:rPr>
            </w:pPr>
            <w:r w:rsidRPr="008D1918">
              <w:rPr>
                <w:sz w:val="20"/>
                <w:szCs w:val="20"/>
                <w:lang w:val="en-AU"/>
              </w:rPr>
              <w:t>Remote</w:t>
            </w:r>
          </w:p>
        </w:tc>
        <w:tc>
          <w:tcPr>
            <w:tcW w:w="1247" w:type="dxa"/>
            <w:vAlign w:val="center"/>
          </w:tcPr>
          <w:p w:rsidRPr="008D1918" w:rsidR="00055299" w:rsidP="00DF77A8" w:rsidRDefault="00055299" w14:paraId="5ECA1E96" w14:textId="77777777">
            <w:pPr>
              <w:keepNext/>
              <w:spacing w:before="60" w:after="60"/>
              <w:jc w:val="right"/>
              <w:rPr>
                <w:rFonts w:cs="Calibri"/>
                <w:color w:val="000000"/>
                <w:sz w:val="20"/>
                <w:szCs w:val="20"/>
                <w:lang w:val="en-AU" w:eastAsia="en-AU"/>
              </w:rPr>
            </w:pPr>
            <w:r w:rsidRPr="008D1918">
              <w:rPr>
                <w:sz w:val="20"/>
                <w:szCs w:val="20"/>
                <w:lang w:val="en-AU"/>
              </w:rPr>
              <w:t>4,307</w:t>
            </w:r>
          </w:p>
        </w:tc>
        <w:tc>
          <w:tcPr>
            <w:tcW w:w="1247" w:type="dxa"/>
            <w:vAlign w:val="center"/>
          </w:tcPr>
          <w:p w:rsidRPr="008D1918" w:rsidR="00055299" w:rsidP="00DF77A8" w:rsidRDefault="00055299" w14:paraId="0B043AB6" w14:textId="77777777">
            <w:pPr>
              <w:keepNext/>
              <w:spacing w:before="60" w:after="60"/>
              <w:jc w:val="right"/>
              <w:rPr>
                <w:rFonts w:cs="Calibri"/>
                <w:color w:val="000000"/>
                <w:sz w:val="20"/>
                <w:szCs w:val="20"/>
                <w:lang w:val="en-AU" w:eastAsia="en-AU"/>
              </w:rPr>
            </w:pPr>
            <w:r w:rsidRPr="008D1918">
              <w:rPr>
                <w:sz w:val="20"/>
                <w:szCs w:val="20"/>
                <w:lang w:val="en-AU"/>
              </w:rPr>
              <w:t>4,707</w:t>
            </w:r>
          </w:p>
        </w:tc>
        <w:tc>
          <w:tcPr>
            <w:tcW w:w="1247" w:type="dxa"/>
            <w:vAlign w:val="center"/>
          </w:tcPr>
          <w:p w:rsidRPr="008D1918" w:rsidR="00055299" w:rsidP="00DF77A8" w:rsidRDefault="00055299" w14:paraId="3C4CFFE8" w14:textId="77777777">
            <w:pPr>
              <w:keepNext/>
              <w:spacing w:before="60" w:after="60"/>
              <w:jc w:val="right"/>
              <w:rPr>
                <w:rFonts w:cs="Calibri"/>
                <w:color w:val="000000"/>
                <w:sz w:val="20"/>
                <w:szCs w:val="20"/>
                <w:lang w:val="en-AU" w:eastAsia="en-AU"/>
              </w:rPr>
            </w:pPr>
            <w:r w:rsidRPr="008D1918">
              <w:rPr>
                <w:sz w:val="20"/>
                <w:szCs w:val="20"/>
                <w:lang w:val="en-AU"/>
              </w:rPr>
              <w:t>7,886</w:t>
            </w:r>
          </w:p>
        </w:tc>
        <w:tc>
          <w:tcPr>
            <w:tcW w:w="1247" w:type="dxa"/>
            <w:vAlign w:val="center"/>
          </w:tcPr>
          <w:p w:rsidRPr="008D1918" w:rsidR="00055299" w:rsidP="00DF77A8" w:rsidRDefault="00055299" w14:paraId="71022C10" w14:textId="77777777">
            <w:pPr>
              <w:keepNext/>
              <w:spacing w:before="60" w:after="60"/>
              <w:jc w:val="right"/>
              <w:rPr>
                <w:rFonts w:cs="Calibri"/>
                <w:color w:val="000000"/>
                <w:sz w:val="20"/>
                <w:szCs w:val="20"/>
                <w:lang w:val="en-AU" w:eastAsia="en-AU"/>
              </w:rPr>
            </w:pPr>
            <w:r w:rsidRPr="008D1918">
              <w:rPr>
                <w:sz w:val="20"/>
                <w:szCs w:val="20"/>
                <w:lang w:val="en-AU"/>
              </w:rPr>
              <w:t>8,098</w:t>
            </w:r>
          </w:p>
        </w:tc>
        <w:tc>
          <w:tcPr>
            <w:tcW w:w="1247" w:type="dxa"/>
            <w:vAlign w:val="center"/>
          </w:tcPr>
          <w:p w:rsidRPr="008D1918" w:rsidR="00055299" w:rsidP="00DF77A8" w:rsidRDefault="00055299" w14:paraId="7B615845" w14:textId="77777777">
            <w:pPr>
              <w:keepNext/>
              <w:spacing w:before="60" w:after="60"/>
              <w:jc w:val="right"/>
              <w:rPr>
                <w:rFonts w:cs="Calibri"/>
                <w:sz w:val="20"/>
                <w:szCs w:val="20"/>
                <w:lang w:val="en-AU" w:eastAsia="en-US"/>
              </w:rPr>
            </w:pPr>
            <w:r w:rsidRPr="008D1918">
              <w:rPr>
                <w:sz w:val="20"/>
                <w:szCs w:val="20"/>
                <w:lang w:val="en-AU"/>
              </w:rPr>
              <w:t>5,858</w:t>
            </w:r>
          </w:p>
        </w:tc>
        <w:tc>
          <w:tcPr>
            <w:tcW w:w="1247" w:type="dxa"/>
            <w:vAlign w:val="center"/>
          </w:tcPr>
          <w:p w:rsidRPr="008D1918" w:rsidR="00055299" w:rsidP="00DF77A8" w:rsidRDefault="00055299" w14:paraId="60845603" w14:textId="77777777">
            <w:pPr>
              <w:keepNext/>
              <w:spacing w:before="60" w:after="60"/>
              <w:jc w:val="right"/>
              <w:rPr>
                <w:rFonts w:cs="Calibri"/>
                <w:sz w:val="20"/>
                <w:szCs w:val="20"/>
                <w:lang w:val="en-AU"/>
              </w:rPr>
            </w:pPr>
            <w:r w:rsidRPr="008D1918">
              <w:rPr>
                <w:sz w:val="20"/>
                <w:szCs w:val="20"/>
                <w:lang w:val="en-AU"/>
              </w:rPr>
              <w:t>6,256</w:t>
            </w:r>
          </w:p>
        </w:tc>
      </w:tr>
      <w:tr w:rsidRPr="008D1918" w:rsidR="00A238C6" w:rsidTr="00DF77A8" w14:paraId="0894C664" w14:textId="77777777">
        <w:trPr>
          <w:cnfStyle w:val="000000100000" w:firstRow="0" w:lastRow="0" w:firstColumn="0" w:lastColumn="0" w:oddVBand="0" w:evenVBand="0" w:oddHBand="1" w:evenHBand="0" w:firstRowFirstColumn="0" w:firstRowLastColumn="0" w:lastRowFirstColumn="0" w:lastRowLastColumn="0"/>
          <w:trHeight w:val="397"/>
        </w:trPr>
        <w:tc>
          <w:tcPr>
            <w:tcW w:w="1588" w:type="dxa"/>
            <w:vAlign w:val="center"/>
          </w:tcPr>
          <w:p w:rsidRPr="008D1918" w:rsidR="00055299" w:rsidP="002B3625" w:rsidRDefault="00055299" w14:paraId="0E7BD515" w14:textId="77777777">
            <w:pPr>
              <w:keepNext/>
              <w:spacing w:before="60" w:after="60"/>
              <w:rPr>
                <w:b/>
                <w:bCs/>
                <w:sz w:val="20"/>
                <w:szCs w:val="20"/>
                <w:lang w:val="en-AU"/>
              </w:rPr>
            </w:pPr>
            <w:r w:rsidRPr="008D1918">
              <w:rPr>
                <w:sz w:val="20"/>
                <w:szCs w:val="20"/>
                <w:lang w:val="en-AU"/>
              </w:rPr>
              <w:t>Very remote</w:t>
            </w:r>
          </w:p>
        </w:tc>
        <w:tc>
          <w:tcPr>
            <w:tcW w:w="1247" w:type="dxa"/>
            <w:vAlign w:val="center"/>
          </w:tcPr>
          <w:p w:rsidRPr="008D1918" w:rsidR="00055299" w:rsidP="00DF77A8" w:rsidRDefault="00055299" w14:paraId="3FAA4C16" w14:textId="77777777">
            <w:pPr>
              <w:keepNext/>
              <w:spacing w:before="60" w:after="60"/>
              <w:jc w:val="right"/>
              <w:rPr>
                <w:b/>
                <w:bCs/>
                <w:sz w:val="20"/>
                <w:szCs w:val="20"/>
                <w:lang w:val="en-AU"/>
              </w:rPr>
            </w:pPr>
            <w:r w:rsidRPr="008D1918">
              <w:rPr>
                <w:sz w:val="20"/>
                <w:szCs w:val="20"/>
                <w:lang w:val="en-AU"/>
              </w:rPr>
              <w:t>2,972</w:t>
            </w:r>
          </w:p>
        </w:tc>
        <w:tc>
          <w:tcPr>
            <w:tcW w:w="1247" w:type="dxa"/>
            <w:vAlign w:val="center"/>
          </w:tcPr>
          <w:p w:rsidRPr="008D1918" w:rsidR="00055299" w:rsidP="00DF77A8" w:rsidRDefault="00055299" w14:paraId="0335D072" w14:textId="77777777">
            <w:pPr>
              <w:keepNext/>
              <w:spacing w:before="60" w:after="60"/>
              <w:jc w:val="right"/>
              <w:rPr>
                <w:b/>
                <w:bCs/>
                <w:sz w:val="20"/>
                <w:szCs w:val="20"/>
                <w:lang w:val="en-AU"/>
              </w:rPr>
            </w:pPr>
            <w:r w:rsidRPr="008D1918">
              <w:rPr>
                <w:sz w:val="20"/>
                <w:szCs w:val="20"/>
                <w:lang w:val="en-AU"/>
              </w:rPr>
              <w:t>3,203</w:t>
            </w:r>
          </w:p>
        </w:tc>
        <w:tc>
          <w:tcPr>
            <w:tcW w:w="1247" w:type="dxa"/>
            <w:vAlign w:val="center"/>
          </w:tcPr>
          <w:p w:rsidRPr="008D1918" w:rsidR="00055299" w:rsidP="00DF77A8" w:rsidRDefault="00055299" w14:paraId="428A60D5" w14:textId="77777777">
            <w:pPr>
              <w:keepNext/>
              <w:spacing w:before="60" w:after="60"/>
              <w:jc w:val="right"/>
              <w:rPr>
                <w:b/>
                <w:bCs/>
                <w:sz w:val="20"/>
                <w:szCs w:val="20"/>
                <w:lang w:val="en-AU"/>
              </w:rPr>
            </w:pPr>
            <w:r w:rsidRPr="008D1918">
              <w:rPr>
                <w:sz w:val="20"/>
                <w:szCs w:val="20"/>
                <w:lang w:val="en-AU"/>
              </w:rPr>
              <w:t>3,518</w:t>
            </w:r>
          </w:p>
        </w:tc>
        <w:tc>
          <w:tcPr>
            <w:tcW w:w="1247" w:type="dxa"/>
            <w:vAlign w:val="center"/>
          </w:tcPr>
          <w:p w:rsidRPr="008D1918" w:rsidR="00055299" w:rsidP="00DF77A8" w:rsidRDefault="00055299" w14:paraId="51B1A6CB" w14:textId="77777777">
            <w:pPr>
              <w:keepNext/>
              <w:spacing w:before="60" w:after="60"/>
              <w:jc w:val="right"/>
              <w:rPr>
                <w:b/>
                <w:bCs/>
                <w:sz w:val="20"/>
                <w:szCs w:val="20"/>
                <w:lang w:val="en-AU"/>
              </w:rPr>
            </w:pPr>
            <w:r w:rsidRPr="008D1918">
              <w:rPr>
                <w:sz w:val="20"/>
                <w:szCs w:val="20"/>
                <w:lang w:val="en-AU"/>
              </w:rPr>
              <w:t>3,767</w:t>
            </w:r>
          </w:p>
        </w:tc>
        <w:tc>
          <w:tcPr>
            <w:tcW w:w="1247" w:type="dxa"/>
            <w:vAlign w:val="center"/>
          </w:tcPr>
          <w:p w:rsidRPr="008D1918" w:rsidR="00055299" w:rsidP="00DF77A8" w:rsidRDefault="00055299" w14:paraId="27589B4E" w14:textId="77777777">
            <w:pPr>
              <w:keepNext/>
              <w:spacing w:before="60" w:after="60"/>
              <w:jc w:val="right"/>
              <w:rPr>
                <w:b/>
                <w:bCs/>
                <w:sz w:val="20"/>
                <w:szCs w:val="20"/>
                <w:lang w:val="en-AU"/>
              </w:rPr>
            </w:pPr>
            <w:r w:rsidRPr="008D1918">
              <w:rPr>
                <w:sz w:val="20"/>
                <w:szCs w:val="20"/>
                <w:lang w:val="en-AU"/>
              </w:rPr>
              <w:t>3,974</w:t>
            </w:r>
          </w:p>
        </w:tc>
        <w:tc>
          <w:tcPr>
            <w:tcW w:w="1247" w:type="dxa"/>
            <w:vAlign w:val="center"/>
          </w:tcPr>
          <w:p w:rsidRPr="008D1918" w:rsidR="00055299" w:rsidP="00DF77A8" w:rsidRDefault="00055299" w14:paraId="0D4AC5D9" w14:textId="77777777">
            <w:pPr>
              <w:keepNext/>
              <w:spacing w:before="60" w:after="60"/>
              <w:jc w:val="right"/>
              <w:rPr>
                <w:b/>
                <w:bCs/>
                <w:sz w:val="20"/>
                <w:szCs w:val="20"/>
                <w:lang w:val="en-AU"/>
              </w:rPr>
            </w:pPr>
            <w:r w:rsidRPr="008D1918">
              <w:rPr>
                <w:sz w:val="20"/>
                <w:szCs w:val="20"/>
                <w:lang w:val="en-AU"/>
              </w:rPr>
              <w:t>4,293</w:t>
            </w:r>
          </w:p>
        </w:tc>
      </w:tr>
      <w:tr w:rsidRPr="008D1918" w:rsidR="00055299" w:rsidTr="00DF77A8" w14:paraId="34CDC4BC" w14:textId="77777777">
        <w:trPr>
          <w:trHeight w:val="397"/>
        </w:trPr>
        <w:tc>
          <w:tcPr>
            <w:tcW w:w="1588" w:type="dxa"/>
            <w:vAlign w:val="center"/>
          </w:tcPr>
          <w:p w:rsidRPr="008D1918" w:rsidR="00055299" w:rsidP="002B3625" w:rsidRDefault="00055299" w14:paraId="4E8B926A" w14:textId="77777777">
            <w:pPr>
              <w:keepNext/>
              <w:spacing w:before="60" w:after="60"/>
              <w:rPr>
                <w:rFonts w:cs="Calibri"/>
                <w:b/>
                <w:bCs/>
                <w:sz w:val="20"/>
                <w:szCs w:val="20"/>
                <w:lang w:val="en-AU" w:eastAsia="en-AU"/>
              </w:rPr>
            </w:pPr>
            <w:r w:rsidRPr="008D1918">
              <w:rPr>
                <w:b/>
                <w:bCs/>
                <w:sz w:val="20"/>
                <w:szCs w:val="20"/>
                <w:lang w:val="en-AU"/>
              </w:rPr>
              <w:t>Overall</w:t>
            </w:r>
          </w:p>
        </w:tc>
        <w:tc>
          <w:tcPr>
            <w:tcW w:w="1247" w:type="dxa"/>
            <w:vAlign w:val="center"/>
          </w:tcPr>
          <w:p w:rsidRPr="008D1918" w:rsidR="00055299" w:rsidP="00DF77A8" w:rsidRDefault="00055299" w14:paraId="5B7CCD2A" w14:textId="77777777">
            <w:pPr>
              <w:keepNext/>
              <w:spacing w:before="60" w:after="60"/>
              <w:jc w:val="right"/>
              <w:rPr>
                <w:rFonts w:cs="Calibri"/>
                <w:b/>
                <w:bCs/>
                <w:sz w:val="20"/>
                <w:szCs w:val="20"/>
                <w:lang w:val="en-AU"/>
              </w:rPr>
            </w:pPr>
            <w:r w:rsidRPr="008D1918">
              <w:rPr>
                <w:b/>
                <w:bCs/>
                <w:sz w:val="20"/>
                <w:szCs w:val="20"/>
                <w:lang w:val="en-AU"/>
              </w:rPr>
              <w:t>365,053</w:t>
            </w:r>
          </w:p>
        </w:tc>
        <w:tc>
          <w:tcPr>
            <w:tcW w:w="1247" w:type="dxa"/>
            <w:vAlign w:val="center"/>
          </w:tcPr>
          <w:p w:rsidRPr="008D1918" w:rsidR="00055299" w:rsidP="00DF77A8" w:rsidRDefault="00055299" w14:paraId="5DD7AA3C" w14:textId="77777777">
            <w:pPr>
              <w:keepNext/>
              <w:spacing w:before="60" w:after="60"/>
              <w:jc w:val="right"/>
              <w:rPr>
                <w:rFonts w:cs="Calibri"/>
                <w:b/>
                <w:bCs/>
                <w:sz w:val="20"/>
                <w:szCs w:val="20"/>
                <w:lang w:val="en-AU"/>
              </w:rPr>
            </w:pPr>
            <w:r w:rsidRPr="008D1918">
              <w:rPr>
                <w:b/>
                <w:bCs/>
                <w:sz w:val="20"/>
                <w:szCs w:val="20"/>
                <w:lang w:val="en-AU"/>
              </w:rPr>
              <w:t>400,403</w:t>
            </w:r>
          </w:p>
        </w:tc>
        <w:tc>
          <w:tcPr>
            <w:tcW w:w="1247" w:type="dxa"/>
            <w:vAlign w:val="center"/>
          </w:tcPr>
          <w:p w:rsidRPr="008D1918" w:rsidR="00055299" w:rsidP="00DF77A8" w:rsidRDefault="00055299" w14:paraId="35AAA1CE" w14:textId="77777777">
            <w:pPr>
              <w:keepNext/>
              <w:spacing w:before="60" w:after="60"/>
              <w:jc w:val="right"/>
              <w:rPr>
                <w:rFonts w:cs="Calibri"/>
                <w:b/>
                <w:bCs/>
                <w:sz w:val="20"/>
                <w:szCs w:val="20"/>
                <w:lang w:val="en-AU"/>
              </w:rPr>
            </w:pPr>
            <w:r w:rsidRPr="008D1918">
              <w:rPr>
                <w:b/>
                <w:bCs/>
                <w:sz w:val="20"/>
                <w:szCs w:val="20"/>
                <w:lang w:val="en-AU"/>
              </w:rPr>
              <w:t>418,009</w:t>
            </w:r>
          </w:p>
        </w:tc>
        <w:tc>
          <w:tcPr>
            <w:tcW w:w="1247" w:type="dxa"/>
            <w:vAlign w:val="center"/>
          </w:tcPr>
          <w:p w:rsidRPr="008D1918" w:rsidR="00055299" w:rsidP="00DF77A8" w:rsidRDefault="00055299" w14:paraId="6E0E25CA" w14:textId="77777777">
            <w:pPr>
              <w:keepNext/>
              <w:spacing w:before="60" w:after="60"/>
              <w:jc w:val="right"/>
              <w:rPr>
                <w:rFonts w:cs="Calibri"/>
                <w:b/>
                <w:bCs/>
                <w:sz w:val="20"/>
                <w:szCs w:val="20"/>
                <w:lang w:val="en-AU"/>
              </w:rPr>
            </w:pPr>
            <w:r w:rsidRPr="008D1918">
              <w:rPr>
                <w:b/>
                <w:bCs/>
                <w:sz w:val="20"/>
                <w:szCs w:val="20"/>
                <w:lang w:val="en-AU"/>
              </w:rPr>
              <w:t>448,951</w:t>
            </w:r>
          </w:p>
        </w:tc>
        <w:tc>
          <w:tcPr>
            <w:tcW w:w="1247" w:type="dxa"/>
            <w:vAlign w:val="center"/>
          </w:tcPr>
          <w:p w:rsidRPr="008D1918" w:rsidR="00055299" w:rsidP="00DF77A8" w:rsidRDefault="00055299" w14:paraId="2FCC9AF0" w14:textId="77777777">
            <w:pPr>
              <w:keepNext/>
              <w:spacing w:before="60" w:after="60"/>
              <w:jc w:val="right"/>
              <w:rPr>
                <w:rFonts w:cs="Calibri"/>
                <w:b/>
                <w:bCs/>
                <w:sz w:val="20"/>
                <w:szCs w:val="20"/>
                <w:lang w:val="en-AU"/>
              </w:rPr>
            </w:pPr>
            <w:r w:rsidRPr="008D1918">
              <w:rPr>
                <w:b/>
                <w:bCs/>
                <w:sz w:val="20"/>
                <w:szCs w:val="20"/>
                <w:lang w:val="en-AU"/>
              </w:rPr>
              <w:t>484,278</w:t>
            </w:r>
          </w:p>
        </w:tc>
        <w:tc>
          <w:tcPr>
            <w:tcW w:w="1247" w:type="dxa"/>
            <w:vAlign w:val="center"/>
          </w:tcPr>
          <w:p w:rsidRPr="008D1918" w:rsidR="00055299" w:rsidP="00DF77A8" w:rsidRDefault="00055299" w14:paraId="5760BA09" w14:textId="77777777">
            <w:pPr>
              <w:keepNext/>
              <w:spacing w:before="60" w:after="60"/>
              <w:jc w:val="right"/>
              <w:rPr>
                <w:rFonts w:cs="Calibri"/>
                <w:b/>
                <w:bCs/>
                <w:sz w:val="20"/>
                <w:szCs w:val="20"/>
                <w:lang w:val="en-AU"/>
              </w:rPr>
            </w:pPr>
            <w:r w:rsidRPr="008D1918">
              <w:rPr>
                <w:b/>
                <w:bCs/>
                <w:sz w:val="20"/>
                <w:szCs w:val="20"/>
                <w:lang w:val="en-AU"/>
              </w:rPr>
              <w:t>518,548</w:t>
            </w:r>
          </w:p>
        </w:tc>
      </w:tr>
    </w:tbl>
    <w:p w:rsidRPr="008D1918" w:rsidR="00055299" w:rsidP="002B3625" w:rsidRDefault="00055299" w14:paraId="5501357D" w14:textId="77777777">
      <w:pPr>
        <w:keepNext/>
        <w:spacing w:before="120" w:after="60" w:line="240" w:lineRule="atLeast"/>
        <w:rPr>
          <w:b/>
          <w:sz w:val="20"/>
          <w:szCs w:val="20"/>
          <w:lang w:val="en-AU"/>
        </w:rPr>
      </w:pPr>
      <w:r w:rsidRPr="008D1918">
        <w:rPr>
          <w:b/>
          <w:sz w:val="20"/>
          <w:szCs w:val="20"/>
          <w:lang w:val="en-AU"/>
        </w:rPr>
        <w:t>Source: NDIS internal administrative data.</w:t>
      </w:r>
    </w:p>
    <w:p w:rsidRPr="008D1918" w:rsidR="00055299" w:rsidP="00933118" w:rsidRDefault="00055299" w14:paraId="2A6DEA68" w14:textId="77777777">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Note: Participants can be counted more than once if they have moved locations. Participants with missing remoteness are not shown in the table above but are included in the overall results.</w:t>
      </w:r>
    </w:p>
    <w:p w:rsidRPr="008D1918" w:rsidR="00055299" w:rsidP="00041468" w:rsidRDefault="00055299" w14:paraId="55C66422" w14:textId="77777777">
      <w:pPr>
        <w:pStyle w:val="StyleStyle112pt"/>
      </w:pPr>
      <w:bookmarkStart w:name="_Toc223345441" w:id="1834"/>
      <w:bookmarkStart w:name="_Toc223428516" w:id="1835"/>
      <w:bookmarkStart w:name="_Toc223445984" w:id="1836"/>
      <w:bookmarkStart w:name="_Toc223539752" w:id="1837"/>
      <w:bookmarkStart w:name="_Toc223539965" w:id="1838"/>
      <w:bookmarkStart w:name="_Toc223540433" w:id="1839"/>
      <w:bookmarkStart w:name="_Toc223540649" w:id="1840"/>
      <w:bookmarkStart w:name="_Toc223542189" w:id="1841"/>
      <w:bookmarkStart w:name="_Toc223604375" w:id="1842"/>
      <w:bookmarkStart w:name="_Toc223604586" w:id="1843"/>
      <w:bookmarkStart w:name="_Toc223604818" w:id="1844"/>
      <w:bookmarkStart w:name="_Toc223618672" w:id="1845"/>
      <w:bookmarkStart w:name="_Toc223702901" w:id="1846"/>
      <w:bookmarkStart w:name="_Toc227318784" w:id="1847"/>
      <w:bookmarkStart w:name="_Toc227337152" w:id="1848"/>
      <w:r w:rsidRPr="008D1918">
        <w:t>Providers</w:t>
      </w:r>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p>
    <w:p w:rsidRPr="008D1918" w:rsidR="00055299" w:rsidRDefault="00055299" w14:paraId="36FC49B7" w14:textId="7FFEFABA">
      <w:pPr>
        <w:rPr>
          <w:lang w:val="en-AU"/>
        </w:rPr>
      </w:pPr>
      <w:bookmarkStart w:name="_Ref195636673" w:id="1849"/>
      <w:r w:rsidRPr="008D1918">
        <w:rPr>
          <w:lang w:val="en-AU"/>
        </w:rPr>
        <w:t xml:space="preserve">While participant numbers have grown substantially, the number of active registered plan managers has remained </w:t>
      </w:r>
      <w:r w:rsidRPr="008D1918" w:rsidR="00AA5C08">
        <w:rPr>
          <w:lang w:val="en-AU"/>
        </w:rPr>
        <w:t>broadly stable over the period.</w:t>
      </w:r>
      <w:r w:rsidRPr="008D1918">
        <w:rPr>
          <w:lang w:val="en-AU"/>
        </w:rPr>
        <w:t xml:space="preserve"> Between January 2023 and December 2025, </w:t>
      </w:r>
      <w:r w:rsidRPr="008D1918" w:rsidR="00AA5C08">
        <w:rPr>
          <w:lang w:val="en-AU"/>
        </w:rPr>
        <w:t xml:space="preserve">the number of </w:t>
      </w:r>
      <w:r w:rsidRPr="008D1918">
        <w:rPr>
          <w:lang w:val="en-AU"/>
        </w:rPr>
        <w:t xml:space="preserve">registered plan </w:t>
      </w:r>
      <w:r w:rsidRPr="008D1918" w:rsidR="00AA5C08">
        <w:rPr>
          <w:lang w:val="en-AU"/>
        </w:rPr>
        <w:t>managers fluctuated within a narrow range, indicating little net change over time</w:t>
      </w:r>
      <w:r w:rsidRPr="008D1918" w:rsidR="007B527C">
        <w:rPr>
          <w:lang w:val="en-AU"/>
        </w:rPr>
        <w:t xml:space="preserve"> </w:t>
      </w:r>
      <w:r w:rsidRPr="008D1918" w:rsidR="002B12C1">
        <w:rPr>
          <w:lang w:val="en-AU"/>
        </w:rPr>
        <w:t>(</w:t>
      </w:r>
      <w:r w:rsidRPr="008D1918" w:rsidR="002B12C1">
        <w:rPr>
          <w:lang w:val="en-AU"/>
        </w:rPr>
        <w:fldChar w:fldCharType="begin"/>
      </w:r>
      <w:r w:rsidRPr="008D1918" w:rsidR="002B12C1">
        <w:rPr>
          <w:lang w:val="en-AU"/>
        </w:rPr>
        <w:instrText xml:space="preserve"> REF _Ref223683013 \h </w:instrText>
      </w:r>
      <w:r w:rsidR="008D1918">
        <w:rPr>
          <w:lang w:val="en-AU"/>
        </w:rPr>
        <w:instrText xml:space="preserve"> \* MERGEFORMAT </w:instrText>
      </w:r>
      <w:r w:rsidRPr="008D1918" w:rsidR="002B12C1">
        <w:rPr>
          <w:lang w:val="en-AU"/>
        </w:rPr>
      </w:r>
      <w:r w:rsidRPr="008D1918" w:rsidR="002B12C1">
        <w:rPr>
          <w:lang w:val="en-AU"/>
        </w:rPr>
        <w:fldChar w:fldCharType="separate"/>
      </w:r>
      <w:r w:rsidRPr="008D1918" w:rsidR="008F56A2">
        <w:t xml:space="preserve">Figure </w:t>
      </w:r>
      <w:r w:rsidR="008F56A2">
        <w:rPr>
          <w:noProof/>
        </w:rPr>
        <w:t>43</w:t>
      </w:r>
      <w:r w:rsidRPr="008D1918" w:rsidR="002B12C1">
        <w:rPr>
          <w:lang w:val="en-AU"/>
        </w:rPr>
        <w:fldChar w:fldCharType="end"/>
      </w:r>
      <w:r w:rsidRPr="008D1918" w:rsidR="002B12C1">
        <w:rPr>
          <w:lang w:val="en-AU"/>
        </w:rPr>
        <w:t>)</w:t>
      </w:r>
      <w:r w:rsidRPr="008D1918" w:rsidR="00AA5C08">
        <w:rPr>
          <w:lang w:val="en-AU"/>
        </w:rPr>
        <w:t>.</w:t>
      </w:r>
      <w:r w:rsidRPr="008D1918">
        <w:rPr>
          <w:lang w:val="en-AU"/>
        </w:rPr>
        <w:t xml:space="preserve"> </w:t>
      </w:r>
    </w:p>
    <w:p w:rsidRPr="008D1918" w:rsidR="00055299" w:rsidRDefault="00055299" w14:paraId="07A4B166" w14:textId="2529BAE9">
      <w:pPr>
        <w:rPr>
          <w:i/>
          <w:iCs/>
          <w:lang w:val="en-AU"/>
        </w:rPr>
      </w:pPr>
      <w:r w:rsidRPr="008D1918">
        <w:rPr>
          <w:lang w:val="en-AU"/>
        </w:rPr>
        <w:t xml:space="preserve">This stability is consistent with the market structure described in the </w:t>
      </w:r>
      <w:r w:rsidR="00DC64EE">
        <w:rPr>
          <w:lang w:val="en-AU"/>
        </w:rPr>
        <w:t>previous</w:t>
      </w:r>
      <w:r w:rsidRPr="008D1918">
        <w:rPr>
          <w:lang w:val="en-AU"/>
        </w:rPr>
        <w:t xml:space="preserve"> APR. The fixed monthly fee favours providers that operate at scale, and the market is consolidated in that direction. The reduction in smaller provider numbers has been offset by larger providers absorbing additional participants. </w:t>
      </w:r>
    </w:p>
    <w:p w:rsidRPr="008D1918" w:rsidR="00055299" w:rsidP="003D3C4D" w:rsidRDefault="003D3C4D" w14:paraId="54364735" w14:textId="6C6C193F">
      <w:pPr>
        <w:pStyle w:val="Caption"/>
      </w:pPr>
      <w:bookmarkStart w:name="_Ref223683013" w:id="1850"/>
      <w:bookmarkEnd w:id="1849"/>
      <w:r w:rsidRPr="008D1918">
        <w:t xml:space="preserve">Figure </w:t>
      </w:r>
      <w:r>
        <w:fldChar w:fldCharType="begin"/>
      </w:r>
      <w:r>
        <w:instrText>SEQ Figure \* ARABIC</w:instrText>
      </w:r>
      <w:r>
        <w:fldChar w:fldCharType="separate"/>
      </w:r>
      <w:r w:rsidR="008F56A2">
        <w:rPr>
          <w:noProof/>
        </w:rPr>
        <w:t>43</w:t>
      </w:r>
      <w:r>
        <w:fldChar w:fldCharType="end"/>
      </w:r>
      <w:bookmarkEnd w:id="1850"/>
      <w:r w:rsidRPr="008D1918" w:rsidR="00055299">
        <w:t>: Distribution of participants and providers with a plan manager, January 2023 to December 2025</w:t>
      </w:r>
    </w:p>
    <w:p w:rsidRPr="008D1918" w:rsidR="00055299" w:rsidP="002B3625" w:rsidRDefault="005E1CEF" w14:paraId="41569C16" w14:textId="7EFCECEA">
      <w:pPr>
        <w:spacing w:after="360"/>
        <w:rPr>
          <w:lang w:val="en-AU"/>
        </w:rPr>
      </w:pPr>
      <w:r w:rsidRPr="008D1918">
        <w:rPr>
          <w:noProof/>
          <w:lang w:val="en-AU"/>
        </w:rPr>
        <w:drawing>
          <wp:inline distT="0" distB="0" distL="0" distR="0" wp14:anchorId="313EA5D8" wp14:editId="3C5835E9">
            <wp:extent cx="5305425" cy="3078290"/>
            <wp:effectExtent l="0" t="0" r="0" b="8255"/>
            <wp:docPr id="1145523397" name="Picture 6" descr="Figure 43: A bar and line graph showing the distribution of participants and providers with a plan manager, from January 2023 to December 2025. &#10;The graph shows that participants using plan mangers has increased from 365,053 in January 2023 to 518,548 in December 2025. The number of providers has remained steady during this period, varying from 1,608 In 2023 to 1,616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23397" name="Picture 6" descr="Figure 43: A bar and line graph showing the distribution of participants and providers with a plan manager, from January 2023 to December 2025. &#10;The graph shows that participants using plan mangers has increased from 365,053 in January 2023 to 518,548 in December 2025. The number of providers has remained steady during this period, varying from 1,608 In 2023 to 1,616 in 202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15788" cy="3084303"/>
                    </a:xfrm>
                    <a:prstGeom prst="rect">
                      <a:avLst/>
                    </a:prstGeom>
                    <a:noFill/>
                  </pic:spPr>
                </pic:pic>
              </a:graphicData>
            </a:graphic>
          </wp:inline>
        </w:drawing>
      </w:r>
    </w:p>
    <w:p w:rsidRPr="008D1918" w:rsidR="00055299" w:rsidRDefault="00055299" w14:paraId="32AEDE0C" w14:textId="0AF36095">
      <w:pPr>
        <w:rPr>
          <w:rFonts w:eastAsiaTheme="minorEastAsia" w:cstheme="minorBidi"/>
          <w:color w:val="000000" w:themeColor="accent6"/>
          <w:lang w:val="en-AU"/>
        </w:rPr>
      </w:pPr>
      <w:r w:rsidRPr="008D1918">
        <w:rPr>
          <w:lang w:val="en-AU"/>
        </w:rPr>
        <w:t xml:space="preserve">The </w:t>
      </w:r>
      <w:r w:rsidRPr="008D1918" w:rsidR="00186248">
        <w:rPr>
          <w:lang w:val="en-AU"/>
        </w:rPr>
        <w:t>5</w:t>
      </w:r>
      <w:r w:rsidRPr="008D1918">
        <w:rPr>
          <w:lang w:val="en-AU"/>
        </w:rPr>
        <w:t xml:space="preserve"> largest plan managers processed a significant and stable portion of total payments throughout the </w:t>
      </w:r>
      <w:r w:rsidRPr="008D1918" w:rsidR="00186248">
        <w:rPr>
          <w:lang w:val="en-AU"/>
        </w:rPr>
        <w:t>3</w:t>
      </w:r>
      <w:r w:rsidRPr="008D1918">
        <w:rPr>
          <w:lang w:val="en-AU"/>
        </w:rPr>
        <w:t>-year period. The composition of this group has remained unchanged since the first half of 2023, indicating a mature market where the largest providers have established durable positions (</w:t>
      </w:r>
      <w:r w:rsidRPr="008D1918" w:rsidR="003D3C4D">
        <w:rPr>
          <w:lang w:val="en-AU"/>
        </w:rPr>
        <w:fldChar w:fldCharType="begin"/>
      </w:r>
      <w:r w:rsidRPr="008D1918" w:rsidR="003D3C4D">
        <w:rPr>
          <w:lang w:val="en-AU"/>
        </w:rPr>
        <w:instrText xml:space="preserve"> REF _Ref195636682 \h </w:instrText>
      </w:r>
      <w:r w:rsidRPr="008D1918" w:rsidR="00762DF8">
        <w:rPr>
          <w:lang w:val="en-AU"/>
        </w:rPr>
        <w:instrText xml:space="preserve"> \* MERGEFORMAT </w:instrText>
      </w:r>
      <w:r w:rsidRPr="008D1918" w:rsidR="003D3C4D">
        <w:rPr>
          <w:lang w:val="en-AU"/>
        </w:rPr>
      </w:r>
      <w:r w:rsidRPr="008D1918" w:rsidR="003D3C4D">
        <w:rPr>
          <w:lang w:val="en-AU"/>
        </w:rPr>
        <w:fldChar w:fldCharType="separate"/>
      </w:r>
      <w:r w:rsidRPr="008F56A2" w:rsidR="008F56A2">
        <w:rPr>
          <w:lang w:val="en-AU"/>
        </w:rPr>
        <w:t>Figure</w:t>
      </w:r>
      <w:r w:rsidRPr="008D1918" w:rsidR="008F56A2">
        <w:t xml:space="preserve"> </w:t>
      </w:r>
      <w:r w:rsidR="008F56A2">
        <w:rPr>
          <w:noProof/>
        </w:rPr>
        <w:t>44</w:t>
      </w:r>
      <w:r w:rsidRPr="008D1918" w:rsidR="003D3C4D">
        <w:rPr>
          <w:lang w:val="en-AU"/>
        </w:rPr>
        <w:fldChar w:fldCharType="end"/>
      </w:r>
      <w:r w:rsidRPr="008D1918">
        <w:rPr>
          <w:lang w:val="en-AU"/>
        </w:rPr>
        <w:t>).</w:t>
      </w:r>
    </w:p>
    <w:p w:rsidRPr="008D1918" w:rsidR="00055299" w:rsidP="003D3C4D" w:rsidRDefault="003D3C4D" w14:paraId="798934F8" w14:textId="16F81B26">
      <w:pPr>
        <w:pStyle w:val="Caption"/>
      </w:pPr>
      <w:bookmarkStart w:name="_Ref195636682" w:id="1851"/>
      <w:r w:rsidRPr="008D1918">
        <w:t xml:space="preserve">Figure </w:t>
      </w:r>
      <w:r>
        <w:fldChar w:fldCharType="begin"/>
      </w:r>
      <w:r>
        <w:instrText>SEQ Figure \* ARABIC</w:instrText>
      </w:r>
      <w:r>
        <w:fldChar w:fldCharType="separate"/>
      </w:r>
      <w:r w:rsidR="008F56A2">
        <w:rPr>
          <w:noProof/>
        </w:rPr>
        <w:t>44</w:t>
      </w:r>
      <w:r>
        <w:fldChar w:fldCharType="end"/>
      </w:r>
      <w:bookmarkEnd w:id="1851"/>
      <w:r w:rsidRPr="008D1918" w:rsidR="00055299">
        <w:t xml:space="preserve">: Scheme expenditure for largest </w:t>
      </w:r>
      <w:r w:rsidRPr="008D1918" w:rsidR="00186248">
        <w:t xml:space="preserve">5 </w:t>
      </w:r>
      <w:r w:rsidRPr="008D1918" w:rsidR="00055299">
        <w:t>plan managers (based on total payments processed), January 2023 to December 2025</w:t>
      </w:r>
    </w:p>
    <w:p w:rsidRPr="008D1918" w:rsidR="00055299" w:rsidRDefault="00055299" w14:paraId="1FC1FA4B" w14:textId="77777777">
      <w:pPr>
        <w:spacing w:line="276" w:lineRule="auto"/>
        <w:jc w:val="center"/>
        <w:rPr>
          <w:rFonts w:cs="Arial" w:eastAsiaTheme="minorHAnsi"/>
          <w:szCs w:val="22"/>
          <w:lang w:val="en-AU" w:eastAsia="en-US" w:bidi="th-TH"/>
        </w:rPr>
      </w:pPr>
      <w:r w:rsidRPr="008D1918">
        <w:rPr>
          <w:noProof/>
          <w:lang w:val="en-AU"/>
        </w:rPr>
        <w:drawing>
          <wp:inline distT="0" distB="0" distL="0" distR="0" wp14:anchorId="0454641A" wp14:editId="569098EC">
            <wp:extent cx="5580000" cy="3402333"/>
            <wp:effectExtent l="0" t="0" r="1905" b="7620"/>
            <wp:docPr id="840456528" name="Picture 16" descr="Figure 44: A stacked bar graph showing scheme expenditure for the largest five plan managers (based on total payments processed), from January 2023 to December 2025.&#10;This graph shows that since 2023 the top five plan managers have remained unchanged, retaining a similar proportion of market share. My Plan Manager remains the largest claimant with over 1 billion in claims, followed by Plan Management Partners, NIB Thrive, National Disability Support Partners and Integrated Ca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56528" name="Picture 16" descr="Figure 44: A stacked bar graph showing scheme expenditure for the largest five plan managers (based on total payments processed), from January 2023 to December 2025.&#10;This graph shows that since 2023 the top five plan managers have remained unchanged, retaining a similar proportion of market share. My Plan Manager remains the largest claimant with over 1 billion in claims, followed by Plan Management Partners, NIB Thrive, National Disability Support Partners and Integrated Care.&#10;"/>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5580000" cy="3402333"/>
                    </a:xfrm>
                    <a:prstGeom prst="rect">
                      <a:avLst/>
                    </a:prstGeom>
                    <a:noFill/>
                  </pic:spPr>
                </pic:pic>
              </a:graphicData>
            </a:graphic>
          </wp:inline>
        </w:drawing>
      </w:r>
    </w:p>
    <w:p w:rsidRPr="008D1918" w:rsidR="00055299" w:rsidP="00933118" w:rsidRDefault="00055299" w14:paraId="6FABCDCF" w14:textId="78B5298F">
      <w:pPr>
        <w:spacing w:before="120" w:after="360" w:line="240" w:lineRule="atLeast"/>
        <w:rPr>
          <w:rFonts w:cs="Calibri"/>
          <w:sz w:val="20"/>
          <w:szCs w:val="20"/>
          <w:lang w:val="en-AU"/>
        </w:rPr>
      </w:pPr>
      <w:r w:rsidRPr="008D1918">
        <w:rPr>
          <w:rFonts w:cs="Calibri"/>
          <w:sz w:val="20"/>
          <w:szCs w:val="20"/>
          <w:lang w:val="en-AU"/>
        </w:rPr>
        <w:t xml:space="preserve">Note: The largest </w:t>
      </w:r>
      <w:r w:rsidRPr="008D1918" w:rsidR="00186248">
        <w:rPr>
          <w:rFonts w:cs="Calibri"/>
          <w:sz w:val="20"/>
          <w:szCs w:val="20"/>
          <w:lang w:val="en-AU"/>
        </w:rPr>
        <w:t xml:space="preserve">5 </w:t>
      </w:r>
      <w:r w:rsidRPr="008D1918">
        <w:rPr>
          <w:rFonts w:cs="Calibri"/>
          <w:sz w:val="20"/>
          <w:szCs w:val="20"/>
          <w:lang w:val="en-AU"/>
        </w:rPr>
        <w:t xml:space="preserve">plan managers are based on total payments from January </w:t>
      </w:r>
      <w:r w:rsidRPr="008D1918" w:rsidR="0043003D">
        <w:rPr>
          <w:rFonts w:cs="Calibri"/>
          <w:sz w:val="20"/>
          <w:szCs w:val="20"/>
          <w:lang w:val="en-AU"/>
        </w:rPr>
        <w:t xml:space="preserve">2023 </w:t>
      </w:r>
      <w:r w:rsidRPr="008D1918">
        <w:rPr>
          <w:rFonts w:cs="Calibri"/>
          <w:sz w:val="20"/>
          <w:szCs w:val="20"/>
          <w:lang w:val="en-AU"/>
        </w:rPr>
        <w:t xml:space="preserve">to December </w:t>
      </w:r>
      <w:r w:rsidRPr="008D1918" w:rsidR="0043003D">
        <w:rPr>
          <w:rFonts w:cs="Calibri"/>
          <w:sz w:val="20"/>
          <w:szCs w:val="20"/>
          <w:lang w:val="en-AU"/>
        </w:rPr>
        <w:t>2025</w:t>
      </w:r>
      <w:r w:rsidRPr="008D1918">
        <w:rPr>
          <w:rFonts w:cs="Calibri"/>
          <w:sz w:val="20"/>
          <w:szCs w:val="20"/>
          <w:lang w:val="en-AU"/>
        </w:rPr>
        <w:t>. This group has remained unchanged since January</w:t>
      </w:r>
      <w:r w:rsidRPr="008D1918" w:rsidR="00F370A7">
        <w:rPr>
          <w:rFonts w:cs="Calibri"/>
          <w:sz w:val="20"/>
          <w:szCs w:val="20"/>
          <w:lang w:val="en-AU"/>
        </w:rPr>
        <w:t xml:space="preserve"> to</w:t>
      </w:r>
      <w:r w:rsidRPr="008D1918" w:rsidR="00D23434">
        <w:rPr>
          <w:rFonts w:cs="Calibri"/>
          <w:sz w:val="20"/>
          <w:szCs w:val="20"/>
          <w:lang w:val="en-AU"/>
        </w:rPr>
        <w:t xml:space="preserve"> </w:t>
      </w:r>
      <w:r w:rsidRPr="008D1918">
        <w:rPr>
          <w:rFonts w:cs="Calibri"/>
          <w:sz w:val="20"/>
          <w:szCs w:val="20"/>
          <w:lang w:val="en-AU"/>
        </w:rPr>
        <w:t xml:space="preserve">June 2023. </w:t>
      </w:r>
    </w:p>
    <w:p w:rsidRPr="008D1918" w:rsidR="00055299" w:rsidP="00E21370" w:rsidRDefault="00055299" w14:paraId="2D0371BD" w14:textId="77777777">
      <w:pPr>
        <w:pStyle w:val="LittleH5"/>
      </w:pPr>
      <w:bookmarkStart w:name="_Toc196304230" w:id="1852"/>
      <w:bookmarkStart w:name="_Toc200103577" w:id="1853"/>
      <w:bookmarkStart w:name="_Toc200271689" w:id="1854"/>
      <w:bookmarkStart w:name="_Toc223345442" w:id="1855"/>
      <w:bookmarkStart w:name="_Toc223428517" w:id="1856"/>
      <w:bookmarkStart w:name="_Toc223445985" w:id="1857"/>
      <w:bookmarkStart w:name="_Toc223604819" w:id="1858"/>
      <w:r w:rsidRPr="008D1918">
        <w:t>Top 10 providers market share by remoteness</w:t>
      </w:r>
      <w:bookmarkEnd w:id="1852"/>
      <w:bookmarkEnd w:id="1853"/>
      <w:bookmarkEnd w:id="1854"/>
      <w:bookmarkEnd w:id="1855"/>
      <w:bookmarkEnd w:id="1856"/>
      <w:bookmarkEnd w:id="1857"/>
      <w:bookmarkEnd w:id="1858"/>
    </w:p>
    <w:p w:rsidRPr="008D1918" w:rsidR="00055299" w:rsidRDefault="00055299" w14:paraId="782F3D18" w14:textId="7043A751">
      <w:pPr>
        <w:rPr>
          <w:lang w:val="en-AU"/>
        </w:rPr>
      </w:pPr>
      <w:r w:rsidRPr="008D1918">
        <w:rPr>
          <w:lang w:val="en-AU"/>
        </w:rPr>
        <w:t xml:space="preserve">The top 10 providers maintained consistent market share across all remoteness categories. In remote and very remote areas these providers managed more than </w:t>
      </w:r>
      <w:r w:rsidRPr="008D1918" w:rsidR="00C65534">
        <w:rPr>
          <w:lang w:val="en-AU"/>
        </w:rPr>
        <w:t>half</w:t>
      </w:r>
      <w:r w:rsidRPr="008D1918">
        <w:rPr>
          <w:lang w:val="en-AU"/>
        </w:rPr>
        <w:t xml:space="preserve"> of all plan-managed payments, a share that has grown over the </w:t>
      </w:r>
      <w:r w:rsidRPr="008D1918" w:rsidR="00186248">
        <w:rPr>
          <w:lang w:val="en-AU"/>
        </w:rPr>
        <w:t>3</w:t>
      </w:r>
      <w:r w:rsidRPr="008D1918">
        <w:rPr>
          <w:lang w:val="en-AU"/>
        </w:rPr>
        <w:t>-year period. The same 10 providers held their position throughout</w:t>
      </w:r>
      <w:r w:rsidRPr="008D1918" w:rsidR="00EA18F5">
        <w:rPr>
          <w:lang w:val="en-AU"/>
        </w:rPr>
        <w:t xml:space="preserve">. This indicates </w:t>
      </w:r>
      <w:r w:rsidRPr="008D1918">
        <w:rPr>
          <w:lang w:val="en-AU"/>
        </w:rPr>
        <w:t>large providers are successfully servicing these markets through virtual delivery models that do not depend on physical presence (</w:t>
      </w:r>
      <w:r w:rsidRPr="008D1918" w:rsidR="003D3C4D">
        <w:rPr>
          <w:lang w:val="en-AU"/>
        </w:rPr>
        <w:fldChar w:fldCharType="begin"/>
      </w:r>
      <w:r w:rsidRPr="008D1918" w:rsidR="003D3C4D">
        <w:rPr>
          <w:lang w:val="en-AU"/>
        </w:rPr>
        <w:instrText xml:space="preserve"> REF _Ref223683084 \h </w:instrText>
      </w:r>
      <w:r w:rsidRPr="008D1918" w:rsidR="00762DF8">
        <w:rPr>
          <w:lang w:val="en-AU"/>
        </w:rPr>
        <w:instrText xml:space="preserve"> \* MERGEFORMAT </w:instrText>
      </w:r>
      <w:r w:rsidRPr="008D1918" w:rsidR="003D3C4D">
        <w:rPr>
          <w:lang w:val="en-AU"/>
        </w:rPr>
      </w:r>
      <w:r w:rsidRPr="008D1918" w:rsidR="003D3C4D">
        <w:rPr>
          <w:lang w:val="en-AU"/>
        </w:rPr>
        <w:fldChar w:fldCharType="separate"/>
      </w:r>
      <w:r w:rsidRPr="008F56A2" w:rsidR="008F56A2">
        <w:rPr>
          <w:lang w:val="en-AU"/>
        </w:rPr>
        <w:t>Figure</w:t>
      </w:r>
      <w:r w:rsidRPr="008D1918" w:rsidR="008F56A2">
        <w:t xml:space="preserve"> </w:t>
      </w:r>
      <w:r w:rsidR="008F56A2">
        <w:rPr>
          <w:noProof/>
        </w:rPr>
        <w:t>45</w:t>
      </w:r>
      <w:r w:rsidRPr="008D1918" w:rsidR="003D3C4D">
        <w:rPr>
          <w:lang w:val="en-AU"/>
        </w:rPr>
        <w:fldChar w:fldCharType="end"/>
      </w:r>
      <w:r w:rsidRPr="008D1918">
        <w:rPr>
          <w:lang w:val="en-AU"/>
        </w:rPr>
        <w:t>).</w:t>
      </w:r>
    </w:p>
    <w:p w:rsidRPr="008D1918" w:rsidR="00055299" w:rsidP="5336A560" w:rsidRDefault="71D17D77" w14:paraId="4747AEF7" w14:textId="1E936B1D">
      <w:pPr>
        <w:rPr>
          <w:lang w:val="en-AU"/>
        </w:rPr>
      </w:pPr>
      <w:r w:rsidRPr="008D1918">
        <w:rPr>
          <w:lang w:val="en-AU"/>
        </w:rPr>
        <w:t xml:space="preserve">This pattern reinforces the </w:t>
      </w:r>
      <w:r w:rsidRPr="008D1918" w:rsidR="007F233E">
        <w:rPr>
          <w:lang w:val="en-AU"/>
        </w:rPr>
        <w:t>recommendation in the previous</w:t>
      </w:r>
      <w:r w:rsidRPr="008D1918">
        <w:rPr>
          <w:lang w:val="en-AU"/>
        </w:rPr>
        <w:t xml:space="preserve"> APR to remove remote and very remote loadings (see Section 9.4).</w:t>
      </w:r>
    </w:p>
    <w:p w:rsidRPr="008D1918" w:rsidR="00055299" w:rsidP="003D3C4D" w:rsidRDefault="003D3C4D" w14:paraId="24100D47" w14:textId="2E20233D">
      <w:pPr>
        <w:pStyle w:val="Caption"/>
      </w:pPr>
      <w:bookmarkStart w:name="_Ref223683084" w:id="1859"/>
      <w:r w:rsidRPr="008D1918">
        <w:t xml:space="preserve">Figure </w:t>
      </w:r>
      <w:r>
        <w:fldChar w:fldCharType="begin"/>
      </w:r>
      <w:r>
        <w:instrText>SEQ Figure \* ARABIC</w:instrText>
      </w:r>
      <w:r>
        <w:fldChar w:fldCharType="separate"/>
      </w:r>
      <w:r w:rsidR="008F56A2">
        <w:rPr>
          <w:noProof/>
        </w:rPr>
        <w:t>45</w:t>
      </w:r>
      <w:r>
        <w:fldChar w:fldCharType="end"/>
      </w:r>
      <w:bookmarkEnd w:id="1859"/>
      <w:r w:rsidRPr="008D1918" w:rsidR="00055299">
        <w:t>: Top 10 providers’ market share by remoteness, January 2023 to December 2025</w:t>
      </w:r>
    </w:p>
    <w:p w:rsidRPr="008D1918" w:rsidR="00055299" w:rsidRDefault="00055299" w14:paraId="16DA2494" w14:textId="77777777">
      <w:pPr>
        <w:jc w:val="center"/>
        <w:rPr>
          <w:lang w:val="en-AU"/>
        </w:rPr>
      </w:pPr>
      <w:r w:rsidRPr="008D1918">
        <w:rPr>
          <w:noProof/>
          <w:lang w:val="en-AU"/>
        </w:rPr>
        <w:drawing>
          <wp:inline distT="0" distB="0" distL="0" distR="0" wp14:anchorId="378D4385" wp14:editId="074D2659">
            <wp:extent cx="5391150" cy="3122631"/>
            <wp:effectExtent l="0" t="0" r="0" b="1905"/>
            <wp:docPr id="238661606" name="Picture 7" descr="Figure 45: A line graph showing the top 10 providers’ market share by remoteness, from January 2023 to December 2025.&#10;This graph shows that the top 10 providers have retained a steady market share over the period with them providing plan management services to around 60% of the remote market, around 59% of the very remote market and around 39% of the non-remote marke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61606" name="Picture 7" descr="Figure 45: A line graph showing the top 10 providers’ market share by remoteness, from January 2023 to December 2025.&#10;This graph shows that the top 10 providers have retained a steady market share over the period with them providing plan management services to around 60% of the remote market, around 59% of the very remote market and around 39% of the non-remote market.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98055" cy="3126630"/>
                    </a:xfrm>
                    <a:prstGeom prst="rect">
                      <a:avLst/>
                    </a:prstGeom>
                    <a:noFill/>
                  </pic:spPr>
                </pic:pic>
              </a:graphicData>
            </a:graphic>
          </wp:inline>
        </w:drawing>
      </w:r>
    </w:p>
    <w:p w:rsidRPr="008D1918" w:rsidR="00055299" w:rsidP="00933118" w:rsidRDefault="00055299" w14:paraId="49B9F5B1" w14:textId="68DBF6C0">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Note: Top 10 providers are determined by total payment processed by plan managers.</w:t>
      </w:r>
    </w:p>
    <w:p w:rsidRPr="008D1918" w:rsidR="00055299" w:rsidP="00E21370" w:rsidRDefault="00055299" w14:paraId="7E135C6A" w14:textId="77777777">
      <w:pPr>
        <w:pStyle w:val="LittleH5"/>
      </w:pPr>
      <w:bookmarkStart w:name="_Toc196304231" w:id="1860"/>
      <w:bookmarkStart w:name="_Toc200103578" w:id="1861"/>
      <w:bookmarkStart w:name="_Toc200271690" w:id="1862"/>
      <w:bookmarkStart w:name="_Toc223345443" w:id="1863"/>
      <w:bookmarkStart w:name="_Toc223428518" w:id="1864"/>
      <w:bookmarkStart w:name="_Toc223445986" w:id="1865"/>
      <w:bookmarkStart w:name="_Toc223604820" w:id="1866"/>
      <w:r w:rsidRPr="008D1918">
        <w:t>Providers by remoteness</w:t>
      </w:r>
      <w:bookmarkEnd w:id="1860"/>
      <w:bookmarkEnd w:id="1861"/>
      <w:bookmarkEnd w:id="1862"/>
      <w:bookmarkEnd w:id="1863"/>
      <w:bookmarkEnd w:id="1864"/>
      <w:bookmarkEnd w:id="1865"/>
      <w:bookmarkEnd w:id="1866"/>
    </w:p>
    <w:p w:rsidRPr="008D1918" w:rsidR="00055299" w:rsidRDefault="00055299" w14:paraId="47CD5BE6" w14:textId="2D030DAA">
      <w:pPr>
        <w:rPr>
          <w:lang w:val="en-AU"/>
        </w:rPr>
      </w:pPr>
      <w:r w:rsidRPr="008D1918">
        <w:rPr>
          <w:lang w:val="en-AU"/>
        </w:rPr>
        <w:t>The number of active plan managers showed slight variations across remoteness areas between January 2023 and December 2025. Among participants in non‑remote areas, the number of plan managers servicing these participants increased slightly by 4% (from 1,278 to 1,334). Remote areas saw a larger increase of 24% (from 242 to 300), while very remote areas experienced the largest growth at 32% (from 150 to 198) (</w:t>
      </w:r>
      <w:r w:rsidRPr="008D1918" w:rsidR="00CF1C2E">
        <w:rPr>
          <w:lang w:val="en-AU"/>
        </w:rPr>
        <w:fldChar w:fldCharType="begin"/>
      </w:r>
      <w:r w:rsidRPr="008D1918" w:rsidR="00CF1C2E">
        <w:rPr>
          <w:lang w:val="en-AU"/>
        </w:rPr>
        <w:instrText xml:space="preserve"> REF _Ref223692521 \h </w:instrText>
      </w:r>
      <w:r w:rsidRPr="008D1918" w:rsidR="00762DF8">
        <w:rPr>
          <w:lang w:val="en-AU"/>
        </w:rPr>
        <w:instrText xml:space="preserve"> \* MERGEFORMAT </w:instrText>
      </w:r>
      <w:r w:rsidRPr="008D1918" w:rsidR="00CF1C2E">
        <w:rPr>
          <w:lang w:val="en-AU"/>
        </w:rPr>
      </w:r>
      <w:r w:rsidRPr="008D1918" w:rsidR="00CF1C2E">
        <w:rPr>
          <w:lang w:val="en-AU"/>
        </w:rPr>
        <w:fldChar w:fldCharType="separate"/>
      </w:r>
      <w:r w:rsidRPr="008F56A2" w:rsidR="008F56A2">
        <w:rPr>
          <w:lang w:val="en-AU"/>
        </w:rPr>
        <w:t>Table</w:t>
      </w:r>
      <w:r w:rsidRPr="008D1918" w:rsidR="008F56A2">
        <w:t xml:space="preserve"> </w:t>
      </w:r>
      <w:r w:rsidR="008F56A2">
        <w:rPr>
          <w:noProof/>
        </w:rPr>
        <w:t>36</w:t>
      </w:r>
      <w:r w:rsidRPr="008D1918" w:rsidR="00CF1C2E">
        <w:rPr>
          <w:lang w:val="en-AU"/>
        </w:rPr>
        <w:fldChar w:fldCharType="end"/>
      </w:r>
      <w:r w:rsidRPr="008D1918">
        <w:rPr>
          <w:lang w:val="en-AU"/>
        </w:rPr>
        <w:t xml:space="preserve">). </w:t>
      </w:r>
    </w:p>
    <w:p w:rsidRPr="008D1918" w:rsidR="00055299" w:rsidP="00CF1C2E" w:rsidRDefault="00CF1C2E" w14:paraId="2C4B571B" w14:textId="31B1CB64">
      <w:pPr>
        <w:pStyle w:val="Caption"/>
      </w:pPr>
      <w:bookmarkStart w:name="_Ref223692521" w:id="1867"/>
      <w:r w:rsidRPr="008D1918">
        <w:t xml:space="preserve">Table </w:t>
      </w:r>
      <w:r>
        <w:fldChar w:fldCharType="begin"/>
      </w:r>
      <w:r>
        <w:instrText>SEQ Table \* ARABIC</w:instrText>
      </w:r>
      <w:r>
        <w:fldChar w:fldCharType="separate"/>
      </w:r>
      <w:r w:rsidR="008F56A2">
        <w:rPr>
          <w:noProof/>
        </w:rPr>
        <w:t>36</w:t>
      </w:r>
      <w:r>
        <w:fldChar w:fldCharType="end"/>
      </w:r>
      <w:bookmarkEnd w:id="1867"/>
      <w:r w:rsidRPr="008D1918" w:rsidR="00055299">
        <w:t>: Active plan managers by remoteness, January 2023 to December 2025</w:t>
      </w:r>
    </w:p>
    <w:tbl>
      <w:tblPr>
        <w:tblStyle w:val="GridTable4-Accent121"/>
        <w:tblW w:w="9070" w:type="dxa"/>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588"/>
        <w:gridCol w:w="1247"/>
        <w:gridCol w:w="1247"/>
        <w:gridCol w:w="1247"/>
        <w:gridCol w:w="1247"/>
        <w:gridCol w:w="1247"/>
        <w:gridCol w:w="1247"/>
      </w:tblGrid>
      <w:tr w:rsidRPr="008D1918" w:rsidR="00173A73" w:rsidTr="00DF77A8" w14:paraId="11688D9C" w14:textId="77777777">
        <w:trPr>
          <w:cnfStyle w:val="100000000000" w:firstRow="1" w:lastRow="0" w:firstColumn="0" w:lastColumn="0" w:oddVBand="0" w:evenVBand="0" w:oddHBand="0" w:evenHBand="0" w:firstRowFirstColumn="0" w:firstRowLastColumn="0" w:lastRowFirstColumn="0" w:lastRowLastColumn="0"/>
          <w:trHeight w:val="567"/>
        </w:trPr>
        <w:tc>
          <w:tcPr>
            <w:tcW w:w="1588" w:type="dxa"/>
          </w:tcPr>
          <w:p w:rsidRPr="008D1918" w:rsidR="00055299" w:rsidP="002B3625" w:rsidRDefault="00055299" w14:paraId="61596466" w14:textId="77777777">
            <w:pPr>
              <w:keepNext/>
              <w:spacing w:before="60" w:after="0"/>
              <w:rPr>
                <w:rFonts w:cs="Calibri"/>
                <w:sz w:val="20"/>
                <w:szCs w:val="20"/>
                <w:lang w:val="en-AU" w:eastAsia="en-AU"/>
              </w:rPr>
            </w:pPr>
            <w:r w:rsidRPr="008D1918">
              <w:rPr>
                <w:sz w:val="20"/>
                <w:szCs w:val="20"/>
                <w:lang w:val="en-AU"/>
              </w:rPr>
              <w:t>Remoteness</w:t>
            </w:r>
          </w:p>
        </w:tc>
        <w:tc>
          <w:tcPr>
            <w:tcW w:w="1247" w:type="dxa"/>
          </w:tcPr>
          <w:p w:rsidRPr="008D1918" w:rsidR="00055299" w:rsidP="00DF77A8" w:rsidRDefault="00055299" w14:paraId="3D6D82BC" w14:textId="77777777">
            <w:pPr>
              <w:keepNext/>
              <w:spacing w:before="60" w:after="0"/>
              <w:jc w:val="right"/>
              <w:rPr>
                <w:b w:val="0"/>
                <w:bCs w:val="0"/>
                <w:sz w:val="20"/>
                <w:szCs w:val="20"/>
                <w:lang w:val="en-AU"/>
              </w:rPr>
            </w:pPr>
            <w:r w:rsidRPr="008D1918">
              <w:rPr>
                <w:sz w:val="20"/>
                <w:szCs w:val="20"/>
                <w:lang w:val="en-AU"/>
              </w:rPr>
              <w:t>January – June</w:t>
            </w:r>
          </w:p>
          <w:p w:rsidRPr="008D1918" w:rsidR="00055299" w:rsidP="00DF77A8" w:rsidRDefault="00055299" w14:paraId="2D3D2C6E" w14:textId="77777777">
            <w:pPr>
              <w:keepNext/>
              <w:spacing w:before="0" w:after="60"/>
              <w:jc w:val="right"/>
              <w:rPr>
                <w:rFonts w:cs="Calibri"/>
                <w:sz w:val="20"/>
                <w:szCs w:val="20"/>
                <w:lang w:val="en-AU" w:eastAsia="en-AU"/>
              </w:rPr>
            </w:pPr>
            <w:r w:rsidRPr="008D1918">
              <w:rPr>
                <w:sz w:val="20"/>
                <w:szCs w:val="20"/>
                <w:lang w:val="en-AU"/>
              </w:rPr>
              <w:t>2023</w:t>
            </w:r>
          </w:p>
        </w:tc>
        <w:tc>
          <w:tcPr>
            <w:tcW w:w="1247" w:type="dxa"/>
          </w:tcPr>
          <w:p w:rsidRPr="008D1918" w:rsidR="00055299" w:rsidP="00DF77A8" w:rsidRDefault="00055299" w14:paraId="1EDE5267" w14:textId="77777777">
            <w:pPr>
              <w:keepNext/>
              <w:spacing w:before="60" w:after="60"/>
              <w:jc w:val="right"/>
              <w:rPr>
                <w:rFonts w:cs="Calibri"/>
                <w:sz w:val="20"/>
                <w:szCs w:val="20"/>
                <w:lang w:val="en-AU" w:eastAsia="en-AU"/>
              </w:rPr>
            </w:pPr>
            <w:r w:rsidRPr="008D1918">
              <w:rPr>
                <w:sz w:val="20"/>
                <w:szCs w:val="20"/>
                <w:lang w:val="en-AU"/>
              </w:rPr>
              <w:t>July – December 2023</w:t>
            </w:r>
          </w:p>
        </w:tc>
        <w:tc>
          <w:tcPr>
            <w:tcW w:w="1247" w:type="dxa"/>
          </w:tcPr>
          <w:p w:rsidRPr="008D1918" w:rsidR="00055299" w:rsidP="00DF77A8" w:rsidRDefault="00055299" w14:paraId="520BF61C" w14:textId="77777777">
            <w:pPr>
              <w:keepNext/>
              <w:spacing w:before="60" w:after="0"/>
              <w:jc w:val="right"/>
              <w:rPr>
                <w:b w:val="0"/>
                <w:bCs w:val="0"/>
                <w:sz w:val="20"/>
                <w:szCs w:val="20"/>
                <w:lang w:val="en-AU"/>
              </w:rPr>
            </w:pPr>
            <w:r w:rsidRPr="008D1918">
              <w:rPr>
                <w:sz w:val="20"/>
                <w:szCs w:val="20"/>
                <w:lang w:val="en-AU"/>
              </w:rPr>
              <w:t>January – June</w:t>
            </w:r>
          </w:p>
          <w:p w:rsidRPr="008D1918" w:rsidR="00055299" w:rsidP="00DF77A8" w:rsidRDefault="00055299" w14:paraId="2FED6EF5" w14:textId="77777777">
            <w:pPr>
              <w:keepNext/>
              <w:spacing w:before="0" w:after="60"/>
              <w:jc w:val="right"/>
              <w:rPr>
                <w:rFonts w:cs="Calibri"/>
                <w:sz w:val="20"/>
                <w:szCs w:val="20"/>
                <w:lang w:val="en-AU" w:eastAsia="en-AU"/>
              </w:rPr>
            </w:pPr>
            <w:r w:rsidRPr="008D1918">
              <w:rPr>
                <w:sz w:val="20"/>
                <w:szCs w:val="20"/>
                <w:lang w:val="en-AU"/>
              </w:rPr>
              <w:t>2024</w:t>
            </w:r>
          </w:p>
        </w:tc>
        <w:tc>
          <w:tcPr>
            <w:tcW w:w="1247" w:type="dxa"/>
          </w:tcPr>
          <w:p w:rsidRPr="008D1918" w:rsidR="00055299" w:rsidP="00DF77A8" w:rsidRDefault="00055299" w14:paraId="42C67E3A" w14:textId="77777777">
            <w:pPr>
              <w:keepNext/>
              <w:spacing w:before="60" w:after="60"/>
              <w:jc w:val="right"/>
              <w:rPr>
                <w:rFonts w:cs="Calibri"/>
                <w:sz w:val="20"/>
                <w:szCs w:val="20"/>
                <w:lang w:val="en-AU" w:eastAsia="en-AU"/>
              </w:rPr>
            </w:pPr>
            <w:r w:rsidRPr="008D1918">
              <w:rPr>
                <w:sz w:val="20"/>
                <w:szCs w:val="20"/>
                <w:lang w:val="en-AU"/>
              </w:rPr>
              <w:t>July – December 2024</w:t>
            </w:r>
          </w:p>
        </w:tc>
        <w:tc>
          <w:tcPr>
            <w:tcW w:w="1247" w:type="dxa"/>
          </w:tcPr>
          <w:p w:rsidRPr="008D1918" w:rsidR="00055299" w:rsidP="00DF77A8" w:rsidRDefault="00055299" w14:paraId="53E54D03" w14:textId="77777777">
            <w:pPr>
              <w:keepNext/>
              <w:spacing w:before="60" w:after="0"/>
              <w:jc w:val="right"/>
              <w:rPr>
                <w:b w:val="0"/>
                <w:bCs w:val="0"/>
                <w:sz w:val="20"/>
                <w:szCs w:val="20"/>
                <w:lang w:val="en-AU"/>
              </w:rPr>
            </w:pPr>
            <w:r w:rsidRPr="008D1918">
              <w:rPr>
                <w:sz w:val="20"/>
                <w:szCs w:val="20"/>
                <w:lang w:val="en-AU"/>
              </w:rPr>
              <w:t>January – June</w:t>
            </w:r>
          </w:p>
          <w:p w:rsidRPr="008D1918" w:rsidR="00055299" w:rsidP="00DF77A8" w:rsidRDefault="00055299" w14:paraId="1EC8530B" w14:textId="77777777">
            <w:pPr>
              <w:keepNext/>
              <w:spacing w:before="0" w:after="60"/>
              <w:jc w:val="right"/>
              <w:rPr>
                <w:rFonts w:cs="Calibri"/>
                <w:sz w:val="20"/>
                <w:szCs w:val="20"/>
                <w:lang w:val="en-AU" w:eastAsia="en-AU"/>
              </w:rPr>
            </w:pPr>
            <w:r w:rsidRPr="008D1918">
              <w:rPr>
                <w:sz w:val="20"/>
                <w:szCs w:val="20"/>
                <w:lang w:val="en-AU"/>
              </w:rPr>
              <w:t>2025</w:t>
            </w:r>
          </w:p>
        </w:tc>
        <w:tc>
          <w:tcPr>
            <w:tcW w:w="1247" w:type="dxa"/>
          </w:tcPr>
          <w:p w:rsidRPr="008D1918" w:rsidR="00055299" w:rsidP="00DF77A8" w:rsidRDefault="00055299" w14:paraId="06269681" w14:textId="77777777">
            <w:pPr>
              <w:keepNext/>
              <w:spacing w:before="60" w:after="60"/>
              <w:jc w:val="right"/>
              <w:rPr>
                <w:rFonts w:cs="Calibri"/>
                <w:sz w:val="20"/>
                <w:szCs w:val="20"/>
                <w:lang w:val="en-AU" w:eastAsia="en-AU"/>
              </w:rPr>
            </w:pPr>
            <w:r w:rsidRPr="008D1918">
              <w:rPr>
                <w:sz w:val="20"/>
                <w:szCs w:val="20"/>
                <w:lang w:val="en-AU"/>
              </w:rPr>
              <w:t>July – December 2025</w:t>
            </w:r>
          </w:p>
        </w:tc>
      </w:tr>
      <w:tr w:rsidRPr="008D1918" w:rsidR="00173A73" w:rsidTr="00DF77A8" w14:paraId="1B5F4158" w14:textId="77777777">
        <w:trPr>
          <w:cnfStyle w:val="000000100000" w:firstRow="0" w:lastRow="0" w:firstColumn="0" w:lastColumn="0" w:oddVBand="0" w:evenVBand="0" w:oddHBand="1" w:evenHBand="0" w:firstRowFirstColumn="0" w:firstRowLastColumn="0" w:lastRowFirstColumn="0" w:lastRowLastColumn="0"/>
          <w:trHeight w:val="397"/>
        </w:trPr>
        <w:tc>
          <w:tcPr>
            <w:tcW w:w="1588" w:type="dxa"/>
          </w:tcPr>
          <w:p w:rsidRPr="008D1918" w:rsidR="00055299" w:rsidP="002B3625" w:rsidRDefault="00055299" w14:paraId="730D5CBB" w14:textId="77777777">
            <w:pPr>
              <w:keepNext/>
              <w:spacing w:before="60" w:after="60"/>
              <w:rPr>
                <w:rFonts w:cs="Calibri"/>
                <w:sz w:val="20"/>
                <w:szCs w:val="20"/>
                <w:lang w:val="en-AU" w:eastAsia="en-AU"/>
              </w:rPr>
            </w:pPr>
            <w:r w:rsidRPr="008D1918">
              <w:rPr>
                <w:sz w:val="20"/>
                <w:szCs w:val="20"/>
                <w:lang w:val="en-AU"/>
              </w:rPr>
              <w:t>Non-remote</w:t>
            </w:r>
          </w:p>
        </w:tc>
        <w:tc>
          <w:tcPr>
            <w:tcW w:w="1247" w:type="dxa"/>
          </w:tcPr>
          <w:p w:rsidRPr="008D1918" w:rsidR="00055299" w:rsidP="00DF77A8" w:rsidRDefault="00055299" w14:paraId="62AB6193" w14:textId="77777777">
            <w:pPr>
              <w:keepNext/>
              <w:spacing w:before="60" w:after="60"/>
              <w:jc w:val="right"/>
              <w:rPr>
                <w:rFonts w:cs="Calibri"/>
                <w:color w:val="000000"/>
                <w:sz w:val="20"/>
                <w:szCs w:val="20"/>
                <w:lang w:val="en-AU" w:eastAsia="en-AU"/>
              </w:rPr>
            </w:pPr>
            <w:r w:rsidRPr="008D1918">
              <w:rPr>
                <w:sz w:val="20"/>
                <w:szCs w:val="20"/>
                <w:lang w:val="en-AU"/>
              </w:rPr>
              <w:t>1,278</w:t>
            </w:r>
          </w:p>
        </w:tc>
        <w:tc>
          <w:tcPr>
            <w:tcW w:w="1247" w:type="dxa"/>
          </w:tcPr>
          <w:p w:rsidRPr="008D1918" w:rsidR="00055299" w:rsidP="00DF77A8" w:rsidRDefault="00055299" w14:paraId="63CB371E" w14:textId="77777777">
            <w:pPr>
              <w:keepNext/>
              <w:spacing w:before="60" w:after="60"/>
              <w:jc w:val="right"/>
              <w:rPr>
                <w:rFonts w:cs="Calibri"/>
                <w:color w:val="000000"/>
                <w:sz w:val="20"/>
                <w:szCs w:val="20"/>
                <w:lang w:val="en-AU" w:eastAsia="en-AU"/>
              </w:rPr>
            </w:pPr>
            <w:r w:rsidRPr="008D1918">
              <w:rPr>
                <w:sz w:val="20"/>
                <w:szCs w:val="20"/>
                <w:lang w:val="en-AU"/>
              </w:rPr>
              <w:t>1,323</w:t>
            </w:r>
          </w:p>
        </w:tc>
        <w:tc>
          <w:tcPr>
            <w:tcW w:w="1247" w:type="dxa"/>
          </w:tcPr>
          <w:p w:rsidRPr="008D1918" w:rsidR="00055299" w:rsidP="00DF77A8" w:rsidRDefault="00055299" w14:paraId="060E5743" w14:textId="77777777">
            <w:pPr>
              <w:keepNext/>
              <w:spacing w:before="60" w:after="60"/>
              <w:jc w:val="right"/>
              <w:rPr>
                <w:rFonts w:cs="Calibri"/>
                <w:color w:val="000000"/>
                <w:sz w:val="20"/>
                <w:szCs w:val="20"/>
                <w:lang w:val="en-AU" w:eastAsia="en-AU"/>
              </w:rPr>
            </w:pPr>
            <w:r w:rsidRPr="008D1918">
              <w:rPr>
                <w:sz w:val="20"/>
                <w:szCs w:val="20"/>
                <w:lang w:val="en-AU"/>
              </w:rPr>
              <w:t>1,354</w:t>
            </w:r>
          </w:p>
        </w:tc>
        <w:tc>
          <w:tcPr>
            <w:tcW w:w="1247" w:type="dxa"/>
          </w:tcPr>
          <w:p w:rsidRPr="008D1918" w:rsidR="00055299" w:rsidP="00DF77A8" w:rsidRDefault="00055299" w14:paraId="6F366540" w14:textId="77777777">
            <w:pPr>
              <w:keepNext/>
              <w:spacing w:before="60" w:after="60"/>
              <w:jc w:val="right"/>
              <w:rPr>
                <w:rFonts w:cs="Calibri"/>
                <w:color w:val="000000"/>
                <w:sz w:val="20"/>
                <w:szCs w:val="20"/>
                <w:lang w:val="en-AU" w:eastAsia="en-AU"/>
              </w:rPr>
            </w:pPr>
            <w:r w:rsidRPr="008D1918">
              <w:rPr>
                <w:sz w:val="20"/>
                <w:szCs w:val="20"/>
                <w:lang w:val="en-AU"/>
              </w:rPr>
              <w:t>1,372</w:t>
            </w:r>
          </w:p>
        </w:tc>
        <w:tc>
          <w:tcPr>
            <w:tcW w:w="1247" w:type="dxa"/>
          </w:tcPr>
          <w:p w:rsidRPr="008D1918" w:rsidR="00055299" w:rsidP="00DF77A8" w:rsidRDefault="00055299" w14:paraId="14D74622" w14:textId="77777777">
            <w:pPr>
              <w:keepNext/>
              <w:spacing w:before="60" w:after="60"/>
              <w:jc w:val="right"/>
              <w:rPr>
                <w:rFonts w:cs="Calibri"/>
                <w:sz w:val="20"/>
                <w:szCs w:val="20"/>
                <w:lang w:val="en-AU" w:eastAsia="en-US"/>
              </w:rPr>
            </w:pPr>
            <w:r w:rsidRPr="008D1918">
              <w:rPr>
                <w:sz w:val="20"/>
                <w:szCs w:val="20"/>
                <w:lang w:val="en-AU"/>
              </w:rPr>
              <w:t>1,352</w:t>
            </w:r>
          </w:p>
        </w:tc>
        <w:tc>
          <w:tcPr>
            <w:tcW w:w="1247" w:type="dxa"/>
          </w:tcPr>
          <w:p w:rsidRPr="008D1918" w:rsidR="00055299" w:rsidP="00DF77A8" w:rsidRDefault="00055299" w14:paraId="21AA3FD3" w14:textId="77777777">
            <w:pPr>
              <w:keepNext/>
              <w:spacing w:before="60" w:after="60"/>
              <w:jc w:val="right"/>
              <w:rPr>
                <w:rFonts w:cs="Calibri"/>
                <w:sz w:val="20"/>
                <w:szCs w:val="20"/>
                <w:lang w:val="en-AU"/>
              </w:rPr>
            </w:pPr>
            <w:r w:rsidRPr="008D1918">
              <w:rPr>
                <w:sz w:val="20"/>
                <w:szCs w:val="20"/>
                <w:lang w:val="en-AU"/>
              </w:rPr>
              <w:t>1,334</w:t>
            </w:r>
          </w:p>
        </w:tc>
      </w:tr>
      <w:tr w:rsidRPr="008D1918" w:rsidR="00055299" w:rsidTr="00DF77A8" w14:paraId="745E574C" w14:textId="77777777">
        <w:trPr>
          <w:trHeight w:val="397"/>
        </w:trPr>
        <w:tc>
          <w:tcPr>
            <w:tcW w:w="1588" w:type="dxa"/>
          </w:tcPr>
          <w:p w:rsidRPr="008D1918" w:rsidR="00055299" w:rsidP="002B3625" w:rsidRDefault="00055299" w14:paraId="305A8F95" w14:textId="77777777">
            <w:pPr>
              <w:keepNext/>
              <w:spacing w:before="60" w:after="60"/>
              <w:rPr>
                <w:rFonts w:cs="Calibri"/>
                <w:sz w:val="20"/>
                <w:szCs w:val="20"/>
                <w:lang w:val="en-AU" w:eastAsia="en-AU"/>
              </w:rPr>
            </w:pPr>
            <w:r w:rsidRPr="008D1918">
              <w:rPr>
                <w:sz w:val="20"/>
                <w:szCs w:val="20"/>
                <w:lang w:val="en-AU"/>
              </w:rPr>
              <w:t>Remote</w:t>
            </w:r>
          </w:p>
        </w:tc>
        <w:tc>
          <w:tcPr>
            <w:tcW w:w="1247" w:type="dxa"/>
          </w:tcPr>
          <w:p w:rsidRPr="008D1918" w:rsidR="00055299" w:rsidP="00DF77A8" w:rsidRDefault="00055299" w14:paraId="1D430CF7" w14:textId="77777777">
            <w:pPr>
              <w:keepNext/>
              <w:spacing w:before="60" w:after="60"/>
              <w:jc w:val="right"/>
              <w:rPr>
                <w:rFonts w:cs="Calibri"/>
                <w:color w:val="000000"/>
                <w:sz w:val="20"/>
                <w:szCs w:val="20"/>
                <w:lang w:val="en-AU" w:eastAsia="en-AU"/>
              </w:rPr>
            </w:pPr>
            <w:r w:rsidRPr="008D1918">
              <w:rPr>
                <w:sz w:val="20"/>
                <w:szCs w:val="20"/>
                <w:lang w:val="en-AU"/>
              </w:rPr>
              <w:t>242</w:t>
            </w:r>
          </w:p>
        </w:tc>
        <w:tc>
          <w:tcPr>
            <w:tcW w:w="1247" w:type="dxa"/>
          </w:tcPr>
          <w:p w:rsidRPr="008D1918" w:rsidR="00055299" w:rsidP="00DF77A8" w:rsidRDefault="00055299" w14:paraId="30551E4C" w14:textId="77777777">
            <w:pPr>
              <w:keepNext/>
              <w:spacing w:before="60" w:after="60"/>
              <w:jc w:val="right"/>
              <w:rPr>
                <w:rFonts w:cs="Calibri"/>
                <w:color w:val="000000"/>
                <w:sz w:val="20"/>
                <w:szCs w:val="20"/>
                <w:lang w:val="en-AU" w:eastAsia="en-AU"/>
              </w:rPr>
            </w:pPr>
            <w:r w:rsidRPr="008D1918">
              <w:rPr>
                <w:sz w:val="20"/>
                <w:szCs w:val="20"/>
                <w:lang w:val="en-AU"/>
              </w:rPr>
              <w:t>259</w:t>
            </w:r>
          </w:p>
        </w:tc>
        <w:tc>
          <w:tcPr>
            <w:tcW w:w="1247" w:type="dxa"/>
          </w:tcPr>
          <w:p w:rsidRPr="008D1918" w:rsidR="00055299" w:rsidP="00DF77A8" w:rsidRDefault="00055299" w14:paraId="4C7816C9" w14:textId="77777777">
            <w:pPr>
              <w:keepNext/>
              <w:spacing w:before="60" w:after="60"/>
              <w:jc w:val="right"/>
              <w:rPr>
                <w:rFonts w:cs="Calibri"/>
                <w:color w:val="000000"/>
                <w:sz w:val="20"/>
                <w:szCs w:val="20"/>
                <w:lang w:val="en-AU" w:eastAsia="en-AU"/>
              </w:rPr>
            </w:pPr>
            <w:r w:rsidRPr="008D1918">
              <w:rPr>
                <w:sz w:val="20"/>
                <w:szCs w:val="20"/>
                <w:lang w:val="en-AU"/>
              </w:rPr>
              <w:t>320</w:t>
            </w:r>
          </w:p>
        </w:tc>
        <w:tc>
          <w:tcPr>
            <w:tcW w:w="1247" w:type="dxa"/>
          </w:tcPr>
          <w:p w:rsidRPr="008D1918" w:rsidR="00055299" w:rsidP="00DF77A8" w:rsidRDefault="00055299" w14:paraId="360EFA4E" w14:textId="77777777">
            <w:pPr>
              <w:keepNext/>
              <w:spacing w:before="60" w:after="60"/>
              <w:jc w:val="right"/>
              <w:rPr>
                <w:rFonts w:cs="Calibri"/>
                <w:color w:val="000000"/>
                <w:sz w:val="20"/>
                <w:szCs w:val="20"/>
                <w:lang w:val="en-AU" w:eastAsia="en-AU"/>
              </w:rPr>
            </w:pPr>
            <w:r w:rsidRPr="008D1918">
              <w:rPr>
                <w:sz w:val="20"/>
                <w:szCs w:val="20"/>
                <w:lang w:val="en-AU"/>
              </w:rPr>
              <w:t>317</w:t>
            </w:r>
          </w:p>
        </w:tc>
        <w:tc>
          <w:tcPr>
            <w:tcW w:w="1247" w:type="dxa"/>
          </w:tcPr>
          <w:p w:rsidRPr="008D1918" w:rsidR="00055299" w:rsidP="00DF77A8" w:rsidRDefault="00055299" w14:paraId="77A561A4" w14:textId="77777777">
            <w:pPr>
              <w:keepNext/>
              <w:spacing w:before="60" w:after="60"/>
              <w:jc w:val="right"/>
              <w:rPr>
                <w:rFonts w:cs="Calibri"/>
                <w:sz w:val="20"/>
                <w:szCs w:val="20"/>
                <w:lang w:val="en-AU" w:eastAsia="en-US"/>
              </w:rPr>
            </w:pPr>
            <w:r w:rsidRPr="008D1918">
              <w:rPr>
                <w:sz w:val="20"/>
                <w:szCs w:val="20"/>
                <w:lang w:val="en-AU"/>
              </w:rPr>
              <w:t>296</w:t>
            </w:r>
          </w:p>
        </w:tc>
        <w:tc>
          <w:tcPr>
            <w:tcW w:w="1247" w:type="dxa"/>
          </w:tcPr>
          <w:p w:rsidRPr="008D1918" w:rsidR="00055299" w:rsidP="00DF77A8" w:rsidRDefault="00055299" w14:paraId="1E9FD295" w14:textId="77777777">
            <w:pPr>
              <w:keepNext/>
              <w:spacing w:before="60" w:after="60"/>
              <w:jc w:val="right"/>
              <w:rPr>
                <w:rFonts w:cs="Calibri"/>
                <w:sz w:val="20"/>
                <w:szCs w:val="20"/>
                <w:lang w:val="en-AU"/>
              </w:rPr>
            </w:pPr>
            <w:r w:rsidRPr="008D1918">
              <w:rPr>
                <w:sz w:val="20"/>
                <w:szCs w:val="20"/>
                <w:lang w:val="en-AU"/>
              </w:rPr>
              <w:t>300</w:t>
            </w:r>
          </w:p>
        </w:tc>
      </w:tr>
      <w:tr w:rsidRPr="008D1918" w:rsidR="00173A73" w:rsidTr="00DF77A8" w14:paraId="71A61A5E" w14:textId="77777777">
        <w:trPr>
          <w:cnfStyle w:val="000000100000" w:firstRow="0" w:lastRow="0" w:firstColumn="0" w:lastColumn="0" w:oddVBand="0" w:evenVBand="0" w:oddHBand="1" w:evenHBand="0" w:firstRowFirstColumn="0" w:firstRowLastColumn="0" w:lastRowFirstColumn="0" w:lastRowLastColumn="0"/>
          <w:trHeight w:val="397"/>
        </w:trPr>
        <w:tc>
          <w:tcPr>
            <w:tcW w:w="1588" w:type="dxa"/>
          </w:tcPr>
          <w:p w:rsidRPr="008D1918" w:rsidR="00055299" w:rsidP="002B3625" w:rsidRDefault="00055299" w14:paraId="6247EF26" w14:textId="77777777">
            <w:pPr>
              <w:keepNext/>
              <w:spacing w:before="60" w:after="60"/>
              <w:rPr>
                <w:b/>
                <w:bCs/>
                <w:sz w:val="20"/>
                <w:szCs w:val="20"/>
                <w:lang w:val="en-AU"/>
              </w:rPr>
            </w:pPr>
            <w:r w:rsidRPr="008D1918">
              <w:rPr>
                <w:sz w:val="20"/>
                <w:szCs w:val="20"/>
                <w:lang w:val="en-AU"/>
              </w:rPr>
              <w:t>Very remote</w:t>
            </w:r>
          </w:p>
        </w:tc>
        <w:tc>
          <w:tcPr>
            <w:tcW w:w="1247" w:type="dxa"/>
          </w:tcPr>
          <w:p w:rsidRPr="008D1918" w:rsidR="00055299" w:rsidP="00DF77A8" w:rsidRDefault="00055299" w14:paraId="7CAE7E69" w14:textId="77777777">
            <w:pPr>
              <w:keepNext/>
              <w:spacing w:before="60" w:after="60"/>
              <w:jc w:val="right"/>
              <w:rPr>
                <w:b/>
                <w:bCs/>
                <w:sz w:val="20"/>
                <w:szCs w:val="20"/>
                <w:lang w:val="en-AU"/>
              </w:rPr>
            </w:pPr>
            <w:r w:rsidRPr="008D1918">
              <w:rPr>
                <w:sz w:val="20"/>
                <w:szCs w:val="20"/>
                <w:lang w:val="en-AU"/>
              </w:rPr>
              <w:t>150</w:t>
            </w:r>
          </w:p>
        </w:tc>
        <w:tc>
          <w:tcPr>
            <w:tcW w:w="1247" w:type="dxa"/>
          </w:tcPr>
          <w:p w:rsidRPr="008D1918" w:rsidR="00055299" w:rsidP="00DF77A8" w:rsidRDefault="00055299" w14:paraId="4D347AC7" w14:textId="77777777">
            <w:pPr>
              <w:keepNext/>
              <w:spacing w:before="60" w:after="60"/>
              <w:jc w:val="right"/>
              <w:rPr>
                <w:b/>
                <w:bCs/>
                <w:sz w:val="20"/>
                <w:szCs w:val="20"/>
                <w:lang w:val="en-AU"/>
              </w:rPr>
            </w:pPr>
            <w:r w:rsidRPr="008D1918">
              <w:rPr>
                <w:sz w:val="20"/>
                <w:szCs w:val="20"/>
                <w:lang w:val="en-AU"/>
              </w:rPr>
              <w:t>167</w:t>
            </w:r>
          </w:p>
        </w:tc>
        <w:tc>
          <w:tcPr>
            <w:tcW w:w="1247" w:type="dxa"/>
          </w:tcPr>
          <w:p w:rsidRPr="008D1918" w:rsidR="00055299" w:rsidP="00DF77A8" w:rsidRDefault="00055299" w14:paraId="71570F37" w14:textId="77777777">
            <w:pPr>
              <w:keepNext/>
              <w:spacing w:before="60" w:after="60"/>
              <w:jc w:val="right"/>
              <w:rPr>
                <w:b/>
                <w:bCs/>
                <w:sz w:val="20"/>
                <w:szCs w:val="20"/>
                <w:lang w:val="en-AU"/>
              </w:rPr>
            </w:pPr>
            <w:r w:rsidRPr="008D1918">
              <w:rPr>
                <w:sz w:val="20"/>
                <w:szCs w:val="20"/>
                <w:lang w:val="en-AU"/>
              </w:rPr>
              <w:t>172</w:t>
            </w:r>
          </w:p>
        </w:tc>
        <w:tc>
          <w:tcPr>
            <w:tcW w:w="1247" w:type="dxa"/>
          </w:tcPr>
          <w:p w:rsidRPr="008D1918" w:rsidR="00055299" w:rsidP="00DF77A8" w:rsidRDefault="00055299" w14:paraId="33EF928A" w14:textId="77777777">
            <w:pPr>
              <w:keepNext/>
              <w:spacing w:before="60" w:after="60"/>
              <w:jc w:val="right"/>
              <w:rPr>
                <w:b/>
                <w:bCs/>
                <w:sz w:val="20"/>
                <w:szCs w:val="20"/>
                <w:lang w:val="en-AU"/>
              </w:rPr>
            </w:pPr>
            <w:r w:rsidRPr="008D1918">
              <w:rPr>
                <w:sz w:val="20"/>
                <w:szCs w:val="20"/>
                <w:lang w:val="en-AU"/>
              </w:rPr>
              <w:t>179</w:t>
            </w:r>
          </w:p>
        </w:tc>
        <w:tc>
          <w:tcPr>
            <w:tcW w:w="1247" w:type="dxa"/>
          </w:tcPr>
          <w:p w:rsidRPr="008D1918" w:rsidR="00055299" w:rsidP="00DF77A8" w:rsidRDefault="00055299" w14:paraId="08D57ECB" w14:textId="77777777">
            <w:pPr>
              <w:keepNext/>
              <w:spacing w:before="60" w:after="60"/>
              <w:jc w:val="right"/>
              <w:rPr>
                <w:b/>
                <w:bCs/>
                <w:sz w:val="20"/>
                <w:szCs w:val="20"/>
                <w:lang w:val="en-AU"/>
              </w:rPr>
            </w:pPr>
            <w:r w:rsidRPr="008D1918">
              <w:rPr>
                <w:sz w:val="20"/>
                <w:szCs w:val="20"/>
                <w:lang w:val="en-AU"/>
              </w:rPr>
              <w:t>194</w:t>
            </w:r>
          </w:p>
        </w:tc>
        <w:tc>
          <w:tcPr>
            <w:tcW w:w="1247" w:type="dxa"/>
          </w:tcPr>
          <w:p w:rsidRPr="008D1918" w:rsidR="00055299" w:rsidP="00DF77A8" w:rsidRDefault="00055299" w14:paraId="016DF03E" w14:textId="77777777">
            <w:pPr>
              <w:keepNext/>
              <w:spacing w:before="60" w:after="60"/>
              <w:jc w:val="right"/>
              <w:rPr>
                <w:b/>
                <w:bCs/>
                <w:sz w:val="20"/>
                <w:szCs w:val="20"/>
                <w:lang w:val="en-AU"/>
              </w:rPr>
            </w:pPr>
            <w:r w:rsidRPr="008D1918">
              <w:rPr>
                <w:sz w:val="20"/>
                <w:szCs w:val="20"/>
                <w:lang w:val="en-AU"/>
              </w:rPr>
              <w:t>198</w:t>
            </w:r>
          </w:p>
        </w:tc>
      </w:tr>
      <w:tr w:rsidRPr="008D1918" w:rsidR="00055299" w:rsidTr="00DF77A8" w14:paraId="3B126B62" w14:textId="77777777">
        <w:trPr>
          <w:trHeight w:val="397"/>
        </w:trPr>
        <w:tc>
          <w:tcPr>
            <w:tcW w:w="1588" w:type="dxa"/>
          </w:tcPr>
          <w:p w:rsidRPr="008D1918" w:rsidR="00055299" w:rsidP="002B3625" w:rsidRDefault="00055299" w14:paraId="0C4E698F" w14:textId="77777777">
            <w:pPr>
              <w:keepNext/>
              <w:spacing w:before="60" w:after="60"/>
              <w:rPr>
                <w:rFonts w:cs="Calibri"/>
                <w:b/>
                <w:bCs/>
                <w:sz w:val="20"/>
                <w:szCs w:val="20"/>
                <w:lang w:val="en-AU" w:eastAsia="en-AU"/>
              </w:rPr>
            </w:pPr>
            <w:r w:rsidRPr="008D1918">
              <w:rPr>
                <w:b/>
                <w:bCs/>
                <w:sz w:val="20"/>
                <w:szCs w:val="20"/>
                <w:lang w:val="en-AU"/>
              </w:rPr>
              <w:t>Overall</w:t>
            </w:r>
          </w:p>
        </w:tc>
        <w:tc>
          <w:tcPr>
            <w:tcW w:w="1247" w:type="dxa"/>
          </w:tcPr>
          <w:p w:rsidRPr="008D1918" w:rsidR="00055299" w:rsidP="00DF77A8" w:rsidRDefault="00055299" w14:paraId="3734570F" w14:textId="77777777">
            <w:pPr>
              <w:keepNext/>
              <w:spacing w:before="60" w:after="60"/>
              <w:jc w:val="right"/>
              <w:rPr>
                <w:rFonts w:cs="Calibri"/>
                <w:b/>
                <w:bCs/>
                <w:sz w:val="20"/>
                <w:szCs w:val="20"/>
                <w:lang w:val="en-AU"/>
              </w:rPr>
            </w:pPr>
            <w:r w:rsidRPr="008D1918">
              <w:rPr>
                <w:b/>
                <w:bCs/>
                <w:sz w:val="20"/>
                <w:szCs w:val="20"/>
                <w:lang w:val="en-AU"/>
              </w:rPr>
              <w:t>1,284</w:t>
            </w:r>
          </w:p>
        </w:tc>
        <w:tc>
          <w:tcPr>
            <w:tcW w:w="1247" w:type="dxa"/>
          </w:tcPr>
          <w:p w:rsidRPr="008D1918" w:rsidR="00055299" w:rsidP="00DF77A8" w:rsidRDefault="00055299" w14:paraId="6DFCB88F" w14:textId="77777777">
            <w:pPr>
              <w:keepNext/>
              <w:spacing w:before="60" w:after="60"/>
              <w:jc w:val="right"/>
              <w:rPr>
                <w:rFonts w:cs="Calibri"/>
                <w:b/>
                <w:bCs/>
                <w:sz w:val="20"/>
                <w:szCs w:val="20"/>
                <w:lang w:val="en-AU"/>
              </w:rPr>
            </w:pPr>
            <w:r w:rsidRPr="008D1918">
              <w:rPr>
                <w:b/>
                <w:bCs/>
                <w:sz w:val="20"/>
                <w:szCs w:val="20"/>
                <w:lang w:val="en-AU"/>
              </w:rPr>
              <w:t>1,331</w:t>
            </w:r>
          </w:p>
        </w:tc>
        <w:tc>
          <w:tcPr>
            <w:tcW w:w="1247" w:type="dxa"/>
          </w:tcPr>
          <w:p w:rsidRPr="008D1918" w:rsidR="00055299" w:rsidP="00DF77A8" w:rsidRDefault="00055299" w14:paraId="13412530" w14:textId="77777777">
            <w:pPr>
              <w:keepNext/>
              <w:spacing w:before="60" w:after="60"/>
              <w:jc w:val="right"/>
              <w:rPr>
                <w:rFonts w:cs="Calibri"/>
                <w:b/>
                <w:bCs/>
                <w:sz w:val="20"/>
                <w:szCs w:val="20"/>
                <w:lang w:val="en-AU"/>
              </w:rPr>
            </w:pPr>
            <w:r w:rsidRPr="008D1918">
              <w:rPr>
                <w:b/>
                <w:bCs/>
                <w:sz w:val="20"/>
                <w:szCs w:val="20"/>
                <w:lang w:val="en-AU"/>
              </w:rPr>
              <w:t>1,360</w:t>
            </w:r>
          </w:p>
        </w:tc>
        <w:tc>
          <w:tcPr>
            <w:tcW w:w="1247" w:type="dxa"/>
          </w:tcPr>
          <w:p w:rsidRPr="008D1918" w:rsidR="00055299" w:rsidP="00DF77A8" w:rsidRDefault="00055299" w14:paraId="453C50D1" w14:textId="77777777">
            <w:pPr>
              <w:keepNext/>
              <w:spacing w:before="60" w:after="60"/>
              <w:jc w:val="right"/>
              <w:rPr>
                <w:rFonts w:cs="Calibri"/>
                <w:b/>
                <w:bCs/>
                <w:sz w:val="20"/>
                <w:szCs w:val="20"/>
                <w:lang w:val="en-AU"/>
              </w:rPr>
            </w:pPr>
            <w:r w:rsidRPr="008D1918">
              <w:rPr>
                <w:b/>
                <w:bCs/>
                <w:sz w:val="20"/>
                <w:szCs w:val="20"/>
                <w:lang w:val="en-AU"/>
              </w:rPr>
              <w:t>1,376</w:t>
            </w:r>
          </w:p>
        </w:tc>
        <w:tc>
          <w:tcPr>
            <w:tcW w:w="1247" w:type="dxa"/>
          </w:tcPr>
          <w:p w:rsidRPr="008D1918" w:rsidR="00055299" w:rsidP="00DF77A8" w:rsidRDefault="00055299" w14:paraId="35F54C7A" w14:textId="77777777">
            <w:pPr>
              <w:keepNext/>
              <w:spacing w:before="60" w:after="60"/>
              <w:jc w:val="right"/>
              <w:rPr>
                <w:rFonts w:cs="Calibri"/>
                <w:b/>
                <w:bCs/>
                <w:sz w:val="20"/>
                <w:szCs w:val="20"/>
                <w:lang w:val="en-AU"/>
              </w:rPr>
            </w:pPr>
            <w:r w:rsidRPr="008D1918">
              <w:rPr>
                <w:b/>
                <w:bCs/>
                <w:sz w:val="20"/>
                <w:szCs w:val="20"/>
                <w:lang w:val="en-AU"/>
              </w:rPr>
              <w:t>1,356</w:t>
            </w:r>
          </w:p>
        </w:tc>
        <w:tc>
          <w:tcPr>
            <w:tcW w:w="1247" w:type="dxa"/>
          </w:tcPr>
          <w:p w:rsidRPr="008D1918" w:rsidR="00055299" w:rsidP="00DF77A8" w:rsidRDefault="00055299" w14:paraId="1E83A30A" w14:textId="77777777">
            <w:pPr>
              <w:keepNext/>
              <w:spacing w:before="60" w:after="60"/>
              <w:jc w:val="right"/>
              <w:rPr>
                <w:rFonts w:cs="Calibri"/>
                <w:b/>
                <w:bCs/>
                <w:sz w:val="20"/>
                <w:szCs w:val="20"/>
                <w:lang w:val="en-AU"/>
              </w:rPr>
            </w:pPr>
            <w:r w:rsidRPr="008D1918">
              <w:rPr>
                <w:b/>
                <w:bCs/>
                <w:sz w:val="20"/>
                <w:szCs w:val="20"/>
                <w:lang w:val="en-AU"/>
              </w:rPr>
              <w:t>1,335</w:t>
            </w:r>
          </w:p>
        </w:tc>
      </w:tr>
    </w:tbl>
    <w:p w:rsidRPr="008D1918" w:rsidR="00055299" w:rsidP="002B3625" w:rsidRDefault="00055299" w14:paraId="4CAE63A5" w14:textId="77777777">
      <w:pPr>
        <w:keepNext/>
        <w:spacing w:before="120" w:after="60" w:line="240" w:lineRule="atLeast"/>
        <w:rPr>
          <w:b/>
          <w:sz w:val="20"/>
          <w:szCs w:val="20"/>
          <w:lang w:val="en-AU"/>
        </w:rPr>
      </w:pPr>
      <w:r w:rsidRPr="008D1918">
        <w:rPr>
          <w:b/>
          <w:sz w:val="20"/>
          <w:szCs w:val="20"/>
          <w:lang w:val="en-AU"/>
        </w:rPr>
        <w:t>Source: NDIS internal administrative data.</w:t>
      </w:r>
    </w:p>
    <w:p w:rsidRPr="008D1918" w:rsidR="00055299" w:rsidP="00933118" w:rsidRDefault="00055299" w14:paraId="59319100" w14:textId="59961CC2">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Note: Remoteness of plan managers uses participants’ address as a proxy. Plan managers may be counted more than once if they provide support to participants located in multiple remoteness locations. This means the rows will not add up to the totals. Plan managers with missing remoteness are not shown in the table above but included in the overall results.</w:t>
      </w:r>
    </w:p>
    <w:p w:rsidRPr="008D1918" w:rsidR="00055299" w:rsidP="00E21370" w:rsidRDefault="00055299" w14:paraId="5D948198" w14:textId="77777777">
      <w:pPr>
        <w:pStyle w:val="LittleH5"/>
      </w:pPr>
      <w:bookmarkStart w:name="_Toc196304232" w:id="1868"/>
      <w:bookmarkStart w:name="_Toc196304233" w:id="1869"/>
      <w:bookmarkStart w:name="_Toc200103579" w:id="1870"/>
      <w:bookmarkStart w:name="_Toc200271691" w:id="1871"/>
      <w:bookmarkStart w:name="_Toc223345444" w:id="1872"/>
      <w:bookmarkStart w:name="_Toc223428519" w:id="1873"/>
      <w:bookmarkStart w:name="_Toc223445987" w:id="1874"/>
      <w:bookmarkStart w:name="_Toc223604821" w:id="1875"/>
      <w:bookmarkEnd w:id="1868"/>
      <w:r w:rsidRPr="008D1918">
        <w:t>Providers by entity types</w:t>
      </w:r>
      <w:bookmarkEnd w:id="1869"/>
      <w:bookmarkEnd w:id="1870"/>
      <w:bookmarkEnd w:id="1871"/>
      <w:bookmarkEnd w:id="1872"/>
      <w:bookmarkEnd w:id="1873"/>
      <w:bookmarkEnd w:id="1874"/>
      <w:bookmarkEnd w:id="1875"/>
    </w:p>
    <w:p w:rsidRPr="008D1918" w:rsidR="00055299" w:rsidRDefault="009867B3" w14:paraId="253C80D5" w14:textId="48C131B1">
      <w:pPr>
        <w:rPr>
          <w:i/>
          <w:iCs/>
          <w:lang w:val="en-AU"/>
        </w:rPr>
      </w:pPr>
      <w:r w:rsidRPr="008D1918">
        <w:rPr>
          <w:lang w:val="en-AU"/>
        </w:rPr>
        <w:t>Most</w:t>
      </w:r>
      <w:r w:rsidRPr="008D1918" w:rsidR="00055299">
        <w:rPr>
          <w:lang w:val="en-AU"/>
        </w:rPr>
        <w:t xml:space="preserve"> plan management providers</w:t>
      </w:r>
      <w:r w:rsidRPr="008D1918">
        <w:rPr>
          <w:lang w:val="en-AU"/>
        </w:rPr>
        <w:t xml:space="preserve"> are companies. They </w:t>
      </w:r>
      <w:r w:rsidRPr="008D1918" w:rsidR="00055299">
        <w:rPr>
          <w:lang w:val="en-AU"/>
        </w:rPr>
        <w:t xml:space="preserve">represent 75% of active providers and </w:t>
      </w:r>
      <w:r w:rsidRPr="008D1918">
        <w:rPr>
          <w:lang w:val="en-AU"/>
        </w:rPr>
        <w:t xml:space="preserve">handle </w:t>
      </w:r>
      <w:r w:rsidRPr="008D1918" w:rsidR="00055299">
        <w:rPr>
          <w:lang w:val="en-AU"/>
        </w:rPr>
        <w:t xml:space="preserve">most plan‑managed payments. In the </w:t>
      </w:r>
      <w:r w:rsidRPr="008D1918" w:rsidR="00AF498E">
        <w:rPr>
          <w:lang w:val="en-AU"/>
        </w:rPr>
        <w:t>6</w:t>
      </w:r>
      <w:r w:rsidRPr="008D1918" w:rsidR="00055299">
        <w:rPr>
          <w:lang w:val="en-AU"/>
        </w:rPr>
        <w:t xml:space="preserve"> months to December 2025, 998 companies processed just under $14 billion in total payments, with average </w:t>
      </w:r>
      <w:r w:rsidRPr="008D1918" w:rsidR="00780335">
        <w:rPr>
          <w:lang w:val="en-AU"/>
        </w:rPr>
        <w:t>claim</w:t>
      </w:r>
      <w:r w:rsidRPr="008D1918" w:rsidR="00C96AAF">
        <w:rPr>
          <w:lang w:val="en-AU"/>
        </w:rPr>
        <w:t>s</w:t>
      </w:r>
      <w:r w:rsidRPr="008D1918" w:rsidR="00055299">
        <w:rPr>
          <w:lang w:val="en-AU"/>
        </w:rPr>
        <w:t xml:space="preserve"> of $14 million per provider. Sole traders (205 providers) claimed $15.5 million in plan management fees, averaging $75,700 per provider (</w:t>
      </w:r>
      <w:r w:rsidRPr="008D1918" w:rsidR="00CF1C2E">
        <w:rPr>
          <w:lang w:val="en-AU"/>
        </w:rPr>
        <w:fldChar w:fldCharType="begin"/>
      </w:r>
      <w:r w:rsidRPr="008D1918" w:rsidR="00CF1C2E">
        <w:rPr>
          <w:lang w:val="en-AU"/>
        </w:rPr>
        <w:instrText xml:space="preserve"> REF _Ref223692545 \h </w:instrText>
      </w:r>
      <w:r w:rsidRPr="008D1918" w:rsidR="00762DF8">
        <w:rPr>
          <w:lang w:val="en-AU"/>
        </w:rPr>
        <w:instrText xml:space="preserve"> \* MERGEFORMAT </w:instrText>
      </w:r>
      <w:r w:rsidRPr="008D1918" w:rsidR="00CF1C2E">
        <w:rPr>
          <w:lang w:val="en-AU"/>
        </w:rPr>
      </w:r>
      <w:r w:rsidRPr="008D1918" w:rsidR="00CF1C2E">
        <w:rPr>
          <w:lang w:val="en-AU"/>
        </w:rPr>
        <w:fldChar w:fldCharType="separate"/>
      </w:r>
      <w:r w:rsidRPr="008F56A2" w:rsidR="008F56A2">
        <w:rPr>
          <w:lang w:val="en-AU"/>
        </w:rPr>
        <w:t>Table</w:t>
      </w:r>
      <w:r w:rsidRPr="008D1918" w:rsidR="008F56A2">
        <w:t xml:space="preserve"> </w:t>
      </w:r>
      <w:r w:rsidR="008F56A2">
        <w:rPr>
          <w:noProof/>
        </w:rPr>
        <w:t>37</w:t>
      </w:r>
      <w:r w:rsidRPr="008D1918" w:rsidR="00CF1C2E">
        <w:rPr>
          <w:lang w:val="en-AU"/>
        </w:rPr>
        <w:fldChar w:fldCharType="end"/>
      </w:r>
      <w:r w:rsidRPr="008D1918" w:rsidR="00055299">
        <w:rPr>
          <w:lang w:val="en-AU"/>
        </w:rPr>
        <w:t>).</w:t>
      </w:r>
    </w:p>
    <w:p w:rsidRPr="008D1918" w:rsidR="00055299" w:rsidP="00CF1C2E" w:rsidRDefault="00CF1C2E" w14:paraId="1D273257" w14:textId="72C07851">
      <w:pPr>
        <w:pStyle w:val="Caption"/>
      </w:pPr>
      <w:bookmarkStart w:name="_Ref223692545" w:id="1876"/>
      <w:r w:rsidRPr="008D1918">
        <w:t xml:space="preserve">Table </w:t>
      </w:r>
      <w:r>
        <w:fldChar w:fldCharType="begin"/>
      </w:r>
      <w:r>
        <w:instrText>SEQ Table \* ARABIC</w:instrText>
      </w:r>
      <w:r>
        <w:fldChar w:fldCharType="separate"/>
      </w:r>
      <w:r w:rsidR="008F56A2">
        <w:rPr>
          <w:noProof/>
        </w:rPr>
        <w:t>37</w:t>
      </w:r>
      <w:r>
        <w:fldChar w:fldCharType="end"/>
      </w:r>
      <w:bookmarkEnd w:id="1876"/>
      <w:r w:rsidRPr="008D1918" w:rsidR="00055299">
        <w:t xml:space="preserve">: Plan managers </w:t>
      </w:r>
      <w:r w:rsidRPr="008D1918" w:rsidR="007269BC">
        <w:t>S</w:t>
      </w:r>
      <w:r w:rsidRPr="008D1918" w:rsidR="00055299">
        <w:t>cheme statistics by legal entity type</w:t>
      </w:r>
      <w:r w:rsidRPr="008D1918" w:rsidR="00E114FC">
        <w:t>,</w:t>
      </w:r>
      <w:r w:rsidRPr="008D1918" w:rsidR="00055299">
        <w:t xml:space="preserve"> July to December 2025</w:t>
      </w:r>
    </w:p>
    <w:tbl>
      <w:tblPr>
        <w:tblStyle w:val="GridTable4-Accent121"/>
        <w:tblW w:w="9073" w:type="dxa"/>
        <w:tblInd w:w="-5" w:type="dxa"/>
        <w:tblLayout w:type="fixed"/>
        <w:tblLook w:val="0420" w:firstRow="1" w:lastRow="0" w:firstColumn="0" w:lastColumn="0" w:noHBand="0" w:noVBand="1"/>
      </w:tblPr>
      <w:tblGrid>
        <w:gridCol w:w="2835"/>
        <w:gridCol w:w="1134"/>
        <w:gridCol w:w="1418"/>
        <w:gridCol w:w="1418"/>
        <w:gridCol w:w="1134"/>
        <w:gridCol w:w="1134"/>
      </w:tblGrid>
      <w:tr w:rsidRPr="008D1918" w:rsidR="00A238C6" w:rsidTr="00E238F7" w14:paraId="0D16EA62"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2835" w:type="dxa"/>
            <w:vAlign w:val="center"/>
          </w:tcPr>
          <w:p w:rsidRPr="008D1918" w:rsidR="00055299" w:rsidP="00E238F7" w:rsidRDefault="00055299" w14:paraId="03C2E79C" w14:textId="77777777">
            <w:pPr>
              <w:keepNext/>
              <w:spacing w:before="60" w:after="60"/>
              <w:rPr>
                <w:rFonts w:cs="Arial"/>
                <w:sz w:val="20"/>
                <w:szCs w:val="20"/>
                <w:lang w:val="en-AU" w:eastAsia="en-AU"/>
              </w:rPr>
            </w:pPr>
            <w:r w:rsidRPr="008D1918">
              <w:rPr>
                <w:sz w:val="20"/>
                <w:szCs w:val="20"/>
                <w:lang w:val="en-AU"/>
              </w:rPr>
              <w:t>Statistics</w:t>
            </w:r>
          </w:p>
        </w:tc>
        <w:tc>
          <w:tcPr>
            <w:tcW w:w="1134" w:type="dxa"/>
            <w:vAlign w:val="center"/>
          </w:tcPr>
          <w:p w:rsidRPr="008D1918" w:rsidR="00055299" w:rsidP="00E238F7" w:rsidRDefault="00055299" w14:paraId="673C0165" w14:textId="77777777">
            <w:pPr>
              <w:keepNext/>
              <w:spacing w:before="60" w:after="60"/>
              <w:jc w:val="right"/>
              <w:rPr>
                <w:rFonts w:cs="Arial"/>
                <w:sz w:val="20"/>
                <w:szCs w:val="20"/>
                <w:lang w:val="en-AU" w:eastAsia="en-AU"/>
              </w:rPr>
            </w:pPr>
            <w:r w:rsidRPr="008D1918">
              <w:rPr>
                <w:sz w:val="20"/>
                <w:szCs w:val="20"/>
                <w:lang w:val="en-AU"/>
              </w:rPr>
              <w:t>Company</w:t>
            </w:r>
          </w:p>
        </w:tc>
        <w:tc>
          <w:tcPr>
            <w:tcW w:w="1418" w:type="dxa"/>
          </w:tcPr>
          <w:p w:rsidRPr="008D1918" w:rsidR="00055299" w:rsidP="00C80058" w:rsidRDefault="00055299" w14:paraId="040E629A" w14:textId="269F6E80">
            <w:pPr>
              <w:keepNext/>
              <w:spacing w:before="60" w:after="60"/>
              <w:jc w:val="right"/>
              <w:rPr>
                <w:sz w:val="20"/>
                <w:szCs w:val="20"/>
                <w:lang w:val="en-AU"/>
              </w:rPr>
            </w:pPr>
            <w:r w:rsidRPr="008D1918">
              <w:rPr>
                <w:sz w:val="20"/>
                <w:szCs w:val="20"/>
                <w:lang w:val="en-AU"/>
              </w:rPr>
              <w:t xml:space="preserve">Government </w:t>
            </w:r>
            <w:r w:rsidRPr="008D1918" w:rsidR="00E238F7">
              <w:rPr>
                <w:sz w:val="20"/>
                <w:szCs w:val="20"/>
                <w:lang w:val="en-AU"/>
              </w:rPr>
              <w:t>e</w:t>
            </w:r>
            <w:r w:rsidRPr="008D1918">
              <w:rPr>
                <w:sz w:val="20"/>
                <w:szCs w:val="20"/>
                <w:lang w:val="en-AU"/>
              </w:rPr>
              <w:t>ntity</w:t>
            </w:r>
          </w:p>
        </w:tc>
        <w:tc>
          <w:tcPr>
            <w:tcW w:w="1418" w:type="dxa"/>
          </w:tcPr>
          <w:p w:rsidRPr="008D1918" w:rsidR="00055299" w:rsidP="00C80058" w:rsidRDefault="00055299" w14:paraId="36E9586E" w14:textId="4C790D82">
            <w:pPr>
              <w:keepNext/>
              <w:spacing w:before="60" w:after="60"/>
              <w:jc w:val="right"/>
              <w:rPr>
                <w:rFonts w:cs="Arial"/>
                <w:sz w:val="20"/>
                <w:szCs w:val="20"/>
                <w:lang w:val="en-AU" w:eastAsia="en-AU"/>
              </w:rPr>
            </w:pPr>
            <w:r w:rsidRPr="008D1918">
              <w:rPr>
                <w:sz w:val="20"/>
                <w:szCs w:val="20"/>
                <w:lang w:val="en-AU"/>
              </w:rPr>
              <w:t>Partnership (</w:t>
            </w:r>
            <w:r w:rsidRPr="008D1918" w:rsidR="00E238F7">
              <w:rPr>
                <w:sz w:val="20"/>
                <w:szCs w:val="20"/>
                <w:lang w:val="en-AU"/>
              </w:rPr>
              <w:t>o</w:t>
            </w:r>
            <w:r w:rsidRPr="008D1918">
              <w:rPr>
                <w:sz w:val="20"/>
                <w:szCs w:val="20"/>
                <w:lang w:val="en-AU"/>
              </w:rPr>
              <w:t>ther)</w:t>
            </w:r>
          </w:p>
        </w:tc>
        <w:tc>
          <w:tcPr>
            <w:tcW w:w="1134" w:type="dxa"/>
          </w:tcPr>
          <w:p w:rsidRPr="008D1918" w:rsidR="00055299" w:rsidP="00C80058" w:rsidRDefault="00055299" w14:paraId="30F24D6D" w14:textId="5D7E05F4">
            <w:pPr>
              <w:keepNext/>
              <w:spacing w:before="60" w:after="60"/>
              <w:jc w:val="right"/>
              <w:rPr>
                <w:rFonts w:cs="Arial"/>
                <w:sz w:val="20"/>
                <w:szCs w:val="20"/>
                <w:lang w:val="en-AU" w:eastAsia="en-AU"/>
              </w:rPr>
            </w:pPr>
            <w:r w:rsidRPr="008D1918">
              <w:rPr>
                <w:sz w:val="20"/>
                <w:szCs w:val="20"/>
                <w:lang w:val="en-AU"/>
              </w:rPr>
              <w:t xml:space="preserve">Trust / </w:t>
            </w:r>
            <w:r w:rsidRPr="008D1918" w:rsidR="00E238F7">
              <w:rPr>
                <w:sz w:val="20"/>
                <w:szCs w:val="20"/>
                <w:lang w:val="en-AU"/>
              </w:rPr>
              <w:t>s</w:t>
            </w:r>
            <w:r w:rsidRPr="008D1918">
              <w:rPr>
                <w:sz w:val="20"/>
                <w:szCs w:val="20"/>
                <w:lang w:val="en-AU"/>
              </w:rPr>
              <w:t>uper</w:t>
            </w:r>
          </w:p>
        </w:tc>
        <w:tc>
          <w:tcPr>
            <w:tcW w:w="1134" w:type="dxa"/>
          </w:tcPr>
          <w:p w:rsidRPr="008D1918" w:rsidR="00055299" w:rsidP="00C80058" w:rsidRDefault="00055299" w14:paraId="5A9123CA" w14:textId="7E99ED8B">
            <w:pPr>
              <w:keepNext/>
              <w:spacing w:before="60" w:after="60"/>
              <w:jc w:val="right"/>
              <w:rPr>
                <w:rFonts w:cs="Arial"/>
                <w:sz w:val="20"/>
                <w:szCs w:val="20"/>
                <w:lang w:val="en-AU" w:eastAsia="en-AU"/>
              </w:rPr>
            </w:pPr>
            <w:r w:rsidRPr="008D1918">
              <w:rPr>
                <w:sz w:val="20"/>
                <w:szCs w:val="20"/>
                <w:lang w:val="en-AU"/>
              </w:rPr>
              <w:t xml:space="preserve">Sole </w:t>
            </w:r>
            <w:r w:rsidRPr="008D1918" w:rsidR="00E238F7">
              <w:rPr>
                <w:sz w:val="20"/>
                <w:szCs w:val="20"/>
                <w:lang w:val="en-AU"/>
              </w:rPr>
              <w:t>t</w:t>
            </w:r>
            <w:r w:rsidRPr="008D1918">
              <w:rPr>
                <w:sz w:val="20"/>
                <w:szCs w:val="20"/>
                <w:lang w:val="en-AU"/>
              </w:rPr>
              <w:t>rader</w:t>
            </w:r>
          </w:p>
        </w:tc>
      </w:tr>
      <w:tr w:rsidRPr="008D1918" w:rsidR="00173A73" w:rsidTr="002205BC" w14:paraId="15E40B66" w14:textId="77777777">
        <w:trPr>
          <w:cnfStyle w:val="000000100000" w:firstRow="0" w:lastRow="0" w:firstColumn="0" w:lastColumn="0" w:oddVBand="0" w:evenVBand="0" w:oddHBand="1" w:evenHBand="0" w:firstRowFirstColumn="0" w:firstRowLastColumn="0" w:lastRowFirstColumn="0" w:lastRowLastColumn="0"/>
          <w:trHeight w:val="397"/>
        </w:trPr>
        <w:tc>
          <w:tcPr>
            <w:tcW w:w="2835" w:type="dxa"/>
            <w:vAlign w:val="center"/>
          </w:tcPr>
          <w:p w:rsidRPr="008D1918" w:rsidR="00055299" w:rsidP="002205BC" w:rsidRDefault="00055299" w14:paraId="432A5797" w14:textId="77777777">
            <w:pPr>
              <w:keepNext/>
              <w:spacing w:before="60" w:after="60"/>
              <w:rPr>
                <w:rFonts w:cs="Arial"/>
                <w:sz w:val="20"/>
                <w:szCs w:val="20"/>
                <w:lang w:val="en-AU" w:eastAsia="en-AU"/>
              </w:rPr>
            </w:pPr>
            <w:r w:rsidRPr="008D1918">
              <w:rPr>
                <w:sz w:val="20"/>
                <w:szCs w:val="20"/>
                <w:lang w:val="en-AU"/>
              </w:rPr>
              <w:t>Number of NDIS participants</w:t>
            </w:r>
          </w:p>
        </w:tc>
        <w:tc>
          <w:tcPr>
            <w:tcW w:w="1134" w:type="dxa"/>
            <w:vAlign w:val="center"/>
          </w:tcPr>
          <w:p w:rsidRPr="008D1918" w:rsidR="00055299" w:rsidP="002B3625" w:rsidRDefault="00055299" w14:paraId="4A6F1937" w14:textId="77777777">
            <w:pPr>
              <w:keepNext/>
              <w:spacing w:before="60" w:after="60"/>
              <w:jc w:val="right"/>
              <w:rPr>
                <w:rFonts w:cs="Arial"/>
                <w:color w:val="000000"/>
                <w:sz w:val="20"/>
                <w:szCs w:val="20"/>
                <w:lang w:val="en-AU"/>
              </w:rPr>
            </w:pPr>
            <w:r w:rsidRPr="008D1918">
              <w:rPr>
                <w:sz w:val="20"/>
                <w:szCs w:val="20"/>
                <w:lang w:val="en-AU"/>
              </w:rPr>
              <w:t>458,197</w:t>
            </w:r>
          </w:p>
        </w:tc>
        <w:tc>
          <w:tcPr>
            <w:tcW w:w="1418" w:type="dxa"/>
            <w:vAlign w:val="center"/>
          </w:tcPr>
          <w:p w:rsidRPr="008D1918" w:rsidR="00055299" w:rsidP="002205BC" w:rsidRDefault="00055299" w14:paraId="23273942" w14:textId="77777777">
            <w:pPr>
              <w:keepNext/>
              <w:spacing w:before="60" w:after="60"/>
              <w:jc w:val="right"/>
              <w:rPr>
                <w:rFonts w:cs="Arial"/>
                <w:color w:val="000000"/>
                <w:sz w:val="20"/>
                <w:szCs w:val="20"/>
                <w:lang w:val="en-AU"/>
              </w:rPr>
            </w:pPr>
            <w:r w:rsidRPr="008D1918">
              <w:rPr>
                <w:sz w:val="20"/>
                <w:szCs w:val="20"/>
                <w:lang w:val="en-AU"/>
              </w:rPr>
              <w:t>206</w:t>
            </w:r>
          </w:p>
        </w:tc>
        <w:tc>
          <w:tcPr>
            <w:tcW w:w="1418" w:type="dxa"/>
            <w:vAlign w:val="center"/>
          </w:tcPr>
          <w:p w:rsidRPr="008D1918" w:rsidR="00055299" w:rsidP="002205BC" w:rsidRDefault="00055299" w14:paraId="32CC707E" w14:textId="77777777">
            <w:pPr>
              <w:keepNext/>
              <w:spacing w:before="60" w:after="60"/>
              <w:jc w:val="right"/>
              <w:rPr>
                <w:rFonts w:cs="Arial"/>
                <w:color w:val="000000"/>
                <w:sz w:val="20"/>
                <w:szCs w:val="20"/>
                <w:lang w:val="en-AU"/>
              </w:rPr>
            </w:pPr>
            <w:r w:rsidRPr="008D1918">
              <w:rPr>
                <w:sz w:val="20"/>
                <w:szCs w:val="20"/>
                <w:lang w:val="en-AU"/>
              </w:rPr>
              <w:t>10,885</w:t>
            </w:r>
          </w:p>
        </w:tc>
        <w:tc>
          <w:tcPr>
            <w:tcW w:w="1134" w:type="dxa"/>
            <w:vAlign w:val="center"/>
          </w:tcPr>
          <w:p w:rsidRPr="008D1918" w:rsidR="00055299" w:rsidP="002205BC" w:rsidRDefault="00055299" w14:paraId="6804719B" w14:textId="77777777">
            <w:pPr>
              <w:keepNext/>
              <w:spacing w:before="60" w:after="60"/>
              <w:jc w:val="right"/>
              <w:rPr>
                <w:rFonts w:cs="Arial"/>
                <w:color w:val="000000"/>
                <w:sz w:val="20"/>
                <w:szCs w:val="20"/>
                <w:lang w:val="en-AU"/>
              </w:rPr>
            </w:pPr>
            <w:r w:rsidRPr="008D1918">
              <w:rPr>
                <w:sz w:val="20"/>
                <w:szCs w:val="20"/>
                <w:lang w:val="en-AU"/>
              </w:rPr>
              <w:t>27,545</w:t>
            </w:r>
          </w:p>
        </w:tc>
        <w:tc>
          <w:tcPr>
            <w:tcW w:w="1134" w:type="dxa"/>
            <w:vAlign w:val="center"/>
          </w:tcPr>
          <w:p w:rsidRPr="008D1918" w:rsidR="00055299" w:rsidP="002205BC" w:rsidRDefault="00055299" w14:paraId="0D872D5D" w14:textId="77777777">
            <w:pPr>
              <w:keepNext/>
              <w:spacing w:before="60" w:after="60"/>
              <w:jc w:val="right"/>
              <w:rPr>
                <w:rFonts w:cs="Arial"/>
                <w:color w:val="000000"/>
                <w:sz w:val="20"/>
                <w:szCs w:val="20"/>
                <w:lang w:val="en-AU"/>
              </w:rPr>
            </w:pPr>
            <w:r w:rsidRPr="008D1918">
              <w:rPr>
                <w:sz w:val="20"/>
                <w:szCs w:val="20"/>
                <w:lang w:val="en-AU"/>
              </w:rPr>
              <w:t>26,712</w:t>
            </w:r>
          </w:p>
        </w:tc>
      </w:tr>
      <w:tr w:rsidRPr="008D1918" w:rsidR="00055299" w:rsidTr="002205BC" w14:paraId="175AFE5F" w14:textId="77777777">
        <w:trPr>
          <w:trHeight w:val="397"/>
        </w:trPr>
        <w:tc>
          <w:tcPr>
            <w:tcW w:w="2835" w:type="dxa"/>
            <w:vAlign w:val="center"/>
          </w:tcPr>
          <w:p w:rsidRPr="008D1918" w:rsidR="00055299" w:rsidP="002205BC" w:rsidRDefault="00055299" w14:paraId="68960DE3" w14:textId="77777777">
            <w:pPr>
              <w:keepNext/>
              <w:spacing w:before="60" w:after="60"/>
              <w:rPr>
                <w:rFonts w:cs="Arial"/>
                <w:sz w:val="20"/>
                <w:szCs w:val="20"/>
                <w:lang w:val="en-AU" w:eastAsia="en-AU"/>
              </w:rPr>
            </w:pPr>
            <w:r w:rsidRPr="008D1918">
              <w:rPr>
                <w:sz w:val="20"/>
                <w:szCs w:val="20"/>
                <w:lang w:val="en-AU"/>
              </w:rPr>
              <w:t>Number of active providers</w:t>
            </w:r>
          </w:p>
        </w:tc>
        <w:tc>
          <w:tcPr>
            <w:tcW w:w="1134" w:type="dxa"/>
            <w:vAlign w:val="center"/>
          </w:tcPr>
          <w:p w:rsidRPr="008D1918" w:rsidR="00055299" w:rsidP="002B3625" w:rsidRDefault="00055299" w14:paraId="5F9FA264" w14:textId="77777777">
            <w:pPr>
              <w:keepNext/>
              <w:spacing w:before="60" w:after="60"/>
              <w:jc w:val="right"/>
              <w:rPr>
                <w:rFonts w:cs="Arial"/>
                <w:color w:val="000000"/>
                <w:sz w:val="20"/>
                <w:szCs w:val="20"/>
                <w:lang w:val="en-AU"/>
              </w:rPr>
            </w:pPr>
            <w:r w:rsidRPr="008D1918">
              <w:rPr>
                <w:sz w:val="20"/>
                <w:szCs w:val="20"/>
                <w:lang w:val="en-AU"/>
              </w:rPr>
              <w:t>998</w:t>
            </w:r>
          </w:p>
        </w:tc>
        <w:tc>
          <w:tcPr>
            <w:tcW w:w="1418" w:type="dxa"/>
            <w:vAlign w:val="center"/>
          </w:tcPr>
          <w:p w:rsidRPr="008D1918" w:rsidR="00055299" w:rsidP="002205BC" w:rsidRDefault="00055299" w14:paraId="0A25C9DF" w14:textId="77777777">
            <w:pPr>
              <w:keepNext/>
              <w:spacing w:before="60" w:after="60"/>
              <w:jc w:val="right"/>
              <w:rPr>
                <w:rFonts w:cs="Arial"/>
                <w:color w:val="000000"/>
                <w:sz w:val="20"/>
                <w:szCs w:val="20"/>
                <w:lang w:val="en-AU"/>
              </w:rPr>
            </w:pPr>
            <w:r w:rsidRPr="008D1918">
              <w:rPr>
                <w:sz w:val="20"/>
                <w:szCs w:val="20"/>
                <w:lang w:val="en-AU"/>
              </w:rPr>
              <w:t>5</w:t>
            </w:r>
          </w:p>
        </w:tc>
        <w:tc>
          <w:tcPr>
            <w:tcW w:w="1418" w:type="dxa"/>
            <w:vAlign w:val="center"/>
          </w:tcPr>
          <w:p w:rsidRPr="008D1918" w:rsidR="00055299" w:rsidP="002205BC" w:rsidRDefault="00055299" w14:paraId="66BE26EF" w14:textId="77777777">
            <w:pPr>
              <w:keepNext/>
              <w:spacing w:before="60" w:after="60"/>
              <w:jc w:val="right"/>
              <w:rPr>
                <w:rFonts w:cs="Arial"/>
                <w:color w:val="000000"/>
                <w:sz w:val="20"/>
                <w:szCs w:val="20"/>
                <w:lang w:val="en-AU"/>
              </w:rPr>
            </w:pPr>
            <w:r w:rsidRPr="008D1918">
              <w:rPr>
                <w:sz w:val="20"/>
                <w:szCs w:val="20"/>
                <w:lang w:val="en-AU"/>
              </w:rPr>
              <w:t>33</w:t>
            </w:r>
          </w:p>
        </w:tc>
        <w:tc>
          <w:tcPr>
            <w:tcW w:w="1134" w:type="dxa"/>
            <w:vAlign w:val="center"/>
          </w:tcPr>
          <w:p w:rsidRPr="008D1918" w:rsidR="00055299" w:rsidP="002205BC" w:rsidRDefault="00055299" w14:paraId="27E87E23" w14:textId="77777777">
            <w:pPr>
              <w:keepNext/>
              <w:spacing w:before="60" w:after="60"/>
              <w:jc w:val="right"/>
              <w:rPr>
                <w:rFonts w:cs="Arial"/>
                <w:color w:val="000000"/>
                <w:sz w:val="20"/>
                <w:szCs w:val="20"/>
                <w:lang w:val="en-AU"/>
              </w:rPr>
            </w:pPr>
            <w:r w:rsidRPr="008D1918">
              <w:rPr>
                <w:sz w:val="20"/>
                <w:szCs w:val="20"/>
                <w:lang w:val="en-AU"/>
              </w:rPr>
              <w:t>94</w:t>
            </w:r>
          </w:p>
        </w:tc>
        <w:tc>
          <w:tcPr>
            <w:tcW w:w="1134" w:type="dxa"/>
            <w:vAlign w:val="center"/>
          </w:tcPr>
          <w:p w:rsidRPr="008D1918" w:rsidR="00055299" w:rsidP="002205BC" w:rsidRDefault="00055299" w14:paraId="1D3BB9FE" w14:textId="77777777">
            <w:pPr>
              <w:keepNext/>
              <w:spacing w:before="60" w:after="60"/>
              <w:jc w:val="right"/>
              <w:rPr>
                <w:rFonts w:cs="Arial"/>
                <w:color w:val="000000"/>
                <w:sz w:val="20"/>
                <w:szCs w:val="20"/>
                <w:lang w:val="en-AU"/>
              </w:rPr>
            </w:pPr>
            <w:r w:rsidRPr="008D1918">
              <w:rPr>
                <w:sz w:val="20"/>
                <w:szCs w:val="20"/>
                <w:lang w:val="en-AU"/>
              </w:rPr>
              <w:t>205</w:t>
            </w:r>
          </w:p>
        </w:tc>
      </w:tr>
      <w:tr w:rsidRPr="008D1918" w:rsidR="00173A73" w:rsidTr="002205BC" w14:paraId="780DCE97" w14:textId="77777777">
        <w:trPr>
          <w:cnfStyle w:val="000000100000" w:firstRow="0" w:lastRow="0" w:firstColumn="0" w:lastColumn="0" w:oddVBand="0" w:evenVBand="0" w:oddHBand="1" w:evenHBand="0" w:firstRowFirstColumn="0" w:firstRowLastColumn="0" w:lastRowFirstColumn="0" w:lastRowLastColumn="0"/>
          <w:trHeight w:val="680"/>
        </w:trPr>
        <w:tc>
          <w:tcPr>
            <w:tcW w:w="2835" w:type="dxa"/>
            <w:vAlign w:val="center"/>
          </w:tcPr>
          <w:p w:rsidRPr="008D1918" w:rsidR="00055299" w:rsidP="002205BC" w:rsidRDefault="00055299" w14:paraId="18DD45BA" w14:textId="77777777">
            <w:pPr>
              <w:keepNext/>
              <w:spacing w:before="60" w:after="60"/>
              <w:rPr>
                <w:rFonts w:cs="Arial"/>
                <w:sz w:val="20"/>
                <w:szCs w:val="20"/>
                <w:lang w:val="en-AU" w:eastAsia="en-AU"/>
              </w:rPr>
            </w:pPr>
            <w:r w:rsidRPr="008D1918">
              <w:rPr>
                <w:sz w:val="20"/>
                <w:szCs w:val="20"/>
                <w:lang w:val="en-AU"/>
              </w:rPr>
              <w:t xml:space="preserve">Total amount claimed by active providers (including management fee) </w:t>
            </w:r>
            <w:r w:rsidRPr="008D1918">
              <w:rPr>
                <w:b/>
                <w:bCs/>
                <w:sz w:val="20"/>
                <w:szCs w:val="20"/>
                <w:lang w:val="en-AU"/>
              </w:rPr>
              <w:t>(million)</w:t>
            </w:r>
          </w:p>
        </w:tc>
        <w:tc>
          <w:tcPr>
            <w:tcW w:w="1134" w:type="dxa"/>
            <w:vAlign w:val="center"/>
          </w:tcPr>
          <w:p w:rsidRPr="008D1918" w:rsidR="00055299" w:rsidP="002B3625" w:rsidRDefault="00055299" w14:paraId="7BC8A16C" w14:textId="77777777">
            <w:pPr>
              <w:keepNext/>
              <w:spacing w:before="60" w:after="60"/>
              <w:jc w:val="right"/>
              <w:rPr>
                <w:rFonts w:cs="Arial"/>
                <w:color w:val="000000"/>
                <w:sz w:val="20"/>
                <w:szCs w:val="20"/>
                <w:lang w:val="en-AU"/>
              </w:rPr>
            </w:pPr>
            <w:r w:rsidRPr="008D1918">
              <w:rPr>
                <w:sz w:val="20"/>
                <w:szCs w:val="20"/>
                <w:lang w:val="en-AU"/>
              </w:rPr>
              <w:t>$13,968.0</w:t>
            </w:r>
          </w:p>
        </w:tc>
        <w:tc>
          <w:tcPr>
            <w:tcW w:w="1418" w:type="dxa"/>
            <w:vAlign w:val="center"/>
          </w:tcPr>
          <w:p w:rsidRPr="008D1918" w:rsidR="00055299" w:rsidP="002205BC" w:rsidRDefault="00055299" w14:paraId="5AE5968E" w14:textId="77777777">
            <w:pPr>
              <w:keepNext/>
              <w:spacing w:before="60" w:after="60"/>
              <w:jc w:val="right"/>
              <w:rPr>
                <w:rFonts w:cs="Arial"/>
                <w:color w:val="000000"/>
                <w:sz w:val="20"/>
                <w:szCs w:val="20"/>
                <w:lang w:val="en-AU"/>
              </w:rPr>
            </w:pPr>
            <w:r w:rsidRPr="008D1918">
              <w:rPr>
                <w:sz w:val="20"/>
                <w:szCs w:val="20"/>
                <w:lang w:val="en-AU"/>
              </w:rPr>
              <w:t>$3.7</w:t>
            </w:r>
          </w:p>
        </w:tc>
        <w:tc>
          <w:tcPr>
            <w:tcW w:w="1418" w:type="dxa"/>
            <w:vAlign w:val="center"/>
          </w:tcPr>
          <w:p w:rsidRPr="008D1918" w:rsidR="00055299" w:rsidP="002205BC" w:rsidRDefault="00055299" w14:paraId="34CDBC33" w14:textId="77777777">
            <w:pPr>
              <w:keepNext/>
              <w:spacing w:before="60" w:after="60"/>
              <w:jc w:val="right"/>
              <w:rPr>
                <w:rFonts w:cs="Arial"/>
                <w:color w:val="000000"/>
                <w:sz w:val="20"/>
                <w:szCs w:val="20"/>
                <w:lang w:val="en-AU"/>
              </w:rPr>
            </w:pPr>
            <w:r w:rsidRPr="008D1918">
              <w:rPr>
                <w:sz w:val="20"/>
                <w:szCs w:val="20"/>
                <w:lang w:val="en-AU"/>
              </w:rPr>
              <w:t>$329.8</w:t>
            </w:r>
          </w:p>
        </w:tc>
        <w:tc>
          <w:tcPr>
            <w:tcW w:w="1134" w:type="dxa"/>
            <w:vAlign w:val="center"/>
          </w:tcPr>
          <w:p w:rsidRPr="008D1918" w:rsidR="00055299" w:rsidP="002205BC" w:rsidRDefault="00055299" w14:paraId="53B9B89C" w14:textId="77777777">
            <w:pPr>
              <w:keepNext/>
              <w:spacing w:before="60" w:after="60"/>
              <w:jc w:val="right"/>
              <w:rPr>
                <w:rFonts w:cs="Arial"/>
                <w:color w:val="000000"/>
                <w:sz w:val="20"/>
                <w:szCs w:val="20"/>
                <w:lang w:val="en-AU"/>
              </w:rPr>
            </w:pPr>
            <w:r w:rsidRPr="008D1918">
              <w:rPr>
                <w:sz w:val="20"/>
                <w:szCs w:val="20"/>
                <w:lang w:val="en-AU"/>
              </w:rPr>
              <w:t>$936.4</w:t>
            </w:r>
          </w:p>
        </w:tc>
        <w:tc>
          <w:tcPr>
            <w:tcW w:w="1134" w:type="dxa"/>
            <w:vAlign w:val="center"/>
          </w:tcPr>
          <w:p w:rsidRPr="008D1918" w:rsidR="00055299" w:rsidP="002205BC" w:rsidRDefault="00055299" w14:paraId="16EC0879" w14:textId="77777777">
            <w:pPr>
              <w:keepNext/>
              <w:spacing w:before="60" w:after="60"/>
              <w:jc w:val="right"/>
              <w:rPr>
                <w:rFonts w:cs="Arial"/>
                <w:color w:val="000000"/>
                <w:sz w:val="20"/>
                <w:szCs w:val="20"/>
                <w:lang w:val="en-AU"/>
              </w:rPr>
            </w:pPr>
            <w:r w:rsidRPr="008D1918">
              <w:rPr>
                <w:sz w:val="20"/>
                <w:szCs w:val="20"/>
                <w:lang w:val="en-AU"/>
              </w:rPr>
              <w:t>$715.1</w:t>
            </w:r>
          </w:p>
        </w:tc>
      </w:tr>
      <w:tr w:rsidRPr="008D1918" w:rsidR="00055299" w:rsidTr="002205BC" w14:paraId="1949DF18" w14:textId="77777777">
        <w:trPr>
          <w:trHeight w:val="680"/>
        </w:trPr>
        <w:tc>
          <w:tcPr>
            <w:tcW w:w="2835" w:type="dxa"/>
            <w:vAlign w:val="center"/>
          </w:tcPr>
          <w:p w:rsidRPr="008D1918" w:rsidR="00055299" w:rsidP="002205BC" w:rsidRDefault="00055299" w14:paraId="6346F510" w14:textId="4F5A7C4C">
            <w:pPr>
              <w:keepNext/>
              <w:spacing w:before="60" w:after="60"/>
              <w:rPr>
                <w:rFonts w:cs="Arial"/>
                <w:sz w:val="20"/>
                <w:szCs w:val="20"/>
                <w:lang w:val="en-AU" w:eastAsia="en-AU"/>
              </w:rPr>
            </w:pPr>
            <w:r w:rsidRPr="008D1918">
              <w:rPr>
                <w:sz w:val="20"/>
                <w:szCs w:val="20"/>
                <w:lang w:val="en-AU"/>
              </w:rPr>
              <w:t xml:space="preserve">Average amount claimed </w:t>
            </w:r>
            <w:r w:rsidRPr="008D1918">
              <w:rPr>
                <w:b/>
                <w:bCs/>
                <w:sz w:val="20"/>
                <w:szCs w:val="20"/>
                <w:lang w:val="en-AU"/>
              </w:rPr>
              <w:t>(million)</w:t>
            </w:r>
          </w:p>
        </w:tc>
        <w:tc>
          <w:tcPr>
            <w:tcW w:w="1134" w:type="dxa"/>
            <w:vAlign w:val="center"/>
          </w:tcPr>
          <w:p w:rsidRPr="008D1918" w:rsidR="00055299" w:rsidP="002B3625" w:rsidRDefault="00055299" w14:paraId="34344513" w14:textId="77777777">
            <w:pPr>
              <w:keepNext/>
              <w:spacing w:before="60" w:after="60"/>
              <w:jc w:val="right"/>
              <w:rPr>
                <w:rFonts w:cs="Arial"/>
                <w:color w:val="000000"/>
                <w:sz w:val="20"/>
                <w:szCs w:val="20"/>
                <w:lang w:val="en-AU"/>
              </w:rPr>
            </w:pPr>
            <w:r w:rsidRPr="008D1918">
              <w:rPr>
                <w:sz w:val="20"/>
                <w:szCs w:val="20"/>
                <w:lang w:val="en-AU"/>
              </w:rPr>
              <w:t>$14.0</w:t>
            </w:r>
          </w:p>
        </w:tc>
        <w:tc>
          <w:tcPr>
            <w:tcW w:w="1418" w:type="dxa"/>
            <w:vAlign w:val="center"/>
          </w:tcPr>
          <w:p w:rsidRPr="008D1918" w:rsidR="00055299" w:rsidP="002205BC" w:rsidRDefault="00055299" w14:paraId="544AB0B5" w14:textId="77777777">
            <w:pPr>
              <w:keepNext/>
              <w:spacing w:before="60" w:after="60"/>
              <w:jc w:val="right"/>
              <w:rPr>
                <w:rFonts w:cs="Arial"/>
                <w:color w:val="000000"/>
                <w:sz w:val="20"/>
                <w:szCs w:val="20"/>
                <w:lang w:val="en-AU"/>
              </w:rPr>
            </w:pPr>
            <w:r w:rsidRPr="008D1918">
              <w:rPr>
                <w:sz w:val="20"/>
                <w:szCs w:val="20"/>
                <w:lang w:val="en-AU"/>
              </w:rPr>
              <w:t>$0.7</w:t>
            </w:r>
          </w:p>
        </w:tc>
        <w:tc>
          <w:tcPr>
            <w:tcW w:w="1418" w:type="dxa"/>
            <w:vAlign w:val="center"/>
          </w:tcPr>
          <w:p w:rsidRPr="008D1918" w:rsidR="00055299" w:rsidP="002205BC" w:rsidRDefault="00055299" w14:paraId="506A028B" w14:textId="77777777">
            <w:pPr>
              <w:keepNext/>
              <w:spacing w:before="60" w:after="60"/>
              <w:jc w:val="right"/>
              <w:rPr>
                <w:rFonts w:cs="Arial"/>
                <w:color w:val="000000"/>
                <w:sz w:val="20"/>
                <w:szCs w:val="20"/>
                <w:lang w:val="en-AU"/>
              </w:rPr>
            </w:pPr>
            <w:r w:rsidRPr="008D1918">
              <w:rPr>
                <w:sz w:val="20"/>
                <w:szCs w:val="20"/>
                <w:lang w:val="en-AU"/>
              </w:rPr>
              <w:t>$10.0</w:t>
            </w:r>
          </w:p>
        </w:tc>
        <w:tc>
          <w:tcPr>
            <w:tcW w:w="1134" w:type="dxa"/>
            <w:vAlign w:val="center"/>
          </w:tcPr>
          <w:p w:rsidRPr="008D1918" w:rsidR="00055299" w:rsidP="002205BC" w:rsidRDefault="00055299" w14:paraId="0DF072D4" w14:textId="77777777">
            <w:pPr>
              <w:keepNext/>
              <w:spacing w:before="60" w:after="60"/>
              <w:jc w:val="right"/>
              <w:rPr>
                <w:rFonts w:cs="Arial"/>
                <w:color w:val="000000"/>
                <w:sz w:val="20"/>
                <w:szCs w:val="20"/>
                <w:lang w:val="en-AU"/>
              </w:rPr>
            </w:pPr>
            <w:r w:rsidRPr="008D1918">
              <w:rPr>
                <w:sz w:val="20"/>
                <w:szCs w:val="20"/>
                <w:lang w:val="en-AU"/>
              </w:rPr>
              <w:t>$10.0</w:t>
            </w:r>
          </w:p>
        </w:tc>
        <w:tc>
          <w:tcPr>
            <w:tcW w:w="1134" w:type="dxa"/>
            <w:vAlign w:val="center"/>
          </w:tcPr>
          <w:p w:rsidRPr="008D1918" w:rsidR="00055299" w:rsidP="002205BC" w:rsidRDefault="00055299" w14:paraId="5C71EACF" w14:textId="77777777">
            <w:pPr>
              <w:keepNext/>
              <w:spacing w:before="60" w:after="60"/>
              <w:jc w:val="right"/>
              <w:rPr>
                <w:rFonts w:cs="Arial"/>
                <w:color w:val="000000"/>
                <w:sz w:val="20"/>
                <w:szCs w:val="20"/>
                <w:lang w:val="en-AU"/>
              </w:rPr>
            </w:pPr>
            <w:r w:rsidRPr="008D1918">
              <w:rPr>
                <w:sz w:val="20"/>
                <w:szCs w:val="20"/>
                <w:lang w:val="en-AU"/>
              </w:rPr>
              <w:t>$3.5</w:t>
            </w:r>
          </w:p>
        </w:tc>
      </w:tr>
      <w:tr w:rsidRPr="008D1918" w:rsidR="00173A73" w:rsidTr="002205BC" w14:paraId="38DA293A" w14:textId="77777777">
        <w:trPr>
          <w:cnfStyle w:val="000000100000" w:firstRow="0" w:lastRow="0" w:firstColumn="0" w:lastColumn="0" w:oddVBand="0" w:evenVBand="0" w:oddHBand="1" w:evenHBand="0" w:firstRowFirstColumn="0" w:firstRowLastColumn="0" w:lastRowFirstColumn="0" w:lastRowLastColumn="0"/>
          <w:trHeight w:val="680"/>
        </w:trPr>
        <w:tc>
          <w:tcPr>
            <w:tcW w:w="2835" w:type="dxa"/>
            <w:vAlign w:val="center"/>
          </w:tcPr>
          <w:p w:rsidRPr="008D1918" w:rsidR="00055299" w:rsidP="002205BC" w:rsidRDefault="00055299" w14:paraId="420051AB" w14:textId="77777777">
            <w:pPr>
              <w:keepNext/>
              <w:spacing w:before="60" w:after="60"/>
              <w:rPr>
                <w:rFonts w:cs="Arial"/>
                <w:sz w:val="20"/>
                <w:szCs w:val="20"/>
                <w:lang w:val="en-AU" w:eastAsia="en-AU"/>
              </w:rPr>
            </w:pPr>
            <w:r w:rsidRPr="008D1918">
              <w:rPr>
                <w:sz w:val="20"/>
                <w:szCs w:val="20"/>
                <w:lang w:val="en-AU"/>
              </w:rPr>
              <w:t xml:space="preserve">Total amount claimed by active providers as plan management fee </w:t>
            </w:r>
            <w:r w:rsidRPr="008D1918">
              <w:rPr>
                <w:b/>
                <w:bCs/>
                <w:sz w:val="20"/>
                <w:szCs w:val="20"/>
                <w:lang w:val="en-AU"/>
              </w:rPr>
              <w:t>(million)</w:t>
            </w:r>
          </w:p>
        </w:tc>
        <w:tc>
          <w:tcPr>
            <w:tcW w:w="1134" w:type="dxa"/>
            <w:vAlign w:val="center"/>
          </w:tcPr>
          <w:p w:rsidRPr="008D1918" w:rsidR="00055299" w:rsidP="002B3625" w:rsidRDefault="00055299" w14:paraId="2149DE92" w14:textId="77777777">
            <w:pPr>
              <w:keepNext/>
              <w:spacing w:before="60" w:after="60"/>
              <w:jc w:val="right"/>
              <w:rPr>
                <w:rFonts w:cs="Arial"/>
                <w:color w:val="000000"/>
                <w:sz w:val="20"/>
                <w:szCs w:val="20"/>
                <w:lang w:val="en-AU"/>
              </w:rPr>
            </w:pPr>
            <w:r w:rsidRPr="008D1918">
              <w:rPr>
                <w:sz w:val="20"/>
                <w:szCs w:val="20"/>
                <w:lang w:val="en-AU"/>
              </w:rPr>
              <w:t>$281.3</w:t>
            </w:r>
          </w:p>
        </w:tc>
        <w:tc>
          <w:tcPr>
            <w:tcW w:w="1418" w:type="dxa"/>
            <w:vAlign w:val="center"/>
          </w:tcPr>
          <w:p w:rsidRPr="008D1918" w:rsidR="00055299" w:rsidP="002205BC" w:rsidRDefault="00055299" w14:paraId="29EC4B86" w14:textId="77777777">
            <w:pPr>
              <w:keepNext/>
              <w:spacing w:before="60" w:after="60"/>
              <w:jc w:val="right"/>
              <w:rPr>
                <w:rFonts w:cs="Arial"/>
                <w:color w:val="000000"/>
                <w:sz w:val="20"/>
                <w:szCs w:val="20"/>
                <w:lang w:val="en-AU"/>
              </w:rPr>
            </w:pPr>
            <w:r w:rsidRPr="008D1918">
              <w:rPr>
                <w:sz w:val="20"/>
                <w:szCs w:val="20"/>
                <w:lang w:val="en-AU"/>
              </w:rPr>
              <w:t>$0.1</w:t>
            </w:r>
          </w:p>
        </w:tc>
        <w:tc>
          <w:tcPr>
            <w:tcW w:w="1418" w:type="dxa"/>
            <w:vAlign w:val="center"/>
          </w:tcPr>
          <w:p w:rsidRPr="008D1918" w:rsidR="00055299" w:rsidP="002205BC" w:rsidRDefault="00055299" w14:paraId="691A2E44" w14:textId="77777777">
            <w:pPr>
              <w:keepNext/>
              <w:spacing w:before="60" w:after="60"/>
              <w:jc w:val="right"/>
              <w:rPr>
                <w:rFonts w:cs="Arial"/>
                <w:color w:val="000000"/>
                <w:sz w:val="20"/>
                <w:szCs w:val="20"/>
                <w:lang w:val="en-AU"/>
              </w:rPr>
            </w:pPr>
            <w:r w:rsidRPr="008D1918">
              <w:rPr>
                <w:sz w:val="20"/>
                <w:szCs w:val="20"/>
                <w:lang w:val="en-AU"/>
              </w:rPr>
              <w:t>$6.4</w:t>
            </w:r>
          </w:p>
        </w:tc>
        <w:tc>
          <w:tcPr>
            <w:tcW w:w="1134" w:type="dxa"/>
            <w:vAlign w:val="center"/>
          </w:tcPr>
          <w:p w:rsidRPr="008D1918" w:rsidR="00055299" w:rsidP="002205BC" w:rsidRDefault="00055299" w14:paraId="2C6DD7B2" w14:textId="77777777">
            <w:pPr>
              <w:keepNext/>
              <w:spacing w:before="60" w:after="60"/>
              <w:jc w:val="right"/>
              <w:rPr>
                <w:rFonts w:cs="Arial"/>
                <w:color w:val="000000"/>
                <w:sz w:val="20"/>
                <w:szCs w:val="20"/>
                <w:lang w:val="en-AU"/>
              </w:rPr>
            </w:pPr>
            <w:r w:rsidRPr="008D1918">
              <w:rPr>
                <w:sz w:val="20"/>
                <w:szCs w:val="20"/>
                <w:lang w:val="en-AU"/>
              </w:rPr>
              <w:t>$17.2</w:t>
            </w:r>
          </w:p>
        </w:tc>
        <w:tc>
          <w:tcPr>
            <w:tcW w:w="1134" w:type="dxa"/>
            <w:vAlign w:val="center"/>
          </w:tcPr>
          <w:p w:rsidRPr="008D1918" w:rsidR="00055299" w:rsidP="002205BC" w:rsidRDefault="00055299" w14:paraId="0CF89E36" w14:textId="77777777">
            <w:pPr>
              <w:keepNext/>
              <w:spacing w:before="60" w:after="60"/>
              <w:jc w:val="right"/>
              <w:rPr>
                <w:rFonts w:cs="Arial"/>
                <w:color w:val="000000"/>
                <w:sz w:val="20"/>
                <w:szCs w:val="20"/>
                <w:lang w:val="en-AU"/>
              </w:rPr>
            </w:pPr>
            <w:r w:rsidRPr="008D1918">
              <w:rPr>
                <w:sz w:val="20"/>
                <w:szCs w:val="20"/>
                <w:lang w:val="en-AU"/>
              </w:rPr>
              <w:t>$15.5</w:t>
            </w:r>
          </w:p>
        </w:tc>
      </w:tr>
      <w:tr w:rsidRPr="008D1918" w:rsidR="00055299" w:rsidTr="002205BC" w14:paraId="76DAFFB9" w14:textId="77777777">
        <w:trPr>
          <w:trHeight w:val="680"/>
        </w:trPr>
        <w:tc>
          <w:tcPr>
            <w:tcW w:w="2835" w:type="dxa"/>
            <w:vAlign w:val="center"/>
          </w:tcPr>
          <w:p w:rsidRPr="008D1918" w:rsidR="00055299" w:rsidP="002205BC" w:rsidRDefault="00055299" w14:paraId="246C64F9" w14:textId="77777777">
            <w:pPr>
              <w:keepNext/>
              <w:spacing w:before="60" w:after="60"/>
              <w:rPr>
                <w:sz w:val="20"/>
                <w:szCs w:val="20"/>
                <w:lang w:val="en-AU"/>
              </w:rPr>
            </w:pPr>
            <w:r w:rsidRPr="008D1918">
              <w:rPr>
                <w:sz w:val="20"/>
                <w:szCs w:val="20"/>
                <w:lang w:val="en-AU"/>
              </w:rPr>
              <w:t>Average amount claimed as plan management fee</w:t>
            </w:r>
          </w:p>
        </w:tc>
        <w:tc>
          <w:tcPr>
            <w:tcW w:w="1134" w:type="dxa"/>
            <w:vAlign w:val="center"/>
          </w:tcPr>
          <w:p w:rsidRPr="008D1918" w:rsidR="00055299" w:rsidP="002B3625" w:rsidRDefault="00055299" w14:paraId="6D6A6232" w14:textId="77777777">
            <w:pPr>
              <w:keepNext/>
              <w:spacing w:before="60" w:after="60"/>
              <w:jc w:val="right"/>
              <w:rPr>
                <w:rFonts w:cs="Arial"/>
                <w:color w:val="000000"/>
                <w:sz w:val="20"/>
                <w:szCs w:val="20"/>
                <w:lang w:val="en-AU"/>
              </w:rPr>
            </w:pPr>
            <w:r w:rsidRPr="008D1918">
              <w:rPr>
                <w:sz w:val="20"/>
                <w:szCs w:val="20"/>
                <w:lang w:val="en-AU"/>
              </w:rPr>
              <w:t>$281,800</w:t>
            </w:r>
          </w:p>
        </w:tc>
        <w:tc>
          <w:tcPr>
            <w:tcW w:w="1418" w:type="dxa"/>
            <w:vAlign w:val="center"/>
          </w:tcPr>
          <w:p w:rsidRPr="008D1918" w:rsidR="00055299" w:rsidP="002205BC" w:rsidRDefault="00055299" w14:paraId="25460BC8" w14:textId="77777777">
            <w:pPr>
              <w:keepNext/>
              <w:spacing w:before="60" w:after="60"/>
              <w:jc w:val="right"/>
              <w:rPr>
                <w:rFonts w:cs="Arial"/>
                <w:color w:val="000000"/>
                <w:sz w:val="20"/>
                <w:szCs w:val="20"/>
                <w:lang w:val="en-AU"/>
              </w:rPr>
            </w:pPr>
            <w:r w:rsidRPr="008D1918">
              <w:rPr>
                <w:sz w:val="20"/>
                <w:szCs w:val="20"/>
                <w:lang w:val="en-AU"/>
              </w:rPr>
              <w:t>$24,500</w:t>
            </w:r>
          </w:p>
        </w:tc>
        <w:tc>
          <w:tcPr>
            <w:tcW w:w="1418" w:type="dxa"/>
            <w:vAlign w:val="center"/>
          </w:tcPr>
          <w:p w:rsidRPr="008D1918" w:rsidR="00055299" w:rsidP="002205BC" w:rsidRDefault="00055299" w14:paraId="0B3EB5A0" w14:textId="77777777">
            <w:pPr>
              <w:keepNext/>
              <w:spacing w:before="60" w:after="60"/>
              <w:jc w:val="right"/>
              <w:rPr>
                <w:rFonts w:cs="Arial"/>
                <w:color w:val="000000"/>
                <w:sz w:val="20"/>
                <w:szCs w:val="20"/>
                <w:lang w:val="en-AU"/>
              </w:rPr>
            </w:pPr>
            <w:r w:rsidRPr="008D1918">
              <w:rPr>
                <w:sz w:val="20"/>
                <w:szCs w:val="20"/>
                <w:lang w:val="en-AU"/>
              </w:rPr>
              <w:t>$192,500</w:t>
            </w:r>
          </w:p>
        </w:tc>
        <w:tc>
          <w:tcPr>
            <w:tcW w:w="1134" w:type="dxa"/>
            <w:vAlign w:val="center"/>
          </w:tcPr>
          <w:p w:rsidRPr="008D1918" w:rsidR="00055299" w:rsidP="002205BC" w:rsidRDefault="00055299" w14:paraId="7FCA76EA" w14:textId="77777777">
            <w:pPr>
              <w:keepNext/>
              <w:spacing w:before="60" w:after="60"/>
              <w:jc w:val="right"/>
              <w:rPr>
                <w:rFonts w:cs="Arial"/>
                <w:color w:val="000000"/>
                <w:sz w:val="20"/>
                <w:szCs w:val="20"/>
                <w:lang w:val="en-AU"/>
              </w:rPr>
            </w:pPr>
            <w:r w:rsidRPr="008D1918">
              <w:rPr>
                <w:sz w:val="20"/>
                <w:szCs w:val="20"/>
                <w:lang w:val="en-AU"/>
              </w:rPr>
              <w:t>$182,900</w:t>
            </w:r>
          </w:p>
        </w:tc>
        <w:tc>
          <w:tcPr>
            <w:tcW w:w="1134" w:type="dxa"/>
            <w:vAlign w:val="center"/>
          </w:tcPr>
          <w:p w:rsidRPr="008D1918" w:rsidR="00055299" w:rsidP="002205BC" w:rsidRDefault="00055299" w14:paraId="1540ED44" w14:textId="77777777">
            <w:pPr>
              <w:keepNext/>
              <w:spacing w:before="60" w:after="60"/>
              <w:jc w:val="right"/>
              <w:rPr>
                <w:rFonts w:cs="Arial"/>
                <w:color w:val="000000"/>
                <w:sz w:val="20"/>
                <w:szCs w:val="20"/>
                <w:lang w:val="en-AU"/>
              </w:rPr>
            </w:pPr>
            <w:r w:rsidRPr="008D1918">
              <w:rPr>
                <w:sz w:val="20"/>
                <w:szCs w:val="20"/>
                <w:lang w:val="en-AU"/>
              </w:rPr>
              <w:t>$75,700</w:t>
            </w:r>
          </w:p>
        </w:tc>
      </w:tr>
    </w:tbl>
    <w:p w:rsidRPr="008D1918" w:rsidR="00055299" w:rsidP="001D163B" w:rsidRDefault="00055299" w14:paraId="4A915AFC" w14:textId="77777777">
      <w:pPr>
        <w:spacing w:before="120" w:after="60"/>
        <w:rPr>
          <w:b/>
          <w:sz w:val="20"/>
          <w:szCs w:val="20"/>
          <w:lang w:val="en-AU"/>
        </w:rPr>
      </w:pPr>
      <w:r w:rsidRPr="008D1918">
        <w:rPr>
          <w:b/>
          <w:sz w:val="20"/>
          <w:szCs w:val="20"/>
          <w:lang w:val="en-AU"/>
        </w:rPr>
        <w:t>Source: NDIS internal administrative data.</w:t>
      </w:r>
    </w:p>
    <w:p w:rsidRPr="008D1918" w:rsidR="00EF0DDE" w:rsidP="001D163B" w:rsidRDefault="00CB3225" w14:paraId="2EE246CC" w14:textId="2D719CDA">
      <w:pPr>
        <w:spacing w:before="60" w:after="60"/>
        <w:rPr>
          <w:sz w:val="20"/>
          <w:szCs w:val="20"/>
          <w:lang w:val="en-AU"/>
        </w:rPr>
      </w:pPr>
      <w:r w:rsidRPr="008D1918">
        <w:rPr>
          <w:bCs/>
          <w:sz w:val="20"/>
          <w:szCs w:val="20"/>
          <w:lang w:val="en-AU"/>
        </w:rPr>
        <w:t xml:space="preserve">The average plan management fee per company provider ($281,800) is 3.7 times that of the average sole trader ($75,700), reflecting the same structural dynamic seen across the market, the </w:t>
      </w:r>
      <w:r w:rsidRPr="008D1918" w:rsidR="0068527D">
        <w:rPr>
          <w:bCs/>
          <w:sz w:val="20"/>
          <w:szCs w:val="20"/>
          <w:lang w:val="en-AU"/>
        </w:rPr>
        <w:t>flat</w:t>
      </w:r>
      <w:r w:rsidRPr="008D1918">
        <w:rPr>
          <w:bCs/>
          <w:sz w:val="20"/>
          <w:szCs w:val="20"/>
          <w:lang w:val="en-AU"/>
        </w:rPr>
        <w:t xml:space="preserve"> monthly fee generates returns proportional to participant volume, and companies dominate that volume. This pattern is examined further in the Provider revenue and processing section below. </w:t>
      </w:r>
    </w:p>
    <w:p w:rsidRPr="008D1918" w:rsidR="00055299" w:rsidP="00FA118E" w:rsidRDefault="00055299" w14:paraId="455C5C46" w14:textId="7A9B32E7">
      <w:pPr>
        <w:pStyle w:val="Heading31"/>
        <w:ind w:left="1077" w:hanging="720"/>
      </w:pPr>
      <w:bookmarkStart w:name="_Toc196304234" w:id="1877"/>
      <w:bookmarkStart w:name="_Toc196754650" w:id="1878"/>
      <w:bookmarkStart w:name="_Toc196758252" w:id="1879"/>
      <w:bookmarkStart w:name="_Toc197344328" w:id="1880"/>
      <w:bookmarkStart w:name="_Toc200271692" w:id="1881"/>
      <w:bookmarkStart w:name="_Toc223539753" w:id="1882"/>
      <w:bookmarkStart w:name="_Toc223539966" w:id="1883"/>
      <w:bookmarkStart w:name="_Toc223540434" w:id="1884"/>
      <w:bookmarkStart w:name="_Toc223540650" w:id="1885"/>
      <w:bookmarkStart w:name="_Toc223542190" w:id="1886"/>
      <w:bookmarkStart w:name="_Toc223604376" w:id="1887"/>
      <w:bookmarkStart w:name="_Toc223604587" w:id="1888"/>
      <w:bookmarkStart w:name="_Toc227337153" w:id="1889"/>
      <w:r w:rsidRPr="008D1918">
        <w:t xml:space="preserve">Business </w:t>
      </w:r>
      <w:r w:rsidRPr="008D1918" w:rsidR="008B74D9">
        <w:t>d</w:t>
      </w:r>
      <w:r w:rsidRPr="008D1918">
        <w:t>ynamism</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p>
    <w:p w:rsidRPr="008D1918" w:rsidR="00CB3225" w:rsidRDefault="00CB3225" w14:paraId="2EA062F7" w14:textId="4EADA23C">
      <w:pPr>
        <w:rPr>
          <w:lang w:val="en-AU"/>
        </w:rPr>
      </w:pPr>
      <w:bookmarkStart w:name="_Toc196304235" w:id="1890"/>
      <w:bookmarkStart w:name="_Toc200103581" w:id="1891"/>
      <w:bookmarkStart w:name="_Toc200271693" w:id="1892"/>
      <w:r w:rsidRPr="008D1918">
        <w:rPr>
          <w:lang w:val="en-AU"/>
        </w:rPr>
        <w:t xml:space="preserve">The following subsections examine provider turnover, scale and specialisation, </w:t>
      </w:r>
      <w:r w:rsidR="00CC5FC2">
        <w:rPr>
          <w:lang w:val="en-AU"/>
        </w:rPr>
        <w:br/>
      </w:r>
      <w:r w:rsidRPr="008D1918" w:rsidR="00186248">
        <w:rPr>
          <w:lang w:val="en-AU"/>
        </w:rPr>
        <w:t xml:space="preserve">3 </w:t>
      </w:r>
      <w:r w:rsidRPr="008D1918">
        <w:rPr>
          <w:lang w:val="en-AU"/>
        </w:rPr>
        <w:t xml:space="preserve">characteristics that, taken together, indicate whether the market is stable, whether pricing is binding, and whether the current fee structure is producing appropriate incentives. </w:t>
      </w:r>
    </w:p>
    <w:p w:rsidRPr="008D1918" w:rsidR="00055299" w:rsidP="00041468" w:rsidRDefault="00055299" w14:paraId="33171DCD" w14:textId="77777777">
      <w:pPr>
        <w:pStyle w:val="StyleStyle112pt"/>
      </w:pPr>
      <w:bookmarkStart w:name="_Toc223345446" w:id="1893"/>
      <w:bookmarkStart w:name="_Toc223428521" w:id="1894"/>
      <w:bookmarkStart w:name="_Toc223445989" w:id="1895"/>
      <w:bookmarkStart w:name="_Toc223539754" w:id="1896"/>
      <w:bookmarkStart w:name="_Toc223539967" w:id="1897"/>
      <w:bookmarkStart w:name="_Toc223540435" w:id="1898"/>
      <w:bookmarkStart w:name="_Toc223540651" w:id="1899"/>
      <w:bookmarkStart w:name="_Toc223542191" w:id="1900"/>
      <w:bookmarkStart w:name="_Toc223604377" w:id="1901"/>
      <w:bookmarkStart w:name="_Toc223604588" w:id="1902"/>
      <w:bookmarkStart w:name="_Toc223604823" w:id="1903"/>
      <w:bookmarkStart w:name="_Toc223618674" w:id="1904"/>
      <w:bookmarkStart w:name="_Toc223702903" w:id="1905"/>
      <w:bookmarkStart w:name="_Toc227318786" w:id="1906"/>
      <w:bookmarkStart w:name="_Toc227337154" w:id="1907"/>
      <w:r w:rsidRPr="008D1918">
        <w:t>Provider continuity by provider size</w:t>
      </w:r>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r w:rsidRPr="008D1918">
        <w:t xml:space="preserve"> </w:t>
      </w:r>
    </w:p>
    <w:p w:rsidRPr="008D1918" w:rsidR="00055299" w:rsidRDefault="00055299" w14:paraId="18DF036A" w14:textId="4F1E36FC">
      <w:pPr>
        <w:rPr>
          <w:lang w:val="en-AU"/>
        </w:rPr>
      </w:pPr>
      <w:r w:rsidRPr="008D1918">
        <w:rPr>
          <w:lang w:val="en-AU"/>
        </w:rPr>
        <w:t xml:space="preserve">The plan management market is characterised by high continuity and low turnover. Approximately 94% of all plan-managed payments between January 2023 and December 2025 were processed by providers who were active across all </w:t>
      </w:r>
      <w:r w:rsidRPr="008D1918" w:rsidR="00AF498E">
        <w:rPr>
          <w:lang w:val="en-AU"/>
        </w:rPr>
        <w:t xml:space="preserve">6 </w:t>
      </w:r>
      <w:r w:rsidRPr="008D1918" w:rsidR="007028CB">
        <w:rPr>
          <w:lang w:val="en-AU"/>
        </w:rPr>
        <w:br/>
      </w:r>
      <w:r w:rsidRPr="008D1918">
        <w:rPr>
          <w:lang w:val="en-AU"/>
        </w:rPr>
        <w:t xml:space="preserve">half-year periods. Providers active for only one or </w:t>
      </w:r>
      <w:r w:rsidRPr="008D1918" w:rsidR="00FD4ECE">
        <w:rPr>
          <w:lang w:val="en-AU"/>
        </w:rPr>
        <w:t xml:space="preserve">2 </w:t>
      </w:r>
      <w:r w:rsidRPr="008D1918">
        <w:rPr>
          <w:lang w:val="en-AU"/>
        </w:rPr>
        <w:t>periods accounted for less than 1% of total payments (</w:t>
      </w:r>
      <w:r w:rsidRPr="008D1918" w:rsidR="00635AAA">
        <w:rPr>
          <w:lang w:val="en-AU"/>
        </w:rPr>
        <w:fldChar w:fldCharType="begin"/>
      </w:r>
      <w:r w:rsidRPr="008D1918" w:rsidR="00635AAA">
        <w:rPr>
          <w:lang w:val="en-AU"/>
        </w:rPr>
        <w:instrText xml:space="preserve"> REF _Ref223683155 \h </w:instrText>
      </w:r>
      <w:r w:rsidRPr="008D1918" w:rsidR="00762DF8">
        <w:rPr>
          <w:lang w:val="en-AU"/>
        </w:rPr>
        <w:instrText xml:space="preserve"> \* MERGEFORMAT </w:instrText>
      </w:r>
      <w:r w:rsidRPr="008D1918" w:rsidR="00635AAA">
        <w:rPr>
          <w:lang w:val="en-AU"/>
        </w:rPr>
      </w:r>
      <w:r w:rsidRPr="008D1918" w:rsidR="00635AAA">
        <w:rPr>
          <w:lang w:val="en-AU"/>
        </w:rPr>
        <w:fldChar w:fldCharType="separate"/>
      </w:r>
      <w:r w:rsidRPr="008F56A2" w:rsidR="008F56A2">
        <w:rPr>
          <w:lang w:val="en-AU"/>
        </w:rPr>
        <w:t>Figure</w:t>
      </w:r>
      <w:r w:rsidRPr="008D1918" w:rsidR="008F56A2">
        <w:t xml:space="preserve"> </w:t>
      </w:r>
      <w:r w:rsidR="008F56A2">
        <w:rPr>
          <w:noProof/>
        </w:rPr>
        <w:t>46</w:t>
      </w:r>
      <w:r w:rsidRPr="008D1918" w:rsidR="00635AAA">
        <w:rPr>
          <w:lang w:val="en-AU"/>
        </w:rPr>
        <w:fldChar w:fldCharType="end"/>
      </w:r>
      <w:r w:rsidRPr="008D1918">
        <w:rPr>
          <w:lang w:val="en-AU"/>
        </w:rPr>
        <w:t>).</w:t>
      </w:r>
    </w:p>
    <w:p w:rsidRPr="008D1918" w:rsidR="00055299" w:rsidP="00635AAA" w:rsidRDefault="00635AAA" w14:paraId="3E92BDFE" w14:textId="4081A17D">
      <w:pPr>
        <w:pStyle w:val="Caption"/>
      </w:pPr>
      <w:bookmarkStart w:name="_Ref223683155" w:id="1908"/>
      <w:r w:rsidRPr="008D1918">
        <w:t xml:space="preserve">Figure </w:t>
      </w:r>
      <w:r>
        <w:fldChar w:fldCharType="begin"/>
      </w:r>
      <w:r>
        <w:instrText>SEQ Figure \* ARABIC</w:instrText>
      </w:r>
      <w:r>
        <w:fldChar w:fldCharType="separate"/>
      </w:r>
      <w:r w:rsidR="008F56A2">
        <w:rPr>
          <w:noProof/>
        </w:rPr>
        <w:t>46</w:t>
      </w:r>
      <w:r>
        <w:fldChar w:fldCharType="end"/>
      </w:r>
      <w:bookmarkEnd w:id="1908"/>
      <w:r w:rsidRPr="008D1918" w:rsidR="00055299">
        <w:t>: Plan managers continuity by percentage of total payments, January 2023 to December 2025</w:t>
      </w:r>
    </w:p>
    <w:p w:rsidRPr="008D1918" w:rsidR="00055299" w:rsidRDefault="00055299" w14:paraId="1E8F93DD" w14:textId="0EC91E8B">
      <w:pPr>
        <w:jc w:val="center"/>
        <w:rPr>
          <w:lang w:val="en-AU"/>
        </w:rPr>
      </w:pPr>
      <w:r w:rsidRPr="008D1918">
        <w:rPr>
          <w:noProof/>
          <w:lang w:val="en-AU"/>
        </w:rPr>
        <w:drawing>
          <wp:inline distT="0" distB="0" distL="0" distR="0" wp14:anchorId="35CD5894" wp14:editId="4C7495CF">
            <wp:extent cx="5677200" cy="3294000"/>
            <wp:effectExtent l="0" t="0" r="0" b="1905"/>
            <wp:docPr id="1955640088" name="Picture 9" descr="Figure 46: A column and dot graph showing plan managers continuity by percentage of total payments, January 2023 to December 2025.&#10;This graph shows  that plan managers active for more than three years account for the majority of market activity, processing 94% of total payments over the period, delivered by 895 providers.&#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40088" name="Picture 9" descr="Figure 46: A column and dot graph showing plan managers continuity by percentage of total payments, January 2023 to December 2025.&#10;This graph shows  that plan managers active for more than three years account for the majority of market activity, processing 94% of total payments over the period, delivered by 895 providers.&#10;Source: NDIS Internal administrative data.&#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77200" cy="3294000"/>
                    </a:xfrm>
                    <a:prstGeom prst="rect">
                      <a:avLst/>
                    </a:prstGeom>
                    <a:noFill/>
                  </pic:spPr>
                </pic:pic>
              </a:graphicData>
            </a:graphic>
          </wp:inline>
        </w:drawing>
      </w:r>
    </w:p>
    <w:p w:rsidRPr="008D1918" w:rsidR="00055299" w:rsidRDefault="00055299" w14:paraId="05284FEB" w14:textId="67007C68">
      <w:pPr>
        <w:rPr>
          <w:lang w:val="en-AU"/>
        </w:rPr>
      </w:pPr>
      <w:r w:rsidRPr="008D1918">
        <w:rPr>
          <w:lang w:val="en-AU"/>
        </w:rPr>
        <w:t xml:space="preserve">Provider turnover in the plan management market remains low. Across the </w:t>
      </w:r>
      <w:r w:rsidRPr="008D1918" w:rsidR="00186248">
        <w:rPr>
          <w:lang w:val="en-AU"/>
        </w:rPr>
        <w:t>3</w:t>
      </w:r>
      <w:r w:rsidRPr="008D1918">
        <w:rPr>
          <w:lang w:val="en-AU"/>
        </w:rPr>
        <w:t>-year period newly active providers accounted for 0.2</w:t>
      </w:r>
      <w:r w:rsidRPr="008D1918">
        <w:rPr>
          <w:rFonts w:cs="Arial"/>
          <w:lang w:val="en-AU"/>
        </w:rPr>
        <w:t>–</w:t>
      </w:r>
      <w:r w:rsidRPr="008D1918">
        <w:rPr>
          <w:lang w:val="en-AU"/>
        </w:rPr>
        <w:t>0.8% of total plan-managed payments in any given half-year period. Similarly, inactive providers (those potentially exiting the market or claiming episodically) consistently represented less than 1% of payments from the prior period (</w:t>
      </w:r>
      <w:r w:rsidRPr="008D1918" w:rsidR="00635AAA">
        <w:rPr>
          <w:lang w:val="en-AU"/>
        </w:rPr>
        <w:fldChar w:fldCharType="begin"/>
      </w:r>
      <w:r w:rsidRPr="008D1918" w:rsidR="00635AAA">
        <w:rPr>
          <w:lang w:val="en-AU"/>
        </w:rPr>
        <w:instrText xml:space="preserve"> REF _Ref223683182 \h </w:instrText>
      </w:r>
      <w:r w:rsidRPr="008D1918" w:rsidR="00762DF8">
        <w:rPr>
          <w:lang w:val="en-AU"/>
        </w:rPr>
        <w:instrText xml:space="preserve"> \* MERGEFORMAT </w:instrText>
      </w:r>
      <w:r w:rsidRPr="008D1918" w:rsidR="00635AAA">
        <w:rPr>
          <w:lang w:val="en-AU"/>
        </w:rPr>
      </w:r>
      <w:r w:rsidRPr="008D1918" w:rsidR="00635AAA">
        <w:rPr>
          <w:lang w:val="en-AU"/>
        </w:rPr>
        <w:fldChar w:fldCharType="separate"/>
      </w:r>
      <w:r w:rsidRPr="008F56A2" w:rsidR="008F56A2">
        <w:rPr>
          <w:lang w:val="en-AU"/>
        </w:rPr>
        <w:t>Figure</w:t>
      </w:r>
      <w:r w:rsidRPr="008D1918" w:rsidR="008F56A2">
        <w:t xml:space="preserve"> </w:t>
      </w:r>
      <w:r w:rsidR="008F56A2">
        <w:rPr>
          <w:noProof/>
        </w:rPr>
        <w:t>47</w:t>
      </w:r>
      <w:r w:rsidRPr="008D1918" w:rsidR="00635AAA">
        <w:rPr>
          <w:lang w:val="en-AU"/>
        </w:rPr>
        <w:fldChar w:fldCharType="end"/>
      </w:r>
      <w:r w:rsidRPr="008D1918">
        <w:rPr>
          <w:lang w:val="en-AU"/>
        </w:rPr>
        <w:t>).</w:t>
      </w:r>
    </w:p>
    <w:p w:rsidRPr="008D1918" w:rsidR="00055299" w:rsidP="00635AAA" w:rsidRDefault="00635AAA" w14:paraId="768E9A8C" w14:textId="3F579543">
      <w:pPr>
        <w:pStyle w:val="Caption"/>
      </w:pPr>
      <w:bookmarkStart w:name="_Ref223683182" w:id="1909"/>
      <w:r w:rsidRPr="008D1918">
        <w:t xml:space="preserve">Figure </w:t>
      </w:r>
      <w:r>
        <w:fldChar w:fldCharType="begin"/>
      </w:r>
      <w:r>
        <w:instrText>SEQ Figure \* ARABIC</w:instrText>
      </w:r>
      <w:r>
        <w:fldChar w:fldCharType="separate"/>
      </w:r>
      <w:r w:rsidR="008F56A2">
        <w:rPr>
          <w:noProof/>
        </w:rPr>
        <w:t>47</w:t>
      </w:r>
      <w:r>
        <w:fldChar w:fldCharType="end"/>
      </w:r>
      <w:bookmarkEnd w:id="1909"/>
      <w:r w:rsidRPr="008D1918" w:rsidR="00055299">
        <w:t>: Registered plan manager activity movements, January 2023 to December 2025</w:t>
      </w:r>
    </w:p>
    <w:p w:rsidRPr="008D1918" w:rsidR="00683FE8" w:rsidP="00683FE8" w:rsidRDefault="00D63761" w14:paraId="505BE584" w14:textId="77777777">
      <w:pPr>
        <w:spacing w:before="120" w:after="360" w:line="240" w:lineRule="atLeast"/>
        <w:rPr>
          <w:rFonts w:cs="Calibri" w:eastAsiaTheme="minorEastAsia"/>
          <w:sz w:val="20"/>
          <w:szCs w:val="20"/>
          <w:lang w:val="en-AU"/>
        </w:rPr>
      </w:pPr>
      <w:r w:rsidRPr="008D1918">
        <w:rPr>
          <w:noProof/>
          <w:lang w:val="en-AU"/>
        </w:rPr>
        <w:drawing>
          <wp:inline distT="0" distB="0" distL="0" distR="0" wp14:anchorId="48866ED6" wp14:editId="6BCFA38E">
            <wp:extent cx="5677200" cy="3283200"/>
            <wp:effectExtent l="0" t="0" r="0" b="0"/>
            <wp:docPr id="1570713231" name="Picture 7" descr="Figure 47: A bar graph showing registered plan manager activity movements, from January 2023 to December 2025.&#10;This graph shows that new registered plan managers account for less than 0.9% of total payments, while providers that became inactive account for less than 0.8% of payments between January 2023 and December 2025.&#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13231" name="Picture 7" descr="Figure 47: A bar graph showing registered plan manager activity movements, from January 2023 to December 2025.&#10;This graph shows that new registered plan managers account for less than 0.9% of total payments, while providers that became inactive account for less than 0.8% of payments between January 2023 and December 2025.&#10;Source: NDIS Internal Administrative Data&#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77200" cy="3283200"/>
                    </a:xfrm>
                    <a:prstGeom prst="rect">
                      <a:avLst/>
                    </a:prstGeom>
                    <a:noFill/>
                  </pic:spPr>
                </pic:pic>
              </a:graphicData>
            </a:graphic>
          </wp:inline>
        </w:drawing>
      </w:r>
    </w:p>
    <w:p w:rsidRPr="008D1918" w:rsidR="00055299" w:rsidP="001D163B" w:rsidRDefault="00055299" w14:paraId="44247E37" w14:textId="293BA6A5">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Note: ‘New activity’ is characterised by providers receiving payments in the half-year who did not receive payments in the preceding half-year. ‘</w:t>
      </w:r>
      <w:r w:rsidRPr="008D1918" w:rsidR="00C21087">
        <w:rPr>
          <w:rFonts w:cs="Calibri" w:eastAsiaTheme="minorEastAsia"/>
          <w:sz w:val="20"/>
          <w:szCs w:val="20"/>
          <w:lang w:val="en-AU"/>
        </w:rPr>
        <w:t>I</w:t>
      </w:r>
      <w:r w:rsidRPr="008D1918">
        <w:rPr>
          <w:rFonts w:cs="Calibri" w:eastAsiaTheme="minorEastAsia"/>
          <w:sz w:val="20"/>
          <w:szCs w:val="20"/>
          <w:lang w:val="en-AU"/>
        </w:rPr>
        <w:t>nactivity’ refers to providers not receiving payments in a half-year after having received payments in the previous one. Each provider’s activity is quantified as a percentage of the total payments within that half-year for new activity, of the prior half-year for inactivity.</w:t>
      </w:r>
    </w:p>
    <w:p w:rsidRPr="008D1918" w:rsidR="00055299" w:rsidP="00041468" w:rsidRDefault="00055299" w14:paraId="470ACFA8" w14:textId="77777777">
      <w:pPr>
        <w:pStyle w:val="StyleStyle112pt"/>
      </w:pPr>
      <w:bookmarkStart w:name="_Toc223345447" w:id="1910"/>
      <w:bookmarkStart w:name="_Toc223428522" w:id="1911"/>
      <w:bookmarkStart w:name="_Toc223445990" w:id="1912"/>
      <w:bookmarkStart w:name="_Toc223539755" w:id="1913"/>
      <w:bookmarkStart w:name="_Toc223539968" w:id="1914"/>
      <w:bookmarkStart w:name="_Toc223540436" w:id="1915"/>
      <w:bookmarkStart w:name="_Toc223540652" w:id="1916"/>
      <w:bookmarkStart w:name="_Toc223542192" w:id="1917"/>
      <w:bookmarkStart w:name="_Toc223604378" w:id="1918"/>
      <w:bookmarkStart w:name="_Toc223604589" w:id="1919"/>
      <w:bookmarkStart w:name="_Toc223604824" w:id="1920"/>
      <w:bookmarkStart w:name="_Toc223618675" w:id="1921"/>
      <w:bookmarkStart w:name="_Toc223702904" w:id="1922"/>
      <w:bookmarkStart w:name="_Toc227318787" w:id="1923"/>
      <w:bookmarkStart w:name="_Toc227337155" w:id="1924"/>
      <w:bookmarkStart w:name="_Toc196304236" w:id="1925"/>
      <w:bookmarkStart w:name="_Toc200103582" w:id="1926"/>
      <w:bookmarkStart w:name="_Toc200271694" w:id="1927"/>
      <w:r w:rsidRPr="008D1918">
        <w:t>Provider scale</w:t>
      </w:r>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r w:rsidRPr="008D1918">
        <w:t xml:space="preserve"> </w:t>
      </w:r>
    </w:p>
    <w:p w:rsidRPr="008D1918" w:rsidR="00055299" w:rsidRDefault="00055299" w14:paraId="04CD4B68" w14:textId="06A0EBB2">
      <w:pPr>
        <w:rPr>
          <w:lang w:val="en-AU"/>
        </w:rPr>
      </w:pPr>
      <w:r w:rsidRPr="008D1918">
        <w:rPr>
          <w:lang w:val="en-AU"/>
        </w:rPr>
        <w:t xml:space="preserve">Plan managers overwhelmingly operate at </w:t>
      </w:r>
      <w:r w:rsidRPr="008D1918" w:rsidR="005552F9">
        <w:rPr>
          <w:lang w:val="en-AU"/>
        </w:rPr>
        <w:t>some</w:t>
      </w:r>
      <w:r w:rsidRPr="008D1918">
        <w:rPr>
          <w:lang w:val="en-AU"/>
        </w:rPr>
        <w:t xml:space="preserve"> scale. In the second half of 2025, 99.5% of all plan-managed payments were processed by providers supporting more than 20 participants. </w:t>
      </w:r>
      <w:r w:rsidRPr="008D1918" w:rsidR="009406B0">
        <w:rPr>
          <w:lang w:val="en-AU"/>
        </w:rPr>
        <w:t>Very s</w:t>
      </w:r>
      <w:r w:rsidRPr="008D1918">
        <w:rPr>
          <w:lang w:val="en-AU"/>
        </w:rPr>
        <w:t>mall-scale providers (10 or fewer participants) account for a significant share of provider numbers but less than 0.5% of total payments. This pattern has been stable since 2023 (</w:t>
      </w:r>
      <w:r w:rsidRPr="008D1918" w:rsidR="00635AAA">
        <w:rPr>
          <w:lang w:val="en-AU"/>
        </w:rPr>
        <w:fldChar w:fldCharType="begin"/>
      </w:r>
      <w:r w:rsidRPr="008D1918" w:rsidR="00635AAA">
        <w:rPr>
          <w:lang w:val="en-AU"/>
        </w:rPr>
        <w:instrText xml:space="preserve"> REF _Ref223683220 \h </w:instrText>
      </w:r>
      <w:r w:rsidRPr="008D1918" w:rsidR="00762DF8">
        <w:rPr>
          <w:lang w:val="en-AU"/>
        </w:rPr>
        <w:instrText xml:space="preserve"> \* MERGEFORMAT </w:instrText>
      </w:r>
      <w:r w:rsidRPr="008D1918" w:rsidR="00635AAA">
        <w:rPr>
          <w:lang w:val="en-AU"/>
        </w:rPr>
      </w:r>
      <w:r w:rsidRPr="008D1918" w:rsidR="00635AAA">
        <w:rPr>
          <w:lang w:val="en-AU"/>
        </w:rPr>
        <w:fldChar w:fldCharType="separate"/>
      </w:r>
      <w:r w:rsidRPr="008F56A2" w:rsidR="008F56A2">
        <w:rPr>
          <w:lang w:val="en-AU"/>
        </w:rPr>
        <w:t>Figure 48</w:t>
      </w:r>
      <w:r w:rsidRPr="008D1918" w:rsidR="00635AAA">
        <w:rPr>
          <w:lang w:val="en-AU"/>
        </w:rPr>
        <w:fldChar w:fldCharType="end"/>
      </w:r>
      <w:r w:rsidRPr="008D1918">
        <w:rPr>
          <w:lang w:val="en-AU"/>
        </w:rPr>
        <w:t>).</w:t>
      </w:r>
    </w:p>
    <w:p w:rsidRPr="008D1918" w:rsidR="00055299" w:rsidP="00635AAA" w:rsidRDefault="00635AAA" w14:paraId="52D2936C" w14:textId="1B6BB8A6">
      <w:pPr>
        <w:pStyle w:val="Caption"/>
      </w:pPr>
      <w:bookmarkStart w:name="_Ref223683220" w:id="1928"/>
      <w:r w:rsidRPr="008D1918">
        <w:t xml:space="preserve">Figure </w:t>
      </w:r>
      <w:r>
        <w:fldChar w:fldCharType="begin"/>
      </w:r>
      <w:r>
        <w:instrText>SEQ Figure \* ARABIC</w:instrText>
      </w:r>
      <w:r>
        <w:fldChar w:fldCharType="separate"/>
      </w:r>
      <w:r w:rsidR="008F56A2">
        <w:rPr>
          <w:noProof/>
        </w:rPr>
        <w:t>48</w:t>
      </w:r>
      <w:r>
        <w:fldChar w:fldCharType="end"/>
      </w:r>
      <w:bookmarkEnd w:id="1928"/>
      <w:r w:rsidRPr="008D1918" w:rsidR="00055299">
        <w:t>: Plan management providers and number of participants that claimed, January 2023 to December 2025</w:t>
      </w:r>
    </w:p>
    <w:p w:rsidRPr="008D1918" w:rsidR="00055299" w:rsidP="00693EAE" w:rsidRDefault="003748AB" w14:paraId="736E6A60" w14:textId="0BC80FC6">
      <w:pPr>
        <w:spacing w:after="360"/>
        <w:jc w:val="center"/>
        <w:rPr>
          <w:lang w:val="en-AU"/>
        </w:rPr>
      </w:pPr>
      <w:r w:rsidRPr="008D1918">
        <w:rPr>
          <w:noProof/>
          <w:lang w:val="en-AU"/>
        </w:rPr>
        <w:drawing>
          <wp:inline distT="0" distB="0" distL="0" distR="0" wp14:anchorId="62041454" wp14:editId="6365341C">
            <wp:extent cx="5680800" cy="3290400"/>
            <wp:effectExtent l="0" t="0" r="0" b="5715"/>
            <wp:docPr id="1934049867" name="Picture 19" descr="Figure 48: A bar graph showing plan management providers and the number of participants that claimed, from January 2023 to December 2025.&#10;This graph compares the distribution of plan management providers by participant size between January–June 2023 and July–December 2025. It shows that the distribution has remained stable over time, with providers supporting more than 20 participants accounting for over 99% of total market share in both periods.&#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49867" name="Picture 19" descr="Figure 48: A bar graph showing plan management providers and the number of participants that claimed, from January 2023 to December 2025.&#10;This graph compares the distribution of plan management providers by participant size between January–June 2023 and July–December 2025. It shows that the distribution has remained stable over time, with providers supporting more than 20 participants accounting for over 99% of total market share in both periods.&#10;Source: NDIS internal administrative data."/>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055299" w:rsidP="00041468" w:rsidRDefault="00055299" w14:paraId="6DF3E467" w14:textId="2752F0AF">
      <w:pPr>
        <w:pStyle w:val="StyleStyle112pt"/>
        <w:rPr>
          <w:rFonts w:eastAsia="Arial"/>
        </w:rPr>
      </w:pPr>
      <w:bookmarkStart w:name="_Toc223345448" w:id="1929"/>
      <w:bookmarkStart w:name="_Toc223428523" w:id="1930"/>
      <w:bookmarkStart w:name="_Toc223445991" w:id="1931"/>
      <w:bookmarkStart w:name="_Toc223539756" w:id="1932"/>
      <w:bookmarkStart w:name="_Toc223539969" w:id="1933"/>
      <w:bookmarkStart w:name="_Toc223540437" w:id="1934"/>
      <w:bookmarkStart w:name="_Toc223540653" w:id="1935"/>
      <w:bookmarkStart w:name="_Toc223542193" w:id="1936"/>
      <w:bookmarkStart w:name="_Toc223604379" w:id="1937"/>
      <w:bookmarkStart w:name="_Toc223604590" w:id="1938"/>
      <w:bookmarkStart w:name="_Toc223604825" w:id="1939"/>
      <w:bookmarkStart w:name="_Toc223618676" w:id="1940"/>
      <w:bookmarkStart w:name="_Toc223702905" w:id="1941"/>
      <w:bookmarkStart w:name="_Toc227318788" w:id="1942"/>
      <w:bookmarkStart w:name="_Toc227337156" w:id="1943"/>
      <w:r w:rsidRPr="008D1918">
        <w:rPr>
          <w:rFonts w:eastAsia="Arial"/>
        </w:rPr>
        <w:t>Plan managers providing other services</w:t>
      </w:r>
      <w:bookmarkEnd w:id="1925"/>
      <w:bookmarkEnd w:id="1926"/>
      <w:bookmarkEnd w:id="1927"/>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p>
    <w:p w:rsidRPr="008D1918" w:rsidR="00055299" w:rsidRDefault="00055299" w14:paraId="408E2340" w14:textId="39A8CF9A">
      <w:pPr>
        <w:rPr>
          <w:lang w:val="en-AU"/>
        </w:rPr>
      </w:pPr>
      <w:r w:rsidRPr="008D1918">
        <w:rPr>
          <w:lang w:val="en-AU"/>
        </w:rPr>
        <w:t>Sixty-four per</w:t>
      </w:r>
      <w:r w:rsidRPr="008D1918" w:rsidR="00B17D5A">
        <w:rPr>
          <w:lang w:val="en-AU"/>
        </w:rPr>
        <w:t xml:space="preserve"> </w:t>
      </w:r>
      <w:r w:rsidRPr="008D1918">
        <w:rPr>
          <w:lang w:val="en-AU"/>
        </w:rPr>
        <w:t>cent of plan managers delivered other supports to their plan-managed participants in the second half of 2025, though these services accounted for only 3% of total plan-managed payments (</w:t>
      </w:r>
      <w:r w:rsidRPr="008D1918" w:rsidR="001E1137">
        <w:rPr>
          <w:lang w:val="en-AU"/>
        </w:rPr>
        <w:fldChar w:fldCharType="begin"/>
      </w:r>
      <w:r w:rsidRPr="008D1918" w:rsidR="001E1137">
        <w:rPr>
          <w:lang w:val="en-AU"/>
        </w:rPr>
        <w:instrText xml:space="preserve"> REF _Ref223683286 \h </w:instrText>
      </w:r>
      <w:r w:rsidRPr="008D1918" w:rsidR="00762DF8">
        <w:rPr>
          <w:lang w:val="en-AU"/>
        </w:rPr>
        <w:instrText xml:space="preserve"> \* MERGEFORMAT </w:instrText>
      </w:r>
      <w:r w:rsidRPr="008D1918" w:rsidR="001E1137">
        <w:rPr>
          <w:lang w:val="en-AU"/>
        </w:rPr>
      </w:r>
      <w:r w:rsidRPr="008D1918" w:rsidR="001E1137">
        <w:rPr>
          <w:lang w:val="en-AU"/>
        </w:rPr>
        <w:fldChar w:fldCharType="separate"/>
      </w:r>
      <w:r w:rsidRPr="008F56A2" w:rsidR="008F56A2">
        <w:rPr>
          <w:lang w:val="en-AU"/>
        </w:rPr>
        <w:t>Figure</w:t>
      </w:r>
      <w:r w:rsidRPr="008D1918" w:rsidR="008F56A2">
        <w:t xml:space="preserve"> </w:t>
      </w:r>
      <w:r w:rsidR="008F56A2">
        <w:rPr>
          <w:noProof/>
        </w:rPr>
        <w:t>49</w:t>
      </w:r>
      <w:r w:rsidRPr="008D1918" w:rsidR="001E1137">
        <w:rPr>
          <w:lang w:val="en-AU"/>
        </w:rPr>
        <w:fldChar w:fldCharType="end"/>
      </w:r>
      <w:r w:rsidRPr="008D1918">
        <w:rPr>
          <w:lang w:val="en-AU"/>
        </w:rPr>
        <w:t xml:space="preserve"> and </w:t>
      </w:r>
      <w:r w:rsidRPr="008D1918" w:rsidR="001E1137">
        <w:rPr>
          <w:lang w:val="en-AU"/>
        </w:rPr>
        <w:fldChar w:fldCharType="begin"/>
      </w:r>
      <w:r w:rsidRPr="008D1918" w:rsidR="001E1137">
        <w:rPr>
          <w:lang w:val="en-AU"/>
        </w:rPr>
        <w:instrText xml:space="preserve"> REF _Ref223683330 \h </w:instrText>
      </w:r>
      <w:r w:rsidRPr="008D1918" w:rsidR="00762DF8">
        <w:rPr>
          <w:lang w:val="en-AU"/>
        </w:rPr>
        <w:instrText xml:space="preserve"> \* MERGEFORMAT </w:instrText>
      </w:r>
      <w:r w:rsidRPr="008D1918" w:rsidR="001E1137">
        <w:rPr>
          <w:lang w:val="en-AU"/>
        </w:rPr>
      </w:r>
      <w:r w:rsidRPr="008D1918" w:rsidR="001E1137">
        <w:rPr>
          <w:lang w:val="en-AU"/>
        </w:rPr>
        <w:fldChar w:fldCharType="separate"/>
      </w:r>
      <w:r w:rsidRPr="008F56A2" w:rsidR="008F56A2">
        <w:rPr>
          <w:lang w:val="en-AU"/>
        </w:rPr>
        <w:t>Figure</w:t>
      </w:r>
      <w:r w:rsidRPr="008D1918" w:rsidR="008F56A2">
        <w:t xml:space="preserve"> </w:t>
      </w:r>
      <w:r w:rsidR="008F56A2">
        <w:rPr>
          <w:noProof/>
        </w:rPr>
        <w:t>50</w:t>
      </w:r>
      <w:r w:rsidRPr="008D1918" w:rsidR="001E1137">
        <w:rPr>
          <w:lang w:val="en-AU"/>
        </w:rPr>
        <w:fldChar w:fldCharType="end"/>
      </w:r>
      <w:r w:rsidRPr="008D1918">
        <w:rPr>
          <w:lang w:val="en-AU"/>
        </w:rPr>
        <w:t xml:space="preserve">). The share of providers delivering only plan management services increased from 29% to 36% over the </w:t>
      </w:r>
      <w:r w:rsidRPr="008D1918" w:rsidR="00186248">
        <w:rPr>
          <w:lang w:val="en-AU"/>
        </w:rPr>
        <w:t>3</w:t>
      </w:r>
      <w:r w:rsidRPr="008D1918" w:rsidR="00186248">
        <w:rPr>
          <w:lang w:val="en-AU"/>
        </w:rPr>
        <w:noBreakHyphen/>
      </w:r>
      <w:r w:rsidRPr="008D1918">
        <w:rPr>
          <w:lang w:val="en-AU"/>
        </w:rPr>
        <w:t>year period, indicating a gradual shift toward specialisation (</w:t>
      </w:r>
      <w:r w:rsidRPr="008D1918" w:rsidR="001E1137">
        <w:rPr>
          <w:lang w:val="en-AU"/>
        </w:rPr>
        <w:fldChar w:fldCharType="begin"/>
      </w:r>
      <w:r w:rsidRPr="008D1918" w:rsidR="001E1137">
        <w:rPr>
          <w:lang w:val="en-AU"/>
        </w:rPr>
        <w:instrText xml:space="preserve"> REF _Ref223683286 \h </w:instrText>
      </w:r>
      <w:r w:rsidRPr="008D1918" w:rsidR="00762DF8">
        <w:rPr>
          <w:lang w:val="en-AU"/>
        </w:rPr>
        <w:instrText xml:space="preserve"> \* MERGEFORMAT </w:instrText>
      </w:r>
      <w:r w:rsidRPr="008D1918" w:rsidR="001E1137">
        <w:rPr>
          <w:lang w:val="en-AU"/>
        </w:rPr>
      </w:r>
      <w:r w:rsidRPr="008D1918" w:rsidR="001E1137">
        <w:rPr>
          <w:lang w:val="en-AU"/>
        </w:rPr>
        <w:fldChar w:fldCharType="separate"/>
      </w:r>
      <w:r w:rsidRPr="008F56A2" w:rsidR="008F56A2">
        <w:rPr>
          <w:lang w:val="en-AU"/>
        </w:rPr>
        <w:t>Figure</w:t>
      </w:r>
      <w:r w:rsidRPr="008D1918" w:rsidR="008F56A2">
        <w:t xml:space="preserve"> </w:t>
      </w:r>
      <w:r w:rsidR="008F56A2">
        <w:rPr>
          <w:noProof/>
        </w:rPr>
        <w:t>49</w:t>
      </w:r>
      <w:r w:rsidRPr="008D1918" w:rsidR="001E1137">
        <w:rPr>
          <w:lang w:val="en-AU"/>
        </w:rPr>
        <w:fldChar w:fldCharType="end"/>
      </w:r>
      <w:r w:rsidRPr="008D1918">
        <w:rPr>
          <w:lang w:val="en-AU"/>
        </w:rPr>
        <w:t>).</w:t>
      </w:r>
    </w:p>
    <w:p w:rsidRPr="008D1918" w:rsidR="00055299" w:rsidRDefault="00055299" w14:paraId="27EB3461" w14:textId="34B43C55">
      <w:pPr>
        <w:rPr>
          <w:lang w:val="en-AU"/>
        </w:rPr>
      </w:pPr>
      <w:r w:rsidRPr="008D1918">
        <w:rPr>
          <w:lang w:val="en-AU"/>
        </w:rPr>
        <w:t xml:space="preserve">The delivery of both financial oversight and funded supports by the same provider creates a potential conflict of interest, which the NDIS </w:t>
      </w:r>
      <w:r w:rsidRPr="008D1918" w:rsidR="5933E638">
        <w:rPr>
          <w:lang w:val="en-AU"/>
        </w:rPr>
        <w:t xml:space="preserve">Commission </w:t>
      </w:r>
      <w:r w:rsidRPr="008D1918">
        <w:rPr>
          <w:lang w:val="en-AU"/>
        </w:rPr>
        <w:t xml:space="preserve">has identified as a regulatory priority. </w:t>
      </w:r>
    </w:p>
    <w:p w:rsidRPr="008D1918" w:rsidR="00055299" w:rsidP="001E1137" w:rsidRDefault="001E1137" w14:paraId="054536D2" w14:textId="68EFB3B5">
      <w:pPr>
        <w:pStyle w:val="Caption"/>
      </w:pPr>
      <w:bookmarkStart w:name="_Ref223683286" w:id="1944"/>
      <w:bookmarkStart w:name="_Ref195636785" w:id="1945"/>
      <w:r w:rsidRPr="008D1918">
        <w:t xml:space="preserve">Figure </w:t>
      </w:r>
      <w:r>
        <w:fldChar w:fldCharType="begin"/>
      </w:r>
      <w:r>
        <w:instrText>SEQ Figure \* ARABIC</w:instrText>
      </w:r>
      <w:r>
        <w:fldChar w:fldCharType="separate"/>
      </w:r>
      <w:r w:rsidR="008F56A2">
        <w:rPr>
          <w:noProof/>
        </w:rPr>
        <w:t>49</w:t>
      </w:r>
      <w:r>
        <w:fldChar w:fldCharType="end"/>
      </w:r>
      <w:bookmarkEnd w:id="1944"/>
      <w:r w:rsidRPr="008D1918" w:rsidR="00055299">
        <w:t xml:space="preserve">: Number of plan managers claiming other services for their </w:t>
      </w:r>
      <w:r w:rsidRPr="008D1918" w:rsidR="001058B7">
        <w:t>plan-</w:t>
      </w:r>
      <w:r w:rsidRPr="008D1918" w:rsidR="00055299">
        <w:t>managed participants for the period, January 2023 to December 2025</w:t>
      </w:r>
    </w:p>
    <w:p w:rsidRPr="008D1918" w:rsidR="00055299" w:rsidP="00693EAE" w:rsidRDefault="00055299" w14:paraId="4B54D800" w14:textId="4E7923F5">
      <w:pPr>
        <w:spacing w:after="360"/>
        <w:jc w:val="center"/>
        <w:rPr>
          <w:lang w:val="en-AU"/>
        </w:rPr>
      </w:pPr>
      <w:r w:rsidRPr="008D1918">
        <w:rPr>
          <w:noProof/>
          <w:lang w:val="en-AU"/>
        </w:rPr>
        <w:drawing>
          <wp:inline distT="0" distB="0" distL="0" distR="0" wp14:anchorId="5C11DCE9" wp14:editId="5B48072F">
            <wp:extent cx="5680800" cy="3290400"/>
            <wp:effectExtent l="0" t="0" r="0" b="5715"/>
            <wp:docPr id="583844368" name="Picture 11" descr="Figure 49: A stacked bar graph showing the number of plan managers claiming other services for their plan managed participants for the period, from January 2023 to December 2025.&#10;This graph shows an increase in the proportion of plan managers providing only plan management services, rising from 29% in January 2023 to 36% in December 2025.. &#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44368" name="Picture 11" descr="Figure 49: A stacked bar graph showing the number of plan managers claiming other services for their plan managed participants for the period, from January 2023 to December 2025.&#10;This graph shows an increase in the proportion of plan managers providing only plan management services, rising from 29% in January 2023 to 36% in December 2025.. &#10;Source: NDIS Internal Administrative Data."/>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055299" w:rsidP="001E1137" w:rsidRDefault="001E1137" w14:paraId="10EF5D4E" w14:textId="2D7C38B2">
      <w:pPr>
        <w:pStyle w:val="Caption"/>
      </w:pPr>
      <w:bookmarkStart w:name="_Ref223683330" w:id="1946"/>
      <w:bookmarkEnd w:id="1945"/>
      <w:r w:rsidRPr="008D1918">
        <w:t xml:space="preserve">Figure </w:t>
      </w:r>
      <w:r>
        <w:fldChar w:fldCharType="begin"/>
      </w:r>
      <w:r>
        <w:instrText>SEQ Figure \* ARABIC</w:instrText>
      </w:r>
      <w:r>
        <w:fldChar w:fldCharType="separate"/>
      </w:r>
      <w:r w:rsidR="008F56A2">
        <w:rPr>
          <w:noProof/>
        </w:rPr>
        <w:t>50</w:t>
      </w:r>
      <w:r>
        <w:fldChar w:fldCharType="end"/>
      </w:r>
      <w:bookmarkEnd w:id="1946"/>
      <w:r w:rsidRPr="008D1918" w:rsidR="00055299">
        <w:t xml:space="preserve">: Payment of plan managers claiming other services for their </w:t>
      </w:r>
      <w:r w:rsidRPr="008D1918" w:rsidR="00E05E3C">
        <w:t>plan-</w:t>
      </w:r>
      <w:r w:rsidRPr="008D1918" w:rsidR="00055299">
        <w:t>managed participants for the period, January 2023 to December 2025</w:t>
      </w:r>
    </w:p>
    <w:p w:rsidRPr="008D1918" w:rsidR="00055299" w:rsidP="00693EAE" w:rsidRDefault="00055299" w14:paraId="49DB42FD" w14:textId="77777777">
      <w:pPr>
        <w:spacing w:after="360"/>
        <w:jc w:val="center"/>
        <w:rPr>
          <w:lang w:val="en-AU"/>
        </w:rPr>
      </w:pPr>
      <w:r w:rsidRPr="008D1918">
        <w:rPr>
          <w:noProof/>
          <w:lang w:val="en-AU"/>
        </w:rPr>
        <w:drawing>
          <wp:inline distT="0" distB="0" distL="0" distR="0" wp14:anchorId="301775D1" wp14:editId="17AF45D2">
            <wp:extent cx="5328000" cy="3376425"/>
            <wp:effectExtent l="0" t="0" r="6350" b="0"/>
            <wp:docPr id="1960098653" name="Picture 14" descr="Figure 50: A stacked bar graph showing the payment of plan managers claiming other services for their plan managed participants for the period, from January 2023 to December 2025.&#10;This graph shows a decline in payments for non–plan management services claimed by plan managers, falling from around 6% in January 2023 to approximately 3% in December 2025.&#10;Source: NDIS internal administrative dat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098653" name="Picture 14" descr="Figure 50: A stacked bar graph showing the payment of plan managers claiming other services for their plan managed participants for the period, from January 2023 to December 2025.&#10;This graph shows a decline in payments for non–plan management services claimed by plan managers, falling from around 6% in January 2023 to approximately 3% in December 2025.&#10;Source: NDIS internal administrative data. &#10;"/>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5328000" cy="3376425"/>
                    </a:xfrm>
                    <a:prstGeom prst="rect">
                      <a:avLst/>
                    </a:prstGeom>
                    <a:noFill/>
                  </pic:spPr>
                </pic:pic>
              </a:graphicData>
            </a:graphic>
          </wp:inline>
        </w:drawing>
      </w:r>
    </w:p>
    <w:p w:rsidRPr="008D1918" w:rsidR="00612DF5" w:rsidP="00747707" w:rsidRDefault="00612DF5" w14:paraId="4DFE2084" w14:textId="285DC745">
      <w:pPr>
        <w:spacing w:after="360"/>
        <w:rPr>
          <w:lang w:val="en-AU"/>
        </w:rPr>
      </w:pPr>
      <w:r w:rsidRPr="008D1918">
        <w:rPr>
          <w:lang w:val="en-AU"/>
        </w:rPr>
        <w:t>Taken together, business dynamism data indicates a settled and concentrated</w:t>
      </w:r>
      <w:r w:rsidRPr="008D1918" w:rsidR="006B6EB2">
        <w:rPr>
          <w:lang w:val="en-AU"/>
        </w:rPr>
        <w:t xml:space="preserve"> market</w:t>
      </w:r>
      <w:r w:rsidRPr="008D1918" w:rsidR="00245E9C">
        <w:rPr>
          <w:lang w:val="en-AU"/>
        </w:rPr>
        <w:t xml:space="preserve"> with n</w:t>
      </w:r>
      <w:r w:rsidRPr="008D1918">
        <w:rPr>
          <w:lang w:val="en-AU"/>
        </w:rPr>
        <w:t xml:space="preserve">ear-zero turnover, operation at large scale as the norm, and a clear trend toward specialisation. These characteristics confirm the current pricing structure is not causing market instability. They also indicate the structure of the flat </w:t>
      </w:r>
      <w:r w:rsidRPr="008D1918">
        <w:rPr>
          <w:lang w:val="en-AU"/>
        </w:rPr>
        <w:t xml:space="preserve">fee, which rewards volume and does not differentiate by service complexity, has shaped how the market operates. This is the context for the revenue and processing analysis below. </w:t>
      </w:r>
    </w:p>
    <w:p w:rsidRPr="008D1918" w:rsidR="00055299" w:rsidP="00693EAE" w:rsidRDefault="00055299" w14:paraId="239ABBD3" w14:textId="2F6C7502">
      <w:pPr>
        <w:pStyle w:val="Heading31"/>
        <w:ind w:left="1077" w:hanging="720"/>
      </w:pPr>
      <w:bookmarkStart w:name="_Toc223539757" w:id="1947"/>
      <w:bookmarkStart w:name="_Toc223539970" w:id="1948"/>
      <w:bookmarkStart w:name="_Toc223540438" w:id="1949"/>
      <w:bookmarkStart w:name="_Toc223540654" w:id="1950"/>
      <w:bookmarkStart w:name="_Toc223542194" w:id="1951"/>
      <w:bookmarkStart w:name="_Toc223604380" w:id="1952"/>
      <w:bookmarkStart w:name="_Toc223604591" w:id="1953"/>
      <w:bookmarkStart w:name="_Toc227337157" w:id="1954"/>
      <w:r w:rsidRPr="008D1918">
        <w:t xml:space="preserve">Impact of the 2024–25 </w:t>
      </w:r>
      <w:bookmarkEnd w:id="1947"/>
      <w:bookmarkEnd w:id="1948"/>
      <w:bookmarkEnd w:id="1949"/>
      <w:bookmarkEnd w:id="1950"/>
      <w:bookmarkEnd w:id="1951"/>
      <w:bookmarkEnd w:id="1952"/>
      <w:bookmarkEnd w:id="1953"/>
      <w:bookmarkEnd w:id="1954"/>
      <w:r w:rsidRPr="008D1918" w:rsidR="009A0856">
        <w:t>APR</w:t>
      </w:r>
    </w:p>
    <w:p w:rsidRPr="008D1918" w:rsidR="00C878E2" w:rsidP="00C878E2" w:rsidRDefault="00055299" w14:paraId="0CD51FED" w14:textId="58734D7A">
      <w:pPr>
        <w:rPr>
          <w:lang w:val="en-AU"/>
        </w:rPr>
      </w:pPr>
      <w:r w:rsidRPr="008D1918">
        <w:rPr>
          <w:lang w:val="en-AU"/>
        </w:rPr>
        <w:t xml:space="preserve">The 2024–25 APR recommended </w:t>
      </w:r>
      <w:r w:rsidR="00EE6986">
        <w:rPr>
          <w:lang w:val="en-AU"/>
        </w:rPr>
        <w:t>removing</w:t>
      </w:r>
      <w:r w:rsidRPr="008D1918" w:rsidR="00C878E2">
        <w:rPr>
          <w:lang w:val="en-AU"/>
        </w:rPr>
        <w:t xml:space="preserve"> the establishment fee and monthly fee loadings for remote and very remote areas, </w:t>
      </w:r>
      <w:r w:rsidRPr="008D1918" w:rsidR="00794D3C">
        <w:rPr>
          <w:lang w:val="en-AU"/>
        </w:rPr>
        <w:t>from 1</w:t>
      </w:r>
      <w:r w:rsidRPr="008D1918" w:rsidR="00C878E2">
        <w:rPr>
          <w:lang w:val="en-AU"/>
        </w:rPr>
        <w:t xml:space="preserve"> July 2025. Monitoring data over the </w:t>
      </w:r>
      <w:r w:rsidRPr="008D1918" w:rsidR="00AF498E">
        <w:rPr>
          <w:lang w:val="en-AU"/>
        </w:rPr>
        <w:t xml:space="preserve">6 </w:t>
      </w:r>
      <w:r w:rsidRPr="008D1918" w:rsidR="00C878E2">
        <w:rPr>
          <w:lang w:val="en-AU"/>
        </w:rPr>
        <w:t>months to December 2025 indicates no disruption to participant access or provider viability.</w:t>
      </w:r>
    </w:p>
    <w:p w:rsidRPr="008D1918" w:rsidR="00C878E2" w:rsidP="00C878E2" w:rsidRDefault="00C878E2" w14:paraId="673687AF" w14:textId="42BC8405">
      <w:pPr>
        <w:rPr>
          <w:lang w:val="en-AU"/>
        </w:rPr>
      </w:pPr>
      <w:r w:rsidRPr="008D1918">
        <w:rPr>
          <w:lang w:val="en-AU"/>
        </w:rPr>
        <w:t>Participant numbers using plan management in remote and very remote areas continued to grow in line with pre-change trends. Active plan manager numbers in these areas were similarly stable, with no evidence of market exit</w:t>
      </w:r>
      <w:r w:rsidRPr="008D1918" w:rsidR="00126738">
        <w:rPr>
          <w:lang w:val="en-AU"/>
        </w:rPr>
        <w:t>s</w:t>
      </w:r>
      <w:r w:rsidRPr="008D1918">
        <w:rPr>
          <w:lang w:val="en-AU"/>
        </w:rPr>
        <w:t>. Provider caseloads held steady at approximately 19 participants per provider. Total and average payments dropped immediately on 1 July 2025 and stabilised at the lower level, consistent with the expected impact of removing the loading. In previously higher-rate areas, payments converged toward the national rate as intended.</w:t>
      </w:r>
    </w:p>
    <w:p w:rsidRPr="008D1918" w:rsidR="00055299" w:rsidRDefault="00C878E2" w14:paraId="454266BC" w14:textId="2E460CD8">
      <w:pPr>
        <w:rPr>
          <w:lang w:val="en-AU"/>
        </w:rPr>
      </w:pPr>
      <w:r w:rsidRPr="008D1918">
        <w:rPr>
          <w:lang w:val="en-AU"/>
        </w:rPr>
        <w:t xml:space="preserve">Removal of the establishment fee had no observable effect on provider entry, participant uptake or market stability. The evidence confirms the pricing </w:t>
      </w:r>
      <w:r w:rsidRPr="003022B3">
        <w:rPr>
          <w:lang w:val="en-AU"/>
        </w:rPr>
        <w:t>changes</w:t>
      </w:r>
      <w:r w:rsidRPr="008D1918">
        <w:rPr>
          <w:lang w:val="en-AU"/>
        </w:rPr>
        <w:t xml:space="preserve"> </w:t>
      </w:r>
      <w:r w:rsidR="00C27EE3">
        <w:rPr>
          <w:lang w:val="en-AU"/>
        </w:rPr>
        <w:t xml:space="preserve">for 2025-26 </w:t>
      </w:r>
      <w:r w:rsidRPr="008D1918">
        <w:rPr>
          <w:lang w:val="en-AU"/>
        </w:rPr>
        <w:t>did not destabilise the market, consistent with large providers servicing remote areas through virtual delivery models that do not depend on location-based cost structures</w:t>
      </w:r>
      <w:r w:rsidRPr="008D1918" w:rsidR="00055299">
        <w:rPr>
          <w:lang w:val="en-AU"/>
        </w:rPr>
        <w:t>.</w:t>
      </w:r>
    </w:p>
    <w:p w:rsidRPr="008D1918" w:rsidR="00055299" w:rsidP="00693EAE" w:rsidRDefault="00055299" w14:paraId="1F6C115E" w14:textId="061DCE47">
      <w:pPr>
        <w:pStyle w:val="Heading31"/>
        <w:ind w:left="1077" w:hanging="720"/>
      </w:pPr>
      <w:bookmarkStart w:name="_Toc223539758" w:id="1955"/>
      <w:bookmarkStart w:name="_Toc223539971" w:id="1956"/>
      <w:bookmarkStart w:name="_Toc223540439" w:id="1957"/>
      <w:bookmarkStart w:name="_Toc223540655" w:id="1958"/>
      <w:bookmarkStart w:name="_Toc223542195" w:id="1959"/>
      <w:bookmarkStart w:name="_Toc223604381" w:id="1960"/>
      <w:bookmarkStart w:name="_Toc223604592" w:id="1961"/>
      <w:bookmarkStart w:name="_Toc227337158" w:id="1962"/>
      <w:bookmarkStart w:name="_Toc196304238" w:id="1963"/>
      <w:bookmarkStart w:name="_Toc196754652" w:id="1964"/>
      <w:bookmarkStart w:name="_Toc196758254" w:id="1965"/>
      <w:bookmarkStart w:name="_Toc197344330" w:id="1966"/>
      <w:bookmarkStart w:name="_Toc200271696" w:id="1967"/>
      <w:r w:rsidRPr="008D1918">
        <w:t xml:space="preserve">Provider </w:t>
      </w:r>
      <w:bookmarkEnd w:id="1955"/>
      <w:bookmarkEnd w:id="1956"/>
      <w:bookmarkEnd w:id="1957"/>
      <w:bookmarkEnd w:id="1958"/>
      <w:bookmarkEnd w:id="1959"/>
      <w:bookmarkEnd w:id="1960"/>
      <w:bookmarkEnd w:id="1961"/>
      <w:r w:rsidRPr="008D1918" w:rsidR="00D0528F">
        <w:t>revenue and processing</w:t>
      </w:r>
      <w:bookmarkEnd w:id="1962"/>
      <w:r w:rsidRPr="008D1918" w:rsidR="00D0528F">
        <w:t xml:space="preserve"> </w:t>
      </w:r>
    </w:p>
    <w:p w:rsidRPr="008D1918" w:rsidR="00370640" w:rsidP="00370640" w:rsidRDefault="00370640" w14:paraId="613A0143" w14:textId="4EAC812B">
      <w:pPr>
        <w:rPr>
          <w:lang w:val="en-AU"/>
        </w:rPr>
      </w:pPr>
      <w:r w:rsidRPr="008D1918">
        <w:rPr>
          <w:lang w:val="en-AU"/>
        </w:rPr>
        <w:t xml:space="preserve">The revenue plan managers receive per transaction varies materially with provider scale. In the </w:t>
      </w:r>
      <w:r w:rsidRPr="008D1918" w:rsidR="00AF498E">
        <w:rPr>
          <w:lang w:val="en-AU"/>
        </w:rPr>
        <w:t>6</w:t>
      </w:r>
      <w:r w:rsidRPr="008D1918">
        <w:rPr>
          <w:lang w:val="en-AU"/>
        </w:rPr>
        <w:t xml:space="preserve"> months to December 2025, 66 million plan-managed transactions were processed. Based on total plan management fees paid, this implies an average of $4.86 per transaction from the Scheme's perspective. Larger plan managers received $4.40 per transaction; smaller providers received $5.40</w:t>
      </w:r>
      <w:r w:rsidRPr="008D1918" w:rsidR="00574E05">
        <w:rPr>
          <w:lang w:val="en-AU"/>
        </w:rPr>
        <w:t>,</w:t>
      </w:r>
      <w:r w:rsidRPr="008D1918">
        <w:rPr>
          <w:lang w:val="en-AU"/>
        </w:rPr>
        <w:t xml:space="preserve"> a </w:t>
      </w:r>
      <w:r w:rsidRPr="008D1918" w:rsidR="008B10A8">
        <w:rPr>
          <w:lang w:val="en-AU"/>
        </w:rPr>
        <w:t>23</w:t>
      </w:r>
      <w:r w:rsidRPr="008D1918">
        <w:rPr>
          <w:lang w:val="en-AU"/>
        </w:rPr>
        <w:t>% differential in implied revenue per transaction (</w:t>
      </w:r>
      <w:r w:rsidRPr="008D1918" w:rsidR="00F06625">
        <w:rPr>
          <w:lang w:val="en-AU"/>
        </w:rPr>
        <w:fldChar w:fldCharType="begin"/>
      </w:r>
      <w:r w:rsidRPr="008D1918" w:rsidR="00F06625">
        <w:rPr>
          <w:lang w:val="en-AU"/>
        </w:rPr>
        <w:instrText xml:space="preserve"> REF _Ref223695713 \h </w:instrText>
      </w:r>
      <w:r w:rsidR="008D1918">
        <w:rPr>
          <w:lang w:val="en-AU"/>
        </w:rPr>
        <w:instrText xml:space="preserve"> \* MERGEFORMAT </w:instrText>
      </w:r>
      <w:r w:rsidRPr="008D1918" w:rsidR="00F06625">
        <w:rPr>
          <w:lang w:val="en-AU"/>
        </w:rPr>
      </w:r>
      <w:r w:rsidRPr="008D1918" w:rsidR="00F06625">
        <w:rPr>
          <w:lang w:val="en-AU"/>
        </w:rPr>
        <w:fldChar w:fldCharType="separate"/>
      </w:r>
      <w:r w:rsidRPr="008D1918" w:rsidR="008F56A2">
        <w:t xml:space="preserve">Table </w:t>
      </w:r>
      <w:r w:rsidR="008F56A2">
        <w:rPr>
          <w:noProof/>
        </w:rPr>
        <w:t>38</w:t>
      </w:r>
      <w:r w:rsidRPr="008D1918" w:rsidR="00F06625">
        <w:rPr>
          <w:lang w:val="en-AU"/>
        </w:rPr>
        <w:fldChar w:fldCharType="end"/>
      </w:r>
      <w:r w:rsidRPr="008D1918" w:rsidR="00255669">
        <w:rPr>
          <w:lang w:val="en-AU"/>
        </w:rPr>
        <w:t xml:space="preserve"> and </w:t>
      </w:r>
      <w:r w:rsidRPr="008D1918" w:rsidR="00255669">
        <w:rPr>
          <w:lang w:val="en-AU"/>
        </w:rPr>
        <w:fldChar w:fldCharType="begin"/>
      </w:r>
      <w:r w:rsidRPr="008D1918" w:rsidR="00255669">
        <w:rPr>
          <w:lang w:val="en-AU"/>
        </w:rPr>
        <w:instrText xml:space="preserve"> REF _Ref223695797 \h </w:instrText>
      </w:r>
      <w:r w:rsidR="008D1918">
        <w:rPr>
          <w:lang w:val="en-AU"/>
        </w:rPr>
        <w:instrText xml:space="preserve"> \* MERGEFORMAT </w:instrText>
      </w:r>
      <w:r w:rsidRPr="008D1918" w:rsidR="00255669">
        <w:rPr>
          <w:lang w:val="en-AU"/>
        </w:rPr>
      </w:r>
      <w:r w:rsidRPr="008D1918" w:rsidR="00255669">
        <w:rPr>
          <w:lang w:val="en-AU"/>
        </w:rPr>
        <w:fldChar w:fldCharType="separate"/>
      </w:r>
      <w:r w:rsidRPr="008D1918" w:rsidR="008F56A2">
        <w:t xml:space="preserve">Table </w:t>
      </w:r>
      <w:r w:rsidR="008F56A2">
        <w:rPr>
          <w:noProof/>
        </w:rPr>
        <w:t>39</w:t>
      </w:r>
      <w:r w:rsidRPr="008D1918" w:rsidR="00255669">
        <w:rPr>
          <w:lang w:val="en-AU"/>
        </w:rPr>
        <w:fldChar w:fldCharType="end"/>
      </w:r>
      <w:r w:rsidRPr="008D1918">
        <w:rPr>
          <w:lang w:val="en-AU"/>
        </w:rPr>
        <w:t>).</w:t>
      </w:r>
    </w:p>
    <w:p w:rsidRPr="008D1918" w:rsidR="00055299" w:rsidP="00CB5842" w:rsidRDefault="00CB5842" w14:paraId="25D660C9" w14:textId="520A6920">
      <w:pPr>
        <w:pStyle w:val="Caption"/>
      </w:pPr>
      <w:bookmarkStart w:name="_Ref223695713" w:id="1968"/>
      <w:r w:rsidRPr="008D1918">
        <w:t xml:space="preserve">Table </w:t>
      </w:r>
      <w:r>
        <w:fldChar w:fldCharType="begin"/>
      </w:r>
      <w:r>
        <w:instrText>SEQ Table \* ARABIC</w:instrText>
      </w:r>
      <w:r>
        <w:fldChar w:fldCharType="separate"/>
      </w:r>
      <w:r w:rsidR="008F56A2">
        <w:rPr>
          <w:noProof/>
        </w:rPr>
        <w:t>38</w:t>
      </w:r>
      <w:r>
        <w:fldChar w:fldCharType="end"/>
      </w:r>
      <w:bookmarkEnd w:id="1968"/>
      <w:r w:rsidRPr="008D1918" w:rsidR="00055299">
        <w:t>: Plan management fees and transactions by entity size</w:t>
      </w:r>
      <w:r w:rsidRPr="008D1918" w:rsidR="00F823BB">
        <w:t>, July to December 2025</w:t>
      </w:r>
    </w:p>
    <w:tbl>
      <w:tblPr>
        <w:tblStyle w:val="GridTable4-Accent121"/>
        <w:tblW w:w="8921" w:type="dxa"/>
        <w:tblInd w:w="5" w:type="dxa"/>
        <w:tblLayout w:type="fixed"/>
        <w:tblLook w:val="04A0" w:firstRow="1" w:lastRow="0" w:firstColumn="1" w:lastColumn="0" w:noHBand="0" w:noVBand="1"/>
      </w:tblPr>
      <w:tblGrid>
        <w:gridCol w:w="2684"/>
        <w:gridCol w:w="2079"/>
        <w:gridCol w:w="2079"/>
        <w:gridCol w:w="2079"/>
      </w:tblGrid>
      <w:tr w:rsidRPr="008D1918" w:rsidR="00055299" w:rsidTr="00F823BB" w14:paraId="45D5642D" w14:textId="77777777">
        <w:trPr>
          <w:cnfStyle w:val="100000000000" w:firstRow="1" w:lastRow="0" w:firstColumn="0" w:lastColumn="0" w:oddVBand="0" w:evenVBand="0" w:oddHBand="0" w:evenHBand="0" w:firstRowFirstColumn="0" w:firstRowLastColumn="0" w:lastRowFirstColumn="0" w:lastRowLastColumn="0"/>
          <w:trHeight w:val="53"/>
          <w:tblHeader/>
        </w:trPr>
        <w:tc>
          <w:tcPr>
            <w:cnfStyle w:val="001000000000" w:firstRow="0" w:lastRow="0" w:firstColumn="1" w:lastColumn="0" w:oddVBand="0" w:evenVBand="0" w:oddHBand="0" w:evenHBand="0" w:firstRowFirstColumn="0" w:firstRowLastColumn="0" w:lastRowFirstColumn="0" w:lastRowLastColumn="0"/>
            <w:tcW w:w="2684" w:type="dxa"/>
            <w:shd w:val="clear" w:color="auto" w:fill="6B2976"/>
            <w:vAlign w:val="center"/>
            <w:hideMark/>
          </w:tcPr>
          <w:p w:rsidRPr="008D1918" w:rsidR="00055299" w:rsidP="00565EF6" w:rsidRDefault="00055299" w14:paraId="2C4BB39F" w14:textId="1951A542">
            <w:pPr>
              <w:spacing w:before="60" w:after="0"/>
              <w:rPr>
                <w:rFonts w:cs="Arial"/>
                <w:b w:val="0"/>
                <w:color w:val="F9F9F9" w:themeColor="background1"/>
                <w:sz w:val="20"/>
                <w:szCs w:val="20"/>
                <w:lang w:val="en-AU" w:eastAsia="en-AU"/>
              </w:rPr>
            </w:pPr>
            <w:r w:rsidRPr="008D1918">
              <w:rPr>
                <w:rFonts w:cs="Arial"/>
                <w:color w:val="F9F9F9" w:themeColor="background1"/>
                <w:sz w:val="20"/>
                <w:szCs w:val="20"/>
                <w:lang w:val="en-AU" w:eastAsia="en-AU"/>
              </w:rPr>
              <w:t xml:space="preserve">Entity </w:t>
            </w:r>
            <w:r w:rsidRPr="008D1918" w:rsidR="00136DA0">
              <w:rPr>
                <w:rFonts w:cs="Arial"/>
                <w:color w:val="F9F9F9" w:themeColor="background1"/>
                <w:sz w:val="20"/>
                <w:szCs w:val="20"/>
                <w:lang w:val="en-AU" w:eastAsia="en-AU"/>
              </w:rPr>
              <w:t>s</w:t>
            </w:r>
            <w:r w:rsidRPr="008D1918">
              <w:rPr>
                <w:rFonts w:cs="Arial"/>
                <w:color w:val="F9F9F9" w:themeColor="background1"/>
                <w:sz w:val="20"/>
                <w:szCs w:val="20"/>
                <w:lang w:val="en-AU" w:eastAsia="en-AU"/>
              </w:rPr>
              <w:t xml:space="preserve">ize </w:t>
            </w:r>
          </w:p>
          <w:p w:rsidRPr="008D1918" w:rsidR="00055299" w:rsidP="00565EF6" w:rsidRDefault="00055299" w14:paraId="6F36A1DE" w14:textId="531D8F58">
            <w:pPr>
              <w:spacing w:before="0" w:after="60"/>
              <w:rPr>
                <w:rFonts w:cs="Arial"/>
                <w:b w:val="0"/>
                <w:color w:val="F9F9F9" w:themeColor="background1"/>
                <w:sz w:val="20"/>
                <w:szCs w:val="20"/>
                <w:lang w:val="en-AU" w:eastAsia="en-AU"/>
              </w:rPr>
            </w:pPr>
            <w:r w:rsidRPr="008D1918">
              <w:rPr>
                <w:rFonts w:cs="Arial"/>
                <w:color w:val="F9F9F9" w:themeColor="background1"/>
                <w:sz w:val="20"/>
                <w:szCs w:val="20"/>
                <w:lang w:val="en-AU" w:eastAsia="en-AU"/>
              </w:rPr>
              <w:t>(</w:t>
            </w:r>
            <w:r w:rsidRPr="008D1918" w:rsidR="00136DA0">
              <w:rPr>
                <w:rFonts w:cs="Arial"/>
                <w:color w:val="F9F9F9" w:themeColor="background1"/>
                <w:sz w:val="20"/>
                <w:szCs w:val="20"/>
                <w:lang w:val="en-AU" w:eastAsia="en-AU"/>
              </w:rPr>
              <w:t>p</w:t>
            </w:r>
            <w:r w:rsidRPr="008D1918">
              <w:rPr>
                <w:rFonts w:cs="Arial"/>
                <w:color w:val="F9F9F9" w:themeColor="background1"/>
                <w:sz w:val="20"/>
                <w:szCs w:val="20"/>
                <w:lang w:val="en-AU" w:eastAsia="en-AU"/>
              </w:rPr>
              <w:t>lan managers fees)</w:t>
            </w:r>
          </w:p>
        </w:tc>
        <w:tc>
          <w:tcPr>
            <w:tcW w:w="2079" w:type="dxa"/>
            <w:shd w:val="clear" w:color="auto" w:fill="6B2976"/>
            <w:hideMark/>
          </w:tcPr>
          <w:p w:rsidRPr="008D1918" w:rsidR="00055299" w:rsidP="00C80058" w:rsidRDefault="00055299" w14:paraId="1DECA9F3"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color w:val="F9F9F9" w:themeColor="background1"/>
                <w:sz w:val="20"/>
                <w:szCs w:val="20"/>
                <w:lang w:val="en-AU" w:eastAsia="en-AU"/>
              </w:rPr>
            </w:pPr>
            <w:r w:rsidRPr="008D1918">
              <w:rPr>
                <w:rFonts w:cs="Arial"/>
                <w:color w:val="F9F9F9" w:themeColor="background1"/>
                <w:sz w:val="20"/>
                <w:szCs w:val="20"/>
                <w:lang w:val="en-AU" w:eastAsia="en-AU"/>
              </w:rPr>
              <w:t>Total plan management fees</w:t>
            </w:r>
          </w:p>
        </w:tc>
        <w:tc>
          <w:tcPr>
            <w:tcW w:w="2079" w:type="dxa"/>
            <w:shd w:val="clear" w:color="auto" w:fill="6B2976"/>
            <w:vAlign w:val="center"/>
            <w:hideMark/>
          </w:tcPr>
          <w:p w:rsidRPr="008D1918" w:rsidR="00055299" w:rsidP="007F20AC" w:rsidRDefault="00055299" w14:paraId="1B40A320"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color w:val="F9F9F9" w:themeColor="background1"/>
                <w:sz w:val="20"/>
                <w:szCs w:val="20"/>
                <w:lang w:val="en-AU" w:eastAsia="en-AU"/>
              </w:rPr>
            </w:pPr>
            <w:r w:rsidRPr="008D1918">
              <w:rPr>
                <w:rFonts w:cs="Arial"/>
                <w:color w:val="F9F9F9" w:themeColor="background1"/>
                <w:sz w:val="20"/>
                <w:szCs w:val="20"/>
                <w:lang w:val="en-AU" w:eastAsia="en-AU"/>
              </w:rPr>
              <w:t>Transactions count</w:t>
            </w:r>
          </w:p>
        </w:tc>
        <w:tc>
          <w:tcPr>
            <w:tcW w:w="2079" w:type="dxa"/>
            <w:shd w:val="clear" w:color="auto" w:fill="6B2976"/>
            <w:vAlign w:val="center"/>
            <w:hideMark/>
          </w:tcPr>
          <w:p w:rsidRPr="008D1918" w:rsidR="00055299" w:rsidP="007F20AC" w:rsidRDefault="00055299" w14:paraId="19BEBFEB" w14:textId="77777777">
            <w:pPr>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color w:val="F9F9F9" w:themeColor="background1"/>
                <w:sz w:val="20"/>
                <w:szCs w:val="20"/>
                <w:lang w:val="en-AU" w:eastAsia="en-AU"/>
              </w:rPr>
            </w:pPr>
            <w:r w:rsidRPr="008D1918">
              <w:rPr>
                <w:rFonts w:cs="Arial"/>
                <w:color w:val="F9F9F9" w:themeColor="background1"/>
                <w:sz w:val="20"/>
                <w:szCs w:val="20"/>
                <w:lang w:val="en-AU" w:eastAsia="en-AU"/>
              </w:rPr>
              <w:t>Fee per transaction</w:t>
            </w:r>
          </w:p>
        </w:tc>
      </w:tr>
      <w:tr w:rsidRPr="008D1918" w:rsidR="00A238C6" w:rsidTr="00A6183E" w14:paraId="72884504"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84" w:type="dxa"/>
            <w:vAlign w:val="center"/>
            <w:hideMark/>
          </w:tcPr>
          <w:p w:rsidRPr="008D1918" w:rsidR="00055299" w:rsidP="00C80058" w:rsidRDefault="00055299" w14:paraId="2670E8F7" w14:textId="77777777">
            <w:pPr>
              <w:spacing w:before="60" w:after="60"/>
              <w:rPr>
                <w:rFonts w:cs="Arial"/>
                <w:sz w:val="20"/>
                <w:szCs w:val="20"/>
                <w:lang w:val="en-AU" w:eastAsia="en-AU"/>
              </w:rPr>
            </w:pPr>
            <w:r w:rsidRPr="008D1918">
              <w:rPr>
                <w:rFonts w:cs="Arial"/>
                <w:sz w:val="20"/>
                <w:szCs w:val="20"/>
                <w:lang w:val="en-AU" w:eastAsia="en-AU"/>
              </w:rPr>
              <w:t>More than $2.5 million</w:t>
            </w:r>
          </w:p>
        </w:tc>
        <w:tc>
          <w:tcPr>
            <w:tcW w:w="2079" w:type="dxa"/>
            <w:vAlign w:val="center"/>
            <w:hideMark/>
          </w:tcPr>
          <w:p w:rsidRPr="008D1918" w:rsidR="00055299" w:rsidP="00557AE6" w:rsidRDefault="00055299" w14:paraId="54A624AB" w14:textId="77777777">
            <w:pPr>
              <w:spacing w:before="60" w:after="60"/>
              <w:ind w:right="84"/>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$157 million</w:t>
            </w:r>
          </w:p>
        </w:tc>
        <w:tc>
          <w:tcPr>
            <w:tcW w:w="2079" w:type="dxa"/>
            <w:vAlign w:val="center"/>
            <w:hideMark/>
          </w:tcPr>
          <w:p w:rsidRPr="008D1918" w:rsidR="00055299" w:rsidP="00557AE6" w:rsidRDefault="00055299" w14:paraId="04D9A544" w14:textId="77777777">
            <w:pPr>
              <w:spacing w:before="60" w:after="60"/>
              <w:ind w:right="84"/>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36 million</w:t>
            </w:r>
          </w:p>
        </w:tc>
        <w:tc>
          <w:tcPr>
            <w:tcW w:w="2079" w:type="dxa"/>
            <w:vAlign w:val="center"/>
            <w:hideMark/>
          </w:tcPr>
          <w:p w:rsidRPr="008D1918" w:rsidR="00055299" w:rsidP="00557AE6" w:rsidRDefault="00055299" w14:paraId="2CA5DFD2" w14:textId="77777777">
            <w:pPr>
              <w:spacing w:before="60" w:after="60"/>
              <w:ind w:right="84"/>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$4.40</w:t>
            </w:r>
          </w:p>
        </w:tc>
      </w:tr>
      <w:tr w:rsidRPr="008D1918" w:rsidR="00055299" w:rsidTr="00A6183E" w14:paraId="653869A2" w14:textId="77777777">
        <w:trPr>
          <w:trHeight w:val="368"/>
        </w:trPr>
        <w:tc>
          <w:tcPr>
            <w:cnfStyle w:val="001000000000" w:firstRow="0" w:lastRow="0" w:firstColumn="1" w:lastColumn="0" w:oddVBand="0" w:evenVBand="0" w:oddHBand="0" w:evenHBand="0" w:firstRowFirstColumn="0" w:firstRowLastColumn="0" w:lastRowFirstColumn="0" w:lastRowLastColumn="0"/>
            <w:tcW w:w="2684" w:type="dxa"/>
            <w:vAlign w:val="center"/>
            <w:hideMark/>
          </w:tcPr>
          <w:p w:rsidRPr="008D1918" w:rsidR="00055299" w:rsidP="00C80058" w:rsidRDefault="00055299" w14:paraId="70CCA076" w14:textId="77777777">
            <w:pPr>
              <w:spacing w:before="60" w:after="60"/>
              <w:rPr>
                <w:rFonts w:cs="Arial"/>
                <w:color w:val="000000"/>
                <w:sz w:val="20"/>
                <w:szCs w:val="20"/>
                <w:lang w:val="en-AU" w:eastAsia="en-AU"/>
              </w:rPr>
            </w:pPr>
            <w:r w:rsidRPr="008D1918">
              <w:rPr>
                <w:rFonts w:cs="Arial"/>
                <w:color w:val="000000" w:themeColor="accent6"/>
                <w:sz w:val="20"/>
                <w:szCs w:val="20"/>
                <w:lang w:val="en-AU" w:eastAsia="en-AU"/>
              </w:rPr>
              <w:t>Less than $2.5 million</w:t>
            </w:r>
          </w:p>
        </w:tc>
        <w:tc>
          <w:tcPr>
            <w:tcW w:w="2079" w:type="dxa"/>
            <w:vAlign w:val="center"/>
            <w:hideMark/>
          </w:tcPr>
          <w:p w:rsidRPr="008D1918" w:rsidR="00055299" w:rsidP="00557AE6" w:rsidRDefault="00055299" w14:paraId="7534D25D" w14:textId="77777777">
            <w:pPr>
              <w:spacing w:before="60" w:after="60"/>
              <w:ind w:right="84"/>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$163 million</w:t>
            </w:r>
          </w:p>
        </w:tc>
        <w:tc>
          <w:tcPr>
            <w:tcW w:w="2079" w:type="dxa"/>
            <w:vAlign w:val="center"/>
            <w:hideMark/>
          </w:tcPr>
          <w:p w:rsidRPr="008D1918" w:rsidR="00055299" w:rsidP="00557AE6" w:rsidRDefault="00055299" w14:paraId="06773199" w14:textId="77777777">
            <w:pPr>
              <w:spacing w:before="60" w:after="60"/>
              <w:ind w:right="84"/>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30 million</w:t>
            </w:r>
          </w:p>
        </w:tc>
        <w:tc>
          <w:tcPr>
            <w:tcW w:w="2079" w:type="dxa"/>
            <w:vAlign w:val="center"/>
            <w:hideMark/>
          </w:tcPr>
          <w:p w:rsidRPr="008D1918" w:rsidR="00055299" w:rsidP="00557AE6" w:rsidRDefault="00055299" w14:paraId="25B67F25" w14:textId="77777777">
            <w:pPr>
              <w:spacing w:before="60" w:after="60"/>
              <w:ind w:right="84"/>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$5.40</w:t>
            </w:r>
          </w:p>
        </w:tc>
      </w:tr>
      <w:tr w:rsidRPr="008D1918" w:rsidR="00A238C6" w:rsidTr="00A6183E" w14:paraId="5458FACC"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84" w:type="dxa"/>
            <w:vAlign w:val="center"/>
            <w:hideMark/>
          </w:tcPr>
          <w:p w:rsidRPr="008D1918" w:rsidR="00055299" w:rsidP="00C80058" w:rsidRDefault="00055299" w14:paraId="403958B9" w14:textId="77777777">
            <w:pPr>
              <w:spacing w:before="60" w:after="60"/>
              <w:rPr>
                <w:rFonts w:cs="Arial"/>
                <w:b/>
                <w:sz w:val="20"/>
                <w:szCs w:val="20"/>
                <w:lang w:val="en-AU" w:eastAsia="en-AU"/>
              </w:rPr>
            </w:pPr>
            <w:r w:rsidRPr="008D1918">
              <w:rPr>
                <w:rFonts w:cs="Arial"/>
                <w:b/>
                <w:sz w:val="20"/>
                <w:szCs w:val="20"/>
                <w:lang w:val="en-AU" w:eastAsia="en-AU"/>
              </w:rPr>
              <w:t>Total</w:t>
            </w:r>
          </w:p>
        </w:tc>
        <w:tc>
          <w:tcPr>
            <w:tcW w:w="2079" w:type="dxa"/>
            <w:vAlign w:val="center"/>
            <w:hideMark/>
          </w:tcPr>
          <w:p w:rsidRPr="008D1918" w:rsidR="00055299" w:rsidP="00557AE6" w:rsidRDefault="00055299" w14:paraId="730D881F" w14:textId="77777777">
            <w:pPr>
              <w:spacing w:before="60" w:after="60"/>
              <w:ind w:right="84"/>
              <w:jc w:val="right"/>
              <w:cnfStyle w:val="000000100000" w:firstRow="0" w:lastRow="0" w:firstColumn="0" w:lastColumn="0" w:oddVBand="0" w:evenVBand="0" w:oddHBand="1" w:evenHBand="0" w:firstRowFirstColumn="0" w:firstRowLastColumn="0" w:lastRowFirstColumn="0" w:lastRowLastColumn="0"/>
              <w:rPr>
                <w:rFonts w:cs="Arial"/>
                <w:b/>
                <w:sz w:val="20"/>
                <w:szCs w:val="20"/>
                <w:lang w:val="en-AU" w:eastAsia="en-AU"/>
              </w:rPr>
            </w:pPr>
            <w:r w:rsidRPr="008D1918">
              <w:rPr>
                <w:rFonts w:cs="Arial"/>
                <w:b/>
                <w:bCs/>
                <w:sz w:val="20"/>
                <w:szCs w:val="20"/>
                <w:lang w:val="en-AU" w:eastAsia="en-AU"/>
              </w:rPr>
              <w:t>$320 million</w:t>
            </w:r>
          </w:p>
        </w:tc>
        <w:tc>
          <w:tcPr>
            <w:tcW w:w="2079" w:type="dxa"/>
            <w:vAlign w:val="center"/>
            <w:hideMark/>
          </w:tcPr>
          <w:p w:rsidRPr="008D1918" w:rsidR="00055299" w:rsidP="00557AE6" w:rsidRDefault="00055299" w14:paraId="692C0213" w14:textId="77777777">
            <w:pPr>
              <w:spacing w:before="60" w:after="60"/>
              <w:ind w:right="84"/>
              <w:jc w:val="right"/>
              <w:cnfStyle w:val="000000100000" w:firstRow="0" w:lastRow="0" w:firstColumn="0" w:lastColumn="0" w:oddVBand="0" w:evenVBand="0" w:oddHBand="1" w:evenHBand="0" w:firstRowFirstColumn="0" w:firstRowLastColumn="0" w:lastRowFirstColumn="0" w:lastRowLastColumn="0"/>
              <w:rPr>
                <w:rFonts w:cs="Arial"/>
                <w:b/>
                <w:sz w:val="20"/>
                <w:szCs w:val="20"/>
                <w:lang w:val="en-AU" w:eastAsia="en-AU"/>
              </w:rPr>
            </w:pPr>
            <w:r w:rsidRPr="008D1918">
              <w:rPr>
                <w:rFonts w:cs="Arial"/>
                <w:b/>
                <w:bCs/>
                <w:sz w:val="20"/>
                <w:szCs w:val="20"/>
                <w:lang w:val="en-AU" w:eastAsia="en-AU"/>
              </w:rPr>
              <w:t>66 million</w:t>
            </w:r>
          </w:p>
        </w:tc>
        <w:tc>
          <w:tcPr>
            <w:tcW w:w="2079" w:type="dxa"/>
            <w:vAlign w:val="center"/>
            <w:hideMark/>
          </w:tcPr>
          <w:p w:rsidRPr="008D1918" w:rsidR="00055299" w:rsidP="00557AE6" w:rsidRDefault="00055299" w14:paraId="585873A2" w14:textId="77777777">
            <w:pPr>
              <w:spacing w:before="60" w:after="60"/>
              <w:ind w:right="84"/>
              <w:jc w:val="right"/>
              <w:cnfStyle w:val="000000100000" w:firstRow="0" w:lastRow="0" w:firstColumn="0" w:lastColumn="0" w:oddVBand="0" w:evenVBand="0" w:oddHBand="1" w:evenHBand="0" w:firstRowFirstColumn="0" w:firstRowLastColumn="0" w:lastRowFirstColumn="0" w:lastRowLastColumn="0"/>
              <w:rPr>
                <w:rFonts w:cs="Arial"/>
                <w:b/>
                <w:sz w:val="20"/>
                <w:szCs w:val="20"/>
                <w:lang w:val="en-AU" w:eastAsia="en-AU"/>
              </w:rPr>
            </w:pPr>
            <w:r w:rsidRPr="008D1918">
              <w:rPr>
                <w:rFonts w:cs="Arial"/>
                <w:b/>
                <w:bCs/>
                <w:sz w:val="20"/>
                <w:szCs w:val="20"/>
                <w:lang w:val="en-AU" w:eastAsia="en-AU"/>
              </w:rPr>
              <w:t>$4.86</w:t>
            </w:r>
          </w:p>
        </w:tc>
      </w:tr>
    </w:tbl>
    <w:p w:rsidRPr="008D1918" w:rsidR="00055299" w:rsidP="00693EAE" w:rsidRDefault="00055299" w14:paraId="749A41FE" w14:textId="77777777">
      <w:pPr>
        <w:spacing w:before="120" w:after="360"/>
        <w:rPr>
          <w:b/>
          <w:sz w:val="20"/>
          <w:szCs w:val="20"/>
          <w:lang w:val="en-AU"/>
        </w:rPr>
      </w:pPr>
      <w:r w:rsidRPr="008D1918">
        <w:rPr>
          <w:b/>
          <w:sz w:val="20"/>
          <w:szCs w:val="20"/>
          <w:lang w:val="en-AU"/>
        </w:rPr>
        <w:t>Source: NDIS internal administrative data.</w:t>
      </w:r>
    </w:p>
    <w:p w:rsidRPr="008D1918" w:rsidR="00055299" w:rsidP="009052B2" w:rsidRDefault="009052B2" w14:paraId="5CE29DF7" w14:textId="6A027F9F">
      <w:pPr>
        <w:pStyle w:val="Caption"/>
      </w:pPr>
      <w:bookmarkStart w:name="_Ref223695797" w:id="1969"/>
      <w:r w:rsidRPr="008D1918">
        <w:t xml:space="preserve">Table </w:t>
      </w:r>
      <w:r>
        <w:fldChar w:fldCharType="begin"/>
      </w:r>
      <w:r>
        <w:instrText>SEQ Table \* ARABIC</w:instrText>
      </w:r>
      <w:r>
        <w:fldChar w:fldCharType="separate"/>
      </w:r>
      <w:r w:rsidR="008F56A2">
        <w:rPr>
          <w:noProof/>
        </w:rPr>
        <w:t>39</w:t>
      </w:r>
      <w:r>
        <w:fldChar w:fldCharType="end"/>
      </w:r>
      <w:bookmarkEnd w:id="1969"/>
      <w:r w:rsidRPr="008D1918" w:rsidR="00055299">
        <w:t>: Plan management bulk versus non-bulk payments by entity size</w:t>
      </w:r>
      <w:r w:rsidRPr="008D1918" w:rsidR="00E114FC">
        <w:t>, July</w:t>
      </w:r>
      <w:r w:rsidRPr="008D1918" w:rsidR="00055299">
        <w:t xml:space="preserve"> to December 2025</w:t>
      </w:r>
    </w:p>
    <w:tbl>
      <w:tblPr>
        <w:tblStyle w:val="GridTable4-Accent121"/>
        <w:tblW w:w="8921" w:type="dxa"/>
        <w:tblInd w:w="5" w:type="dxa"/>
        <w:tblLayout w:type="fixed"/>
        <w:tblLook w:val="04A0" w:firstRow="1" w:lastRow="0" w:firstColumn="1" w:lastColumn="0" w:noHBand="0" w:noVBand="1"/>
      </w:tblPr>
      <w:tblGrid>
        <w:gridCol w:w="2684"/>
        <w:gridCol w:w="2079"/>
        <w:gridCol w:w="2079"/>
        <w:gridCol w:w="2079"/>
      </w:tblGrid>
      <w:tr w:rsidRPr="008D1918" w:rsidR="00A238C6" w:rsidTr="00A6183E" w14:paraId="0764E11A" w14:textId="77777777">
        <w:trPr>
          <w:cnfStyle w:val="100000000000" w:firstRow="1" w:lastRow="0" w:firstColumn="0" w:lastColumn="0" w:oddVBand="0" w:evenVBand="0" w:oddHBand="0" w:evenHBand="0" w:firstRowFirstColumn="0" w:firstRowLastColumn="0" w:lastRowFirstColumn="0" w:lastRowLastColumn="0"/>
          <w:trHeight w:val="645"/>
          <w:tblHeader/>
        </w:trPr>
        <w:tc>
          <w:tcPr>
            <w:cnfStyle w:val="001000000000" w:firstRow="0" w:lastRow="0" w:firstColumn="1" w:lastColumn="0" w:oddVBand="0" w:evenVBand="0" w:oddHBand="0" w:evenHBand="0" w:firstRowFirstColumn="0" w:firstRowLastColumn="0" w:lastRowFirstColumn="0" w:lastRowLastColumn="0"/>
            <w:tcW w:w="2684" w:type="dxa"/>
            <w:vAlign w:val="center"/>
            <w:hideMark/>
          </w:tcPr>
          <w:p w:rsidRPr="008D1918" w:rsidR="00C80058" w:rsidP="00565EF6" w:rsidRDefault="00055299" w14:paraId="0028F87C" w14:textId="44BA433B">
            <w:pPr>
              <w:spacing w:before="60" w:after="0"/>
              <w:rPr>
                <w:rFonts w:cs="Arial"/>
                <w:b w:val="0"/>
                <w:bCs w:val="0"/>
                <w:color w:val="F9F9F9" w:themeColor="background1"/>
                <w:sz w:val="20"/>
                <w:szCs w:val="20"/>
                <w:lang w:val="en-AU" w:eastAsia="en-AU"/>
              </w:rPr>
            </w:pPr>
            <w:r w:rsidRPr="008D1918">
              <w:rPr>
                <w:rFonts w:cs="Arial"/>
                <w:color w:val="F9F9F9" w:themeColor="background1"/>
                <w:sz w:val="20"/>
                <w:szCs w:val="20"/>
                <w:lang w:val="en-AU" w:eastAsia="en-AU"/>
              </w:rPr>
              <w:t xml:space="preserve">Entity </w:t>
            </w:r>
            <w:r w:rsidRPr="008D1918" w:rsidR="00136DA0">
              <w:rPr>
                <w:rFonts w:cs="Arial"/>
                <w:color w:val="F9F9F9" w:themeColor="background1"/>
                <w:sz w:val="20"/>
                <w:szCs w:val="20"/>
                <w:lang w:val="en-AU" w:eastAsia="en-AU"/>
              </w:rPr>
              <w:t>s</w:t>
            </w:r>
            <w:r w:rsidRPr="008D1918">
              <w:rPr>
                <w:rFonts w:cs="Arial"/>
                <w:color w:val="F9F9F9" w:themeColor="background1"/>
                <w:sz w:val="20"/>
                <w:szCs w:val="20"/>
                <w:lang w:val="en-AU" w:eastAsia="en-AU"/>
              </w:rPr>
              <w:t>ize</w:t>
            </w:r>
          </w:p>
          <w:p w:rsidRPr="008D1918" w:rsidR="00055299" w:rsidP="00565EF6" w:rsidRDefault="00055299" w14:paraId="7CD2EDC2" w14:textId="234CFC13">
            <w:pPr>
              <w:spacing w:before="0" w:after="60"/>
              <w:rPr>
                <w:rFonts w:cs="Arial"/>
                <w:b w:val="0"/>
                <w:sz w:val="20"/>
                <w:szCs w:val="20"/>
                <w:lang w:val="en-AU" w:eastAsia="en-AU"/>
              </w:rPr>
            </w:pPr>
            <w:r w:rsidRPr="008D1918">
              <w:rPr>
                <w:rFonts w:cs="Arial"/>
                <w:color w:val="F9F9F9" w:themeColor="background1"/>
                <w:sz w:val="20"/>
                <w:szCs w:val="20"/>
                <w:lang w:val="en-AU" w:eastAsia="en-AU"/>
              </w:rPr>
              <w:t>(</w:t>
            </w:r>
            <w:r w:rsidRPr="008D1918" w:rsidR="00136DA0">
              <w:rPr>
                <w:rFonts w:cs="Arial"/>
                <w:color w:val="F9F9F9" w:themeColor="background1"/>
                <w:sz w:val="20"/>
                <w:szCs w:val="20"/>
                <w:lang w:val="en-AU" w:eastAsia="en-AU"/>
              </w:rPr>
              <w:t>t</w:t>
            </w:r>
            <w:r w:rsidRPr="008D1918">
              <w:rPr>
                <w:rFonts w:cs="Arial"/>
                <w:color w:val="F9F9F9" w:themeColor="background1"/>
                <w:sz w:val="20"/>
                <w:szCs w:val="20"/>
                <w:lang w:val="en-AU" w:eastAsia="en-AU"/>
              </w:rPr>
              <w:t>ransaction fees)</w:t>
            </w:r>
          </w:p>
        </w:tc>
        <w:tc>
          <w:tcPr>
            <w:tcW w:w="2079" w:type="dxa"/>
            <w:vAlign w:val="center"/>
            <w:hideMark/>
          </w:tcPr>
          <w:p w:rsidRPr="008D1918" w:rsidR="00055299" w:rsidP="00565EF6" w:rsidRDefault="00055299" w14:paraId="42F8344C" w14:textId="2BC67323">
            <w:pPr>
              <w:spacing w:after="0" w:line="240" w:lineRule="auto"/>
              <w:ind w:firstLine="201" w:firstLineChars="10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Bulk</w:t>
            </w:r>
            <w:r w:rsidRPr="008D1918" w:rsidR="00BD2193">
              <w:rPr>
                <w:rFonts w:cs="Arial"/>
                <w:color w:val="F9F9F9" w:themeColor="background1"/>
                <w:sz w:val="20"/>
                <w:szCs w:val="20"/>
                <w:lang w:val="en-AU" w:eastAsia="en-AU"/>
              </w:rPr>
              <w:t xml:space="preserve"> payment</w:t>
            </w:r>
            <w:r w:rsidRPr="008D1918" w:rsidR="00027B24">
              <w:rPr>
                <w:rFonts w:cs="Arial"/>
                <w:color w:val="F9F9F9" w:themeColor="background1"/>
                <w:sz w:val="20"/>
                <w:szCs w:val="20"/>
                <w:lang w:val="en-AU" w:eastAsia="en-AU"/>
              </w:rPr>
              <w:t xml:space="preserve"> processing</w:t>
            </w:r>
          </w:p>
        </w:tc>
        <w:tc>
          <w:tcPr>
            <w:tcW w:w="2079" w:type="dxa"/>
            <w:vAlign w:val="center"/>
            <w:hideMark/>
          </w:tcPr>
          <w:p w:rsidRPr="008D1918" w:rsidR="00055299" w:rsidP="00565EF6" w:rsidRDefault="00055299" w14:paraId="46FB1529" w14:textId="1F9CA17D">
            <w:pPr>
              <w:spacing w:after="0" w:line="240" w:lineRule="auto"/>
              <w:ind w:firstLine="201" w:firstLineChars="10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Non</w:t>
            </w:r>
            <w:r w:rsidRPr="008D1918" w:rsidR="00136DA0">
              <w:rPr>
                <w:rFonts w:cs="Arial"/>
                <w:color w:val="F9F9F9" w:themeColor="background1"/>
                <w:sz w:val="20"/>
                <w:szCs w:val="20"/>
                <w:lang w:val="en-AU" w:eastAsia="en-AU"/>
              </w:rPr>
              <w:t>-b</w:t>
            </w:r>
            <w:r w:rsidRPr="008D1918">
              <w:rPr>
                <w:rFonts w:cs="Arial"/>
                <w:color w:val="F9F9F9" w:themeColor="background1"/>
                <w:sz w:val="20"/>
                <w:szCs w:val="20"/>
                <w:lang w:val="en-AU" w:eastAsia="en-AU"/>
              </w:rPr>
              <w:t>ulk</w:t>
            </w:r>
            <w:r w:rsidRPr="008D1918" w:rsidR="00BD2193">
              <w:rPr>
                <w:rFonts w:cs="Arial"/>
                <w:color w:val="F9F9F9" w:themeColor="background1"/>
                <w:sz w:val="20"/>
                <w:szCs w:val="20"/>
                <w:lang w:val="en-AU" w:eastAsia="en-AU"/>
              </w:rPr>
              <w:t xml:space="preserve"> payment</w:t>
            </w:r>
            <w:r w:rsidRPr="008D1918" w:rsidR="00027B24">
              <w:rPr>
                <w:rFonts w:cs="Arial"/>
                <w:color w:val="F9F9F9" w:themeColor="background1"/>
                <w:sz w:val="20"/>
                <w:szCs w:val="20"/>
                <w:lang w:val="en-AU" w:eastAsia="en-AU"/>
              </w:rPr>
              <w:t xml:space="preserve"> processing</w:t>
            </w:r>
          </w:p>
        </w:tc>
        <w:tc>
          <w:tcPr>
            <w:tcW w:w="2079" w:type="dxa"/>
            <w:vAlign w:val="center"/>
            <w:hideMark/>
          </w:tcPr>
          <w:p w:rsidRPr="008D1918" w:rsidR="00055299" w:rsidP="00565EF6" w:rsidRDefault="00055299" w14:paraId="29679FA9" w14:textId="1E7A3921">
            <w:pPr>
              <w:spacing w:after="0" w:line="240" w:lineRule="auto"/>
              <w:ind w:firstLine="201" w:firstLineChars="10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 xml:space="preserve">Proportion of </w:t>
            </w:r>
            <w:r w:rsidRPr="008D1918" w:rsidR="00136DA0">
              <w:rPr>
                <w:rFonts w:cs="Arial"/>
                <w:color w:val="F9F9F9" w:themeColor="background1"/>
                <w:sz w:val="20"/>
                <w:szCs w:val="20"/>
                <w:lang w:val="en-AU" w:eastAsia="en-AU"/>
              </w:rPr>
              <w:t>t</w:t>
            </w:r>
            <w:r w:rsidRPr="008D1918">
              <w:rPr>
                <w:rFonts w:cs="Arial"/>
                <w:color w:val="F9F9F9" w:themeColor="background1"/>
                <w:sz w:val="20"/>
                <w:szCs w:val="20"/>
                <w:lang w:val="en-AU" w:eastAsia="en-AU"/>
              </w:rPr>
              <w:t>otal</w:t>
            </w:r>
          </w:p>
        </w:tc>
      </w:tr>
      <w:tr w:rsidRPr="008D1918" w:rsidR="00A238C6" w:rsidTr="00A6183E" w14:paraId="3A51A173"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84" w:type="dxa"/>
            <w:vAlign w:val="center"/>
            <w:hideMark/>
          </w:tcPr>
          <w:p w:rsidRPr="008D1918" w:rsidR="00055299" w:rsidP="00C80058" w:rsidRDefault="00055299" w14:paraId="441C5998" w14:textId="77777777">
            <w:pPr>
              <w:spacing w:before="60" w:after="60"/>
              <w:rPr>
                <w:rFonts w:cs="Arial"/>
                <w:sz w:val="20"/>
                <w:szCs w:val="20"/>
                <w:lang w:val="en-AU" w:eastAsia="en-AU"/>
              </w:rPr>
            </w:pPr>
            <w:r w:rsidRPr="008D1918">
              <w:rPr>
                <w:rFonts w:cs="Arial"/>
                <w:sz w:val="20"/>
                <w:szCs w:val="20"/>
                <w:lang w:val="en-AU" w:eastAsia="en-AU"/>
              </w:rPr>
              <w:t>More than $2.5 million</w:t>
            </w:r>
          </w:p>
        </w:tc>
        <w:tc>
          <w:tcPr>
            <w:tcW w:w="2079" w:type="dxa"/>
            <w:vAlign w:val="center"/>
            <w:hideMark/>
          </w:tcPr>
          <w:p w:rsidRPr="008D1918" w:rsidR="00055299" w:rsidP="00565EF6" w:rsidRDefault="00055299" w14:paraId="0EA5EA13" w14:textId="77777777">
            <w:pPr>
              <w:spacing w:before="60" w:after="60"/>
              <w:ind w:right="84"/>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100%</w:t>
            </w:r>
          </w:p>
        </w:tc>
        <w:tc>
          <w:tcPr>
            <w:tcW w:w="2079" w:type="dxa"/>
            <w:vAlign w:val="center"/>
            <w:hideMark/>
          </w:tcPr>
          <w:p w:rsidRPr="008D1918" w:rsidR="00055299" w:rsidP="00565EF6" w:rsidRDefault="00055299" w14:paraId="0E1183D1" w14:textId="77777777">
            <w:pPr>
              <w:spacing w:before="60" w:after="60"/>
              <w:ind w:right="84"/>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0%</w:t>
            </w:r>
          </w:p>
        </w:tc>
        <w:tc>
          <w:tcPr>
            <w:tcW w:w="2079" w:type="dxa"/>
            <w:vAlign w:val="center"/>
            <w:hideMark/>
          </w:tcPr>
          <w:p w:rsidRPr="008D1918" w:rsidR="00055299" w:rsidP="00565EF6" w:rsidRDefault="00201692" w14:paraId="50FAA325" w14:textId="56D74B16">
            <w:pPr>
              <w:spacing w:before="60" w:after="60"/>
              <w:ind w:right="84"/>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50</w:t>
            </w:r>
            <w:r w:rsidRPr="008D1918" w:rsidR="00055299">
              <w:rPr>
                <w:rFonts w:cs="Arial"/>
                <w:sz w:val="20"/>
                <w:szCs w:val="20"/>
                <w:lang w:val="en-AU" w:eastAsia="en-AU"/>
              </w:rPr>
              <w:t>%</w:t>
            </w:r>
          </w:p>
        </w:tc>
      </w:tr>
      <w:tr w:rsidRPr="008D1918" w:rsidR="00055299" w:rsidTr="00A6183E" w14:paraId="4E2E8C34" w14:textId="77777777">
        <w:trPr>
          <w:trHeight w:val="315"/>
        </w:trPr>
        <w:tc>
          <w:tcPr>
            <w:cnfStyle w:val="001000000000" w:firstRow="0" w:lastRow="0" w:firstColumn="1" w:lastColumn="0" w:oddVBand="0" w:evenVBand="0" w:oddHBand="0" w:evenHBand="0" w:firstRowFirstColumn="0" w:firstRowLastColumn="0" w:lastRowFirstColumn="0" w:lastRowLastColumn="0"/>
            <w:tcW w:w="2684" w:type="dxa"/>
            <w:vAlign w:val="center"/>
            <w:hideMark/>
          </w:tcPr>
          <w:p w:rsidRPr="008D1918" w:rsidR="00055299" w:rsidP="00C80058" w:rsidRDefault="00055299" w14:paraId="68AB9EE7" w14:textId="77777777">
            <w:pPr>
              <w:spacing w:before="60" w:after="60"/>
              <w:rPr>
                <w:rFonts w:cs="Arial"/>
                <w:color w:val="000000"/>
                <w:sz w:val="20"/>
                <w:szCs w:val="20"/>
                <w:lang w:val="en-AU" w:eastAsia="en-AU"/>
              </w:rPr>
            </w:pPr>
            <w:r w:rsidRPr="008D1918">
              <w:rPr>
                <w:rFonts w:cs="Arial"/>
                <w:color w:val="000000" w:themeColor="accent6"/>
                <w:sz w:val="20"/>
                <w:szCs w:val="20"/>
                <w:lang w:val="en-AU" w:eastAsia="en-AU"/>
              </w:rPr>
              <w:t>Less than $2.5 million</w:t>
            </w:r>
          </w:p>
        </w:tc>
        <w:tc>
          <w:tcPr>
            <w:tcW w:w="2079" w:type="dxa"/>
            <w:vAlign w:val="center"/>
            <w:hideMark/>
          </w:tcPr>
          <w:p w:rsidRPr="008D1918" w:rsidR="00055299" w:rsidP="00565EF6" w:rsidRDefault="00055299" w14:paraId="1AFBF3DD" w14:textId="77777777">
            <w:pPr>
              <w:spacing w:before="60" w:after="60"/>
              <w:ind w:right="84"/>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80%</w:t>
            </w:r>
          </w:p>
        </w:tc>
        <w:tc>
          <w:tcPr>
            <w:tcW w:w="2079" w:type="dxa"/>
            <w:vAlign w:val="center"/>
            <w:hideMark/>
          </w:tcPr>
          <w:p w:rsidRPr="008D1918" w:rsidR="00055299" w:rsidP="00565EF6" w:rsidRDefault="00055299" w14:paraId="4EC726FF" w14:textId="77777777">
            <w:pPr>
              <w:spacing w:before="60" w:after="60"/>
              <w:ind w:right="84"/>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20%</w:t>
            </w:r>
          </w:p>
        </w:tc>
        <w:tc>
          <w:tcPr>
            <w:tcW w:w="2079" w:type="dxa"/>
            <w:vAlign w:val="center"/>
            <w:hideMark/>
          </w:tcPr>
          <w:p w:rsidRPr="008D1918" w:rsidR="00055299" w:rsidP="00565EF6" w:rsidRDefault="00201692" w14:paraId="492FE9F1" w14:textId="1C686F8C">
            <w:pPr>
              <w:spacing w:before="60" w:after="60"/>
              <w:ind w:right="84"/>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50</w:t>
            </w:r>
            <w:r w:rsidRPr="008D1918" w:rsidR="00055299">
              <w:rPr>
                <w:rFonts w:cs="Arial"/>
                <w:color w:val="000000" w:themeColor="accent6"/>
                <w:sz w:val="20"/>
                <w:szCs w:val="20"/>
                <w:lang w:val="en-AU" w:eastAsia="en-AU"/>
              </w:rPr>
              <w:t>%</w:t>
            </w:r>
          </w:p>
        </w:tc>
      </w:tr>
      <w:tr w:rsidRPr="008D1918" w:rsidR="00A238C6" w:rsidTr="00A6183E" w14:paraId="015223B0"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84" w:type="dxa"/>
            <w:vAlign w:val="center"/>
            <w:hideMark/>
          </w:tcPr>
          <w:p w:rsidRPr="008D1918" w:rsidR="00055299" w:rsidP="00C80058" w:rsidRDefault="00055299" w14:paraId="6AC595EF" w14:textId="77777777">
            <w:pPr>
              <w:spacing w:before="60" w:after="60"/>
              <w:rPr>
                <w:rFonts w:cs="Arial"/>
                <w:b/>
                <w:sz w:val="20"/>
                <w:szCs w:val="20"/>
                <w:lang w:val="en-AU" w:eastAsia="en-AU"/>
              </w:rPr>
            </w:pPr>
            <w:r w:rsidRPr="008D1918">
              <w:rPr>
                <w:rFonts w:cs="Arial"/>
                <w:b/>
                <w:sz w:val="20"/>
                <w:szCs w:val="20"/>
                <w:lang w:val="en-AU" w:eastAsia="en-AU"/>
              </w:rPr>
              <w:t>Total</w:t>
            </w:r>
          </w:p>
        </w:tc>
        <w:tc>
          <w:tcPr>
            <w:tcW w:w="2079" w:type="dxa"/>
            <w:vAlign w:val="center"/>
            <w:hideMark/>
          </w:tcPr>
          <w:p w:rsidRPr="008D1918" w:rsidR="00055299" w:rsidP="00565EF6" w:rsidRDefault="00055299" w14:paraId="3915D302" w14:textId="77777777">
            <w:pPr>
              <w:spacing w:before="60" w:after="60"/>
              <w:ind w:right="84"/>
              <w:jc w:val="right"/>
              <w:cnfStyle w:val="000000100000" w:firstRow="0" w:lastRow="0" w:firstColumn="0" w:lastColumn="0" w:oddVBand="0" w:evenVBand="0" w:oddHBand="1" w:evenHBand="0" w:firstRowFirstColumn="0" w:firstRowLastColumn="0" w:lastRowFirstColumn="0" w:lastRowLastColumn="0"/>
              <w:rPr>
                <w:rFonts w:cs="Arial"/>
                <w:b/>
                <w:sz w:val="20"/>
                <w:szCs w:val="20"/>
                <w:lang w:val="en-AU" w:eastAsia="en-AU"/>
              </w:rPr>
            </w:pPr>
            <w:r w:rsidRPr="008D1918">
              <w:rPr>
                <w:rFonts w:cs="Arial"/>
                <w:b/>
                <w:bCs/>
                <w:sz w:val="20"/>
                <w:szCs w:val="20"/>
                <w:lang w:val="en-AU" w:eastAsia="en-AU"/>
              </w:rPr>
              <w:t>90%</w:t>
            </w:r>
          </w:p>
        </w:tc>
        <w:tc>
          <w:tcPr>
            <w:tcW w:w="2079" w:type="dxa"/>
            <w:vAlign w:val="center"/>
            <w:hideMark/>
          </w:tcPr>
          <w:p w:rsidRPr="008D1918" w:rsidR="00055299" w:rsidP="00565EF6" w:rsidRDefault="00055299" w14:paraId="154CBDD5" w14:textId="77777777">
            <w:pPr>
              <w:spacing w:before="60" w:after="60"/>
              <w:ind w:right="84"/>
              <w:jc w:val="right"/>
              <w:cnfStyle w:val="000000100000" w:firstRow="0" w:lastRow="0" w:firstColumn="0" w:lastColumn="0" w:oddVBand="0" w:evenVBand="0" w:oddHBand="1" w:evenHBand="0" w:firstRowFirstColumn="0" w:firstRowLastColumn="0" w:lastRowFirstColumn="0" w:lastRowLastColumn="0"/>
              <w:rPr>
                <w:rFonts w:cs="Arial"/>
                <w:b/>
                <w:sz w:val="20"/>
                <w:szCs w:val="20"/>
                <w:lang w:val="en-AU" w:eastAsia="en-AU"/>
              </w:rPr>
            </w:pPr>
            <w:r w:rsidRPr="008D1918">
              <w:rPr>
                <w:rFonts w:cs="Arial"/>
                <w:b/>
                <w:bCs/>
                <w:sz w:val="20"/>
                <w:szCs w:val="20"/>
                <w:lang w:val="en-AU" w:eastAsia="en-AU"/>
              </w:rPr>
              <w:t>10%</w:t>
            </w:r>
          </w:p>
        </w:tc>
        <w:tc>
          <w:tcPr>
            <w:tcW w:w="2079" w:type="dxa"/>
            <w:vAlign w:val="center"/>
            <w:hideMark/>
          </w:tcPr>
          <w:p w:rsidRPr="008D1918" w:rsidR="00055299" w:rsidP="00565EF6" w:rsidRDefault="00055299" w14:paraId="3C1B6082" w14:textId="77777777">
            <w:pPr>
              <w:spacing w:before="60" w:after="60"/>
              <w:ind w:right="84"/>
              <w:jc w:val="right"/>
              <w:cnfStyle w:val="000000100000" w:firstRow="0" w:lastRow="0" w:firstColumn="0" w:lastColumn="0" w:oddVBand="0" w:evenVBand="0" w:oddHBand="1" w:evenHBand="0" w:firstRowFirstColumn="0" w:firstRowLastColumn="0" w:lastRowFirstColumn="0" w:lastRowLastColumn="0"/>
              <w:rPr>
                <w:rFonts w:cs="Arial"/>
                <w:b/>
                <w:bCs/>
                <w:sz w:val="20"/>
                <w:szCs w:val="20"/>
                <w:lang w:val="en-AU" w:eastAsia="en-AU"/>
              </w:rPr>
            </w:pPr>
            <w:r w:rsidRPr="008D1918">
              <w:rPr>
                <w:rFonts w:cs="Arial"/>
                <w:b/>
                <w:bCs/>
                <w:sz w:val="20"/>
                <w:szCs w:val="20"/>
                <w:lang w:val="en-AU" w:eastAsia="en-AU"/>
              </w:rPr>
              <w:t>100%</w:t>
            </w:r>
          </w:p>
        </w:tc>
      </w:tr>
    </w:tbl>
    <w:p w:rsidRPr="008D1918" w:rsidR="00055299" w:rsidRDefault="00055299" w14:paraId="472FBCDA" w14:textId="77777777">
      <w:pPr>
        <w:spacing w:before="120" w:after="60" w:line="240" w:lineRule="atLeast"/>
        <w:rPr>
          <w:b/>
          <w:sz w:val="20"/>
          <w:szCs w:val="20"/>
          <w:lang w:val="en-AU"/>
        </w:rPr>
      </w:pPr>
      <w:r w:rsidRPr="008D1918">
        <w:rPr>
          <w:b/>
          <w:sz w:val="20"/>
          <w:szCs w:val="20"/>
          <w:lang w:val="en-AU"/>
        </w:rPr>
        <w:t>Source: NDIS internal administrative data.</w:t>
      </w:r>
    </w:p>
    <w:p w:rsidRPr="008D1918" w:rsidR="00055299" w:rsidP="00CC1BF5" w:rsidRDefault="00055299" w14:paraId="0D6CCD98" w14:textId="77777777">
      <w:pPr>
        <w:spacing w:before="120" w:after="360" w:line="240" w:lineRule="atLeast"/>
        <w:rPr>
          <w:rFonts w:eastAsia="DengXian" w:cs="Calibri"/>
          <w:sz w:val="20"/>
          <w:szCs w:val="20"/>
          <w:lang w:val="en-AU"/>
        </w:rPr>
      </w:pPr>
      <w:r w:rsidRPr="008D1918">
        <w:rPr>
          <w:rFonts w:eastAsia="DengXian" w:cs="Calibri"/>
          <w:sz w:val="20"/>
          <w:szCs w:val="18"/>
          <w:lang w:val="en-AU"/>
        </w:rPr>
        <w:t>Note: Refunds payments are all processed individually and are excluded from the table above to focus on payments.</w:t>
      </w:r>
    </w:p>
    <w:p w:rsidRPr="008D1918" w:rsidR="00055299" w:rsidRDefault="00913BFD" w14:paraId="0A601730" w14:textId="3C366F4D">
      <w:pPr>
        <w:rPr>
          <w:lang w:val="en-AU"/>
        </w:rPr>
      </w:pPr>
      <w:r w:rsidRPr="008D1918">
        <w:rPr>
          <w:lang w:val="en-AU"/>
        </w:rPr>
        <w:t>This differential is driven by processing method. Larger plan managers process effectively 100% of payments via bulk file upload. Smaller providers process more than 20% as individual payment requests, which involves higher per-transaction administrative effort (</w:t>
      </w:r>
      <w:r w:rsidRPr="008D1918">
        <w:rPr>
          <w:lang w:val="en-AU"/>
        </w:rPr>
        <w:fldChar w:fldCharType="begin"/>
      </w:r>
      <w:r w:rsidRPr="008D1918">
        <w:rPr>
          <w:lang w:val="en-AU"/>
        </w:rPr>
        <w:instrText xml:space="preserve"> REF _Ref223695829 \h  \* MERGEFORMAT </w:instrText>
      </w:r>
      <w:r w:rsidRPr="008D1918">
        <w:rPr>
          <w:lang w:val="en-AU"/>
        </w:rPr>
      </w:r>
      <w:r w:rsidRPr="008D1918">
        <w:rPr>
          <w:lang w:val="en-AU"/>
        </w:rPr>
        <w:fldChar w:fldCharType="separate"/>
      </w:r>
      <w:r w:rsidRPr="008F56A2" w:rsidR="008F56A2">
        <w:rPr>
          <w:lang w:val="en-AU"/>
        </w:rPr>
        <w:t>Table</w:t>
      </w:r>
      <w:r w:rsidRPr="008D1918" w:rsidR="008F56A2">
        <w:t xml:space="preserve"> </w:t>
      </w:r>
      <w:r w:rsidR="008F56A2">
        <w:rPr>
          <w:noProof/>
        </w:rPr>
        <w:t>40</w:t>
      </w:r>
      <w:r w:rsidRPr="008D1918">
        <w:rPr>
          <w:lang w:val="en-AU"/>
        </w:rPr>
        <w:fldChar w:fldCharType="end"/>
      </w:r>
      <w:r w:rsidRPr="008D1918">
        <w:rPr>
          <w:lang w:val="en-AU"/>
        </w:rPr>
        <w:t>).</w:t>
      </w:r>
      <w:r w:rsidRPr="008D1918" w:rsidDel="00913BFD">
        <w:rPr>
          <w:lang w:val="en-AU"/>
        </w:rPr>
        <w:t xml:space="preserve"> </w:t>
      </w:r>
    </w:p>
    <w:p w:rsidRPr="008D1918" w:rsidR="00055299" w:rsidP="003D40A0" w:rsidRDefault="003D40A0" w14:paraId="236638B9" w14:textId="542E81BB">
      <w:pPr>
        <w:pStyle w:val="Caption"/>
      </w:pPr>
      <w:bookmarkStart w:name="_Ref223695829" w:id="1970"/>
      <w:r w:rsidRPr="008D1918">
        <w:t xml:space="preserve">Table </w:t>
      </w:r>
      <w:r>
        <w:fldChar w:fldCharType="begin"/>
      </w:r>
      <w:r>
        <w:instrText>SEQ Table \* ARABIC</w:instrText>
      </w:r>
      <w:r>
        <w:fldChar w:fldCharType="separate"/>
      </w:r>
      <w:r w:rsidR="008F56A2">
        <w:rPr>
          <w:noProof/>
        </w:rPr>
        <w:t>40</w:t>
      </w:r>
      <w:r>
        <w:fldChar w:fldCharType="end"/>
      </w:r>
      <w:bookmarkEnd w:id="1970"/>
      <w:r w:rsidRPr="008D1918" w:rsidR="00055299">
        <w:t xml:space="preserve">: Plan management bulk versus non-bulk payments by entity </w:t>
      </w:r>
      <w:r w:rsidRPr="008D1918" w:rsidR="00210DFB">
        <w:t>type</w:t>
      </w:r>
      <w:r w:rsidRPr="008D1918" w:rsidR="00E114FC">
        <w:t>,</w:t>
      </w:r>
      <w:r w:rsidRPr="008D1918" w:rsidR="00055299">
        <w:t xml:space="preserve"> </w:t>
      </w:r>
      <w:r w:rsidRPr="008D1918" w:rsidR="00E114FC">
        <w:t>July</w:t>
      </w:r>
      <w:r w:rsidRPr="008D1918" w:rsidR="00055299">
        <w:t xml:space="preserve"> to December 2025 </w:t>
      </w:r>
    </w:p>
    <w:tbl>
      <w:tblPr>
        <w:tblStyle w:val="GridTable4-Accent121"/>
        <w:tblW w:w="8921" w:type="dxa"/>
        <w:tblInd w:w="5" w:type="dxa"/>
        <w:tblLayout w:type="fixed"/>
        <w:tblLook w:val="04A0" w:firstRow="1" w:lastRow="0" w:firstColumn="1" w:lastColumn="0" w:noHBand="0" w:noVBand="1"/>
      </w:tblPr>
      <w:tblGrid>
        <w:gridCol w:w="2684"/>
        <w:gridCol w:w="2079"/>
        <w:gridCol w:w="2079"/>
        <w:gridCol w:w="2079"/>
      </w:tblGrid>
      <w:tr w:rsidRPr="008D1918" w:rsidR="00A238C6" w:rsidTr="00A6183E" w14:paraId="6EA7E19E" w14:textId="77777777">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684" w:type="dxa"/>
            <w:vAlign w:val="center"/>
            <w:hideMark/>
          </w:tcPr>
          <w:p w:rsidRPr="008D1918" w:rsidR="00055299" w:rsidP="00565EF6" w:rsidRDefault="00055299" w14:paraId="239AD219" w14:textId="689EB1DC">
            <w:pPr>
              <w:keepNext/>
              <w:spacing w:before="60" w:after="60"/>
              <w:rPr>
                <w:rFonts w:cs="Arial"/>
                <w:b w:val="0"/>
                <w:sz w:val="20"/>
                <w:szCs w:val="20"/>
                <w:lang w:val="en-AU" w:eastAsia="en-AU"/>
              </w:rPr>
            </w:pPr>
            <w:r w:rsidRPr="008D1918">
              <w:rPr>
                <w:rFonts w:cs="Arial"/>
                <w:color w:val="F9F9F9" w:themeColor="background1"/>
                <w:sz w:val="20"/>
                <w:szCs w:val="20"/>
                <w:lang w:val="en-AU" w:eastAsia="en-AU"/>
              </w:rPr>
              <w:t xml:space="preserve">Entity </w:t>
            </w:r>
            <w:r w:rsidRPr="008D1918" w:rsidR="00027B24">
              <w:rPr>
                <w:rFonts w:cs="Arial"/>
                <w:color w:val="F9F9F9" w:themeColor="background1"/>
                <w:sz w:val="20"/>
                <w:szCs w:val="20"/>
                <w:lang w:val="en-AU" w:eastAsia="en-AU"/>
              </w:rPr>
              <w:t>t</w:t>
            </w:r>
            <w:r w:rsidRPr="008D1918">
              <w:rPr>
                <w:rFonts w:cs="Arial"/>
                <w:color w:val="F9F9F9" w:themeColor="background1"/>
                <w:sz w:val="20"/>
                <w:szCs w:val="20"/>
                <w:lang w:val="en-AU" w:eastAsia="en-AU"/>
              </w:rPr>
              <w:t>ype</w:t>
            </w:r>
          </w:p>
        </w:tc>
        <w:tc>
          <w:tcPr>
            <w:tcW w:w="2079" w:type="dxa"/>
            <w:vAlign w:val="center"/>
            <w:hideMark/>
          </w:tcPr>
          <w:p w:rsidRPr="008D1918" w:rsidR="00055299" w:rsidP="00565EF6" w:rsidRDefault="00055299" w14:paraId="057AC81A" w14:textId="0B740C5C">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 xml:space="preserve">Bulk </w:t>
            </w:r>
            <w:r w:rsidRPr="008D1918" w:rsidR="00027B24">
              <w:rPr>
                <w:rFonts w:cs="Arial"/>
                <w:color w:val="F9F9F9" w:themeColor="background1"/>
                <w:sz w:val="20"/>
                <w:szCs w:val="20"/>
                <w:lang w:val="en-AU" w:eastAsia="en-AU"/>
              </w:rPr>
              <w:t>p</w:t>
            </w:r>
            <w:r w:rsidRPr="008D1918">
              <w:rPr>
                <w:rFonts w:cs="Arial"/>
                <w:color w:val="F9F9F9" w:themeColor="background1"/>
                <w:sz w:val="20"/>
                <w:szCs w:val="20"/>
                <w:lang w:val="en-AU" w:eastAsia="en-AU"/>
              </w:rPr>
              <w:t xml:space="preserve">ayment </w:t>
            </w:r>
            <w:r w:rsidRPr="008D1918" w:rsidR="00027B24">
              <w:rPr>
                <w:rFonts w:cs="Arial"/>
                <w:color w:val="F9F9F9" w:themeColor="background1"/>
                <w:sz w:val="20"/>
                <w:szCs w:val="20"/>
                <w:lang w:val="en-AU" w:eastAsia="en-AU"/>
              </w:rPr>
              <w:t>p</w:t>
            </w:r>
            <w:r w:rsidRPr="008D1918">
              <w:rPr>
                <w:rFonts w:cs="Arial"/>
                <w:color w:val="F9F9F9" w:themeColor="background1"/>
                <w:sz w:val="20"/>
                <w:szCs w:val="20"/>
                <w:lang w:val="en-AU" w:eastAsia="en-AU"/>
              </w:rPr>
              <w:t>rocessing</w:t>
            </w:r>
          </w:p>
        </w:tc>
        <w:tc>
          <w:tcPr>
            <w:tcW w:w="2079" w:type="dxa"/>
            <w:vAlign w:val="center"/>
            <w:hideMark/>
          </w:tcPr>
          <w:p w:rsidRPr="008D1918" w:rsidR="00055299" w:rsidP="00565EF6" w:rsidRDefault="00055299" w14:paraId="525B37B4" w14:textId="05687660">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Non</w:t>
            </w:r>
            <w:r w:rsidRPr="008D1918" w:rsidR="00565EF6">
              <w:rPr>
                <w:rFonts w:cs="Arial"/>
                <w:color w:val="F9F9F9" w:themeColor="background1"/>
                <w:sz w:val="20"/>
                <w:szCs w:val="20"/>
                <w:lang w:val="en-AU" w:eastAsia="en-AU"/>
              </w:rPr>
              <w:t>-b</w:t>
            </w:r>
            <w:r w:rsidRPr="008D1918">
              <w:rPr>
                <w:rFonts w:cs="Arial"/>
                <w:color w:val="F9F9F9" w:themeColor="background1"/>
                <w:sz w:val="20"/>
                <w:szCs w:val="20"/>
                <w:lang w:val="en-AU" w:eastAsia="en-AU"/>
              </w:rPr>
              <w:t xml:space="preserve">ulk </w:t>
            </w:r>
            <w:r w:rsidRPr="008D1918" w:rsidR="00565EF6">
              <w:rPr>
                <w:rFonts w:cs="Arial"/>
                <w:color w:val="F9F9F9" w:themeColor="background1"/>
                <w:sz w:val="20"/>
                <w:szCs w:val="20"/>
                <w:lang w:val="en-AU" w:eastAsia="en-AU"/>
              </w:rPr>
              <w:t>p</w:t>
            </w:r>
            <w:r w:rsidRPr="008D1918">
              <w:rPr>
                <w:rFonts w:cs="Arial"/>
                <w:color w:val="F9F9F9" w:themeColor="background1"/>
                <w:sz w:val="20"/>
                <w:szCs w:val="20"/>
                <w:lang w:val="en-AU" w:eastAsia="en-AU"/>
              </w:rPr>
              <w:t xml:space="preserve">ayment </w:t>
            </w:r>
            <w:r w:rsidRPr="008D1918" w:rsidR="00565EF6">
              <w:rPr>
                <w:rFonts w:cs="Arial"/>
                <w:color w:val="F9F9F9" w:themeColor="background1"/>
                <w:sz w:val="20"/>
                <w:szCs w:val="20"/>
                <w:lang w:val="en-AU" w:eastAsia="en-AU"/>
              </w:rPr>
              <w:t>p</w:t>
            </w:r>
            <w:r w:rsidRPr="008D1918">
              <w:rPr>
                <w:rFonts w:cs="Arial"/>
                <w:color w:val="F9F9F9" w:themeColor="background1"/>
                <w:sz w:val="20"/>
                <w:szCs w:val="20"/>
                <w:lang w:val="en-AU" w:eastAsia="en-AU"/>
              </w:rPr>
              <w:t>rocessing</w:t>
            </w:r>
          </w:p>
        </w:tc>
        <w:tc>
          <w:tcPr>
            <w:tcW w:w="2079" w:type="dxa"/>
            <w:vAlign w:val="center"/>
            <w:hideMark/>
          </w:tcPr>
          <w:p w:rsidRPr="008D1918" w:rsidR="00055299" w:rsidP="00565EF6" w:rsidRDefault="00055299" w14:paraId="1074DF51" w14:textId="7FF38F73">
            <w:pPr>
              <w:keepNext/>
              <w:spacing w:before="60" w:after="6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color w:val="F9F9F9" w:themeColor="background1"/>
                <w:sz w:val="20"/>
                <w:szCs w:val="20"/>
                <w:lang w:val="en-AU" w:eastAsia="en-AU"/>
              </w:rPr>
              <w:t xml:space="preserve">Proportion of </w:t>
            </w:r>
            <w:r w:rsidRPr="008D1918" w:rsidR="00027B24">
              <w:rPr>
                <w:rFonts w:cs="Arial"/>
                <w:color w:val="F9F9F9" w:themeColor="background1"/>
                <w:sz w:val="20"/>
                <w:szCs w:val="20"/>
                <w:lang w:val="en-AU" w:eastAsia="en-AU"/>
              </w:rPr>
              <w:t>t</w:t>
            </w:r>
            <w:r w:rsidRPr="008D1918">
              <w:rPr>
                <w:rFonts w:cs="Arial"/>
                <w:color w:val="F9F9F9" w:themeColor="background1"/>
                <w:sz w:val="20"/>
                <w:szCs w:val="20"/>
                <w:lang w:val="en-AU" w:eastAsia="en-AU"/>
              </w:rPr>
              <w:t>otal</w:t>
            </w:r>
          </w:p>
        </w:tc>
      </w:tr>
      <w:tr w:rsidRPr="008D1918" w:rsidR="00A41050" w:rsidTr="00A6183E" w14:paraId="79398F6C" w14:textId="77777777">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84" w:type="dxa"/>
            <w:hideMark/>
          </w:tcPr>
          <w:p w:rsidRPr="008D1918" w:rsidR="00055299" w:rsidP="00E1250F" w:rsidRDefault="00055299" w14:paraId="39875745" w14:textId="77777777">
            <w:pPr>
              <w:spacing w:before="60" w:after="60"/>
              <w:rPr>
                <w:rFonts w:cs="Arial"/>
                <w:sz w:val="20"/>
                <w:szCs w:val="20"/>
                <w:lang w:val="en-AU" w:eastAsia="en-AU"/>
              </w:rPr>
            </w:pPr>
            <w:r w:rsidRPr="008D1918">
              <w:rPr>
                <w:rFonts w:cs="Arial"/>
                <w:sz w:val="20"/>
                <w:szCs w:val="20"/>
                <w:lang w:val="en-AU" w:eastAsia="en-AU"/>
              </w:rPr>
              <w:t>Company</w:t>
            </w:r>
          </w:p>
        </w:tc>
        <w:tc>
          <w:tcPr>
            <w:tcW w:w="2079" w:type="dxa"/>
            <w:hideMark/>
          </w:tcPr>
          <w:p w:rsidRPr="008D1918" w:rsidR="00055299" w:rsidP="00565EF6" w:rsidRDefault="00055299" w14:paraId="182BC910" w14:textId="77777777">
            <w:pPr>
              <w:spacing w:before="60" w:after="60"/>
              <w:ind w:right="98"/>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91%</w:t>
            </w:r>
          </w:p>
        </w:tc>
        <w:tc>
          <w:tcPr>
            <w:tcW w:w="2079" w:type="dxa"/>
            <w:hideMark/>
          </w:tcPr>
          <w:p w:rsidRPr="008D1918" w:rsidR="00055299" w:rsidP="00565EF6" w:rsidRDefault="00055299" w14:paraId="62CD19DE" w14:textId="77777777">
            <w:pPr>
              <w:spacing w:before="60" w:after="60"/>
              <w:ind w:right="98"/>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9%</w:t>
            </w:r>
          </w:p>
        </w:tc>
        <w:tc>
          <w:tcPr>
            <w:tcW w:w="2079" w:type="dxa"/>
            <w:hideMark/>
          </w:tcPr>
          <w:p w:rsidRPr="008D1918" w:rsidR="00055299" w:rsidP="00565EF6" w:rsidRDefault="00055299" w14:paraId="7166362F" w14:textId="77777777">
            <w:pPr>
              <w:spacing w:before="60" w:after="60"/>
              <w:ind w:right="98"/>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87%</w:t>
            </w:r>
          </w:p>
        </w:tc>
      </w:tr>
      <w:tr w:rsidRPr="008D1918" w:rsidR="00055299" w:rsidTr="00A6183E" w14:paraId="040DA3F5" w14:textId="77777777">
        <w:trPr>
          <w:trHeight w:val="291"/>
        </w:trPr>
        <w:tc>
          <w:tcPr>
            <w:cnfStyle w:val="001000000000" w:firstRow="0" w:lastRow="0" w:firstColumn="1" w:lastColumn="0" w:oddVBand="0" w:evenVBand="0" w:oddHBand="0" w:evenHBand="0" w:firstRowFirstColumn="0" w:firstRowLastColumn="0" w:lastRowFirstColumn="0" w:lastRowLastColumn="0"/>
            <w:tcW w:w="2684" w:type="dxa"/>
            <w:hideMark/>
          </w:tcPr>
          <w:p w:rsidRPr="008D1918" w:rsidR="00055299" w:rsidP="00E1250F" w:rsidRDefault="00055299" w14:paraId="3040273C" w14:textId="6A95784F">
            <w:pPr>
              <w:spacing w:before="60" w:after="60"/>
              <w:rPr>
                <w:rFonts w:cs="Arial"/>
                <w:color w:val="000000"/>
                <w:sz w:val="20"/>
                <w:szCs w:val="20"/>
                <w:lang w:val="en-AU" w:eastAsia="en-AU"/>
              </w:rPr>
            </w:pPr>
            <w:r w:rsidRPr="008D1918">
              <w:rPr>
                <w:rFonts w:cs="Arial"/>
                <w:color w:val="000000" w:themeColor="accent6"/>
                <w:sz w:val="20"/>
                <w:szCs w:val="20"/>
                <w:lang w:val="en-AU" w:eastAsia="en-AU"/>
              </w:rPr>
              <w:t xml:space="preserve">Trusts / </w:t>
            </w:r>
            <w:r w:rsidRPr="008D1918" w:rsidR="00A6183E">
              <w:rPr>
                <w:rFonts w:cs="Arial"/>
                <w:color w:val="000000" w:themeColor="accent6"/>
                <w:sz w:val="20"/>
                <w:szCs w:val="20"/>
                <w:lang w:val="en-AU" w:eastAsia="en-AU"/>
              </w:rPr>
              <w:t>s</w:t>
            </w:r>
            <w:r w:rsidRPr="008D1918">
              <w:rPr>
                <w:rFonts w:cs="Arial"/>
                <w:color w:val="000000" w:themeColor="accent6"/>
                <w:sz w:val="20"/>
                <w:szCs w:val="20"/>
                <w:lang w:val="en-AU" w:eastAsia="en-AU"/>
              </w:rPr>
              <w:t>uper</w:t>
            </w:r>
          </w:p>
        </w:tc>
        <w:tc>
          <w:tcPr>
            <w:tcW w:w="2079" w:type="dxa"/>
            <w:hideMark/>
          </w:tcPr>
          <w:p w:rsidRPr="008D1918" w:rsidR="00055299" w:rsidP="00565EF6" w:rsidRDefault="00055299" w14:paraId="282DEC29" w14:textId="77777777">
            <w:pPr>
              <w:spacing w:before="60" w:after="60"/>
              <w:ind w:right="98"/>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83%</w:t>
            </w:r>
          </w:p>
        </w:tc>
        <w:tc>
          <w:tcPr>
            <w:tcW w:w="2079" w:type="dxa"/>
            <w:hideMark/>
          </w:tcPr>
          <w:p w:rsidRPr="008D1918" w:rsidR="00055299" w:rsidP="00565EF6" w:rsidRDefault="00055299" w14:paraId="04C99FB0" w14:textId="77777777">
            <w:pPr>
              <w:spacing w:before="60" w:after="60"/>
              <w:ind w:right="98"/>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17%</w:t>
            </w:r>
          </w:p>
        </w:tc>
        <w:tc>
          <w:tcPr>
            <w:tcW w:w="2079" w:type="dxa"/>
            <w:hideMark/>
          </w:tcPr>
          <w:p w:rsidRPr="008D1918" w:rsidR="00055299" w:rsidP="00565EF6" w:rsidRDefault="00055299" w14:paraId="45FFDEA8" w14:textId="77777777">
            <w:pPr>
              <w:spacing w:before="60" w:after="60"/>
              <w:ind w:right="98"/>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6%</w:t>
            </w:r>
          </w:p>
        </w:tc>
      </w:tr>
      <w:tr w:rsidRPr="008D1918" w:rsidR="00A41050" w:rsidTr="00A6183E" w14:paraId="2001A997" w14:textId="77777777">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84" w:type="dxa"/>
            <w:hideMark/>
          </w:tcPr>
          <w:p w:rsidRPr="008D1918" w:rsidR="00055299" w:rsidP="00E1250F" w:rsidRDefault="00055299" w14:paraId="1A57A813" w14:textId="77777777">
            <w:pPr>
              <w:spacing w:before="60" w:after="60"/>
              <w:rPr>
                <w:rFonts w:cs="Arial"/>
                <w:sz w:val="20"/>
                <w:szCs w:val="20"/>
                <w:lang w:val="en-AU" w:eastAsia="en-AU"/>
              </w:rPr>
            </w:pPr>
            <w:r w:rsidRPr="008D1918">
              <w:rPr>
                <w:rFonts w:cs="Arial"/>
                <w:sz w:val="20"/>
                <w:szCs w:val="20"/>
                <w:lang w:val="en-AU" w:eastAsia="en-AU"/>
              </w:rPr>
              <w:t>Sole trader</w:t>
            </w:r>
          </w:p>
        </w:tc>
        <w:tc>
          <w:tcPr>
            <w:tcW w:w="2079" w:type="dxa"/>
            <w:hideMark/>
          </w:tcPr>
          <w:p w:rsidRPr="008D1918" w:rsidR="00055299" w:rsidP="00565EF6" w:rsidRDefault="00055299" w14:paraId="2FD7B1FA" w14:textId="77777777">
            <w:pPr>
              <w:spacing w:before="60" w:after="60"/>
              <w:ind w:right="98"/>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83%</w:t>
            </w:r>
          </w:p>
        </w:tc>
        <w:tc>
          <w:tcPr>
            <w:tcW w:w="2079" w:type="dxa"/>
            <w:hideMark/>
          </w:tcPr>
          <w:p w:rsidRPr="008D1918" w:rsidR="00055299" w:rsidP="00565EF6" w:rsidRDefault="00055299" w14:paraId="00D38BD5" w14:textId="77777777">
            <w:pPr>
              <w:spacing w:before="60" w:after="60"/>
              <w:ind w:right="98"/>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17%</w:t>
            </w:r>
          </w:p>
        </w:tc>
        <w:tc>
          <w:tcPr>
            <w:tcW w:w="2079" w:type="dxa"/>
            <w:hideMark/>
          </w:tcPr>
          <w:p w:rsidRPr="008D1918" w:rsidR="00055299" w:rsidP="00565EF6" w:rsidRDefault="00055299" w14:paraId="4EA80CD8" w14:textId="77777777">
            <w:pPr>
              <w:spacing w:before="60" w:after="60"/>
              <w:ind w:right="98"/>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5%</w:t>
            </w:r>
          </w:p>
        </w:tc>
      </w:tr>
      <w:tr w:rsidRPr="008D1918" w:rsidR="00055299" w:rsidTr="00A6183E" w14:paraId="288E0ACF" w14:textId="77777777">
        <w:trPr>
          <w:trHeight w:val="291"/>
        </w:trPr>
        <w:tc>
          <w:tcPr>
            <w:cnfStyle w:val="001000000000" w:firstRow="0" w:lastRow="0" w:firstColumn="1" w:lastColumn="0" w:oddVBand="0" w:evenVBand="0" w:oddHBand="0" w:evenHBand="0" w:firstRowFirstColumn="0" w:firstRowLastColumn="0" w:lastRowFirstColumn="0" w:lastRowLastColumn="0"/>
            <w:tcW w:w="2684" w:type="dxa"/>
            <w:hideMark/>
          </w:tcPr>
          <w:p w:rsidRPr="008D1918" w:rsidR="00055299" w:rsidP="00E1250F" w:rsidRDefault="00055299" w14:paraId="7AD3D31A" w14:textId="4F42ED9B">
            <w:pPr>
              <w:spacing w:before="60" w:after="60"/>
              <w:rPr>
                <w:rFonts w:cs="Arial"/>
                <w:color w:val="000000"/>
                <w:sz w:val="20"/>
                <w:szCs w:val="20"/>
                <w:lang w:val="en-AU" w:eastAsia="en-AU"/>
              </w:rPr>
            </w:pPr>
            <w:r w:rsidRPr="008D1918">
              <w:rPr>
                <w:rFonts w:cs="Arial"/>
                <w:color w:val="000000" w:themeColor="accent6"/>
                <w:sz w:val="20"/>
                <w:szCs w:val="20"/>
                <w:lang w:val="en-AU" w:eastAsia="en-AU"/>
              </w:rPr>
              <w:t>Partnerships (</w:t>
            </w:r>
            <w:r w:rsidRPr="008D1918" w:rsidR="00A6183E">
              <w:rPr>
                <w:rFonts w:cs="Arial"/>
                <w:color w:val="000000" w:themeColor="accent6"/>
                <w:sz w:val="20"/>
                <w:szCs w:val="20"/>
                <w:lang w:val="en-AU" w:eastAsia="en-AU"/>
              </w:rPr>
              <w:t>o</w:t>
            </w:r>
            <w:r w:rsidRPr="008D1918">
              <w:rPr>
                <w:rFonts w:cs="Arial"/>
                <w:color w:val="000000" w:themeColor="accent6"/>
                <w:sz w:val="20"/>
                <w:szCs w:val="20"/>
                <w:lang w:val="en-AU" w:eastAsia="en-AU"/>
              </w:rPr>
              <w:t>ther)</w:t>
            </w:r>
          </w:p>
        </w:tc>
        <w:tc>
          <w:tcPr>
            <w:tcW w:w="2079" w:type="dxa"/>
            <w:hideMark/>
          </w:tcPr>
          <w:p w:rsidRPr="008D1918" w:rsidR="00055299" w:rsidP="00565EF6" w:rsidRDefault="00055299" w14:paraId="2B569710" w14:textId="77777777">
            <w:pPr>
              <w:spacing w:before="60" w:after="60"/>
              <w:ind w:right="98"/>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87%</w:t>
            </w:r>
          </w:p>
        </w:tc>
        <w:tc>
          <w:tcPr>
            <w:tcW w:w="2079" w:type="dxa"/>
            <w:hideMark/>
          </w:tcPr>
          <w:p w:rsidRPr="008D1918" w:rsidR="00055299" w:rsidP="00565EF6" w:rsidRDefault="00055299" w14:paraId="33EE1C27" w14:textId="77777777">
            <w:pPr>
              <w:spacing w:before="60" w:after="60"/>
              <w:ind w:right="98"/>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13%</w:t>
            </w:r>
          </w:p>
        </w:tc>
        <w:tc>
          <w:tcPr>
            <w:tcW w:w="2079" w:type="dxa"/>
            <w:hideMark/>
          </w:tcPr>
          <w:p w:rsidRPr="008D1918" w:rsidR="00055299" w:rsidP="00565EF6" w:rsidRDefault="00055299" w14:paraId="50BAC7C1" w14:textId="77777777">
            <w:pPr>
              <w:spacing w:before="60" w:after="60"/>
              <w:ind w:right="98"/>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themeColor="accent6"/>
                <w:sz w:val="20"/>
                <w:szCs w:val="20"/>
                <w:lang w:val="en-AU" w:eastAsia="en-AU"/>
              </w:rPr>
              <w:t>2%</w:t>
            </w:r>
          </w:p>
        </w:tc>
      </w:tr>
      <w:tr w:rsidRPr="008D1918" w:rsidR="00A41050" w:rsidTr="00A6183E" w14:paraId="74B1D29B" w14:textId="77777777">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84" w:type="dxa"/>
            <w:hideMark/>
          </w:tcPr>
          <w:p w:rsidRPr="008D1918" w:rsidR="00055299" w:rsidP="00E1250F" w:rsidRDefault="00055299" w14:paraId="6C417CEA" w14:textId="4B292B47">
            <w:pPr>
              <w:spacing w:before="60" w:after="60"/>
              <w:rPr>
                <w:rFonts w:cs="Arial"/>
                <w:sz w:val="20"/>
                <w:szCs w:val="20"/>
                <w:lang w:val="en-AU" w:eastAsia="en-AU"/>
              </w:rPr>
            </w:pPr>
            <w:r w:rsidRPr="008D1918">
              <w:rPr>
                <w:rFonts w:cs="Arial"/>
                <w:sz w:val="20"/>
                <w:szCs w:val="20"/>
                <w:lang w:val="en-AU" w:eastAsia="en-AU"/>
              </w:rPr>
              <w:t xml:space="preserve">Government </w:t>
            </w:r>
            <w:r w:rsidRPr="008D1918" w:rsidR="00A6183E">
              <w:rPr>
                <w:rFonts w:cs="Arial"/>
                <w:sz w:val="20"/>
                <w:szCs w:val="20"/>
                <w:lang w:val="en-AU" w:eastAsia="en-AU"/>
              </w:rPr>
              <w:t>e</w:t>
            </w:r>
            <w:r w:rsidRPr="008D1918">
              <w:rPr>
                <w:rFonts w:cs="Arial"/>
                <w:sz w:val="20"/>
                <w:szCs w:val="20"/>
                <w:lang w:val="en-AU" w:eastAsia="en-AU"/>
              </w:rPr>
              <w:t>ntity</w:t>
            </w:r>
          </w:p>
        </w:tc>
        <w:tc>
          <w:tcPr>
            <w:tcW w:w="2079" w:type="dxa"/>
            <w:hideMark/>
          </w:tcPr>
          <w:p w:rsidRPr="008D1918" w:rsidR="00055299" w:rsidP="00565EF6" w:rsidRDefault="00055299" w14:paraId="2762156B" w14:textId="77777777">
            <w:pPr>
              <w:spacing w:before="60" w:after="60"/>
              <w:ind w:right="98"/>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89%</w:t>
            </w:r>
          </w:p>
        </w:tc>
        <w:tc>
          <w:tcPr>
            <w:tcW w:w="2079" w:type="dxa"/>
            <w:hideMark/>
          </w:tcPr>
          <w:p w:rsidRPr="008D1918" w:rsidR="00055299" w:rsidP="00565EF6" w:rsidRDefault="00055299" w14:paraId="78DC7FD0" w14:textId="77777777">
            <w:pPr>
              <w:spacing w:before="60" w:after="60"/>
              <w:ind w:right="98"/>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11%</w:t>
            </w:r>
          </w:p>
        </w:tc>
        <w:tc>
          <w:tcPr>
            <w:tcW w:w="2079" w:type="dxa"/>
            <w:hideMark/>
          </w:tcPr>
          <w:p w:rsidRPr="008D1918" w:rsidR="00055299" w:rsidP="00565EF6" w:rsidRDefault="00055299" w14:paraId="3E203584" w14:textId="77777777">
            <w:pPr>
              <w:spacing w:before="60" w:after="60"/>
              <w:ind w:right="98"/>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0%</w:t>
            </w:r>
          </w:p>
        </w:tc>
      </w:tr>
      <w:tr w:rsidRPr="008D1918" w:rsidR="00055299" w:rsidTr="00A6183E" w14:paraId="29E7EB4C" w14:textId="77777777">
        <w:trPr>
          <w:trHeight w:val="291"/>
        </w:trPr>
        <w:tc>
          <w:tcPr>
            <w:cnfStyle w:val="001000000000" w:firstRow="0" w:lastRow="0" w:firstColumn="1" w:lastColumn="0" w:oddVBand="0" w:evenVBand="0" w:oddHBand="0" w:evenHBand="0" w:firstRowFirstColumn="0" w:firstRowLastColumn="0" w:lastRowFirstColumn="0" w:lastRowLastColumn="0"/>
            <w:tcW w:w="2684" w:type="dxa"/>
            <w:hideMark/>
          </w:tcPr>
          <w:p w:rsidRPr="008D1918" w:rsidR="00055299" w:rsidP="00E1250F" w:rsidRDefault="00055299" w14:paraId="64E9735A" w14:textId="77777777">
            <w:pPr>
              <w:spacing w:before="60" w:after="60"/>
              <w:rPr>
                <w:rFonts w:cs="Arial"/>
                <w:b/>
                <w:bCs w:val="0"/>
                <w:color w:val="000000"/>
                <w:sz w:val="20"/>
                <w:szCs w:val="20"/>
                <w:lang w:val="en-AU" w:eastAsia="en-AU"/>
              </w:rPr>
            </w:pPr>
            <w:r w:rsidRPr="008D1918">
              <w:rPr>
                <w:rFonts w:cs="Arial"/>
                <w:b/>
                <w:color w:val="000000" w:themeColor="accent6"/>
                <w:sz w:val="20"/>
                <w:szCs w:val="20"/>
                <w:lang w:val="en-AU" w:eastAsia="en-AU"/>
              </w:rPr>
              <w:t>Total</w:t>
            </w:r>
          </w:p>
        </w:tc>
        <w:tc>
          <w:tcPr>
            <w:tcW w:w="2079" w:type="dxa"/>
            <w:hideMark/>
          </w:tcPr>
          <w:p w:rsidRPr="008D1918" w:rsidR="00055299" w:rsidP="00565EF6" w:rsidRDefault="00055299" w14:paraId="6AFB2506" w14:textId="77777777">
            <w:pPr>
              <w:spacing w:before="60" w:after="60"/>
              <w:ind w:right="98"/>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themeColor="accent6"/>
                <w:sz w:val="20"/>
                <w:szCs w:val="20"/>
                <w:lang w:val="en-AU" w:eastAsia="en-AU"/>
              </w:rPr>
              <w:t>90%</w:t>
            </w:r>
          </w:p>
        </w:tc>
        <w:tc>
          <w:tcPr>
            <w:tcW w:w="2079" w:type="dxa"/>
            <w:hideMark/>
          </w:tcPr>
          <w:p w:rsidRPr="008D1918" w:rsidR="00055299" w:rsidP="00565EF6" w:rsidRDefault="00055299" w14:paraId="3FC85582" w14:textId="77777777">
            <w:pPr>
              <w:spacing w:before="60" w:after="60"/>
              <w:ind w:right="98"/>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themeColor="accent6"/>
                <w:sz w:val="20"/>
                <w:szCs w:val="20"/>
                <w:lang w:val="en-AU" w:eastAsia="en-AU"/>
              </w:rPr>
              <w:t>10%</w:t>
            </w:r>
          </w:p>
        </w:tc>
        <w:tc>
          <w:tcPr>
            <w:tcW w:w="2079" w:type="dxa"/>
            <w:hideMark/>
          </w:tcPr>
          <w:p w:rsidRPr="008D1918" w:rsidR="00055299" w:rsidP="00565EF6" w:rsidRDefault="00055299" w14:paraId="03853FA9" w14:textId="77777777">
            <w:pPr>
              <w:spacing w:before="60" w:after="60"/>
              <w:ind w:right="98"/>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val="en-AU" w:eastAsia="en-AU"/>
              </w:rPr>
            </w:pPr>
            <w:r w:rsidRPr="008D1918">
              <w:rPr>
                <w:rFonts w:cs="Arial"/>
                <w:b/>
                <w:bCs/>
                <w:color w:val="000000" w:themeColor="accent6"/>
                <w:sz w:val="20"/>
                <w:szCs w:val="20"/>
                <w:lang w:val="en-AU" w:eastAsia="en-AU"/>
              </w:rPr>
              <w:t>100%</w:t>
            </w:r>
          </w:p>
        </w:tc>
      </w:tr>
    </w:tbl>
    <w:p w:rsidRPr="008D1918" w:rsidR="00055299" w:rsidP="00693EAE" w:rsidRDefault="00055299" w14:paraId="413A7F3A" w14:textId="77777777">
      <w:pPr>
        <w:spacing w:before="120" w:after="360"/>
        <w:rPr>
          <w:b/>
          <w:sz w:val="20"/>
          <w:szCs w:val="20"/>
          <w:lang w:val="en-AU"/>
        </w:rPr>
      </w:pPr>
      <w:r w:rsidRPr="008D1918">
        <w:rPr>
          <w:b/>
          <w:sz w:val="20"/>
          <w:szCs w:val="20"/>
          <w:lang w:val="en-AU"/>
        </w:rPr>
        <w:t>Source: NDIS internal administrative data.</w:t>
      </w:r>
    </w:p>
    <w:p w:rsidRPr="008D1918" w:rsidR="00055299" w:rsidP="00747707" w:rsidRDefault="003B2894" w14:paraId="3712F2D8" w14:textId="16D5BB55">
      <w:pPr>
        <w:rPr>
          <w:lang w:val="en-AU"/>
        </w:rPr>
      </w:pPr>
      <w:r w:rsidRPr="008D1918">
        <w:rPr>
          <w:lang w:val="en-AU"/>
        </w:rPr>
        <w:t xml:space="preserve">These patterns indicate providers processing </w:t>
      </w:r>
      <w:r w:rsidRPr="008D1918" w:rsidR="00C86D45">
        <w:rPr>
          <w:lang w:val="en-AU"/>
        </w:rPr>
        <w:t>most of the</w:t>
      </w:r>
      <w:r w:rsidRPr="008D1918">
        <w:rPr>
          <w:lang w:val="en-AU"/>
        </w:rPr>
        <w:t xml:space="preserve"> plan-managed activity are operating </w:t>
      </w:r>
      <w:r w:rsidRPr="008D1918" w:rsidR="00FE6479">
        <w:rPr>
          <w:lang w:val="en-AU"/>
        </w:rPr>
        <w:t xml:space="preserve">comfortably </w:t>
      </w:r>
      <w:r w:rsidRPr="008D1918">
        <w:rPr>
          <w:lang w:val="en-AU"/>
        </w:rPr>
        <w:t>within the existing flat monthly fee, and there is no evidence of system-wide cost pressure</w:t>
      </w:r>
      <w:r w:rsidRPr="008D1918" w:rsidR="00FE6479">
        <w:rPr>
          <w:lang w:val="en-AU"/>
        </w:rPr>
        <w:t>s</w:t>
      </w:r>
      <w:r w:rsidRPr="008D1918">
        <w:rPr>
          <w:lang w:val="en-AU"/>
        </w:rPr>
        <w:t xml:space="preserve"> </w:t>
      </w:r>
      <w:r w:rsidRPr="008D1918" w:rsidR="00700C47">
        <w:rPr>
          <w:lang w:val="en-AU"/>
        </w:rPr>
        <w:t xml:space="preserve">to </w:t>
      </w:r>
      <w:r w:rsidRPr="008D1918">
        <w:rPr>
          <w:lang w:val="en-AU"/>
        </w:rPr>
        <w:t xml:space="preserve">warrant an </w:t>
      </w:r>
      <w:r w:rsidRPr="008D1918" w:rsidR="00700C47">
        <w:rPr>
          <w:lang w:val="en-AU"/>
        </w:rPr>
        <w:t>increase</w:t>
      </w:r>
      <w:r w:rsidRPr="008D1918">
        <w:rPr>
          <w:lang w:val="en-AU"/>
        </w:rPr>
        <w:t>. The current pricing structure implicitly favours processing volume and creates incentives for consolidation, as providers operating at scale can process more transactions within the same fixed fee. Whether this consolidation is entirely desirable depends on whether smaller plan managers deliver a qualitatively different service</w:t>
      </w:r>
      <w:r w:rsidRPr="008D1918" w:rsidR="007C45FA">
        <w:rPr>
          <w:lang w:val="en-AU"/>
        </w:rPr>
        <w:t>,</w:t>
      </w:r>
      <w:r w:rsidRPr="008D1918">
        <w:rPr>
          <w:lang w:val="en-AU"/>
        </w:rPr>
        <w:t xml:space="preserve"> such as more intensive participant engagement</w:t>
      </w:r>
      <w:r w:rsidRPr="008D1918" w:rsidR="007C45FA">
        <w:rPr>
          <w:lang w:val="en-AU"/>
        </w:rPr>
        <w:t>,</w:t>
      </w:r>
      <w:r w:rsidRPr="008D1918">
        <w:rPr>
          <w:lang w:val="en-AU"/>
        </w:rPr>
        <w:t xml:space="preserve"> that the flat fee does not distinguish from automated processing. The </w:t>
      </w:r>
      <w:r w:rsidRPr="008D1918" w:rsidR="00CE54EE">
        <w:rPr>
          <w:lang w:val="en-AU"/>
        </w:rPr>
        <w:t>revenue and processing analysis, alongside</w:t>
      </w:r>
      <w:r w:rsidRPr="008D1918">
        <w:rPr>
          <w:lang w:val="en-AU"/>
        </w:rPr>
        <w:t xml:space="preserve"> the </w:t>
      </w:r>
      <w:r w:rsidRPr="008D1918" w:rsidR="00CE54EE">
        <w:rPr>
          <w:lang w:val="en-AU"/>
        </w:rPr>
        <w:t>consultation evidence below, informs that question.</w:t>
      </w:r>
      <w:r w:rsidRPr="008D1918" w:rsidDel="00EB7DA9" w:rsidR="00EB7DA9">
        <w:rPr>
          <w:lang w:val="en-AU"/>
        </w:rPr>
        <w:t xml:space="preserve"> </w:t>
      </w:r>
    </w:p>
    <w:p w:rsidRPr="008D1918" w:rsidR="00C81269" w:rsidP="00354F83" w:rsidRDefault="00C81269" w14:paraId="56F42686" w14:textId="6AF7D457">
      <w:pPr>
        <w:pStyle w:val="Heading31"/>
      </w:pPr>
      <w:bookmarkStart w:name="_Toc227337159" w:id="1971"/>
      <w:r w:rsidRPr="008D1918">
        <w:t>Consultation</w:t>
      </w:r>
      <w:bookmarkEnd w:id="1971"/>
    </w:p>
    <w:p w:rsidRPr="008D1918" w:rsidR="00400331" w:rsidP="00C81269" w:rsidRDefault="00807458" w14:paraId="0DC7CD6D" w14:textId="2717E98E">
      <w:pPr>
        <w:rPr>
          <w:lang w:val="en-AU"/>
        </w:rPr>
      </w:pPr>
      <w:r w:rsidRPr="008D1918">
        <w:rPr>
          <w:lang w:val="en-AU"/>
        </w:rPr>
        <w:t>Consultation evidence in this chapter serves a specific analytical purpose. Market data establishes the plan management market as stable, mature and operating at scale. What market data cannot establish is whether the flat monthly fee adequately compensate</w:t>
      </w:r>
      <w:r w:rsidRPr="008D1918" w:rsidR="008F7196">
        <w:rPr>
          <w:lang w:val="en-AU"/>
        </w:rPr>
        <w:t>s</w:t>
      </w:r>
      <w:r w:rsidRPr="008D1918">
        <w:rPr>
          <w:lang w:val="en-AU"/>
        </w:rPr>
        <w:t xml:space="preserve"> for qualitative differences in service delivery, particularly whether more intensive, relational engagement with participants represents a </w:t>
      </w:r>
      <w:r w:rsidRPr="008D1918" w:rsidR="00EA2FA3">
        <w:rPr>
          <w:lang w:val="en-AU"/>
        </w:rPr>
        <w:t>distinct</w:t>
      </w:r>
      <w:r w:rsidRPr="008D1918">
        <w:rPr>
          <w:lang w:val="en-AU"/>
        </w:rPr>
        <w:t xml:space="preserve"> cost that the </w:t>
      </w:r>
      <w:r w:rsidRPr="008D1918" w:rsidR="00EA2FA3">
        <w:rPr>
          <w:lang w:val="en-AU"/>
        </w:rPr>
        <w:t>current</w:t>
      </w:r>
      <w:r w:rsidRPr="008D1918">
        <w:rPr>
          <w:lang w:val="en-AU"/>
        </w:rPr>
        <w:t xml:space="preserve"> </w:t>
      </w:r>
      <w:r w:rsidRPr="008D1918" w:rsidR="00EA2FA3">
        <w:rPr>
          <w:lang w:val="en-AU"/>
        </w:rPr>
        <w:t>fee</w:t>
      </w:r>
      <w:r w:rsidRPr="008D1918">
        <w:rPr>
          <w:lang w:val="en-AU"/>
        </w:rPr>
        <w:t xml:space="preserve"> structure does not distinguish from high-volume automated processing. Provider </w:t>
      </w:r>
      <w:r w:rsidRPr="008D1918" w:rsidR="00943F59">
        <w:rPr>
          <w:lang w:val="en-AU"/>
        </w:rPr>
        <w:t xml:space="preserve">and participant responses are the primary evidence </w:t>
      </w:r>
      <w:r w:rsidRPr="008D1918" w:rsidR="00F87EA8">
        <w:rPr>
          <w:lang w:val="en-AU"/>
        </w:rPr>
        <w:t>base for</w:t>
      </w:r>
      <w:r w:rsidRPr="008D1918" w:rsidR="00943F59">
        <w:rPr>
          <w:lang w:val="en-AU"/>
        </w:rPr>
        <w:t xml:space="preserve"> th</w:t>
      </w:r>
      <w:r w:rsidRPr="008D1918" w:rsidR="00400331">
        <w:rPr>
          <w:lang w:val="en-AU"/>
        </w:rPr>
        <w:t xml:space="preserve">e </w:t>
      </w:r>
      <w:r w:rsidRPr="008D1918" w:rsidR="00DD57B3">
        <w:rPr>
          <w:lang w:val="en-AU"/>
        </w:rPr>
        <w:t>differing</w:t>
      </w:r>
      <w:r w:rsidRPr="008D1918" w:rsidR="00400331">
        <w:rPr>
          <w:lang w:val="en-AU"/>
        </w:rPr>
        <w:t xml:space="preserve"> quality aspects of plan management delivery</w:t>
      </w:r>
      <w:r w:rsidRPr="008D1918" w:rsidR="00DD57B3">
        <w:rPr>
          <w:lang w:val="en-AU"/>
        </w:rPr>
        <w:t xml:space="preserve">. They do not determine the appropriate fee </w:t>
      </w:r>
      <w:r w:rsidRPr="008D1918" w:rsidR="0044311A">
        <w:rPr>
          <w:lang w:val="en-AU"/>
        </w:rPr>
        <w:t>level but</w:t>
      </w:r>
      <w:r w:rsidRPr="008D1918" w:rsidR="00DD57B3">
        <w:rPr>
          <w:lang w:val="en-AU"/>
        </w:rPr>
        <w:t xml:space="preserve"> </w:t>
      </w:r>
      <w:r w:rsidRPr="008D1918" w:rsidR="00F87EA8">
        <w:rPr>
          <w:lang w:val="en-AU"/>
        </w:rPr>
        <w:t>rather</w:t>
      </w:r>
      <w:r w:rsidRPr="008D1918" w:rsidR="00DD57B3">
        <w:rPr>
          <w:lang w:val="en-AU"/>
        </w:rPr>
        <w:t xml:space="preserve"> identify whether the current structure is creating the right incentives and whether a </w:t>
      </w:r>
      <w:r w:rsidRPr="008D1918" w:rsidR="00884DCD">
        <w:rPr>
          <w:lang w:val="en-AU"/>
        </w:rPr>
        <w:t>structural review is needed.</w:t>
      </w:r>
    </w:p>
    <w:p w:rsidRPr="008D1918" w:rsidR="00055299" w:rsidP="00041468" w:rsidRDefault="00055299" w14:paraId="6CFB138B" w14:textId="77777777">
      <w:pPr>
        <w:pStyle w:val="StyleStyle112pt"/>
        <w:rPr>
          <w:rFonts w:eastAsia="Arial"/>
        </w:rPr>
      </w:pPr>
      <w:bookmarkStart w:name="_Toc223345453" w:id="1972"/>
      <w:bookmarkStart w:name="_Toc223428528" w:id="1973"/>
      <w:bookmarkStart w:name="_Toc223445996" w:id="1974"/>
      <w:bookmarkStart w:name="_Toc223604830" w:id="1975"/>
      <w:bookmarkStart w:name="_Toc227318792" w:id="1976"/>
      <w:bookmarkStart w:name="_Toc227337160" w:id="1977"/>
      <w:r w:rsidRPr="008D1918">
        <w:rPr>
          <w:rFonts w:eastAsia="Arial"/>
        </w:rPr>
        <w:t>Provider survey</w:t>
      </w:r>
      <w:bookmarkEnd w:id="1972"/>
      <w:bookmarkEnd w:id="1973"/>
      <w:bookmarkEnd w:id="1974"/>
      <w:bookmarkEnd w:id="1975"/>
      <w:bookmarkEnd w:id="1976"/>
      <w:bookmarkEnd w:id="1977"/>
      <w:r w:rsidRPr="008D1918">
        <w:rPr>
          <w:rFonts w:eastAsia="Arial"/>
        </w:rPr>
        <w:t xml:space="preserve"> </w:t>
      </w:r>
    </w:p>
    <w:p w:rsidRPr="008D1918" w:rsidR="00055299" w:rsidRDefault="07B27F17" w14:paraId="7729BBD8" w14:textId="52EACCB9">
      <w:pPr>
        <w:rPr>
          <w:lang w:val="en-AU"/>
        </w:rPr>
      </w:pPr>
      <w:r w:rsidRPr="008D1918">
        <w:rPr>
          <w:lang w:val="en-AU"/>
        </w:rPr>
        <w:t xml:space="preserve">There were </w:t>
      </w:r>
      <w:r w:rsidRPr="008D1918" w:rsidR="00055299">
        <w:rPr>
          <w:lang w:val="en-AU"/>
        </w:rPr>
        <w:t xml:space="preserve">135 provider survey respondents </w:t>
      </w:r>
      <w:r w:rsidRPr="008D1918">
        <w:rPr>
          <w:lang w:val="en-AU"/>
        </w:rPr>
        <w:t xml:space="preserve">who </w:t>
      </w:r>
      <w:r w:rsidRPr="008D1918" w:rsidR="00055299">
        <w:rPr>
          <w:lang w:val="en-AU"/>
        </w:rPr>
        <w:t>identified as plan managers. When asked about pricing structures and plan management service delivery, the largest group (</w:t>
      </w:r>
      <w:r w:rsidRPr="008D1918" w:rsidR="2890BCF9">
        <w:rPr>
          <w:lang w:val="en-AU"/>
        </w:rPr>
        <w:t>43</w:t>
      </w:r>
      <w:r w:rsidRPr="008D1918" w:rsidR="547566D4">
        <w:rPr>
          <w:lang w:val="en-AU"/>
        </w:rPr>
        <w:t> </w:t>
      </w:r>
      <w:r w:rsidRPr="008D1918" w:rsidR="00055299">
        <w:rPr>
          <w:lang w:val="en-AU"/>
        </w:rPr>
        <w:t xml:space="preserve">respondents, </w:t>
      </w:r>
      <w:r w:rsidRPr="008D1918" w:rsidR="64FB16AC">
        <w:rPr>
          <w:lang w:val="en-AU"/>
        </w:rPr>
        <w:t>31.9</w:t>
      </w:r>
      <w:r w:rsidRPr="008D1918" w:rsidR="00055299">
        <w:rPr>
          <w:lang w:val="en-AU"/>
        </w:rPr>
        <w:t>%) preferred a hybrid model combining a flat fee with tiered levels for complex plans. Additionally, 40 respondents (</w:t>
      </w:r>
      <w:r w:rsidRPr="008D1918" w:rsidR="4C83A8DA">
        <w:rPr>
          <w:lang w:val="en-AU"/>
        </w:rPr>
        <w:t>29.6</w:t>
      </w:r>
      <w:r w:rsidRPr="008D1918" w:rsidR="00055299">
        <w:rPr>
          <w:lang w:val="en-AU"/>
        </w:rPr>
        <w:t xml:space="preserve">%) preferred </w:t>
      </w:r>
      <w:r w:rsidRPr="008D1918" w:rsidR="242D3C7F">
        <w:rPr>
          <w:lang w:val="en-AU"/>
        </w:rPr>
        <w:t>a</w:t>
      </w:r>
      <w:r w:rsidRPr="008D1918" w:rsidR="20C9A021">
        <w:rPr>
          <w:lang w:val="en-AU"/>
        </w:rPr>
        <w:t xml:space="preserve"> </w:t>
      </w:r>
      <w:r w:rsidRPr="008D1918" w:rsidR="00055299">
        <w:rPr>
          <w:lang w:val="en-AU"/>
        </w:rPr>
        <w:t>flat monthly fee, 1</w:t>
      </w:r>
      <w:r w:rsidRPr="008D1918" w:rsidR="76BF31AB">
        <w:rPr>
          <w:lang w:val="en-AU"/>
        </w:rPr>
        <w:t>7</w:t>
      </w:r>
      <w:r w:rsidRPr="008D1918" w:rsidR="00055299">
        <w:rPr>
          <w:lang w:val="en-AU"/>
        </w:rPr>
        <w:t xml:space="preserve"> preferred a transaction-based model and 9 (</w:t>
      </w:r>
      <w:r w:rsidRPr="008D1918" w:rsidR="5DBE9E92">
        <w:rPr>
          <w:lang w:val="en-AU"/>
        </w:rPr>
        <w:t>6.</w:t>
      </w:r>
      <w:r w:rsidRPr="008D1918" w:rsidR="00055299">
        <w:rPr>
          <w:lang w:val="en-AU"/>
        </w:rPr>
        <w:t xml:space="preserve">7%) preferred volume-based tiers. </w:t>
      </w:r>
    </w:p>
    <w:p w:rsidRPr="008D1918" w:rsidR="00055299" w:rsidP="6361E1A8" w:rsidRDefault="00055299" w14:paraId="17185385" w14:textId="4535DBA3">
      <w:pPr>
        <w:rPr>
          <w:lang w:val="en-AU"/>
        </w:rPr>
      </w:pPr>
      <w:r w:rsidRPr="008D1918">
        <w:rPr>
          <w:lang w:val="en-AU"/>
        </w:rPr>
        <w:t xml:space="preserve">Provider feedback on the current fee level was consistent. Most respondents considered the monthly fee insufficient, particularly for smaller plan managers and for participants with complex plans </w:t>
      </w:r>
      <w:r w:rsidRPr="008D1918" w:rsidR="00004593">
        <w:rPr>
          <w:lang w:val="en-AU"/>
        </w:rPr>
        <w:t>requiring</w:t>
      </w:r>
      <w:r w:rsidRPr="008D1918">
        <w:rPr>
          <w:lang w:val="en-AU"/>
        </w:rPr>
        <w:t xml:space="preserve"> more intensive financial administration and participant engagement. </w:t>
      </w:r>
      <w:r w:rsidRPr="008D1918" w:rsidR="7ACA44AF">
        <w:rPr>
          <w:lang w:val="en-AU"/>
        </w:rPr>
        <w:t>Many</w:t>
      </w:r>
      <w:r w:rsidRPr="008D1918" w:rsidR="2F3FE015">
        <w:rPr>
          <w:lang w:val="en-AU"/>
        </w:rPr>
        <w:t xml:space="preserve"> </w:t>
      </w:r>
      <w:r w:rsidRPr="008D1918">
        <w:rPr>
          <w:lang w:val="en-AU"/>
        </w:rPr>
        <w:t xml:space="preserve">respondents raised the need for a </w:t>
      </w:r>
      <w:r w:rsidRPr="008D1918" w:rsidR="07AA3C4E">
        <w:rPr>
          <w:lang w:val="en-AU"/>
        </w:rPr>
        <w:t xml:space="preserve">monthly </w:t>
      </w:r>
      <w:r w:rsidRPr="008D1918">
        <w:rPr>
          <w:lang w:val="en-AU"/>
        </w:rPr>
        <w:t>fee increase</w:t>
      </w:r>
      <w:r w:rsidRPr="008D1918" w:rsidR="0763EBFC">
        <w:rPr>
          <w:lang w:val="en-AU"/>
        </w:rPr>
        <w:t xml:space="preserve"> </w:t>
      </w:r>
      <w:r w:rsidRPr="008D1918" w:rsidR="2940C16C">
        <w:rPr>
          <w:lang w:val="en-AU"/>
        </w:rPr>
        <w:t>and/</w:t>
      </w:r>
      <w:r w:rsidRPr="008D1918" w:rsidR="750AC0EB">
        <w:rPr>
          <w:lang w:val="en-AU"/>
        </w:rPr>
        <w:t xml:space="preserve">or </w:t>
      </w:r>
      <w:r w:rsidRPr="008D1918">
        <w:rPr>
          <w:lang w:val="en-AU"/>
        </w:rPr>
        <w:t xml:space="preserve">specifically called for reinstatement of the establishment fee, noting the initial set-up of a new plan involves substantial administrative effort that is not reflected in the ongoing monthly payment. Several respondents noted the fee has not increased for </w:t>
      </w:r>
      <w:r w:rsidRPr="008D1918" w:rsidR="00186248">
        <w:rPr>
          <w:lang w:val="en-AU"/>
        </w:rPr>
        <w:t xml:space="preserve">7 </w:t>
      </w:r>
      <w:r w:rsidRPr="008D1918">
        <w:rPr>
          <w:lang w:val="en-AU"/>
        </w:rPr>
        <w:t xml:space="preserve">years despite rising wages, insurance, rent and registration costs over the same period. </w:t>
      </w:r>
    </w:p>
    <w:p w:rsidRPr="008D1918" w:rsidR="00055299" w:rsidRDefault="00055299" w14:paraId="1B48C725" w14:textId="77777777">
      <w:pPr>
        <w:rPr>
          <w:lang w:val="en-AU"/>
        </w:rPr>
      </w:pPr>
      <w:r w:rsidRPr="008D1918">
        <w:rPr>
          <w:lang w:val="en-AU"/>
        </w:rPr>
        <w:t>Smaller plan managers reported being disproportionately affected by the current fee structure. Respondents described difficulty competing with larger providers that have invested in automated systems, while still managing participants who require hands on support including phone contact, budget explanations and provider coordination beyond invoice processing.</w:t>
      </w:r>
    </w:p>
    <w:p w:rsidRPr="008D1918" w:rsidR="00055299" w:rsidP="00041468" w:rsidRDefault="00055299" w14:paraId="0DEAA865" w14:textId="77777777">
      <w:pPr>
        <w:pStyle w:val="StyleStyle112pt"/>
        <w:rPr>
          <w:rFonts w:eastAsia="Arial"/>
        </w:rPr>
      </w:pPr>
      <w:bookmarkStart w:name="_Toc223345454" w:id="1978"/>
      <w:bookmarkStart w:name="_Toc223428529" w:id="1979"/>
      <w:bookmarkStart w:name="_Toc223445997" w:id="1980"/>
      <w:bookmarkStart w:name="_Toc223604831" w:id="1981"/>
      <w:bookmarkStart w:name="_Toc227318793" w:id="1982"/>
      <w:bookmarkStart w:name="_Toc227337161" w:id="1983"/>
      <w:r w:rsidRPr="008D1918">
        <w:rPr>
          <w:rFonts w:eastAsia="Arial"/>
        </w:rPr>
        <w:t>Participant survey</w:t>
      </w:r>
      <w:bookmarkEnd w:id="1978"/>
      <w:bookmarkEnd w:id="1979"/>
      <w:bookmarkEnd w:id="1980"/>
      <w:bookmarkEnd w:id="1981"/>
      <w:bookmarkEnd w:id="1982"/>
      <w:bookmarkEnd w:id="1983"/>
      <w:r w:rsidRPr="008D1918">
        <w:rPr>
          <w:rFonts w:eastAsia="Arial"/>
        </w:rPr>
        <w:t xml:space="preserve"> </w:t>
      </w:r>
    </w:p>
    <w:p w:rsidRPr="008D1918" w:rsidR="00055299" w:rsidRDefault="00055299" w14:paraId="4A9FF9AA" w14:textId="2D2F536F">
      <w:pPr>
        <w:rPr>
          <w:lang w:val="en-AU"/>
        </w:rPr>
      </w:pPr>
      <w:r w:rsidRPr="008D1918">
        <w:rPr>
          <w:lang w:val="en-AU"/>
        </w:rPr>
        <w:t xml:space="preserve">Of the 557 participant survey respondents, 296 (53%) identified as plan-managed, with a further 45 reporting more than one plan management arrangement. Plan management pricing was not the primary focus of the participant survey, and the survey did not include dedicated questions on plan management fee levels </w:t>
      </w:r>
      <w:r w:rsidRPr="008D1918" w:rsidR="00496F29">
        <w:rPr>
          <w:lang w:val="en-AU"/>
        </w:rPr>
        <w:t xml:space="preserve">or </w:t>
      </w:r>
      <w:r w:rsidRPr="008D1918">
        <w:rPr>
          <w:lang w:val="en-AU"/>
        </w:rPr>
        <w:t xml:space="preserve">service quality. </w:t>
      </w:r>
    </w:p>
    <w:bookmarkEnd w:id="1963"/>
    <w:bookmarkEnd w:id="1964"/>
    <w:bookmarkEnd w:id="1965"/>
    <w:bookmarkEnd w:id="1966"/>
    <w:bookmarkEnd w:id="1967"/>
    <w:p w:rsidRPr="008D1918" w:rsidR="00055299" w:rsidRDefault="00055299" w14:paraId="7639DB1A" w14:textId="4E94D48B">
      <w:pPr>
        <w:rPr>
          <w:lang w:val="en-AU"/>
        </w:rPr>
      </w:pPr>
      <w:r w:rsidRPr="008D1918">
        <w:rPr>
          <w:lang w:val="en-AU"/>
        </w:rPr>
        <w:t xml:space="preserve">In free-text responses, participants raised plan management directly. The most common themes related to the financial viability of their plan manager, particularly smaller operators, and the value participants place on the relational and advisory role plan managers play beyond invoice processing. Several participants </w:t>
      </w:r>
      <w:r w:rsidRPr="008D1918" w:rsidR="00FA6A3C">
        <w:rPr>
          <w:lang w:val="en-AU"/>
        </w:rPr>
        <w:t>said</w:t>
      </w:r>
      <w:r w:rsidRPr="008D1918">
        <w:rPr>
          <w:lang w:val="en-AU"/>
        </w:rPr>
        <w:t xml:space="preserve"> their plan manager helped them understand their plan, navigate provider options and manage budgets – functions that go beyond financial administration. A smaller number of respondents observed that pricing pressures risk reducing the quality and availability of plan management supports, particularly for participants in regional areas or with complex support arrangements. </w:t>
      </w:r>
    </w:p>
    <w:p w:rsidRPr="008D1918" w:rsidR="00C62F25" w:rsidP="001D163B" w:rsidRDefault="00A50780" w14:paraId="66BF930A" w14:textId="3EAAAD2A">
      <w:pPr>
        <w:pStyle w:val="Heading31"/>
        <w:ind w:left="1077" w:hanging="720"/>
      </w:pPr>
      <w:bookmarkStart w:name="_Toc227337162" w:id="1984"/>
      <w:r w:rsidRPr="008D1918">
        <w:t>Discussion</w:t>
      </w:r>
      <w:bookmarkEnd w:id="1984"/>
    </w:p>
    <w:p w:rsidRPr="008D1918" w:rsidR="001772F1" w:rsidP="004056AA" w:rsidRDefault="004616D8" w14:paraId="53229AD2" w14:textId="11488855">
      <w:pPr>
        <w:rPr>
          <w:lang w:val="en-AU"/>
        </w:rPr>
      </w:pPr>
      <w:r w:rsidRPr="008D1918">
        <w:rPr>
          <w:lang w:val="en-AU"/>
        </w:rPr>
        <w:t xml:space="preserve">This chapter addresses 2 distinct problems. The first is whether it should be recommended that </w:t>
      </w:r>
      <w:r w:rsidRPr="008D1918" w:rsidR="00CC6420">
        <w:rPr>
          <w:lang w:val="en-AU"/>
        </w:rPr>
        <w:t>the current</w:t>
      </w:r>
      <w:r w:rsidRPr="008D1918">
        <w:rPr>
          <w:lang w:val="en-AU"/>
        </w:rPr>
        <w:t xml:space="preserve"> monthly fee should be maintained at its present level. The second is whether the flat monthly fee structure creates appropriate incentives for the role plan managers play in the Scheme’s payment architecture, a structural design question. These questions have different evidential bases and different implications. The first can be answered affirmatively on current market data. The second cannot be fully resolved without a review of the pricing approach, and the evidence supports progressing that review.</w:t>
      </w:r>
    </w:p>
    <w:p w:rsidRPr="008D1918" w:rsidR="00BB59BD" w:rsidP="004056AA" w:rsidRDefault="00BB59BD" w14:paraId="2950021B" w14:textId="675AB151">
      <w:pPr>
        <w:rPr>
          <w:lang w:val="en-AU"/>
        </w:rPr>
      </w:pPr>
      <w:r w:rsidRPr="008D1918">
        <w:rPr>
          <w:lang w:val="en-AU"/>
        </w:rPr>
        <w:t xml:space="preserve">The plan management market is the most consolidated in the Scheme. The same </w:t>
      </w:r>
      <w:r w:rsidRPr="008D1918" w:rsidR="00D63A01">
        <w:rPr>
          <w:lang w:val="en-AU"/>
        </w:rPr>
        <w:t>5</w:t>
      </w:r>
      <w:r w:rsidRPr="008D1918">
        <w:rPr>
          <w:lang w:val="en-AU"/>
        </w:rPr>
        <w:t xml:space="preserve"> providers have held dominant positions for </w:t>
      </w:r>
      <w:r w:rsidRPr="008D1918" w:rsidR="00D63A01">
        <w:rPr>
          <w:lang w:val="en-AU"/>
        </w:rPr>
        <w:t>3</w:t>
      </w:r>
      <w:r w:rsidRPr="008D1918">
        <w:rPr>
          <w:lang w:val="en-AU"/>
        </w:rPr>
        <w:t xml:space="preserve"> years. Provider turnover is near zero. Provider</w:t>
      </w:r>
      <w:r w:rsidRPr="008D1918" w:rsidR="00D63A01">
        <w:rPr>
          <w:lang w:val="en-AU"/>
        </w:rPr>
        <w:t>s</w:t>
      </w:r>
      <w:r w:rsidRPr="008D1918">
        <w:rPr>
          <w:lang w:val="en-AU"/>
        </w:rPr>
        <w:t xml:space="preserve"> who have been continuously active since Jan</w:t>
      </w:r>
      <w:r w:rsidRPr="008D1918" w:rsidR="00232445">
        <w:rPr>
          <w:lang w:val="en-AU"/>
        </w:rPr>
        <w:t xml:space="preserve">uary 2023 </w:t>
      </w:r>
      <w:r w:rsidRPr="008D1918" w:rsidR="0012070D">
        <w:rPr>
          <w:lang w:val="en-AU"/>
        </w:rPr>
        <w:t>process</w:t>
      </w:r>
      <w:r w:rsidRPr="008D1918" w:rsidR="00232445">
        <w:rPr>
          <w:lang w:val="en-AU"/>
        </w:rPr>
        <w:t xml:space="preserve"> 94</w:t>
      </w:r>
      <w:r w:rsidRPr="008D1918" w:rsidR="00D63A01">
        <w:rPr>
          <w:lang w:val="en-AU"/>
        </w:rPr>
        <w:t>%</w:t>
      </w:r>
      <w:r w:rsidRPr="008D1918" w:rsidR="00232445">
        <w:rPr>
          <w:lang w:val="en-AU"/>
        </w:rPr>
        <w:t xml:space="preserve"> </w:t>
      </w:r>
      <w:r w:rsidRPr="008D1918" w:rsidR="00FD0C04">
        <w:rPr>
          <w:lang w:val="en-AU"/>
        </w:rPr>
        <w:t>of all plan</w:t>
      </w:r>
      <w:r w:rsidRPr="008D1918" w:rsidR="00840E59">
        <w:rPr>
          <w:lang w:val="en-AU"/>
        </w:rPr>
        <w:t>-</w:t>
      </w:r>
      <w:r w:rsidRPr="008D1918" w:rsidR="00FD0C04">
        <w:rPr>
          <w:lang w:val="en-AU"/>
        </w:rPr>
        <w:t>managed payments. This is a mature oligopoly, not a competitive market, and the pricing structure has produced this outcome by design. The fla</w:t>
      </w:r>
      <w:r w:rsidRPr="008D1918" w:rsidR="00D90CAD">
        <w:rPr>
          <w:lang w:val="en-AU"/>
        </w:rPr>
        <w:t>t</w:t>
      </w:r>
      <w:r w:rsidRPr="008D1918" w:rsidR="00FD0C04">
        <w:rPr>
          <w:lang w:val="en-AU"/>
        </w:rPr>
        <w:t xml:space="preserve"> monthly fee rewards processing scale and automation, and the market has consolidated accordingly. </w:t>
      </w:r>
    </w:p>
    <w:p w:rsidRPr="008D1918" w:rsidR="00FD0C04" w:rsidP="004056AA" w:rsidRDefault="00FD0C04" w14:paraId="539256B2" w14:textId="67DD7E2E">
      <w:pPr>
        <w:rPr>
          <w:lang w:val="en-AU"/>
        </w:rPr>
      </w:pPr>
      <w:r w:rsidRPr="008D1918">
        <w:rPr>
          <w:lang w:val="en-AU"/>
        </w:rPr>
        <w:t>The 25</w:t>
      </w:r>
      <w:r w:rsidRPr="008D1918" w:rsidR="00D90CAD">
        <w:rPr>
          <w:lang w:val="en-AU"/>
        </w:rPr>
        <w:t>%</w:t>
      </w:r>
      <w:r w:rsidRPr="008D1918">
        <w:rPr>
          <w:lang w:val="en-AU"/>
        </w:rPr>
        <w:t xml:space="preserve"> revenue-per-transaction differential between large and small providers ($4.40 versus $5.40 per transaction) is driven by processing automation. The market has optimised for the incentive the pricing structure creates</w:t>
      </w:r>
      <w:r w:rsidRPr="008D1918" w:rsidR="00AB2673">
        <w:rPr>
          <w:lang w:val="en-AU"/>
        </w:rPr>
        <w:t>:</w:t>
      </w:r>
      <w:r w:rsidRPr="008D1918" w:rsidR="00806155">
        <w:rPr>
          <w:lang w:val="en-AU"/>
        </w:rPr>
        <w:t xml:space="preserve"> minimise per-transaction cost, maximise participant volume</w:t>
      </w:r>
      <w:r w:rsidRPr="008D1918" w:rsidR="00AB2673">
        <w:rPr>
          <w:lang w:val="en-AU"/>
        </w:rPr>
        <w:t xml:space="preserve"> and</w:t>
      </w:r>
      <w:r w:rsidRPr="008D1918" w:rsidR="00806155">
        <w:rPr>
          <w:lang w:val="en-AU"/>
        </w:rPr>
        <w:t xml:space="preserve"> invest in bulk processing systems. This may be an efficient outcome where the primary objective is standardised financial processing. It may be less desirable </w:t>
      </w:r>
      <w:r w:rsidRPr="008D1918" w:rsidR="00832A01">
        <w:rPr>
          <w:lang w:val="en-AU"/>
        </w:rPr>
        <w:t>if plan management should also encompass budget advice, provider navigation and participant support, functions that smaller plan managers report delivering</w:t>
      </w:r>
      <w:r w:rsidR="000A1435">
        <w:rPr>
          <w:lang w:val="en-AU"/>
        </w:rPr>
        <w:t>,</w:t>
      </w:r>
      <w:r w:rsidRPr="008D1918" w:rsidR="00832A01">
        <w:rPr>
          <w:lang w:val="en-AU"/>
        </w:rPr>
        <w:t xml:space="preserve"> </w:t>
      </w:r>
      <w:r w:rsidRPr="008D1918" w:rsidR="00080C5F">
        <w:rPr>
          <w:lang w:val="en-AU"/>
        </w:rPr>
        <w:t>but</w:t>
      </w:r>
      <w:r w:rsidRPr="008D1918" w:rsidR="00832A01">
        <w:rPr>
          <w:lang w:val="en-AU"/>
        </w:rPr>
        <w:t xml:space="preserve"> the flat fee does not distinguish </w:t>
      </w:r>
      <w:r w:rsidRPr="008D1918" w:rsidR="00F40982">
        <w:rPr>
          <w:lang w:val="en-AU"/>
        </w:rPr>
        <w:t>from automated processing.</w:t>
      </w:r>
    </w:p>
    <w:p w:rsidRPr="008D1918" w:rsidR="00055299" w:rsidP="00041468" w:rsidRDefault="004616D8" w14:paraId="5F632D12" w14:textId="56F86B8B">
      <w:pPr>
        <w:pStyle w:val="StyleStyle112pt"/>
        <w:rPr>
          <w:rFonts w:eastAsia="Arial"/>
        </w:rPr>
      </w:pPr>
      <w:bookmarkStart w:name="_Toc227318795" w:id="1985"/>
      <w:bookmarkStart w:name="_Toc227337163" w:id="1986"/>
      <w:r w:rsidRPr="008D1918">
        <w:rPr>
          <w:rFonts w:eastAsia="Arial"/>
        </w:rPr>
        <w:t>Recommended p</w:t>
      </w:r>
      <w:r w:rsidRPr="008D1918" w:rsidR="00474845">
        <w:rPr>
          <w:rFonts w:eastAsia="Arial"/>
        </w:rPr>
        <w:t>ricing approach</w:t>
      </w:r>
      <w:bookmarkEnd w:id="1985"/>
      <w:bookmarkEnd w:id="1986"/>
    </w:p>
    <w:p w:rsidRPr="008D1918" w:rsidR="00AE0CE6" w:rsidP="00AE0CE6" w:rsidRDefault="00AE0CE6" w14:paraId="01F6DD4A" w14:textId="2BF2F2BD">
      <w:pPr>
        <w:rPr>
          <w:lang w:val="en-AU"/>
        </w:rPr>
      </w:pPr>
      <w:r w:rsidRPr="008D1918">
        <w:rPr>
          <w:lang w:val="en-AU"/>
        </w:rPr>
        <w:t>The revenue</w:t>
      </w:r>
      <w:r w:rsidRPr="008D1918" w:rsidR="008C76BC">
        <w:rPr>
          <w:lang w:val="en-AU"/>
        </w:rPr>
        <w:t xml:space="preserve"> </w:t>
      </w:r>
      <w:r w:rsidRPr="008D1918">
        <w:rPr>
          <w:lang w:val="en-AU"/>
        </w:rPr>
        <w:t>per</w:t>
      </w:r>
      <w:r w:rsidRPr="008D1918" w:rsidR="008C76BC">
        <w:rPr>
          <w:lang w:val="en-AU"/>
        </w:rPr>
        <w:t>-</w:t>
      </w:r>
      <w:r w:rsidRPr="008D1918">
        <w:rPr>
          <w:lang w:val="en-AU"/>
        </w:rPr>
        <w:t>transaction data and provider consultation responses point to a tension</w:t>
      </w:r>
      <w:r w:rsidRPr="008D1918" w:rsidR="00F07D36">
        <w:rPr>
          <w:lang w:val="en-AU"/>
        </w:rPr>
        <w:t xml:space="preserve"> that will sharpen over time. The flat </w:t>
      </w:r>
      <w:r w:rsidRPr="008D1918">
        <w:rPr>
          <w:lang w:val="en-AU"/>
        </w:rPr>
        <w:t>fee does not distinguish between high-automation, large</w:t>
      </w:r>
      <w:r w:rsidRPr="008D1918" w:rsidR="00F07D36">
        <w:rPr>
          <w:lang w:val="en-AU"/>
        </w:rPr>
        <w:t xml:space="preserve"> </w:t>
      </w:r>
      <w:r w:rsidRPr="008D1918">
        <w:rPr>
          <w:lang w:val="en-AU"/>
        </w:rPr>
        <w:t xml:space="preserve">scale processing and more intensive, relational participant </w:t>
      </w:r>
      <w:r w:rsidRPr="008D1918">
        <w:rPr>
          <w:lang w:val="en-AU"/>
        </w:rPr>
        <w:t xml:space="preserve">engagement. </w:t>
      </w:r>
      <w:r w:rsidRPr="008D1918" w:rsidR="00F07D36">
        <w:rPr>
          <w:lang w:val="en-AU"/>
        </w:rPr>
        <w:t xml:space="preserve">As processing automation improves, the cost advantage for large providers will continue to grow, and the gap between what the flat fee compensates and what smaller plan managers </w:t>
      </w:r>
      <w:r w:rsidRPr="008D1918" w:rsidR="00131FD0">
        <w:rPr>
          <w:lang w:val="en-AU"/>
        </w:rPr>
        <w:t>deliver</w:t>
      </w:r>
      <w:r w:rsidRPr="008D1918" w:rsidR="00F07D36">
        <w:rPr>
          <w:lang w:val="en-AU"/>
        </w:rPr>
        <w:t xml:space="preserve"> will widen</w:t>
      </w:r>
      <w:r w:rsidRPr="008D1918" w:rsidR="001D6E61">
        <w:rPr>
          <w:lang w:val="en-AU"/>
        </w:rPr>
        <w:t>.</w:t>
      </w:r>
    </w:p>
    <w:p w:rsidRPr="008D1918" w:rsidR="00C91BCB" w:rsidP="002A145E" w:rsidRDefault="00AE0CE6" w14:paraId="458B74A6" w14:textId="77777777">
      <w:pPr>
        <w:spacing w:before="360" w:after="120"/>
        <w:rPr>
          <w:lang w:val="en-AU"/>
        </w:rPr>
      </w:pPr>
      <w:r w:rsidRPr="008D1918">
        <w:rPr>
          <w:lang w:val="en-AU"/>
        </w:rPr>
        <w:t>Provider survey respondents were divided on alternatives: 32% preferred a hybrid model (flat fee plus tiered levels for complexity), 30% preferred the current flat fee, 13% preferred a transaction-based model. The distribution suggests broad support for moving beyond a single flat fee, though there is no consensus on a replacement structure. A review should examine whether alternative approaches — such as volume-based discounting, tiered pricing, a per-transaction fee, or a hybrid model — would better reflect observed cost structures and provide appropriate signals. The review should also consider the interaction between plan management pricing and the broader reforms to plan management governance.</w:t>
      </w:r>
    </w:p>
    <w:p w:rsidRPr="008D1918" w:rsidR="00055299" w:rsidP="00041468" w:rsidRDefault="00AE0CE6" w14:paraId="159A0CA8" w14:textId="268B3560">
      <w:pPr>
        <w:pStyle w:val="StyleStyle112pt"/>
        <w:rPr>
          <w:rFonts w:eastAsia="Arial"/>
        </w:rPr>
      </w:pPr>
      <w:bookmarkStart w:name="_Toc227337164" w:id="1987"/>
      <w:r w:rsidRPr="008D1918">
        <w:rPr>
          <w:rFonts w:eastAsia="Arial"/>
        </w:rPr>
        <w:t>Conflict of interest</w:t>
      </w:r>
      <w:bookmarkStart w:name="_Toc227318796" w:id="1988"/>
      <w:bookmarkEnd w:id="1987"/>
      <w:r w:rsidRPr="008D1918">
        <w:rPr>
          <w:rFonts w:eastAsia="Arial"/>
        </w:rPr>
        <w:t xml:space="preserve"> </w:t>
      </w:r>
      <w:bookmarkEnd w:id="1988"/>
    </w:p>
    <w:p w:rsidRPr="008D1918" w:rsidR="00055299" w:rsidP="001D163B" w:rsidRDefault="00E22903" w14:paraId="5A07D342" w14:textId="3D91492C">
      <w:pPr>
        <w:rPr>
          <w:b/>
          <w:color w:val="6B2976"/>
          <w:sz w:val="30"/>
          <w:szCs w:val="30"/>
          <w:lang w:val="en-AU"/>
        </w:rPr>
      </w:pPr>
      <w:r w:rsidRPr="008D1918">
        <w:rPr>
          <w:lang w:val="en-AU"/>
        </w:rPr>
        <w:t xml:space="preserve">The trend toward provider specialisation is positive. The proportion of plan managers delivering only plan management services has increased from 29% to 36%, and other services delivered by plan managers represent a declining share of total plan-managed payments (3%, down from 7% in 2023). </w:t>
      </w:r>
      <w:r w:rsidRPr="009D3EE8">
        <w:rPr>
          <w:lang w:val="en-AU"/>
        </w:rPr>
        <w:t>The Agency will continue to monitor these indicators alongside the NDIS Commission's regulatory work on conflicts of interest.</w:t>
      </w:r>
    </w:p>
    <w:p w:rsidRPr="008D1918" w:rsidR="00055299" w:rsidP="001D163B" w:rsidRDefault="00055299" w14:paraId="794063EA" w14:textId="77777777">
      <w:pPr>
        <w:pStyle w:val="Heading31"/>
        <w:keepNext w:val="0"/>
        <w:ind w:left="1077" w:hanging="720"/>
      </w:pPr>
      <w:bookmarkStart w:name="_Toc223539761" w:id="1989"/>
      <w:bookmarkStart w:name="_Toc223539974" w:id="1990"/>
      <w:bookmarkStart w:name="_Toc223540442" w:id="1991"/>
      <w:bookmarkStart w:name="_Toc223540658" w:id="1992"/>
      <w:bookmarkStart w:name="_Toc223542198" w:id="1993"/>
      <w:bookmarkStart w:name="_Toc223604384" w:id="1994"/>
      <w:bookmarkStart w:name="_Toc223604595" w:id="1995"/>
      <w:bookmarkStart w:name="_Toc227337165" w:id="1996"/>
      <w:r w:rsidRPr="008D1918">
        <w:t>Recommendations</w:t>
      </w:r>
      <w:bookmarkEnd w:id="1989"/>
      <w:bookmarkEnd w:id="1990"/>
      <w:bookmarkEnd w:id="1991"/>
      <w:bookmarkEnd w:id="1992"/>
      <w:bookmarkEnd w:id="1993"/>
      <w:bookmarkEnd w:id="1994"/>
      <w:bookmarkEnd w:id="1995"/>
      <w:bookmarkEnd w:id="1996"/>
    </w:p>
    <w:p w:rsidRPr="008D1918" w:rsidR="00055299" w:rsidRDefault="00F07D36" w14:paraId="3645F927" w14:textId="05448D92">
      <w:pPr>
        <w:rPr>
          <w:lang w:val="en-AU"/>
        </w:rPr>
      </w:pPr>
      <w:r w:rsidRPr="008D1918">
        <w:rPr>
          <w:lang w:val="en-AU"/>
        </w:rPr>
        <w:t xml:space="preserve">The plan management market is mature, stable and operating at scale. </w:t>
      </w:r>
      <w:r w:rsidRPr="008D1918" w:rsidR="00572585">
        <w:rPr>
          <w:lang w:val="en-AU"/>
        </w:rPr>
        <w:t xml:space="preserve">Continuously </w:t>
      </w:r>
      <w:r w:rsidRPr="008D1918">
        <w:rPr>
          <w:lang w:val="en-AU"/>
        </w:rPr>
        <w:t>active providers</w:t>
      </w:r>
      <w:r w:rsidRPr="008D1918" w:rsidR="00572585">
        <w:rPr>
          <w:lang w:val="en-AU"/>
        </w:rPr>
        <w:t xml:space="preserve"> process 94% of payments</w:t>
      </w:r>
      <w:r w:rsidRPr="008D1918">
        <w:rPr>
          <w:lang w:val="en-AU"/>
        </w:rPr>
        <w:t xml:space="preserve"> and no disruption to market stability followed the 2024</w:t>
      </w:r>
      <w:r w:rsidRPr="008D1918" w:rsidR="009A6B4E">
        <w:rPr>
          <w:lang w:val="en-AU"/>
        </w:rPr>
        <w:t>–</w:t>
      </w:r>
      <w:r w:rsidRPr="008D1918">
        <w:rPr>
          <w:lang w:val="en-AU"/>
        </w:rPr>
        <w:t>25 pricing changes. The evidence does not support</w:t>
      </w:r>
      <w:r w:rsidRPr="008D1918" w:rsidR="004616D8">
        <w:rPr>
          <w:lang w:val="en-AU"/>
        </w:rPr>
        <w:t xml:space="preserve"> recommending</w:t>
      </w:r>
      <w:r w:rsidRPr="008D1918">
        <w:rPr>
          <w:lang w:val="en-AU"/>
        </w:rPr>
        <w:t xml:space="preserve"> an upward adjustment to the current monthly fee at this time</w:t>
      </w:r>
      <w:r w:rsidRPr="008D1918" w:rsidR="00055299">
        <w:rPr>
          <w:lang w:val="en-AU"/>
        </w:rPr>
        <w:t xml:space="preserve">. </w:t>
      </w:r>
    </w:p>
    <w:p w:rsidRPr="008D1918" w:rsidR="00055299" w:rsidP="007A12F2" w:rsidRDefault="00055299" w14:paraId="35740B6F" w14:textId="1CF3F0AD">
      <w:pPr>
        <w:pStyle w:val="RecommendationH4"/>
        <w:rPr>
          <w:bCs/>
        </w:rPr>
      </w:pPr>
      <w:r w:rsidRPr="008D1918">
        <w:t xml:space="preserve">Recommendation </w:t>
      </w:r>
      <w:r w:rsidRPr="008D1918" w:rsidR="002E0F6E">
        <w:t>1</w:t>
      </w:r>
      <w:r w:rsidRPr="008D1918" w:rsidR="008F27D5">
        <w:t>4</w:t>
      </w:r>
      <w:r w:rsidRPr="008D1918">
        <w:t xml:space="preserve">: </w:t>
      </w:r>
    </w:p>
    <w:p w:rsidRPr="008D1918" w:rsidR="004616D8" w:rsidP="004616D8" w:rsidRDefault="004616D8" w14:paraId="737E4AFE" w14:textId="16EFF26F">
      <w:pPr>
        <w:ind w:left="567"/>
        <w:rPr>
          <w:color w:val="6B2876" w:themeColor="accent5"/>
          <w:lang w:val="en-AU"/>
        </w:rPr>
      </w:pPr>
      <w:r w:rsidRPr="008D1918">
        <w:rPr>
          <w:color w:val="6B2876" w:themeColor="accent5"/>
          <w:lang w:val="en-AU"/>
        </w:rPr>
        <w:t xml:space="preserve">The monthly fee for Plan Management should be $104.45 per month. </w:t>
      </w:r>
    </w:p>
    <w:p w:rsidRPr="008D1918" w:rsidR="004616D8" w:rsidP="004616D8" w:rsidRDefault="004616D8" w14:paraId="4F0FE8CF" w14:textId="20FC3564">
      <w:pPr>
        <w:rPr>
          <w:lang w:val="en-AU"/>
        </w:rPr>
      </w:pPr>
      <w:r w:rsidRPr="008D1918">
        <w:rPr>
          <w:lang w:val="en-AU"/>
        </w:rPr>
        <w:t>It is recommended that as the NDI</w:t>
      </w:r>
      <w:r w:rsidR="00840AA9">
        <w:rPr>
          <w:lang w:val="en-AU"/>
        </w:rPr>
        <w:t>S</w:t>
      </w:r>
      <w:r w:rsidRPr="008D1918">
        <w:rPr>
          <w:lang w:val="en-AU"/>
        </w:rPr>
        <w:t xml:space="preserve"> transitions from rapid growth to market stewardship, prices should reflect the role plan management plays within the broader system architecture. While current evidence supports maintaining the price, the structure of pricing should be reviewed to ensure it aligns with long-term market design objectives. This approach recognises that mature markets require periodic structural review even in the absence of instability. </w:t>
      </w:r>
    </w:p>
    <w:p w:rsidRPr="008D1918" w:rsidR="00007DA5" w:rsidRDefault="00007DA5" w14:paraId="76601FBA" w14:textId="77777777">
      <w:pPr>
        <w:spacing w:after="0" w:line="240" w:lineRule="auto"/>
        <w:rPr>
          <w:lang w:val="en-AU"/>
        </w:rPr>
      </w:pPr>
      <w:r w:rsidRPr="008D1918">
        <w:rPr>
          <w:lang w:val="en-AU"/>
        </w:rPr>
        <w:br w:type="page"/>
      </w:r>
    </w:p>
    <w:p w:rsidRPr="008D1918" w:rsidR="00055299" w:rsidP="007A12F2" w:rsidRDefault="00055299" w14:paraId="20DE4406" w14:textId="04461836">
      <w:pPr>
        <w:pStyle w:val="RecommendationH4"/>
        <w:rPr>
          <w:bCs/>
        </w:rPr>
      </w:pPr>
      <w:r w:rsidRPr="008D1918">
        <w:t xml:space="preserve">Recommendation </w:t>
      </w:r>
      <w:r w:rsidRPr="008D1918" w:rsidR="00F07D36">
        <w:t>15</w:t>
      </w:r>
      <w:r w:rsidRPr="008D1918">
        <w:t>:</w:t>
      </w:r>
    </w:p>
    <w:p w:rsidRPr="008D1918" w:rsidR="007C50D8" w:rsidP="001D163B" w:rsidRDefault="004616D8" w14:paraId="366AC1D9" w14:textId="1E3A18FA">
      <w:pPr>
        <w:pStyle w:val="Normalrecommendationtext"/>
        <w:spacing w:line="288" w:lineRule="auto"/>
      </w:pPr>
      <w:r w:rsidRPr="008D1918">
        <w:t xml:space="preserve">The NDIA should undertake a review of the Plan Management pricing approach to ensure price guidance and </w:t>
      </w:r>
      <w:r w:rsidRPr="008D1918" w:rsidR="00714ED8">
        <w:t>recommendations remain</w:t>
      </w:r>
      <w:r w:rsidRPr="008D1918">
        <w:t xml:space="preserve"> aligned with the administrative and transactional nature of the support</w:t>
      </w:r>
      <w:r w:rsidR="00527477">
        <w:t>,</w:t>
      </w:r>
      <w:r w:rsidRPr="008D1918">
        <w:t xml:space="preserve"> and reflect how Plan Management is delivered in practice.</w:t>
      </w:r>
      <w:r w:rsidRPr="008D1918" w:rsidR="007C50D8">
        <w:br w:type="page"/>
      </w:r>
    </w:p>
    <w:p w:rsidRPr="008D1918" w:rsidR="00337E33" w:rsidP="0041120E" w:rsidRDefault="00337E33" w14:paraId="0881F76B" w14:textId="7BB18C76">
      <w:pPr>
        <w:pStyle w:val="Heading21"/>
        <w:ind w:left="1077" w:hanging="720"/>
      </w:pPr>
      <w:bookmarkStart w:name="_Toc223539762" w:id="1997"/>
      <w:bookmarkStart w:name="_Toc223539975" w:id="1998"/>
      <w:bookmarkStart w:name="_Toc223540443" w:id="1999"/>
      <w:bookmarkStart w:name="_Toc223540659" w:id="2000"/>
      <w:bookmarkStart w:name="_Toc223542199" w:id="2001"/>
      <w:bookmarkStart w:name="_Toc223604385" w:id="2002"/>
      <w:bookmarkStart w:name="_Toc223604596" w:id="2003"/>
      <w:bookmarkStart w:name="_Toc227337166" w:id="2004"/>
      <w:r w:rsidRPr="008D1918">
        <w:t>Social</w:t>
      </w:r>
      <w:r w:rsidRPr="008D1918" w:rsidR="008C7845">
        <w:t>,</w:t>
      </w:r>
      <w:r w:rsidRPr="008D1918">
        <w:t xml:space="preserve"> Community </w:t>
      </w:r>
      <w:r w:rsidRPr="008D1918" w:rsidR="008C7845">
        <w:t>and Civic</w:t>
      </w:r>
      <w:r w:rsidRPr="008D1918">
        <w:t xml:space="preserve"> Participation</w:t>
      </w:r>
      <w:bookmarkEnd w:id="1997"/>
      <w:bookmarkEnd w:id="1998"/>
      <w:bookmarkEnd w:id="1999"/>
      <w:bookmarkEnd w:id="2000"/>
      <w:bookmarkEnd w:id="2001"/>
      <w:bookmarkEnd w:id="2002"/>
      <w:bookmarkEnd w:id="2003"/>
      <w:bookmarkEnd w:id="2004"/>
      <w:r w:rsidRPr="008D1918">
        <w:t xml:space="preserve"> </w:t>
      </w:r>
    </w:p>
    <w:p w:rsidRPr="008D1918" w:rsidR="00601AFC" w:rsidP="00BD0457" w:rsidRDefault="00601AFC" w14:paraId="74306BD9" w14:textId="77777777">
      <w:pPr>
        <w:pStyle w:val="Heading31"/>
        <w:ind w:left="1077" w:hanging="720"/>
      </w:pPr>
      <w:bookmarkStart w:name="_Toc223539763" w:id="2005"/>
      <w:bookmarkStart w:name="_Toc223539976" w:id="2006"/>
      <w:bookmarkStart w:name="_Toc223540444" w:id="2007"/>
      <w:bookmarkStart w:name="_Toc223540660" w:id="2008"/>
      <w:bookmarkStart w:name="_Toc223542200" w:id="2009"/>
      <w:bookmarkStart w:name="_Toc223604386" w:id="2010"/>
      <w:bookmarkStart w:name="_Toc223604597" w:id="2011"/>
      <w:bookmarkStart w:name="_Toc227337167" w:id="2012"/>
      <w:r w:rsidRPr="008D1918">
        <w:t>Context</w:t>
      </w:r>
      <w:bookmarkEnd w:id="2005"/>
      <w:bookmarkEnd w:id="2006"/>
      <w:bookmarkEnd w:id="2007"/>
      <w:bookmarkEnd w:id="2008"/>
      <w:bookmarkEnd w:id="2009"/>
      <w:bookmarkEnd w:id="2010"/>
      <w:bookmarkEnd w:id="2011"/>
      <w:bookmarkEnd w:id="2012"/>
    </w:p>
    <w:p w:rsidRPr="008D1918" w:rsidR="00601AFC" w:rsidRDefault="00601AFC" w14:paraId="00A64DB6" w14:textId="12D4D7F7">
      <w:pPr>
        <w:rPr>
          <w:lang w:val="en-AU"/>
        </w:rPr>
      </w:pPr>
      <w:r w:rsidRPr="008D1918">
        <w:rPr>
          <w:lang w:val="en-AU"/>
        </w:rPr>
        <w:t>Social</w:t>
      </w:r>
      <w:r w:rsidRPr="008D1918" w:rsidR="008C7845">
        <w:rPr>
          <w:lang w:val="en-AU"/>
        </w:rPr>
        <w:t>,</w:t>
      </w:r>
      <w:r w:rsidRPr="008D1918">
        <w:rPr>
          <w:lang w:val="en-AU"/>
        </w:rPr>
        <w:t xml:space="preserve"> Community </w:t>
      </w:r>
      <w:r w:rsidRPr="008D1918" w:rsidR="008C7845">
        <w:rPr>
          <w:lang w:val="en-AU"/>
        </w:rPr>
        <w:t xml:space="preserve">and Civic </w:t>
      </w:r>
      <w:r w:rsidRPr="008D1918">
        <w:rPr>
          <w:lang w:val="en-AU"/>
        </w:rPr>
        <w:t>Participation (S</w:t>
      </w:r>
      <w:r w:rsidRPr="008D1918" w:rsidR="008C7845">
        <w:rPr>
          <w:lang w:val="en-AU"/>
        </w:rPr>
        <w:t>C</w:t>
      </w:r>
      <w:r w:rsidRPr="008D1918">
        <w:rPr>
          <w:lang w:val="en-AU"/>
        </w:rPr>
        <w:t>CP) supports enable participants to engage in community, social and recreational activities</w:t>
      </w:r>
      <w:r w:rsidRPr="008D1918">
        <w:rPr>
          <w:rFonts w:eastAsia="Segoe UI"/>
          <w:lang w:val="en-AU"/>
        </w:rPr>
        <w:t xml:space="preserve"> where assistance is required due to the functional impacts of </w:t>
      </w:r>
      <w:r w:rsidRPr="008D1918" w:rsidR="00DD733A">
        <w:rPr>
          <w:rFonts w:eastAsia="Segoe UI"/>
          <w:lang w:val="en-AU"/>
        </w:rPr>
        <w:t xml:space="preserve">their </w:t>
      </w:r>
      <w:r w:rsidRPr="008D1918">
        <w:rPr>
          <w:rFonts w:eastAsia="Segoe UI"/>
          <w:lang w:val="en-AU"/>
        </w:rPr>
        <w:t>disability</w:t>
      </w:r>
      <w:r w:rsidRPr="008D1918">
        <w:rPr>
          <w:lang w:val="en-AU"/>
        </w:rPr>
        <w:t>. Supports are delivered as individual or group-based services across community settings, centres and participant</w:t>
      </w:r>
      <w:r w:rsidRPr="008D1918" w:rsidR="00062600">
        <w:rPr>
          <w:lang w:val="en-AU"/>
        </w:rPr>
        <w:t>s’</w:t>
      </w:r>
      <w:r w:rsidRPr="008D1918">
        <w:rPr>
          <w:lang w:val="en-AU"/>
        </w:rPr>
        <w:t xml:space="preserve"> homes. The category includes standard community access, high-intensity supports for participants with complex behavioural or health needs, </w:t>
      </w:r>
      <w:r w:rsidRPr="008D1918" w:rsidR="00062600">
        <w:rPr>
          <w:lang w:val="en-AU"/>
        </w:rPr>
        <w:t xml:space="preserve">and </w:t>
      </w:r>
      <w:r w:rsidRPr="008D1918">
        <w:rPr>
          <w:lang w:val="en-AU"/>
        </w:rPr>
        <w:t xml:space="preserve">group and centre-based transport. Supports are delivered predominantly by disability support workers and do not require professional qualifications. </w:t>
      </w:r>
    </w:p>
    <w:p w:rsidRPr="008D1918" w:rsidR="002B4A6A" w:rsidRDefault="0073211B" w14:paraId="1EF9F523" w14:textId="7D033615">
      <w:pPr>
        <w:pStyle w:val="BodyText"/>
        <w:spacing w:after="200" w:line="288" w:lineRule="auto"/>
        <w:rPr>
          <w:rFonts w:ascii="Arial" w:hAnsi="Arial" w:cs="Arial"/>
        </w:rPr>
      </w:pPr>
      <w:r w:rsidRPr="008D1918">
        <w:rPr>
          <w:rFonts w:ascii="Arial" w:hAnsi="Arial" w:cs="Arial"/>
        </w:rPr>
        <w:t>S</w:t>
      </w:r>
      <w:r w:rsidRPr="008D1918" w:rsidR="008C7845">
        <w:rPr>
          <w:rFonts w:ascii="Arial" w:hAnsi="Arial" w:cs="Arial"/>
        </w:rPr>
        <w:t>C</w:t>
      </w:r>
      <w:r w:rsidRPr="008D1918">
        <w:rPr>
          <w:rFonts w:ascii="Arial" w:hAnsi="Arial" w:cs="Arial"/>
        </w:rPr>
        <w:t xml:space="preserve">CP supports are delivered through </w:t>
      </w:r>
      <w:r w:rsidRPr="008D1918" w:rsidR="00FD4ECE">
        <w:rPr>
          <w:rFonts w:ascii="Arial" w:hAnsi="Arial" w:cs="Arial"/>
        </w:rPr>
        <w:t>2</w:t>
      </w:r>
      <w:r w:rsidRPr="008D1918">
        <w:rPr>
          <w:rFonts w:ascii="Arial" w:hAnsi="Arial" w:cs="Arial"/>
        </w:rPr>
        <w:t xml:space="preserve"> structurally distinct provider models that the current pricing approach treats as equivalent. The first is an organisational model: predominantly registered providers operating as companies with employed workforces, formal governance and compliance systems. The second is a relational model: predominantly unregistered sole traders working directly with one or </w:t>
      </w:r>
      <w:r w:rsidRPr="008D1918" w:rsidR="00FD4ECE">
        <w:rPr>
          <w:rFonts w:ascii="Arial" w:hAnsi="Arial" w:cs="Arial"/>
        </w:rPr>
        <w:t xml:space="preserve">2 </w:t>
      </w:r>
      <w:r w:rsidRPr="008D1918">
        <w:rPr>
          <w:rFonts w:ascii="Arial" w:hAnsi="Arial" w:cs="Arial"/>
        </w:rPr>
        <w:t xml:space="preserve">participants through personal, ongoing relationships. </w:t>
      </w:r>
    </w:p>
    <w:p w:rsidRPr="008D1918" w:rsidR="004616D8" w:rsidP="004616D8" w:rsidRDefault="004616D8" w14:paraId="099B35BA" w14:textId="045DA908">
      <w:pPr>
        <w:pStyle w:val="BodyText"/>
        <w:spacing w:after="200" w:line="288" w:lineRule="auto"/>
        <w:rPr>
          <w:rFonts w:ascii="Arial" w:hAnsi="Arial" w:cs="Arial"/>
        </w:rPr>
      </w:pPr>
      <w:r w:rsidRPr="008D1918">
        <w:rPr>
          <w:rFonts w:ascii="Arial" w:hAnsi="Arial" w:cs="Arial"/>
        </w:rPr>
        <w:t xml:space="preserve">As set out in Chapter 4, participants value both models — trust, rapport and flexibility are the primary drivers of provider choice, with registration ranking lowest among selection factors. The 2 models carry different regulatory obligations, different cost structures, and deliver different forms of assurance to the Scheme. </w:t>
      </w:r>
      <w:r w:rsidRPr="008D1918" w:rsidR="009A0856">
        <w:rPr>
          <w:rFonts w:ascii="Arial" w:hAnsi="Arial" w:cs="Arial"/>
        </w:rPr>
        <w:t>There is currently a</w:t>
      </w:r>
      <w:r w:rsidRPr="008D1918">
        <w:rPr>
          <w:rFonts w:ascii="Arial" w:hAnsi="Arial" w:cs="Arial"/>
        </w:rPr>
        <w:t xml:space="preserve"> national maximum price across both models. Whether this uniform pricing approach remains appropriate is the central question of this chapter.</w:t>
      </w:r>
    </w:p>
    <w:p w:rsidRPr="008D1918" w:rsidR="00601AFC" w:rsidP="001D163B" w:rsidRDefault="00601AFC" w14:paraId="45D67170" w14:textId="68CEB193">
      <w:pPr>
        <w:pStyle w:val="Heading31"/>
        <w:ind w:left="1077" w:hanging="720"/>
      </w:pPr>
      <w:bookmarkStart w:name="_Toc227131389" w:id="2013"/>
      <w:bookmarkStart w:name="_Toc223539764" w:id="2014"/>
      <w:bookmarkStart w:name="_Toc223539977" w:id="2015"/>
      <w:bookmarkStart w:name="_Toc223540445" w:id="2016"/>
      <w:bookmarkStart w:name="_Toc223540661" w:id="2017"/>
      <w:bookmarkStart w:name="_Toc223542201" w:id="2018"/>
      <w:bookmarkStart w:name="_Toc223604387" w:id="2019"/>
      <w:bookmarkStart w:name="_Toc223604598" w:id="2020"/>
      <w:bookmarkStart w:name="_Toc227337168" w:id="2021"/>
      <w:bookmarkEnd w:id="2013"/>
      <w:r w:rsidRPr="008D1918">
        <w:t xml:space="preserve">Market </w:t>
      </w:r>
      <w:r w:rsidRPr="008D1918" w:rsidR="00095B22">
        <w:t>o</w:t>
      </w:r>
      <w:r w:rsidRPr="008D1918">
        <w:t>verview</w:t>
      </w:r>
      <w:bookmarkEnd w:id="2014"/>
      <w:bookmarkEnd w:id="2015"/>
      <w:bookmarkEnd w:id="2016"/>
      <w:bookmarkEnd w:id="2017"/>
      <w:bookmarkEnd w:id="2018"/>
      <w:bookmarkEnd w:id="2019"/>
      <w:bookmarkEnd w:id="2020"/>
      <w:bookmarkEnd w:id="2021"/>
      <w:r w:rsidRPr="008D1918">
        <w:t xml:space="preserve"> </w:t>
      </w:r>
    </w:p>
    <w:p w:rsidRPr="008D1918" w:rsidR="000E3DF4" w:rsidP="000E3DF4" w:rsidRDefault="000E3DF4" w14:paraId="339A72AD" w14:textId="0149457B">
      <w:pPr>
        <w:rPr>
          <w:lang w:val="en-AU"/>
        </w:rPr>
      </w:pPr>
      <w:r w:rsidRPr="008D1918">
        <w:rPr>
          <w:lang w:val="en-AU"/>
        </w:rPr>
        <w:t>SCCP is a large and growing market. In the 6 months to December 2025, payments reached $5.5 billion, which is 21% of total Scheme payments, and services were delivered by 99,365 providers to 276,333 participants</w:t>
      </w:r>
      <w:r w:rsidRPr="008D1918" w:rsidR="002C1B74">
        <w:rPr>
          <w:lang w:val="en-AU"/>
        </w:rPr>
        <w:t xml:space="preserve"> (</w:t>
      </w:r>
      <w:r w:rsidRPr="008D1918" w:rsidR="002C1B74">
        <w:rPr>
          <w:lang w:val="en-AU"/>
        </w:rPr>
        <w:fldChar w:fldCharType="begin"/>
      </w:r>
      <w:r w:rsidRPr="008D1918" w:rsidR="002C1B74">
        <w:rPr>
          <w:lang w:val="en-AU"/>
        </w:rPr>
        <w:instrText xml:space="preserve"> REF _Ref223695907 \h  \* MERGEFORMAT </w:instrText>
      </w:r>
      <w:r w:rsidRPr="008D1918" w:rsidR="002C1B74">
        <w:rPr>
          <w:lang w:val="en-AU"/>
        </w:rPr>
      </w:r>
      <w:r w:rsidRPr="008D1918" w:rsidR="002C1B74">
        <w:rPr>
          <w:lang w:val="en-AU"/>
        </w:rPr>
        <w:fldChar w:fldCharType="separate"/>
      </w:r>
      <w:r w:rsidRPr="008F56A2" w:rsidR="008F56A2">
        <w:rPr>
          <w:lang w:val="en-AU"/>
        </w:rPr>
        <w:t>Table</w:t>
      </w:r>
      <w:r w:rsidRPr="008D1918" w:rsidR="008F56A2">
        <w:t xml:space="preserve"> </w:t>
      </w:r>
      <w:r w:rsidR="008F56A2">
        <w:rPr>
          <w:noProof/>
        </w:rPr>
        <w:t>41</w:t>
      </w:r>
      <w:r w:rsidRPr="008D1918" w:rsidR="002C1B74">
        <w:rPr>
          <w:lang w:val="en-AU"/>
        </w:rPr>
        <w:fldChar w:fldCharType="end"/>
      </w:r>
      <w:r w:rsidRPr="008D1918" w:rsidR="002C1B74">
        <w:rPr>
          <w:lang w:val="en-AU"/>
        </w:rPr>
        <w:t xml:space="preserve">, </w:t>
      </w:r>
      <w:r w:rsidRPr="008D1918" w:rsidR="002C1B74">
        <w:rPr>
          <w:lang w:val="en-AU"/>
        </w:rPr>
        <w:fldChar w:fldCharType="begin"/>
      </w:r>
      <w:r w:rsidRPr="008D1918" w:rsidR="002C1B74">
        <w:rPr>
          <w:lang w:val="en-AU"/>
        </w:rPr>
        <w:instrText xml:space="preserve"> REF _Ref223683380 \h  \* MERGEFORMAT </w:instrText>
      </w:r>
      <w:r w:rsidRPr="008D1918" w:rsidR="002C1B74">
        <w:rPr>
          <w:lang w:val="en-AU"/>
        </w:rPr>
      </w:r>
      <w:r w:rsidRPr="008D1918" w:rsidR="002C1B74">
        <w:rPr>
          <w:lang w:val="en-AU"/>
        </w:rPr>
        <w:fldChar w:fldCharType="separate"/>
      </w:r>
      <w:r w:rsidRPr="008F56A2" w:rsidR="008F56A2">
        <w:rPr>
          <w:lang w:val="en-AU"/>
        </w:rPr>
        <w:t>Figure</w:t>
      </w:r>
      <w:r w:rsidRPr="008D1918" w:rsidR="008F56A2">
        <w:t xml:space="preserve"> </w:t>
      </w:r>
      <w:r w:rsidR="008F56A2">
        <w:rPr>
          <w:noProof/>
        </w:rPr>
        <w:t>51</w:t>
      </w:r>
      <w:r w:rsidRPr="008D1918" w:rsidR="002C1B74">
        <w:rPr>
          <w:lang w:val="en-AU"/>
        </w:rPr>
        <w:fldChar w:fldCharType="end"/>
      </w:r>
      <w:r w:rsidRPr="008D1918" w:rsidR="002C1B74">
        <w:rPr>
          <w:lang w:val="en-AU"/>
        </w:rPr>
        <w:t>)</w:t>
      </w:r>
      <w:r w:rsidRPr="008D1918">
        <w:rPr>
          <w:lang w:val="en-AU"/>
        </w:rPr>
        <w:t xml:space="preserve">. Payments grew by 57% in absolute terms between January 2023 and December 2025, though it has remained stable as a share of Scheme payments. </w:t>
      </w:r>
      <w:r w:rsidRPr="008D1918">
        <w:rPr>
          <w:rFonts w:eastAsia="Segoe UI"/>
          <w:lang w:val="en-AU"/>
        </w:rPr>
        <w:t>As a result any pricing change in this category applies to a significant share of overall Scheme expenditure</w:t>
      </w:r>
      <w:r w:rsidRPr="008D1918">
        <w:rPr>
          <w:lang w:val="en-AU"/>
        </w:rPr>
        <w:t>.</w:t>
      </w:r>
    </w:p>
    <w:p w:rsidRPr="008D1918" w:rsidR="00601AFC" w:rsidRDefault="00601AFC" w14:paraId="4ECAA0C4" w14:textId="17BD5D4E">
      <w:pPr>
        <w:rPr>
          <w:lang w:val="en-AU"/>
        </w:rPr>
      </w:pPr>
      <w:r w:rsidRPr="008D1918">
        <w:rPr>
          <w:lang w:val="en-AU"/>
        </w:rPr>
        <w:t>The S</w:t>
      </w:r>
      <w:r w:rsidRPr="008D1918" w:rsidR="00476700">
        <w:rPr>
          <w:lang w:val="en-AU"/>
        </w:rPr>
        <w:t>C</w:t>
      </w:r>
      <w:r w:rsidRPr="008D1918">
        <w:rPr>
          <w:lang w:val="en-AU"/>
        </w:rPr>
        <w:t>CP market grew substantially between January 2023 and December 2025, with provider numbers increasing by 41–45% and total expenditure rising by 57%. (</w:t>
      </w:r>
      <w:r w:rsidRPr="008D1918" w:rsidR="00E53BE1">
        <w:rPr>
          <w:lang w:val="en-AU"/>
        </w:rPr>
        <w:fldChar w:fldCharType="begin"/>
      </w:r>
      <w:r w:rsidRPr="008D1918" w:rsidR="00E53BE1">
        <w:rPr>
          <w:lang w:val="en-AU"/>
        </w:rPr>
        <w:instrText xml:space="preserve"> REF _Ref223695907 \h </w:instrText>
      </w:r>
      <w:r w:rsidRPr="008D1918" w:rsidR="00762DF8">
        <w:rPr>
          <w:lang w:val="en-AU"/>
        </w:rPr>
        <w:instrText xml:space="preserve"> \* MERGEFORMAT </w:instrText>
      </w:r>
      <w:r w:rsidRPr="008D1918" w:rsidR="00E53BE1">
        <w:rPr>
          <w:lang w:val="en-AU"/>
        </w:rPr>
      </w:r>
      <w:r w:rsidRPr="008D1918" w:rsidR="00E53BE1">
        <w:rPr>
          <w:lang w:val="en-AU"/>
        </w:rPr>
        <w:fldChar w:fldCharType="separate"/>
      </w:r>
      <w:r w:rsidRPr="008F56A2" w:rsidR="008F56A2">
        <w:rPr>
          <w:lang w:val="en-AU"/>
        </w:rPr>
        <w:t>Table</w:t>
      </w:r>
      <w:r w:rsidRPr="008D1918" w:rsidR="008F56A2">
        <w:t xml:space="preserve"> </w:t>
      </w:r>
      <w:r w:rsidR="008F56A2">
        <w:rPr>
          <w:noProof/>
        </w:rPr>
        <w:t>41</w:t>
      </w:r>
      <w:r w:rsidRPr="008D1918" w:rsidR="00E53BE1">
        <w:rPr>
          <w:lang w:val="en-AU"/>
        </w:rPr>
        <w:fldChar w:fldCharType="end"/>
      </w:r>
      <w:r w:rsidRPr="008D1918">
        <w:rPr>
          <w:lang w:val="en-AU"/>
        </w:rPr>
        <w:t xml:space="preserve">, </w:t>
      </w:r>
      <w:r w:rsidRPr="008D1918" w:rsidR="001E1137">
        <w:rPr>
          <w:lang w:val="en-AU"/>
        </w:rPr>
        <w:fldChar w:fldCharType="begin"/>
      </w:r>
      <w:r w:rsidRPr="008D1918" w:rsidR="001E1137">
        <w:rPr>
          <w:lang w:val="en-AU"/>
        </w:rPr>
        <w:instrText xml:space="preserve"> REF _Ref223683380 \h </w:instrText>
      </w:r>
      <w:r w:rsidRPr="008D1918" w:rsidR="00762DF8">
        <w:rPr>
          <w:lang w:val="en-AU"/>
        </w:rPr>
        <w:instrText xml:space="preserve"> \* MERGEFORMAT </w:instrText>
      </w:r>
      <w:r w:rsidRPr="008D1918" w:rsidR="001E1137">
        <w:rPr>
          <w:lang w:val="en-AU"/>
        </w:rPr>
      </w:r>
      <w:r w:rsidRPr="008D1918" w:rsidR="001E1137">
        <w:rPr>
          <w:lang w:val="en-AU"/>
        </w:rPr>
        <w:fldChar w:fldCharType="separate"/>
      </w:r>
      <w:r w:rsidRPr="008F56A2" w:rsidR="008F56A2">
        <w:rPr>
          <w:lang w:val="en-AU"/>
        </w:rPr>
        <w:t>Figure</w:t>
      </w:r>
      <w:r w:rsidRPr="008D1918" w:rsidR="008F56A2">
        <w:t xml:space="preserve"> </w:t>
      </w:r>
      <w:r w:rsidR="008F56A2">
        <w:rPr>
          <w:noProof/>
        </w:rPr>
        <w:t>51</w:t>
      </w:r>
      <w:r w:rsidRPr="008D1918" w:rsidR="001E1137">
        <w:rPr>
          <w:lang w:val="en-AU"/>
        </w:rPr>
        <w:fldChar w:fldCharType="end"/>
      </w:r>
      <w:r w:rsidRPr="008D1918">
        <w:rPr>
          <w:lang w:val="en-AU"/>
        </w:rPr>
        <w:t>).</w:t>
      </w:r>
    </w:p>
    <w:p w:rsidRPr="008D1918" w:rsidR="00601AFC" w:rsidP="00E53BE1" w:rsidRDefault="00E53BE1" w14:paraId="4E865931" w14:textId="0BDC2D06">
      <w:pPr>
        <w:pStyle w:val="Caption"/>
      </w:pPr>
      <w:bookmarkStart w:name="_Ref223695907" w:id="2022"/>
      <w:r w:rsidRPr="008D1918">
        <w:t xml:space="preserve">Table </w:t>
      </w:r>
      <w:r>
        <w:fldChar w:fldCharType="begin"/>
      </w:r>
      <w:r>
        <w:instrText>SEQ Table \* ARABIC</w:instrText>
      </w:r>
      <w:r>
        <w:fldChar w:fldCharType="separate"/>
      </w:r>
      <w:r w:rsidR="008F56A2">
        <w:rPr>
          <w:noProof/>
        </w:rPr>
        <w:t>41</w:t>
      </w:r>
      <w:r>
        <w:fldChar w:fldCharType="end"/>
      </w:r>
      <w:bookmarkEnd w:id="2022"/>
      <w:r w:rsidRPr="008D1918" w:rsidR="00601AFC">
        <w:t>: S</w:t>
      </w:r>
      <w:r w:rsidRPr="008D1918" w:rsidR="00476700">
        <w:t>C</w:t>
      </w:r>
      <w:r w:rsidRPr="008D1918" w:rsidR="00601AFC">
        <w:t xml:space="preserve">CP supports </w:t>
      </w:r>
      <w:r w:rsidRPr="008D1918" w:rsidR="00C85053">
        <w:t>S</w:t>
      </w:r>
      <w:r w:rsidRPr="008D1918" w:rsidR="00601AFC">
        <w:t>cheme statistics – all providers</w:t>
      </w:r>
      <w:r w:rsidRPr="008D1918" w:rsidR="00095B22">
        <w:t>,</w:t>
      </w:r>
      <w:r w:rsidRPr="008D1918" w:rsidR="008F27D5">
        <w:t xml:space="preserve"> July 2024 to December 2025</w:t>
      </w:r>
    </w:p>
    <w:tbl>
      <w:tblPr>
        <w:tblStyle w:val="GridTable4-Accent121"/>
        <w:tblW w:w="0" w:type="auto"/>
        <w:tblInd w:w="5" w:type="dxa"/>
        <w:tblLayout w:type="fixed"/>
        <w:tblLook w:val="04A0" w:firstRow="1" w:lastRow="0" w:firstColumn="1" w:lastColumn="0" w:noHBand="0" w:noVBand="1"/>
      </w:tblPr>
      <w:tblGrid>
        <w:gridCol w:w="3856"/>
        <w:gridCol w:w="1814"/>
        <w:gridCol w:w="1814"/>
        <w:gridCol w:w="1531"/>
      </w:tblGrid>
      <w:tr w:rsidRPr="008D1918" w:rsidR="001B4E78" w:rsidTr="00AC5F9C" w14:paraId="1A66FE01" w14:textId="77777777">
        <w:trPr>
          <w:cnfStyle w:val="100000000000" w:firstRow="1" w:lastRow="0" w:firstColumn="0" w:lastColumn="0" w:oddVBand="0" w:evenVBand="0" w:oddHBand="0" w:evenHBand="0" w:firstRowFirstColumn="0" w:firstRowLastColumn="0" w:lastRowFirstColumn="0" w:lastRowLastColumn="0"/>
          <w:trHeight w:val="645"/>
          <w:tblHeader/>
        </w:trPr>
        <w:tc>
          <w:tcPr>
            <w:cnfStyle w:val="001000000000" w:firstRow="0" w:lastRow="0" w:firstColumn="1" w:lastColumn="0" w:oddVBand="0" w:evenVBand="0" w:oddHBand="0" w:evenHBand="0" w:firstRowFirstColumn="0" w:firstRowLastColumn="0" w:lastRowFirstColumn="0" w:lastRowLastColumn="0"/>
            <w:tcW w:w="3856" w:type="dxa"/>
            <w:hideMark/>
          </w:tcPr>
          <w:p w:rsidRPr="008D1918" w:rsidR="00601AFC" w:rsidP="000A7BE8" w:rsidRDefault="000A7BE8" w14:paraId="13188C6A" w14:textId="5F3F7505">
            <w:pPr>
              <w:spacing w:before="60" w:after="60"/>
              <w:rPr>
                <w:rFonts w:cs="Arial"/>
                <w:b w:val="0"/>
                <w:sz w:val="20"/>
                <w:szCs w:val="20"/>
                <w:lang w:val="en-AU" w:eastAsia="en-AU"/>
              </w:rPr>
            </w:pPr>
            <w:r w:rsidRPr="008D1918">
              <w:rPr>
                <w:rFonts w:cs="Arial"/>
                <w:sz w:val="20"/>
                <w:szCs w:val="20"/>
                <w:lang w:val="en-AU" w:eastAsia="en-AU"/>
              </w:rPr>
              <w:t>Statistics</w:t>
            </w:r>
          </w:p>
        </w:tc>
        <w:tc>
          <w:tcPr>
            <w:tcW w:w="1814" w:type="dxa"/>
            <w:hideMark/>
          </w:tcPr>
          <w:p w:rsidRPr="008D1918" w:rsidR="00601AFC" w:rsidRDefault="00601AFC" w14:paraId="2FCF694B" w14:textId="77777777">
            <w:pPr>
              <w:spacing w:after="0" w:line="240" w:lineRule="auto"/>
              <w:ind w:firstLine="201" w:firstLineChars="10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2024</w:t>
            </w:r>
          </w:p>
        </w:tc>
        <w:tc>
          <w:tcPr>
            <w:tcW w:w="1814" w:type="dxa"/>
            <w:hideMark/>
          </w:tcPr>
          <w:p w:rsidRPr="008D1918" w:rsidR="00601AFC" w:rsidRDefault="00601AFC" w14:paraId="43073138" w14:textId="77777777">
            <w:pPr>
              <w:spacing w:after="0" w:line="240" w:lineRule="auto"/>
              <w:ind w:firstLine="201" w:firstLineChars="10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2025</w:t>
            </w:r>
          </w:p>
        </w:tc>
        <w:tc>
          <w:tcPr>
            <w:tcW w:w="1531" w:type="dxa"/>
            <w:hideMark/>
          </w:tcPr>
          <w:p w:rsidRPr="008D1918" w:rsidR="00601AFC" w:rsidRDefault="00601AFC" w14:paraId="05F81C6C" w14:textId="37205971">
            <w:pPr>
              <w:spacing w:after="0" w:line="240" w:lineRule="auto"/>
              <w:ind w:firstLine="201" w:firstLineChars="10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 xml:space="preserve">Percentage </w:t>
            </w:r>
            <w:r w:rsidRPr="008D1918" w:rsidR="00420ACC">
              <w:rPr>
                <w:rFonts w:cs="Arial"/>
                <w:sz w:val="20"/>
                <w:szCs w:val="20"/>
                <w:lang w:val="en-AU" w:eastAsia="en-AU"/>
              </w:rPr>
              <w:t>c</w:t>
            </w:r>
            <w:r w:rsidRPr="008D1918">
              <w:rPr>
                <w:rFonts w:cs="Arial"/>
                <w:sz w:val="20"/>
                <w:szCs w:val="20"/>
                <w:lang w:val="en-AU" w:eastAsia="en-AU"/>
              </w:rPr>
              <w:t>hange</w:t>
            </w:r>
          </w:p>
        </w:tc>
      </w:tr>
      <w:tr w:rsidRPr="008D1918" w:rsidR="00A238C6" w:rsidTr="00AC5F9C" w14:paraId="7EBEC723"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856" w:type="dxa"/>
            <w:vAlign w:val="center"/>
            <w:hideMark/>
          </w:tcPr>
          <w:p w:rsidRPr="008D1918" w:rsidR="00601AFC" w:rsidP="000A7BE8" w:rsidRDefault="00601AFC" w14:paraId="7C2B2AA0" w14:textId="77777777">
            <w:pPr>
              <w:spacing w:before="60" w:after="60"/>
              <w:rPr>
                <w:rFonts w:cs="Arial"/>
                <w:sz w:val="20"/>
                <w:szCs w:val="20"/>
                <w:lang w:val="en-AU" w:eastAsia="en-AU"/>
              </w:rPr>
            </w:pPr>
            <w:r w:rsidRPr="008D1918">
              <w:rPr>
                <w:rFonts w:cs="Arial"/>
                <w:sz w:val="20"/>
                <w:szCs w:val="20"/>
                <w:lang w:val="en-AU" w:eastAsia="en-AU"/>
              </w:rPr>
              <w:t>Number of NDIS participants</w:t>
            </w:r>
          </w:p>
        </w:tc>
        <w:tc>
          <w:tcPr>
            <w:tcW w:w="1814" w:type="dxa"/>
            <w:vAlign w:val="center"/>
            <w:hideMark/>
          </w:tcPr>
          <w:p w:rsidRPr="008D1918" w:rsidR="00601AFC" w:rsidP="000A7BE8" w:rsidRDefault="00601AFC" w14:paraId="1F0F3A28"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253,154</w:t>
            </w:r>
          </w:p>
        </w:tc>
        <w:tc>
          <w:tcPr>
            <w:tcW w:w="1814" w:type="dxa"/>
            <w:vAlign w:val="center"/>
            <w:hideMark/>
          </w:tcPr>
          <w:p w:rsidRPr="008D1918" w:rsidR="00601AFC" w:rsidP="000A7BE8" w:rsidRDefault="00601AFC" w14:paraId="2636D817"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276,333</w:t>
            </w:r>
          </w:p>
        </w:tc>
        <w:tc>
          <w:tcPr>
            <w:tcW w:w="1531" w:type="dxa"/>
            <w:vAlign w:val="center"/>
            <w:hideMark/>
          </w:tcPr>
          <w:p w:rsidRPr="008D1918" w:rsidR="00601AFC" w:rsidP="000A7BE8" w:rsidRDefault="00601AFC" w14:paraId="210CAFBE"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+9.2%</w:t>
            </w:r>
          </w:p>
        </w:tc>
      </w:tr>
      <w:tr w:rsidRPr="008D1918" w:rsidR="00601AFC" w:rsidTr="00AC5F9C" w14:paraId="389D30CC" w14:textId="77777777">
        <w:trPr>
          <w:trHeight w:val="315"/>
        </w:trPr>
        <w:tc>
          <w:tcPr>
            <w:cnfStyle w:val="001000000000" w:firstRow="0" w:lastRow="0" w:firstColumn="1" w:lastColumn="0" w:oddVBand="0" w:evenVBand="0" w:oddHBand="0" w:evenHBand="0" w:firstRowFirstColumn="0" w:firstRowLastColumn="0" w:lastRowFirstColumn="0" w:lastRowLastColumn="0"/>
            <w:tcW w:w="3856" w:type="dxa"/>
            <w:vAlign w:val="center"/>
            <w:hideMark/>
          </w:tcPr>
          <w:p w:rsidRPr="008D1918" w:rsidR="00601AFC" w:rsidP="000A7BE8" w:rsidRDefault="00601AFC" w14:paraId="77EA95FA" w14:textId="77777777">
            <w:pPr>
              <w:spacing w:before="60" w:after="60"/>
              <w:rPr>
                <w:rFonts w:cs="Arial"/>
                <w:color w:val="000000"/>
                <w:sz w:val="20"/>
                <w:szCs w:val="20"/>
                <w:lang w:val="en-AU" w:eastAsia="en-AU"/>
              </w:rPr>
            </w:pPr>
            <w:r w:rsidRPr="008D1918">
              <w:rPr>
                <w:rFonts w:cs="Arial"/>
                <w:color w:val="000000"/>
                <w:sz w:val="20"/>
                <w:szCs w:val="20"/>
                <w:lang w:val="en-AU" w:eastAsia="en-AU"/>
              </w:rPr>
              <w:t>Number of active providers</w:t>
            </w:r>
          </w:p>
        </w:tc>
        <w:tc>
          <w:tcPr>
            <w:tcW w:w="1814" w:type="dxa"/>
            <w:vAlign w:val="center"/>
            <w:hideMark/>
          </w:tcPr>
          <w:p w:rsidRPr="008D1918" w:rsidR="00601AFC" w:rsidP="000A7BE8" w:rsidRDefault="00601AFC" w14:paraId="7D889938"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90,045</w:t>
            </w:r>
          </w:p>
        </w:tc>
        <w:tc>
          <w:tcPr>
            <w:tcW w:w="1814" w:type="dxa"/>
            <w:vAlign w:val="center"/>
            <w:hideMark/>
          </w:tcPr>
          <w:p w:rsidRPr="008D1918" w:rsidR="00601AFC" w:rsidP="000A7BE8" w:rsidRDefault="00601AFC" w14:paraId="7C6AEDDB"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99,365</w:t>
            </w:r>
          </w:p>
        </w:tc>
        <w:tc>
          <w:tcPr>
            <w:tcW w:w="1531" w:type="dxa"/>
            <w:vAlign w:val="center"/>
            <w:hideMark/>
          </w:tcPr>
          <w:p w:rsidRPr="008D1918" w:rsidR="00601AFC" w:rsidP="000A7BE8" w:rsidRDefault="00601AFC" w14:paraId="2D33D5C8"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+10.4%</w:t>
            </w:r>
          </w:p>
        </w:tc>
      </w:tr>
      <w:tr w:rsidRPr="008D1918" w:rsidR="00A238C6" w:rsidTr="00AC5F9C" w14:paraId="4B5E4929"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856" w:type="dxa"/>
            <w:vAlign w:val="center"/>
            <w:hideMark/>
          </w:tcPr>
          <w:p w:rsidRPr="008D1918" w:rsidR="00601AFC" w:rsidP="000A7BE8" w:rsidRDefault="00601AFC" w14:paraId="0165E578" w14:textId="46C4F138">
            <w:pPr>
              <w:spacing w:before="60" w:after="60"/>
              <w:rPr>
                <w:rFonts w:cs="Arial"/>
                <w:sz w:val="20"/>
                <w:szCs w:val="20"/>
                <w:lang w:val="en-AU" w:eastAsia="en-AU"/>
              </w:rPr>
            </w:pPr>
            <w:r w:rsidRPr="008D1918">
              <w:rPr>
                <w:rFonts w:cs="Arial"/>
                <w:sz w:val="20"/>
                <w:szCs w:val="20"/>
                <w:lang w:val="en-AU" w:eastAsia="en-AU"/>
              </w:rPr>
              <w:t>Total amount claimed by active providers of S</w:t>
            </w:r>
            <w:r w:rsidRPr="008D1918" w:rsidR="00476700">
              <w:rPr>
                <w:rFonts w:cs="Arial"/>
                <w:sz w:val="20"/>
                <w:szCs w:val="20"/>
                <w:lang w:val="en-AU" w:eastAsia="en-AU"/>
              </w:rPr>
              <w:t>C</w:t>
            </w:r>
            <w:r w:rsidRPr="008D1918">
              <w:rPr>
                <w:rFonts w:cs="Arial"/>
                <w:sz w:val="20"/>
                <w:szCs w:val="20"/>
                <w:lang w:val="en-AU" w:eastAsia="en-AU"/>
              </w:rPr>
              <w:t>CP-related supports</w:t>
            </w:r>
          </w:p>
        </w:tc>
        <w:tc>
          <w:tcPr>
            <w:tcW w:w="1814" w:type="dxa"/>
            <w:vAlign w:val="center"/>
            <w:hideMark/>
          </w:tcPr>
          <w:p w:rsidRPr="008D1918" w:rsidR="00601AFC" w:rsidP="000A7BE8" w:rsidRDefault="00601AFC" w14:paraId="3D20DA86"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$4.7 billion</w:t>
            </w:r>
          </w:p>
        </w:tc>
        <w:tc>
          <w:tcPr>
            <w:tcW w:w="1814" w:type="dxa"/>
            <w:vAlign w:val="center"/>
            <w:hideMark/>
          </w:tcPr>
          <w:p w:rsidRPr="008D1918" w:rsidR="00601AFC" w:rsidP="000A7BE8" w:rsidRDefault="00601AFC" w14:paraId="306C2DC9"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$5.5 billion</w:t>
            </w:r>
          </w:p>
        </w:tc>
        <w:tc>
          <w:tcPr>
            <w:tcW w:w="1531" w:type="dxa"/>
            <w:vAlign w:val="center"/>
            <w:hideMark/>
          </w:tcPr>
          <w:p w:rsidRPr="008D1918" w:rsidR="00601AFC" w:rsidP="000A7BE8" w:rsidRDefault="00601AFC" w14:paraId="41253490"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eastAsia="en-AU"/>
              </w:rPr>
              <w:t>+16.2%</w:t>
            </w:r>
          </w:p>
        </w:tc>
      </w:tr>
      <w:tr w:rsidRPr="008D1918" w:rsidR="00601AFC" w:rsidTr="00AC5F9C" w14:paraId="23DBCB4F" w14:textId="77777777">
        <w:trPr>
          <w:trHeight w:val="624"/>
        </w:trPr>
        <w:tc>
          <w:tcPr>
            <w:cnfStyle w:val="001000000000" w:firstRow="0" w:lastRow="0" w:firstColumn="1" w:lastColumn="0" w:oddVBand="0" w:evenVBand="0" w:oddHBand="0" w:evenHBand="0" w:firstRowFirstColumn="0" w:firstRowLastColumn="0" w:lastRowFirstColumn="0" w:lastRowLastColumn="0"/>
            <w:tcW w:w="3856" w:type="dxa"/>
            <w:vAlign w:val="center"/>
            <w:hideMark/>
          </w:tcPr>
          <w:p w:rsidRPr="008D1918" w:rsidR="00601AFC" w:rsidP="000A7BE8" w:rsidRDefault="00601AFC" w14:paraId="7B29835B" w14:textId="59C5BFD1">
            <w:pPr>
              <w:spacing w:before="60" w:after="60"/>
              <w:rPr>
                <w:rFonts w:cs="Arial"/>
                <w:color w:val="000000"/>
                <w:sz w:val="20"/>
                <w:szCs w:val="20"/>
                <w:lang w:val="en-AU" w:eastAsia="en-AU"/>
              </w:rPr>
            </w:pPr>
            <w:r w:rsidRPr="008D1918">
              <w:rPr>
                <w:rFonts w:cs="Arial"/>
                <w:color w:val="000000"/>
                <w:sz w:val="20"/>
                <w:szCs w:val="20"/>
                <w:lang w:val="en-AU" w:eastAsia="en-AU"/>
              </w:rPr>
              <w:t>Average amount claimed by all active providers of S</w:t>
            </w:r>
            <w:r w:rsidRPr="008D1918" w:rsidR="00476700">
              <w:rPr>
                <w:rFonts w:cs="Arial"/>
                <w:color w:val="000000"/>
                <w:sz w:val="20"/>
                <w:szCs w:val="20"/>
                <w:lang w:val="en-AU" w:eastAsia="en-AU"/>
              </w:rPr>
              <w:t>C</w:t>
            </w:r>
            <w:r w:rsidRPr="008D1918">
              <w:rPr>
                <w:rFonts w:cs="Arial"/>
                <w:color w:val="000000"/>
                <w:sz w:val="20"/>
                <w:szCs w:val="20"/>
                <w:lang w:val="en-AU" w:eastAsia="en-AU"/>
              </w:rPr>
              <w:t>CP-related supports</w:t>
            </w:r>
          </w:p>
        </w:tc>
        <w:tc>
          <w:tcPr>
            <w:tcW w:w="1814" w:type="dxa"/>
            <w:vAlign w:val="center"/>
            <w:hideMark/>
          </w:tcPr>
          <w:p w:rsidRPr="008D1918" w:rsidR="00601AFC" w:rsidP="000A7BE8" w:rsidRDefault="00601AFC" w14:paraId="02A1359F"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$52,400</w:t>
            </w:r>
          </w:p>
        </w:tc>
        <w:tc>
          <w:tcPr>
            <w:tcW w:w="1814" w:type="dxa"/>
            <w:vAlign w:val="center"/>
            <w:hideMark/>
          </w:tcPr>
          <w:p w:rsidRPr="008D1918" w:rsidR="00601AFC" w:rsidP="000A7BE8" w:rsidRDefault="00601AFC" w14:paraId="7D92B61A"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$55,200</w:t>
            </w:r>
          </w:p>
        </w:tc>
        <w:tc>
          <w:tcPr>
            <w:tcW w:w="1531" w:type="dxa"/>
            <w:vAlign w:val="center"/>
            <w:hideMark/>
          </w:tcPr>
          <w:p w:rsidRPr="008D1918" w:rsidR="00601AFC" w:rsidP="000A7BE8" w:rsidRDefault="00601AFC" w14:paraId="0060FD23"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eastAsia="en-AU"/>
              </w:rPr>
              <w:t>+5.3%</w:t>
            </w:r>
          </w:p>
        </w:tc>
      </w:tr>
    </w:tbl>
    <w:p w:rsidRPr="008D1918" w:rsidR="00601AFC" w:rsidRDefault="00601AFC" w14:paraId="421353E4"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601AFC" w:rsidP="00933118" w:rsidRDefault="00601AFC" w14:paraId="7A8630E9" w14:textId="77777777">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Averages are rounded to the nearest hundred.</w:t>
      </w:r>
    </w:p>
    <w:p w:rsidRPr="008D1918" w:rsidR="00601AFC" w:rsidP="001E1137" w:rsidRDefault="001E1137" w14:paraId="2A40097C" w14:textId="0E8DDB68">
      <w:pPr>
        <w:pStyle w:val="Caption"/>
        <w:rPr>
          <w:rFonts w:eastAsia="DengXian" w:cs="Cordia New"/>
          <w:i w:val="0"/>
          <w:color w:val="6B2876" w:themeColor="accent5"/>
        </w:rPr>
      </w:pPr>
      <w:bookmarkStart w:name="_Ref223683380" w:id="2023"/>
      <w:r w:rsidRPr="008D1918">
        <w:t xml:space="preserve">Figure </w:t>
      </w:r>
      <w:r>
        <w:fldChar w:fldCharType="begin"/>
      </w:r>
      <w:r>
        <w:instrText>SEQ Figure \* ARABIC</w:instrText>
      </w:r>
      <w:r>
        <w:fldChar w:fldCharType="separate"/>
      </w:r>
      <w:r w:rsidR="008F56A2">
        <w:rPr>
          <w:noProof/>
        </w:rPr>
        <w:t>51</w:t>
      </w:r>
      <w:r>
        <w:fldChar w:fldCharType="end"/>
      </w:r>
      <w:bookmarkEnd w:id="2023"/>
      <w:r w:rsidRPr="008D1918" w:rsidR="00601AFC">
        <w:rPr>
          <w:rFonts w:eastAsia="DengXian" w:cs="Cordia New"/>
          <w:color w:val="6B2876" w:themeColor="accent5"/>
        </w:rPr>
        <w:t>: NDIS expenditure on S</w:t>
      </w:r>
      <w:r w:rsidRPr="008D1918" w:rsidR="00476700">
        <w:rPr>
          <w:rFonts w:eastAsia="DengXian" w:cs="Cordia New"/>
          <w:color w:val="6B2876" w:themeColor="accent5"/>
        </w:rPr>
        <w:t>C</w:t>
      </w:r>
      <w:r w:rsidRPr="008D1918" w:rsidR="00601AFC">
        <w:rPr>
          <w:rFonts w:eastAsia="DengXian" w:cs="Cordia New"/>
          <w:color w:val="6B2876" w:themeColor="accent5"/>
        </w:rPr>
        <w:t>CP supports relative to total NDIS expenditure</w:t>
      </w:r>
      <w:r w:rsidRPr="008D1918" w:rsidR="00D6334F">
        <w:rPr>
          <w:rFonts w:eastAsia="DengXian" w:cs="Cordia New"/>
          <w:color w:val="6B2876" w:themeColor="accent5"/>
        </w:rPr>
        <w:t>, January 2023 to December 2025</w:t>
      </w:r>
    </w:p>
    <w:p w:rsidRPr="008D1918" w:rsidR="00601AFC" w:rsidP="009B607D" w:rsidRDefault="00E0044C" w14:paraId="71BB4802" w14:textId="283662E8">
      <w:pPr>
        <w:spacing w:before="60" w:after="360"/>
        <w:rPr>
          <w:rFonts w:eastAsia="DengXian" w:cs="Calibri"/>
          <w:sz w:val="20"/>
          <w:szCs w:val="20"/>
          <w:lang w:val="en-AU"/>
        </w:rPr>
      </w:pPr>
      <w:r w:rsidRPr="008D1918">
        <w:rPr>
          <w:rFonts w:eastAsia="DengXian"/>
          <w:noProof/>
          <w:lang w:val="en-AU"/>
        </w:rPr>
        <w:drawing>
          <wp:inline distT="0" distB="0" distL="0" distR="0" wp14:anchorId="3267E4B4" wp14:editId="6F0D1C0F">
            <wp:extent cx="5677200" cy="3294000"/>
            <wp:effectExtent l="0" t="0" r="0" b="1905"/>
            <wp:docPr id="575497548" name="Picture 20" descr="Figure 51: A bar and line graph illustrates NDIS expenditure on SCP supports versus total NDIS expenditure measured in 6-month intervals from January 2023 to December 2025. The graph shows that expenditure has steadily increased from 3.5 billion (19.3%) in June 2023 to $5.5 billion (21.3%) in December 2025. Source: NDIA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97548" name="Picture 20" descr="Figure 51: A bar and line graph illustrates NDIS expenditure on SCP supports versus total NDIS expenditure measured in 6-month intervals from January 2023 to December 2025. The graph shows that expenditure has steadily increased from 3.5 billion (19.3%) in June 2023 to $5.5 billion (21.3%) in December 2025. Source: NDIA internal data."/>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77200" cy="3294000"/>
                    </a:xfrm>
                    <a:prstGeom prst="rect">
                      <a:avLst/>
                    </a:prstGeom>
                    <a:noFill/>
                  </pic:spPr>
                </pic:pic>
              </a:graphicData>
            </a:graphic>
          </wp:inline>
        </w:drawing>
      </w:r>
    </w:p>
    <w:p w:rsidRPr="008D1918" w:rsidR="00601AFC" w:rsidRDefault="00601AFC" w14:paraId="38D441D7" w14:textId="7A232F83">
      <w:pPr>
        <w:rPr>
          <w:lang w:val="en-AU"/>
        </w:rPr>
      </w:pPr>
      <w:r w:rsidRPr="008D1918">
        <w:rPr>
          <w:lang w:val="en-AU"/>
        </w:rPr>
        <w:t xml:space="preserve">Registered providers account for 10% of providers (10,393) but receive 62% of total payments ($3.4 billion), at an average of $328,900 per provider. Unregistered providers account for 90% (89,907) but receive 38% of payments ($2.1 billion), at an average of $22,900 per provider. This 15-fold difference in average revenue is consistent with </w:t>
      </w:r>
      <w:r w:rsidRPr="008D1918" w:rsidR="002B4A6A">
        <w:rPr>
          <w:lang w:val="en-AU"/>
        </w:rPr>
        <w:t xml:space="preserve">the </w:t>
      </w:r>
      <w:r w:rsidRPr="008D1918">
        <w:rPr>
          <w:lang w:val="en-AU"/>
        </w:rPr>
        <w:t>fundamentally different operating models, not simply different scales (</w:t>
      </w:r>
      <w:r w:rsidRPr="008D1918" w:rsidR="00D44F69">
        <w:rPr>
          <w:lang w:val="en-AU"/>
        </w:rPr>
        <w:fldChar w:fldCharType="begin"/>
      </w:r>
      <w:r w:rsidRPr="008D1918" w:rsidR="00D44F69">
        <w:rPr>
          <w:lang w:val="en-AU"/>
        </w:rPr>
        <w:instrText xml:space="preserve"> REF _Ref223696007 \h </w:instrText>
      </w:r>
      <w:r w:rsidRPr="008D1918" w:rsidR="00762DF8">
        <w:rPr>
          <w:lang w:val="en-AU"/>
        </w:rPr>
        <w:instrText xml:space="preserve"> \* MERGEFORMAT </w:instrText>
      </w:r>
      <w:r w:rsidRPr="008D1918" w:rsidR="00D44F69">
        <w:rPr>
          <w:lang w:val="en-AU"/>
        </w:rPr>
      </w:r>
      <w:r w:rsidRPr="008D1918" w:rsidR="00D44F69">
        <w:rPr>
          <w:lang w:val="en-AU"/>
        </w:rPr>
        <w:fldChar w:fldCharType="separate"/>
      </w:r>
      <w:r w:rsidRPr="008F56A2" w:rsidR="008F56A2">
        <w:rPr>
          <w:lang w:val="en-AU"/>
        </w:rPr>
        <w:t>Table</w:t>
      </w:r>
      <w:r w:rsidRPr="008D1918" w:rsidR="008F56A2">
        <w:t xml:space="preserve"> </w:t>
      </w:r>
      <w:r w:rsidR="008F56A2">
        <w:rPr>
          <w:noProof/>
        </w:rPr>
        <w:t>42</w:t>
      </w:r>
      <w:r w:rsidRPr="008D1918" w:rsidR="00D44F69">
        <w:rPr>
          <w:lang w:val="en-AU"/>
        </w:rPr>
        <w:fldChar w:fldCharType="end"/>
      </w:r>
      <w:r w:rsidRPr="008D1918">
        <w:rPr>
          <w:lang w:val="en-AU"/>
        </w:rPr>
        <w:t xml:space="preserve">, </w:t>
      </w:r>
      <w:r w:rsidRPr="008D1918" w:rsidR="006B4F15">
        <w:rPr>
          <w:lang w:val="en-AU"/>
        </w:rPr>
        <w:fldChar w:fldCharType="begin"/>
      </w:r>
      <w:r w:rsidRPr="008D1918" w:rsidR="006B4F15">
        <w:rPr>
          <w:lang w:val="en-AU"/>
        </w:rPr>
        <w:instrText xml:space="preserve"> REF _Ref223696042 \h </w:instrText>
      </w:r>
      <w:r w:rsidRPr="008D1918" w:rsidR="00762DF8">
        <w:rPr>
          <w:lang w:val="en-AU"/>
        </w:rPr>
        <w:instrText xml:space="preserve"> \* MERGEFORMAT </w:instrText>
      </w:r>
      <w:r w:rsidRPr="008D1918" w:rsidR="006B4F15">
        <w:rPr>
          <w:lang w:val="en-AU"/>
        </w:rPr>
      </w:r>
      <w:r w:rsidRPr="008D1918" w:rsidR="006B4F15">
        <w:rPr>
          <w:lang w:val="en-AU"/>
        </w:rPr>
        <w:fldChar w:fldCharType="separate"/>
      </w:r>
      <w:r w:rsidRPr="008F56A2" w:rsidR="008F56A2">
        <w:rPr>
          <w:lang w:val="en-AU"/>
        </w:rPr>
        <w:t>Table</w:t>
      </w:r>
      <w:r w:rsidRPr="008D1918" w:rsidR="008F56A2">
        <w:t xml:space="preserve"> </w:t>
      </w:r>
      <w:r w:rsidR="008F56A2">
        <w:rPr>
          <w:noProof/>
        </w:rPr>
        <w:t>43</w:t>
      </w:r>
      <w:r w:rsidRPr="008D1918" w:rsidR="006B4F15">
        <w:rPr>
          <w:lang w:val="en-AU"/>
        </w:rPr>
        <w:fldChar w:fldCharType="end"/>
      </w:r>
      <w:r w:rsidRPr="008D1918">
        <w:rPr>
          <w:lang w:val="en-AU"/>
        </w:rPr>
        <w:t>).</w:t>
      </w:r>
    </w:p>
    <w:p w:rsidRPr="008D1918" w:rsidR="00601AFC" w:rsidP="00D44F69" w:rsidRDefault="00D44F69" w14:paraId="41EEA6A1" w14:textId="2F0DB5FD">
      <w:pPr>
        <w:pStyle w:val="Caption"/>
      </w:pPr>
      <w:bookmarkStart w:name="_Ref223696007" w:id="2024"/>
      <w:r w:rsidRPr="008D1918">
        <w:t xml:space="preserve">Table </w:t>
      </w:r>
      <w:r>
        <w:fldChar w:fldCharType="begin"/>
      </w:r>
      <w:r>
        <w:instrText>SEQ Table \* ARABIC</w:instrText>
      </w:r>
      <w:r>
        <w:fldChar w:fldCharType="separate"/>
      </w:r>
      <w:r w:rsidR="008F56A2">
        <w:rPr>
          <w:noProof/>
        </w:rPr>
        <w:t>42</w:t>
      </w:r>
      <w:r>
        <w:fldChar w:fldCharType="end"/>
      </w:r>
      <w:bookmarkEnd w:id="2024"/>
      <w:r w:rsidRPr="008D1918" w:rsidR="00601AFC">
        <w:t>: S</w:t>
      </w:r>
      <w:r w:rsidRPr="008D1918" w:rsidR="00476700">
        <w:t>C</w:t>
      </w:r>
      <w:r w:rsidRPr="008D1918" w:rsidR="00601AFC">
        <w:t xml:space="preserve">CP supports </w:t>
      </w:r>
      <w:r w:rsidRPr="008D1918" w:rsidR="00C85053">
        <w:t>S</w:t>
      </w:r>
      <w:r w:rsidRPr="008D1918" w:rsidR="00601AFC">
        <w:t>cheme statistics – all registered providers</w:t>
      </w:r>
      <w:r w:rsidRPr="008D1918" w:rsidR="00D6334F">
        <w:t>,</w:t>
      </w:r>
      <w:r w:rsidRPr="008D1918" w:rsidR="00550BF5">
        <w:t xml:space="preserve"> July 2024 to December 2025</w:t>
      </w:r>
    </w:p>
    <w:tbl>
      <w:tblPr>
        <w:tblStyle w:val="GridTable4-Accent121"/>
        <w:tblW w:w="0" w:type="auto"/>
        <w:tblInd w:w="5" w:type="dxa"/>
        <w:tblLayout w:type="fixed"/>
        <w:tblLook w:val="04A0" w:firstRow="1" w:lastRow="0" w:firstColumn="1" w:lastColumn="0" w:noHBand="0" w:noVBand="1"/>
      </w:tblPr>
      <w:tblGrid>
        <w:gridCol w:w="3856"/>
        <w:gridCol w:w="1814"/>
        <w:gridCol w:w="1814"/>
        <w:gridCol w:w="1531"/>
      </w:tblGrid>
      <w:tr w:rsidRPr="008D1918" w:rsidR="00A238C6" w:rsidTr="00A41DF4" w14:paraId="027F7437" w14:textId="77777777">
        <w:trPr>
          <w:cnfStyle w:val="100000000000" w:firstRow="1" w:lastRow="0" w:firstColumn="0" w:lastColumn="0" w:oddVBand="0" w:evenVBand="0" w:oddHBand="0" w:evenHBand="0" w:firstRowFirstColumn="0" w:firstRowLastColumn="0" w:lastRowFirstColumn="0" w:lastRowLastColumn="0"/>
          <w:trHeight w:val="645"/>
          <w:tblHeader/>
        </w:trPr>
        <w:tc>
          <w:tcPr>
            <w:cnfStyle w:val="001000000000" w:firstRow="0" w:lastRow="0" w:firstColumn="1" w:lastColumn="0" w:oddVBand="0" w:evenVBand="0" w:oddHBand="0" w:evenHBand="0" w:firstRowFirstColumn="0" w:firstRowLastColumn="0" w:lastRowFirstColumn="0" w:lastRowLastColumn="0"/>
            <w:tcW w:w="3856" w:type="dxa"/>
            <w:vAlign w:val="center"/>
            <w:hideMark/>
          </w:tcPr>
          <w:p w:rsidRPr="008D1918" w:rsidR="00601AFC" w:rsidP="001453F9" w:rsidRDefault="00D060A4" w14:paraId="7B7B39F0" w14:textId="52246E2B">
            <w:pPr>
              <w:spacing w:before="60" w:after="60"/>
              <w:rPr>
                <w:rFonts w:cs="Arial"/>
                <w:b w:val="0"/>
                <w:sz w:val="20"/>
                <w:szCs w:val="20"/>
                <w:lang w:val="en-AU" w:eastAsia="en-AU"/>
              </w:rPr>
            </w:pPr>
            <w:r w:rsidRPr="008D1918">
              <w:rPr>
                <w:rFonts w:cs="Arial"/>
                <w:sz w:val="20"/>
                <w:szCs w:val="20"/>
                <w:lang w:val="en-AU" w:eastAsia="en-AU"/>
              </w:rPr>
              <w:t>Statistics</w:t>
            </w:r>
          </w:p>
        </w:tc>
        <w:tc>
          <w:tcPr>
            <w:tcW w:w="1814" w:type="dxa"/>
            <w:vAlign w:val="center"/>
            <w:hideMark/>
          </w:tcPr>
          <w:p w:rsidRPr="008D1918" w:rsidR="00601AFC" w:rsidP="00A41DF4" w:rsidRDefault="00601AFC" w14:paraId="416AA905" w14:textId="77777777">
            <w:pPr>
              <w:spacing w:after="0" w:line="240" w:lineRule="auto"/>
              <w:ind w:firstLine="201" w:firstLineChars="10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2024</w:t>
            </w:r>
          </w:p>
        </w:tc>
        <w:tc>
          <w:tcPr>
            <w:tcW w:w="1814" w:type="dxa"/>
            <w:vAlign w:val="center"/>
            <w:hideMark/>
          </w:tcPr>
          <w:p w:rsidRPr="008D1918" w:rsidR="00601AFC" w:rsidP="00A41DF4" w:rsidRDefault="00601AFC" w14:paraId="33E2EFF8" w14:textId="77777777">
            <w:pPr>
              <w:spacing w:after="0" w:line="240" w:lineRule="auto"/>
              <w:ind w:firstLine="201" w:firstLineChars="10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2025</w:t>
            </w:r>
          </w:p>
        </w:tc>
        <w:tc>
          <w:tcPr>
            <w:tcW w:w="1531" w:type="dxa"/>
            <w:vAlign w:val="center"/>
            <w:hideMark/>
          </w:tcPr>
          <w:p w:rsidRPr="008D1918" w:rsidR="00601AFC" w:rsidP="00A41DF4" w:rsidRDefault="00601AFC" w14:paraId="241CDE0E" w14:textId="42EDAFC5">
            <w:pPr>
              <w:spacing w:after="0" w:line="240" w:lineRule="auto"/>
              <w:ind w:firstLine="201" w:firstLineChars="10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 xml:space="preserve">Percentage </w:t>
            </w:r>
            <w:r w:rsidRPr="008D1918" w:rsidR="001453F9">
              <w:rPr>
                <w:rFonts w:cs="Arial"/>
                <w:sz w:val="20"/>
                <w:szCs w:val="20"/>
                <w:lang w:val="en-AU" w:eastAsia="en-AU"/>
              </w:rPr>
              <w:t>c</w:t>
            </w:r>
            <w:r w:rsidRPr="008D1918">
              <w:rPr>
                <w:rFonts w:cs="Arial"/>
                <w:sz w:val="20"/>
                <w:szCs w:val="20"/>
                <w:lang w:val="en-AU" w:eastAsia="en-AU"/>
              </w:rPr>
              <w:t>hange</w:t>
            </w:r>
          </w:p>
        </w:tc>
      </w:tr>
      <w:tr w:rsidRPr="008D1918" w:rsidR="00A238C6" w:rsidTr="00AC5F9C" w14:paraId="2A9580B2"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856" w:type="dxa"/>
            <w:vAlign w:val="center"/>
            <w:hideMark/>
          </w:tcPr>
          <w:p w:rsidRPr="008D1918" w:rsidR="00601AFC" w:rsidP="00D060A4" w:rsidRDefault="00601AFC" w14:paraId="6E9A0D23" w14:textId="77777777">
            <w:pPr>
              <w:spacing w:before="60" w:after="60"/>
              <w:rPr>
                <w:rFonts w:cs="Arial"/>
                <w:sz w:val="20"/>
                <w:szCs w:val="20"/>
                <w:lang w:val="en-AU" w:eastAsia="en-AU"/>
              </w:rPr>
            </w:pPr>
            <w:r w:rsidRPr="008D1918">
              <w:rPr>
                <w:rFonts w:cs="Arial"/>
                <w:sz w:val="20"/>
                <w:szCs w:val="20"/>
                <w:lang w:val="en-AU" w:eastAsia="en-AU"/>
              </w:rPr>
              <w:t>Number of NDIS participants</w:t>
            </w:r>
          </w:p>
        </w:tc>
        <w:tc>
          <w:tcPr>
            <w:tcW w:w="1814" w:type="dxa"/>
            <w:vAlign w:val="center"/>
            <w:hideMark/>
          </w:tcPr>
          <w:p w:rsidRPr="008D1918" w:rsidR="00601AFC" w:rsidP="005724BA" w:rsidRDefault="00601AFC" w14:paraId="26F6E989"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166,953</w:t>
            </w:r>
          </w:p>
        </w:tc>
        <w:tc>
          <w:tcPr>
            <w:tcW w:w="1814" w:type="dxa"/>
            <w:vAlign w:val="center"/>
            <w:hideMark/>
          </w:tcPr>
          <w:p w:rsidRPr="008D1918" w:rsidR="00601AFC" w:rsidP="005724BA" w:rsidRDefault="00601AFC" w14:paraId="6969F3E0"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182,839</w:t>
            </w:r>
          </w:p>
        </w:tc>
        <w:tc>
          <w:tcPr>
            <w:tcW w:w="1531" w:type="dxa"/>
            <w:vAlign w:val="center"/>
            <w:hideMark/>
          </w:tcPr>
          <w:p w:rsidRPr="008D1918" w:rsidR="00601AFC" w:rsidP="005724BA" w:rsidRDefault="00601AFC" w14:paraId="20BDC0AD"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+9.5%</w:t>
            </w:r>
          </w:p>
        </w:tc>
      </w:tr>
      <w:tr w:rsidRPr="008D1918" w:rsidR="00601AFC" w:rsidTr="00AC5F9C" w14:paraId="345DFD6E" w14:textId="77777777">
        <w:trPr>
          <w:trHeight w:val="315"/>
        </w:trPr>
        <w:tc>
          <w:tcPr>
            <w:cnfStyle w:val="001000000000" w:firstRow="0" w:lastRow="0" w:firstColumn="1" w:lastColumn="0" w:oddVBand="0" w:evenVBand="0" w:oddHBand="0" w:evenHBand="0" w:firstRowFirstColumn="0" w:firstRowLastColumn="0" w:lastRowFirstColumn="0" w:lastRowLastColumn="0"/>
            <w:tcW w:w="3856" w:type="dxa"/>
            <w:vAlign w:val="center"/>
            <w:hideMark/>
          </w:tcPr>
          <w:p w:rsidRPr="008D1918" w:rsidR="00601AFC" w:rsidP="00D060A4" w:rsidRDefault="00601AFC" w14:paraId="4476E9F5" w14:textId="77777777">
            <w:pPr>
              <w:spacing w:before="60" w:after="60"/>
              <w:rPr>
                <w:rFonts w:cs="Arial"/>
                <w:color w:val="000000"/>
                <w:sz w:val="20"/>
                <w:szCs w:val="20"/>
                <w:lang w:val="en-AU" w:eastAsia="en-AU"/>
              </w:rPr>
            </w:pPr>
            <w:r w:rsidRPr="008D1918">
              <w:rPr>
                <w:rFonts w:cs="Arial"/>
                <w:color w:val="000000"/>
                <w:sz w:val="20"/>
                <w:szCs w:val="20"/>
                <w:lang w:val="en-AU" w:eastAsia="en-AU"/>
              </w:rPr>
              <w:t>Number of active providers</w:t>
            </w:r>
          </w:p>
        </w:tc>
        <w:tc>
          <w:tcPr>
            <w:tcW w:w="1814" w:type="dxa"/>
            <w:vAlign w:val="center"/>
            <w:hideMark/>
          </w:tcPr>
          <w:p w:rsidRPr="008D1918" w:rsidR="00601AFC" w:rsidP="005724BA" w:rsidRDefault="00601AFC" w14:paraId="20FA25CF"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8,345</w:t>
            </w:r>
          </w:p>
        </w:tc>
        <w:tc>
          <w:tcPr>
            <w:tcW w:w="1814" w:type="dxa"/>
            <w:vAlign w:val="center"/>
            <w:hideMark/>
          </w:tcPr>
          <w:p w:rsidRPr="008D1918" w:rsidR="00601AFC" w:rsidP="005724BA" w:rsidRDefault="00601AFC" w14:paraId="37894CD1"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10,393</w:t>
            </w:r>
          </w:p>
        </w:tc>
        <w:tc>
          <w:tcPr>
            <w:tcW w:w="1531" w:type="dxa"/>
            <w:vAlign w:val="center"/>
            <w:hideMark/>
          </w:tcPr>
          <w:p w:rsidRPr="008D1918" w:rsidR="00601AFC" w:rsidP="005724BA" w:rsidRDefault="00601AFC" w14:paraId="2954C6DE"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+24.5%</w:t>
            </w:r>
          </w:p>
        </w:tc>
      </w:tr>
      <w:tr w:rsidRPr="008D1918" w:rsidR="00A238C6" w:rsidTr="00AC5F9C" w14:paraId="4B44C888"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856" w:type="dxa"/>
            <w:vAlign w:val="center"/>
            <w:hideMark/>
          </w:tcPr>
          <w:p w:rsidRPr="008D1918" w:rsidR="00601AFC" w:rsidP="00D060A4" w:rsidRDefault="00601AFC" w14:paraId="14D02314" w14:textId="61590887">
            <w:pPr>
              <w:spacing w:before="60" w:after="60"/>
              <w:rPr>
                <w:rFonts w:cs="Arial"/>
                <w:sz w:val="20"/>
                <w:szCs w:val="20"/>
                <w:lang w:val="en-AU" w:eastAsia="en-AU"/>
              </w:rPr>
            </w:pPr>
            <w:r w:rsidRPr="008D1918">
              <w:rPr>
                <w:rFonts w:cs="Arial"/>
                <w:sz w:val="20"/>
                <w:szCs w:val="20"/>
                <w:lang w:val="en-AU" w:eastAsia="en-AU"/>
              </w:rPr>
              <w:t>Total amount claimed by active providers of S</w:t>
            </w:r>
            <w:r w:rsidRPr="008D1918" w:rsidR="00476700">
              <w:rPr>
                <w:rFonts w:cs="Arial"/>
                <w:sz w:val="20"/>
                <w:szCs w:val="20"/>
                <w:lang w:val="en-AU" w:eastAsia="en-AU"/>
              </w:rPr>
              <w:t>C</w:t>
            </w:r>
            <w:r w:rsidRPr="008D1918">
              <w:rPr>
                <w:rFonts w:cs="Arial"/>
                <w:sz w:val="20"/>
                <w:szCs w:val="20"/>
                <w:lang w:val="en-AU" w:eastAsia="en-AU"/>
              </w:rPr>
              <w:t>CP-related supports</w:t>
            </w:r>
          </w:p>
        </w:tc>
        <w:tc>
          <w:tcPr>
            <w:tcW w:w="1814" w:type="dxa"/>
            <w:vAlign w:val="center"/>
            <w:hideMark/>
          </w:tcPr>
          <w:p w:rsidRPr="008D1918" w:rsidR="00601AFC" w:rsidP="005724BA" w:rsidRDefault="00601AFC" w14:paraId="0FDE8000"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$2.9 billion</w:t>
            </w:r>
          </w:p>
        </w:tc>
        <w:tc>
          <w:tcPr>
            <w:tcW w:w="1814" w:type="dxa"/>
            <w:vAlign w:val="center"/>
            <w:hideMark/>
          </w:tcPr>
          <w:p w:rsidRPr="008D1918" w:rsidR="00601AFC" w:rsidP="005724BA" w:rsidRDefault="00601AFC" w14:paraId="65E12949"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$3.4 billion</w:t>
            </w:r>
          </w:p>
        </w:tc>
        <w:tc>
          <w:tcPr>
            <w:tcW w:w="1531" w:type="dxa"/>
            <w:vAlign w:val="center"/>
            <w:hideMark/>
          </w:tcPr>
          <w:p w:rsidRPr="008D1918" w:rsidR="00601AFC" w:rsidP="005724BA" w:rsidRDefault="00601AFC" w14:paraId="09F9B296"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+16.8%</w:t>
            </w:r>
          </w:p>
        </w:tc>
      </w:tr>
      <w:tr w:rsidRPr="008D1918" w:rsidR="00601AFC" w:rsidTr="00AC5F9C" w14:paraId="1AFDEE9E" w14:textId="77777777">
        <w:trPr>
          <w:trHeight w:val="624"/>
        </w:trPr>
        <w:tc>
          <w:tcPr>
            <w:cnfStyle w:val="001000000000" w:firstRow="0" w:lastRow="0" w:firstColumn="1" w:lastColumn="0" w:oddVBand="0" w:evenVBand="0" w:oddHBand="0" w:evenHBand="0" w:firstRowFirstColumn="0" w:firstRowLastColumn="0" w:lastRowFirstColumn="0" w:lastRowLastColumn="0"/>
            <w:tcW w:w="3856" w:type="dxa"/>
            <w:vAlign w:val="center"/>
            <w:hideMark/>
          </w:tcPr>
          <w:p w:rsidRPr="008D1918" w:rsidR="00601AFC" w:rsidP="00D060A4" w:rsidRDefault="00601AFC" w14:paraId="28CDF169" w14:textId="10A577A8">
            <w:pPr>
              <w:spacing w:before="60" w:after="60"/>
              <w:rPr>
                <w:rFonts w:cs="Arial"/>
                <w:color w:val="000000"/>
                <w:sz w:val="20"/>
                <w:szCs w:val="20"/>
                <w:lang w:val="en-AU" w:eastAsia="en-AU"/>
              </w:rPr>
            </w:pPr>
            <w:r w:rsidRPr="008D1918">
              <w:rPr>
                <w:rFonts w:cs="Arial"/>
                <w:color w:val="000000"/>
                <w:sz w:val="20"/>
                <w:szCs w:val="20"/>
                <w:lang w:val="en-AU" w:eastAsia="en-AU"/>
              </w:rPr>
              <w:t>Average amount claimed by all active providers of SC</w:t>
            </w:r>
            <w:r w:rsidRPr="008D1918" w:rsidR="00476700">
              <w:rPr>
                <w:rFonts w:cs="Arial"/>
                <w:color w:val="000000"/>
                <w:sz w:val="20"/>
                <w:szCs w:val="20"/>
                <w:lang w:val="en-AU" w:eastAsia="en-AU"/>
              </w:rPr>
              <w:t>C</w:t>
            </w:r>
            <w:r w:rsidRPr="008D1918">
              <w:rPr>
                <w:rFonts w:cs="Arial"/>
                <w:color w:val="000000"/>
                <w:sz w:val="20"/>
                <w:szCs w:val="20"/>
                <w:lang w:val="en-AU" w:eastAsia="en-AU"/>
              </w:rPr>
              <w:t>P-related supports</w:t>
            </w:r>
          </w:p>
        </w:tc>
        <w:tc>
          <w:tcPr>
            <w:tcW w:w="1814" w:type="dxa"/>
            <w:vAlign w:val="center"/>
            <w:hideMark/>
          </w:tcPr>
          <w:p w:rsidRPr="008D1918" w:rsidR="00601AFC" w:rsidP="005724BA" w:rsidRDefault="00601AFC" w14:paraId="7FB3011D"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$350,700</w:t>
            </w:r>
          </w:p>
        </w:tc>
        <w:tc>
          <w:tcPr>
            <w:tcW w:w="1814" w:type="dxa"/>
            <w:vAlign w:val="center"/>
            <w:hideMark/>
          </w:tcPr>
          <w:p w:rsidRPr="008D1918" w:rsidR="00601AFC" w:rsidP="005724BA" w:rsidRDefault="00601AFC" w14:paraId="113EA9AD"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$328,900</w:t>
            </w:r>
          </w:p>
        </w:tc>
        <w:tc>
          <w:tcPr>
            <w:tcW w:w="1531" w:type="dxa"/>
            <w:vAlign w:val="center"/>
            <w:hideMark/>
          </w:tcPr>
          <w:p w:rsidRPr="008D1918" w:rsidR="00601AFC" w:rsidP="005724BA" w:rsidRDefault="00601AFC" w14:paraId="2C001A4E"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-6.2%</w:t>
            </w:r>
          </w:p>
        </w:tc>
      </w:tr>
    </w:tbl>
    <w:p w:rsidRPr="008D1918" w:rsidR="00601AFC" w:rsidRDefault="00601AFC" w14:paraId="1AB7D36E"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601AFC" w:rsidP="00933118" w:rsidRDefault="00601AFC" w14:paraId="1936E700" w14:textId="52523C58">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Averages are rounded to the nearest hundred.</w:t>
      </w:r>
    </w:p>
    <w:p w:rsidRPr="008D1918" w:rsidR="00601AFC" w:rsidP="006B4F15" w:rsidRDefault="006B4F15" w14:paraId="6A489BC7" w14:textId="222FEF62">
      <w:pPr>
        <w:pStyle w:val="Caption"/>
      </w:pPr>
      <w:bookmarkStart w:name="_Ref223696042" w:id="2025"/>
      <w:r w:rsidRPr="008D1918">
        <w:t xml:space="preserve">Table </w:t>
      </w:r>
      <w:r>
        <w:fldChar w:fldCharType="begin"/>
      </w:r>
      <w:r>
        <w:instrText>SEQ Table \* ARABIC</w:instrText>
      </w:r>
      <w:r>
        <w:fldChar w:fldCharType="separate"/>
      </w:r>
      <w:r w:rsidR="008F56A2">
        <w:rPr>
          <w:noProof/>
        </w:rPr>
        <w:t>43</w:t>
      </w:r>
      <w:r>
        <w:fldChar w:fldCharType="end"/>
      </w:r>
      <w:bookmarkEnd w:id="2025"/>
      <w:r w:rsidRPr="008D1918" w:rsidR="00601AFC">
        <w:t>: S</w:t>
      </w:r>
      <w:r w:rsidRPr="008D1918" w:rsidR="00476700">
        <w:t>C</w:t>
      </w:r>
      <w:r w:rsidRPr="008D1918" w:rsidR="00601AFC">
        <w:t xml:space="preserve">CP supports </w:t>
      </w:r>
      <w:r w:rsidRPr="008D1918" w:rsidR="00C85053">
        <w:t>S</w:t>
      </w:r>
      <w:r w:rsidRPr="008D1918" w:rsidR="00601AFC">
        <w:t>cheme statistics – all unregistered providers</w:t>
      </w:r>
      <w:r w:rsidRPr="008D1918" w:rsidR="00D6334F">
        <w:t>,</w:t>
      </w:r>
      <w:r w:rsidRPr="008D1918" w:rsidR="00550BF5">
        <w:t xml:space="preserve"> July 2024 to December 2025</w:t>
      </w:r>
    </w:p>
    <w:tbl>
      <w:tblPr>
        <w:tblStyle w:val="GridTable4-Accent121"/>
        <w:tblW w:w="0" w:type="auto"/>
        <w:tblInd w:w="5" w:type="dxa"/>
        <w:tblLayout w:type="fixed"/>
        <w:tblLook w:val="04A0" w:firstRow="1" w:lastRow="0" w:firstColumn="1" w:lastColumn="0" w:noHBand="0" w:noVBand="1"/>
      </w:tblPr>
      <w:tblGrid>
        <w:gridCol w:w="3856"/>
        <w:gridCol w:w="1814"/>
        <w:gridCol w:w="1814"/>
        <w:gridCol w:w="1531"/>
      </w:tblGrid>
      <w:tr w:rsidRPr="008D1918" w:rsidR="00A238C6" w:rsidTr="00A41DF4" w14:paraId="07C95C35" w14:textId="77777777">
        <w:trPr>
          <w:cnfStyle w:val="100000000000" w:firstRow="1" w:lastRow="0" w:firstColumn="0" w:lastColumn="0" w:oddVBand="0" w:evenVBand="0" w:oddHBand="0" w:evenHBand="0" w:firstRowFirstColumn="0" w:firstRowLastColumn="0" w:lastRowFirstColumn="0" w:lastRowLastColumn="0"/>
          <w:trHeight w:val="645"/>
          <w:tblHeader/>
        </w:trPr>
        <w:tc>
          <w:tcPr>
            <w:cnfStyle w:val="001000000000" w:firstRow="0" w:lastRow="0" w:firstColumn="1" w:lastColumn="0" w:oddVBand="0" w:evenVBand="0" w:oddHBand="0" w:evenHBand="0" w:firstRowFirstColumn="0" w:firstRowLastColumn="0" w:lastRowFirstColumn="0" w:lastRowLastColumn="0"/>
            <w:tcW w:w="3856" w:type="dxa"/>
            <w:vAlign w:val="center"/>
            <w:hideMark/>
          </w:tcPr>
          <w:p w:rsidRPr="008D1918" w:rsidR="00601AFC" w:rsidP="001453F9" w:rsidRDefault="00D060A4" w14:paraId="7E8D04A5" w14:textId="37911569">
            <w:pPr>
              <w:spacing w:before="60" w:after="60"/>
              <w:rPr>
                <w:rFonts w:cs="Arial"/>
                <w:b w:val="0"/>
                <w:sz w:val="20"/>
                <w:szCs w:val="20"/>
                <w:lang w:val="en-AU" w:eastAsia="en-AU"/>
              </w:rPr>
            </w:pPr>
            <w:r w:rsidRPr="008D1918">
              <w:rPr>
                <w:rFonts w:cs="Arial"/>
                <w:sz w:val="20"/>
                <w:szCs w:val="20"/>
                <w:lang w:val="en-AU" w:eastAsia="en-AU"/>
              </w:rPr>
              <w:t>Statistics</w:t>
            </w:r>
          </w:p>
        </w:tc>
        <w:tc>
          <w:tcPr>
            <w:tcW w:w="1814" w:type="dxa"/>
            <w:vAlign w:val="center"/>
            <w:hideMark/>
          </w:tcPr>
          <w:p w:rsidRPr="008D1918" w:rsidR="00601AFC" w:rsidP="00A41DF4" w:rsidRDefault="00601AFC" w14:paraId="02F8289A" w14:textId="77777777">
            <w:pPr>
              <w:spacing w:after="0" w:line="240" w:lineRule="auto"/>
              <w:ind w:firstLine="201" w:firstLineChars="10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2024</w:t>
            </w:r>
          </w:p>
        </w:tc>
        <w:tc>
          <w:tcPr>
            <w:tcW w:w="1814" w:type="dxa"/>
            <w:vAlign w:val="center"/>
            <w:hideMark/>
          </w:tcPr>
          <w:p w:rsidRPr="008D1918" w:rsidR="00601AFC" w:rsidP="00A41DF4" w:rsidRDefault="00601AFC" w14:paraId="053A5CC3" w14:textId="77777777">
            <w:pPr>
              <w:spacing w:after="0" w:line="240" w:lineRule="auto"/>
              <w:ind w:firstLine="201" w:firstLineChars="10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July – December 2025</w:t>
            </w:r>
          </w:p>
        </w:tc>
        <w:tc>
          <w:tcPr>
            <w:tcW w:w="1531" w:type="dxa"/>
            <w:vAlign w:val="center"/>
            <w:hideMark/>
          </w:tcPr>
          <w:p w:rsidRPr="008D1918" w:rsidR="00601AFC" w:rsidP="00A41DF4" w:rsidRDefault="00601AFC" w14:paraId="2B055CE4" w14:textId="326B3CAE">
            <w:pPr>
              <w:spacing w:after="0" w:line="240" w:lineRule="auto"/>
              <w:ind w:firstLine="201" w:firstLineChars="100"/>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val="en-AU" w:eastAsia="en-AU"/>
              </w:rPr>
            </w:pPr>
            <w:r w:rsidRPr="008D1918">
              <w:rPr>
                <w:rFonts w:cs="Arial"/>
                <w:sz w:val="20"/>
                <w:szCs w:val="20"/>
                <w:lang w:val="en-AU" w:eastAsia="en-AU"/>
              </w:rPr>
              <w:t xml:space="preserve">Percentage </w:t>
            </w:r>
            <w:r w:rsidRPr="008D1918" w:rsidR="001453F9">
              <w:rPr>
                <w:rFonts w:cs="Arial"/>
                <w:sz w:val="20"/>
                <w:szCs w:val="20"/>
                <w:lang w:val="en-AU" w:eastAsia="en-AU"/>
              </w:rPr>
              <w:t>c</w:t>
            </w:r>
            <w:r w:rsidRPr="008D1918">
              <w:rPr>
                <w:rFonts w:cs="Arial"/>
                <w:sz w:val="20"/>
                <w:szCs w:val="20"/>
                <w:lang w:val="en-AU" w:eastAsia="en-AU"/>
              </w:rPr>
              <w:t>hange</w:t>
            </w:r>
          </w:p>
        </w:tc>
      </w:tr>
      <w:tr w:rsidRPr="008D1918" w:rsidR="00A238C6" w:rsidTr="00AC5F9C" w14:paraId="3AAE056F"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856" w:type="dxa"/>
            <w:vAlign w:val="center"/>
            <w:hideMark/>
          </w:tcPr>
          <w:p w:rsidRPr="008D1918" w:rsidR="00601AFC" w:rsidP="00D060A4" w:rsidRDefault="00601AFC" w14:paraId="52E30920" w14:textId="77777777">
            <w:pPr>
              <w:spacing w:before="60" w:after="60"/>
              <w:rPr>
                <w:rFonts w:cs="Arial"/>
                <w:sz w:val="20"/>
                <w:szCs w:val="20"/>
                <w:lang w:val="en-AU" w:eastAsia="en-AU"/>
              </w:rPr>
            </w:pPr>
            <w:r w:rsidRPr="008D1918">
              <w:rPr>
                <w:rFonts w:cs="Arial"/>
                <w:sz w:val="20"/>
                <w:szCs w:val="20"/>
                <w:lang w:val="en-AU" w:eastAsia="en-AU"/>
              </w:rPr>
              <w:t>Number of NDIS participants</w:t>
            </w:r>
          </w:p>
        </w:tc>
        <w:tc>
          <w:tcPr>
            <w:tcW w:w="1814" w:type="dxa"/>
            <w:vAlign w:val="center"/>
            <w:hideMark/>
          </w:tcPr>
          <w:p w:rsidRPr="008D1918" w:rsidR="00601AFC" w:rsidP="005724BA" w:rsidRDefault="00601AFC" w14:paraId="6AE1E4BB"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137,957</w:t>
            </w:r>
          </w:p>
        </w:tc>
        <w:tc>
          <w:tcPr>
            <w:tcW w:w="1814" w:type="dxa"/>
            <w:vAlign w:val="center"/>
            <w:hideMark/>
          </w:tcPr>
          <w:p w:rsidRPr="008D1918" w:rsidR="00601AFC" w:rsidP="005724BA" w:rsidRDefault="00601AFC" w14:paraId="7710C2D5"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150,942</w:t>
            </w:r>
          </w:p>
        </w:tc>
        <w:tc>
          <w:tcPr>
            <w:tcW w:w="1531" w:type="dxa"/>
            <w:vAlign w:val="center"/>
            <w:hideMark/>
          </w:tcPr>
          <w:p w:rsidRPr="008D1918" w:rsidR="00601AFC" w:rsidP="005724BA" w:rsidRDefault="00601AFC" w14:paraId="590F4A9B"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+9.4%</w:t>
            </w:r>
          </w:p>
        </w:tc>
      </w:tr>
      <w:tr w:rsidRPr="008D1918" w:rsidR="00601AFC" w:rsidTr="00AC5F9C" w14:paraId="167E0F1A" w14:textId="77777777">
        <w:trPr>
          <w:trHeight w:val="315"/>
        </w:trPr>
        <w:tc>
          <w:tcPr>
            <w:cnfStyle w:val="001000000000" w:firstRow="0" w:lastRow="0" w:firstColumn="1" w:lastColumn="0" w:oddVBand="0" w:evenVBand="0" w:oddHBand="0" w:evenHBand="0" w:firstRowFirstColumn="0" w:firstRowLastColumn="0" w:lastRowFirstColumn="0" w:lastRowLastColumn="0"/>
            <w:tcW w:w="3856" w:type="dxa"/>
            <w:vAlign w:val="center"/>
            <w:hideMark/>
          </w:tcPr>
          <w:p w:rsidRPr="008D1918" w:rsidR="00601AFC" w:rsidP="00D060A4" w:rsidRDefault="00601AFC" w14:paraId="41134718" w14:textId="77777777">
            <w:pPr>
              <w:spacing w:before="60" w:after="60"/>
              <w:rPr>
                <w:rFonts w:cs="Arial"/>
                <w:color w:val="000000"/>
                <w:sz w:val="20"/>
                <w:szCs w:val="20"/>
                <w:lang w:val="en-AU" w:eastAsia="en-AU"/>
              </w:rPr>
            </w:pPr>
            <w:r w:rsidRPr="008D1918">
              <w:rPr>
                <w:rFonts w:cs="Arial"/>
                <w:color w:val="000000"/>
                <w:sz w:val="20"/>
                <w:szCs w:val="20"/>
                <w:lang w:val="en-AU" w:eastAsia="en-AU"/>
              </w:rPr>
              <w:t>Number of active providers</w:t>
            </w:r>
          </w:p>
        </w:tc>
        <w:tc>
          <w:tcPr>
            <w:tcW w:w="1814" w:type="dxa"/>
            <w:vAlign w:val="center"/>
            <w:hideMark/>
          </w:tcPr>
          <w:p w:rsidRPr="008D1918" w:rsidR="00601AFC" w:rsidP="005724BA" w:rsidRDefault="00601AFC" w14:paraId="1B9B4068"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82,303</w:t>
            </w:r>
          </w:p>
        </w:tc>
        <w:tc>
          <w:tcPr>
            <w:tcW w:w="1814" w:type="dxa"/>
            <w:vAlign w:val="center"/>
            <w:hideMark/>
          </w:tcPr>
          <w:p w:rsidRPr="008D1918" w:rsidR="00601AFC" w:rsidP="005724BA" w:rsidRDefault="00601AFC" w14:paraId="2E02A3B5"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89,907</w:t>
            </w:r>
          </w:p>
        </w:tc>
        <w:tc>
          <w:tcPr>
            <w:tcW w:w="1531" w:type="dxa"/>
            <w:vAlign w:val="center"/>
            <w:hideMark/>
          </w:tcPr>
          <w:p w:rsidRPr="008D1918" w:rsidR="00601AFC" w:rsidP="005724BA" w:rsidRDefault="00601AFC" w14:paraId="364F2CFF"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+9.2%</w:t>
            </w:r>
          </w:p>
        </w:tc>
      </w:tr>
      <w:tr w:rsidRPr="008D1918" w:rsidR="00A238C6" w:rsidTr="00AC5F9C" w14:paraId="1C1E3FAE"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856" w:type="dxa"/>
            <w:vAlign w:val="center"/>
            <w:hideMark/>
          </w:tcPr>
          <w:p w:rsidRPr="008D1918" w:rsidR="00601AFC" w:rsidP="00D060A4" w:rsidRDefault="00601AFC" w14:paraId="7D161176" w14:textId="717F9CC8">
            <w:pPr>
              <w:spacing w:before="60" w:after="60"/>
              <w:rPr>
                <w:rFonts w:cs="Arial"/>
                <w:sz w:val="20"/>
                <w:szCs w:val="20"/>
                <w:lang w:val="en-AU" w:eastAsia="en-AU"/>
              </w:rPr>
            </w:pPr>
            <w:r w:rsidRPr="008D1918">
              <w:rPr>
                <w:rFonts w:cs="Arial"/>
                <w:sz w:val="20"/>
                <w:szCs w:val="20"/>
                <w:lang w:val="en-AU" w:eastAsia="en-AU"/>
              </w:rPr>
              <w:t>Total amount claimed by active providers of S</w:t>
            </w:r>
            <w:r w:rsidRPr="008D1918" w:rsidR="00476700">
              <w:rPr>
                <w:rFonts w:cs="Arial"/>
                <w:sz w:val="20"/>
                <w:szCs w:val="20"/>
                <w:lang w:val="en-AU" w:eastAsia="en-AU"/>
              </w:rPr>
              <w:t>C</w:t>
            </w:r>
            <w:r w:rsidRPr="008D1918">
              <w:rPr>
                <w:rFonts w:cs="Arial"/>
                <w:sz w:val="20"/>
                <w:szCs w:val="20"/>
                <w:lang w:val="en-AU" w:eastAsia="en-AU"/>
              </w:rPr>
              <w:t>CP-related supports</w:t>
            </w:r>
          </w:p>
        </w:tc>
        <w:tc>
          <w:tcPr>
            <w:tcW w:w="1814" w:type="dxa"/>
            <w:vAlign w:val="center"/>
            <w:hideMark/>
          </w:tcPr>
          <w:p w:rsidRPr="008D1918" w:rsidR="00601AFC" w:rsidP="005724BA" w:rsidRDefault="00601AFC" w14:paraId="52A8E4D6"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$1.8 billion</w:t>
            </w:r>
          </w:p>
        </w:tc>
        <w:tc>
          <w:tcPr>
            <w:tcW w:w="1814" w:type="dxa"/>
            <w:vAlign w:val="center"/>
            <w:hideMark/>
          </w:tcPr>
          <w:p w:rsidRPr="008D1918" w:rsidR="00601AFC" w:rsidP="005724BA" w:rsidRDefault="00601AFC" w14:paraId="345FC115"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$2.1 billion</w:t>
            </w:r>
          </w:p>
        </w:tc>
        <w:tc>
          <w:tcPr>
            <w:tcW w:w="1531" w:type="dxa"/>
            <w:vAlign w:val="center"/>
            <w:hideMark/>
          </w:tcPr>
          <w:p w:rsidRPr="008D1918" w:rsidR="00601AFC" w:rsidP="005724BA" w:rsidRDefault="00601AFC" w14:paraId="587F0637"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AU"/>
              </w:rPr>
            </w:pPr>
            <w:r w:rsidRPr="008D1918">
              <w:rPr>
                <w:rFonts w:cs="Arial"/>
                <w:sz w:val="20"/>
                <w:szCs w:val="20"/>
                <w:lang w:val="en-AU"/>
              </w:rPr>
              <w:t>+15.2%</w:t>
            </w:r>
          </w:p>
        </w:tc>
      </w:tr>
      <w:tr w:rsidRPr="008D1918" w:rsidR="00601AFC" w:rsidTr="00AC5F9C" w14:paraId="36A36217" w14:textId="77777777">
        <w:trPr>
          <w:trHeight w:val="624"/>
        </w:trPr>
        <w:tc>
          <w:tcPr>
            <w:cnfStyle w:val="001000000000" w:firstRow="0" w:lastRow="0" w:firstColumn="1" w:lastColumn="0" w:oddVBand="0" w:evenVBand="0" w:oddHBand="0" w:evenHBand="0" w:firstRowFirstColumn="0" w:firstRowLastColumn="0" w:lastRowFirstColumn="0" w:lastRowLastColumn="0"/>
            <w:tcW w:w="3856" w:type="dxa"/>
            <w:vAlign w:val="center"/>
            <w:hideMark/>
          </w:tcPr>
          <w:p w:rsidRPr="008D1918" w:rsidR="00601AFC" w:rsidP="00D060A4" w:rsidRDefault="00601AFC" w14:paraId="4F7DA591" w14:textId="09710D4E">
            <w:pPr>
              <w:spacing w:before="60" w:after="60"/>
              <w:rPr>
                <w:rFonts w:cs="Arial"/>
                <w:color w:val="000000"/>
                <w:sz w:val="20"/>
                <w:szCs w:val="20"/>
                <w:lang w:val="en-AU" w:eastAsia="en-AU"/>
              </w:rPr>
            </w:pPr>
            <w:r w:rsidRPr="008D1918">
              <w:rPr>
                <w:rFonts w:cs="Arial"/>
                <w:color w:val="000000"/>
                <w:sz w:val="20"/>
                <w:szCs w:val="20"/>
                <w:lang w:val="en-AU" w:eastAsia="en-AU"/>
              </w:rPr>
              <w:t>Average amount claimed by all active providers of SC</w:t>
            </w:r>
            <w:r w:rsidRPr="008D1918" w:rsidR="00476700">
              <w:rPr>
                <w:rFonts w:cs="Arial"/>
                <w:color w:val="000000"/>
                <w:sz w:val="20"/>
                <w:szCs w:val="20"/>
                <w:lang w:val="en-AU" w:eastAsia="en-AU"/>
              </w:rPr>
              <w:t>C</w:t>
            </w:r>
            <w:r w:rsidRPr="008D1918">
              <w:rPr>
                <w:rFonts w:cs="Arial"/>
                <w:color w:val="000000"/>
                <w:sz w:val="20"/>
                <w:szCs w:val="20"/>
                <w:lang w:val="en-AU" w:eastAsia="en-AU"/>
              </w:rPr>
              <w:t>P-related supports</w:t>
            </w:r>
          </w:p>
        </w:tc>
        <w:tc>
          <w:tcPr>
            <w:tcW w:w="1814" w:type="dxa"/>
            <w:vAlign w:val="center"/>
            <w:hideMark/>
          </w:tcPr>
          <w:p w:rsidRPr="008D1918" w:rsidR="00601AFC" w:rsidP="005724BA" w:rsidRDefault="00601AFC" w14:paraId="22457DB9"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$21,700</w:t>
            </w:r>
          </w:p>
        </w:tc>
        <w:tc>
          <w:tcPr>
            <w:tcW w:w="1814" w:type="dxa"/>
            <w:vAlign w:val="center"/>
            <w:hideMark/>
          </w:tcPr>
          <w:p w:rsidRPr="008D1918" w:rsidR="00601AFC" w:rsidP="005724BA" w:rsidRDefault="00601AFC" w14:paraId="5EF4F813"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$22,900</w:t>
            </w:r>
          </w:p>
        </w:tc>
        <w:tc>
          <w:tcPr>
            <w:tcW w:w="1531" w:type="dxa"/>
            <w:vAlign w:val="center"/>
            <w:hideMark/>
          </w:tcPr>
          <w:p w:rsidRPr="008D1918" w:rsidR="00601AFC" w:rsidP="005724BA" w:rsidRDefault="00601AFC" w14:paraId="76DDD0E2"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eastAsia="en-AU"/>
              </w:rPr>
            </w:pPr>
            <w:r w:rsidRPr="008D1918">
              <w:rPr>
                <w:rFonts w:cs="Arial"/>
                <w:color w:val="000000"/>
                <w:sz w:val="20"/>
                <w:szCs w:val="20"/>
                <w:lang w:val="en-AU"/>
              </w:rPr>
              <w:t>+5.5%</w:t>
            </w:r>
          </w:p>
        </w:tc>
      </w:tr>
    </w:tbl>
    <w:p w:rsidRPr="008D1918" w:rsidR="00601AFC" w:rsidRDefault="00601AFC" w14:paraId="34F6ED17"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601AFC" w:rsidRDefault="00601AFC" w14:paraId="7FF251EF" w14:textId="77777777">
      <w:pPr>
        <w:spacing w:before="60" w:after="60" w:line="240" w:lineRule="atLeast"/>
        <w:rPr>
          <w:rFonts w:cs="Arial" w:eastAsiaTheme="minorEastAsia"/>
          <w:sz w:val="20"/>
          <w:szCs w:val="20"/>
          <w:lang w:val="en-AU"/>
        </w:rPr>
      </w:pPr>
      <w:r w:rsidRPr="008D1918">
        <w:rPr>
          <w:rFonts w:cs="Arial" w:eastAsiaTheme="minorEastAsia"/>
          <w:sz w:val="20"/>
          <w:szCs w:val="20"/>
          <w:lang w:val="en-AU"/>
        </w:rPr>
        <w:t>Averages are rounded to the nearest hundred.</w:t>
      </w:r>
    </w:p>
    <w:p w:rsidRPr="008D1918" w:rsidR="00601AFC" w:rsidP="00933118" w:rsidRDefault="00601AFC" w14:paraId="05799D4F" w14:textId="21DCF4A7">
      <w:pPr>
        <w:spacing w:before="120" w:after="360" w:line="240" w:lineRule="atLeast"/>
        <w:rPr>
          <w:rFonts w:eastAsia="DengXian" w:cs="Calibri"/>
          <w:sz w:val="20"/>
          <w:szCs w:val="20"/>
          <w:lang w:val="en-AU"/>
        </w:rPr>
      </w:pPr>
      <w:r w:rsidRPr="008D1918">
        <w:rPr>
          <w:rFonts w:eastAsia="DengXian" w:cs="Calibri"/>
          <w:sz w:val="20"/>
          <w:szCs w:val="20"/>
          <w:lang w:val="en-AU"/>
        </w:rPr>
        <w:t xml:space="preserve">Note: The totals for registered and unregistered providers may not match the total provider count due to </w:t>
      </w:r>
      <w:r w:rsidRPr="008D1918" w:rsidR="00FD4ECE">
        <w:rPr>
          <w:rFonts w:eastAsia="DengXian" w:cs="Calibri"/>
          <w:sz w:val="20"/>
          <w:szCs w:val="20"/>
          <w:lang w:val="en-AU"/>
        </w:rPr>
        <w:t xml:space="preserve">2 </w:t>
      </w:r>
      <w:r w:rsidRPr="008D1918">
        <w:rPr>
          <w:rFonts w:eastAsia="DengXian" w:cs="Calibri"/>
          <w:sz w:val="20"/>
          <w:szCs w:val="20"/>
          <w:lang w:val="en-AU"/>
        </w:rPr>
        <w:t>factors: 1) Some providers offer both registered and unregistered supports within the same period, 2) A small fraction of providers with unspecified registration status are included in the total count but excluded from the detailed tabulation in the table.</w:t>
      </w:r>
    </w:p>
    <w:p w:rsidRPr="008D1918" w:rsidR="00601AFC" w:rsidRDefault="00C84959" w14:paraId="51FE3E93" w14:textId="329D85A4">
      <w:pPr>
        <w:rPr>
          <w:lang w:val="en-AU"/>
        </w:rPr>
      </w:pPr>
      <w:r w:rsidRPr="008D1918">
        <w:rPr>
          <w:lang w:val="en-AU"/>
        </w:rPr>
        <w:t xml:space="preserve">SCCP </w:t>
      </w:r>
      <w:r w:rsidRPr="008D1918" w:rsidR="00601AFC">
        <w:rPr>
          <w:lang w:val="en-AU"/>
        </w:rPr>
        <w:t xml:space="preserve">supports, covering both standard and high intensity individual and group delivery across community settings, accounted for approximately $4.2 billion in payments in the </w:t>
      </w:r>
      <w:r w:rsidRPr="008D1918" w:rsidR="00AF498E">
        <w:rPr>
          <w:lang w:val="en-AU"/>
        </w:rPr>
        <w:t xml:space="preserve">6 </w:t>
      </w:r>
      <w:r w:rsidRPr="008D1918" w:rsidR="00601AFC">
        <w:rPr>
          <w:lang w:val="en-AU"/>
        </w:rPr>
        <w:t>months to December 2025, delivered by 95,395 providers to 256,093 participants, representing around 76% of total S</w:t>
      </w:r>
      <w:r w:rsidRPr="008D1918" w:rsidR="00476700">
        <w:rPr>
          <w:lang w:val="en-AU"/>
        </w:rPr>
        <w:t>C</w:t>
      </w:r>
      <w:r w:rsidRPr="008D1918" w:rsidR="00601AFC">
        <w:rPr>
          <w:lang w:val="en-AU"/>
        </w:rPr>
        <w:t>CP expenditure (</w:t>
      </w:r>
      <w:r w:rsidRPr="008D1918" w:rsidR="009B714B">
        <w:rPr>
          <w:lang w:val="en-AU"/>
        </w:rPr>
        <w:fldChar w:fldCharType="begin"/>
      </w:r>
      <w:r w:rsidRPr="008D1918" w:rsidR="009B714B">
        <w:rPr>
          <w:lang w:val="en-AU"/>
        </w:rPr>
        <w:instrText xml:space="preserve"> REF _Ref223696457 \h </w:instrText>
      </w:r>
      <w:r w:rsidRPr="008D1918" w:rsidR="00762DF8">
        <w:rPr>
          <w:lang w:val="en-AU"/>
        </w:rPr>
        <w:instrText xml:space="preserve"> \* MERGEFORMAT </w:instrText>
      </w:r>
      <w:r w:rsidRPr="008D1918" w:rsidR="009B714B">
        <w:rPr>
          <w:lang w:val="en-AU"/>
        </w:rPr>
      </w:r>
      <w:r w:rsidRPr="008D1918" w:rsidR="009B714B">
        <w:rPr>
          <w:lang w:val="en-AU"/>
        </w:rPr>
        <w:fldChar w:fldCharType="separate"/>
      </w:r>
      <w:r w:rsidRPr="008F56A2" w:rsidR="008F56A2">
        <w:rPr>
          <w:lang w:val="en-AU"/>
        </w:rPr>
        <w:t>Table</w:t>
      </w:r>
      <w:r w:rsidRPr="008D1918" w:rsidR="008F56A2">
        <w:t xml:space="preserve"> </w:t>
      </w:r>
      <w:r w:rsidR="008F56A2">
        <w:rPr>
          <w:noProof/>
        </w:rPr>
        <w:t>44</w:t>
      </w:r>
      <w:r w:rsidRPr="008D1918" w:rsidR="009B714B">
        <w:rPr>
          <w:lang w:val="en-AU"/>
        </w:rPr>
        <w:fldChar w:fldCharType="end"/>
      </w:r>
      <w:r w:rsidRPr="008D1918" w:rsidR="00601AFC">
        <w:rPr>
          <w:lang w:val="en-AU"/>
        </w:rPr>
        <w:t>).</w:t>
      </w:r>
    </w:p>
    <w:p w:rsidRPr="008D1918" w:rsidR="00601AFC" w:rsidP="009B714B" w:rsidRDefault="009B714B" w14:paraId="21B3818B" w14:textId="539F9D66">
      <w:pPr>
        <w:pStyle w:val="Caption"/>
      </w:pPr>
      <w:bookmarkStart w:name="_Ref223696457" w:id="2026"/>
      <w:r w:rsidRPr="008D1918">
        <w:t xml:space="preserve">Table </w:t>
      </w:r>
      <w:r>
        <w:fldChar w:fldCharType="begin"/>
      </w:r>
      <w:r>
        <w:instrText>SEQ Table \* ARABIC</w:instrText>
      </w:r>
      <w:r>
        <w:fldChar w:fldCharType="separate"/>
      </w:r>
      <w:r w:rsidR="008F56A2">
        <w:rPr>
          <w:noProof/>
        </w:rPr>
        <w:t>44</w:t>
      </w:r>
      <w:r>
        <w:fldChar w:fldCharType="end"/>
      </w:r>
      <w:bookmarkEnd w:id="2026"/>
      <w:r w:rsidRPr="008D1918" w:rsidR="00601AFC">
        <w:t>: Top 10 largest S</w:t>
      </w:r>
      <w:r w:rsidRPr="008D1918" w:rsidR="00476700">
        <w:t>C</w:t>
      </w:r>
      <w:r w:rsidRPr="008D1918" w:rsidR="00601AFC">
        <w:t>CP supports (based on payments), July to December 2025</w:t>
      </w:r>
    </w:p>
    <w:tbl>
      <w:tblPr>
        <w:tblStyle w:val="GridTable4-Accent121"/>
        <w:tblW w:w="0" w:type="auto"/>
        <w:tblInd w:w="3" w:type="dxa"/>
        <w:tblLayout w:type="fixed"/>
        <w:tblLook w:val="04A0" w:firstRow="1" w:lastRow="0" w:firstColumn="1" w:lastColumn="0" w:noHBand="0" w:noVBand="1"/>
        <w:tblCaption w:val="TABLE 3: NUMBER OF ACTIVE REGISTERED PROVIDERS BY CATEGORY FROM WHICH THEY PURCHASED DSW SUPPORTS, 31 DECEMBER 2022"/>
        <w:tblDescription w:val="Between July to December 2021 and July to December 2022, all categories increased except one. The categories that experienced the largest supply growth were High Intensity Daily Personal Activities (21%), Assistance with Daily Life Tasks in a Group or Shared Living Arrangement (21%) and Participation in Community, Social and Civic Activities (17%). This demonstrates strong growth in most of the relevant registration groups with DSW-related supports.   "/>
      </w:tblPr>
      <w:tblGrid>
        <w:gridCol w:w="3969"/>
        <w:gridCol w:w="1701"/>
        <w:gridCol w:w="1531"/>
        <w:gridCol w:w="1531"/>
      </w:tblGrid>
      <w:tr w:rsidRPr="008D1918" w:rsidR="00A238C6" w:rsidTr="005724BA" w14:paraId="7E9DCD8F" w14:textId="77777777">
        <w:trPr>
          <w:cnfStyle w:val="100000000000" w:firstRow="1" w:lastRow="0" w:firstColumn="0" w:lastColumn="0" w:oddVBand="0" w:evenVBand="0" w:oddHBand="0" w:evenHBand="0" w:firstRowFirstColumn="0" w:firstRowLastColumn="0" w:lastRowFirstColumn="0" w:lastRowLastColumn="0"/>
          <w:trHeight w:val="627"/>
          <w:tblHead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601AFC" w:rsidP="00C97CB1" w:rsidRDefault="00601AFC" w14:paraId="7E7D79CC" w14:textId="24DA67F6">
            <w:pPr>
              <w:spacing w:before="60" w:after="60"/>
              <w:rPr>
                <w:rFonts w:cs="Arial"/>
                <w:sz w:val="20"/>
                <w:szCs w:val="20"/>
                <w:lang w:val="en-AU"/>
              </w:rPr>
            </w:pPr>
            <w:r w:rsidRPr="008D1918">
              <w:rPr>
                <w:rFonts w:cs="Arial"/>
                <w:sz w:val="20"/>
                <w:szCs w:val="20"/>
                <w:lang w:val="en-AU"/>
              </w:rPr>
              <w:t xml:space="preserve">Support </w:t>
            </w:r>
            <w:r w:rsidRPr="008D1918" w:rsidR="00C97CB1">
              <w:rPr>
                <w:rFonts w:cs="Arial"/>
                <w:sz w:val="20"/>
                <w:szCs w:val="20"/>
                <w:lang w:val="en-AU"/>
              </w:rPr>
              <w:t>d</w:t>
            </w:r>
            <w:r w:rsidRPr="008D1918">
              <w:rPr>
                <w:rFonts w:cs="Arial"/>
                <w:sz w:val="20"/>
                <w:szCs w:val="20"/>
                <w:lang w:val="en-AU"/>
              </w:rPr>
              <w:t>elivered</w:t>
            </w:r>
          </w:p>
        </w:tc>
        <w:tc>
          <w:tcPr>
            <w:tcW w:w="1701" w:type="dxa"/>
            <w:vAlign w:val="center"/>
            <w:hideMark/>
          </w:tcPr>
          <w:p w:rsidRPr="008D1918" w:rsidR="00601AFC" w:rsidP="005724BA" w:rsidRDefault="00601AFC" w14:paraId="2EB6922D" w14:textId="5AB02705">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 xml:space="preserve">Total </w:t>
            </w:r>
            <w:r w:rsidRPr="008D1918" w:rsidR="00570A20">
              <w:rPr>
                <w:rFonts w:cs="Arial"/>
                <w:sz w:val="20"/>
                <w:szCs w:val="20"/>
                <w:lang w:val="en-AU"/>
              </w:rPr>
              <w:t>p</w:t>
            </w:r>
            <w:r w:rsidRPr="008D1918" w:rsidR="00691E11">
              <w:rPr>
                <w:rFonts w:cs="Arial"/>
                <w:sz w:val="20"/>
                <w:szCs w:val="20"/>
                <w:lang w:val="en-AU"/>
              </w:rPr>
              <w:t>ayments</w:t>
            </w:r>
            <w:r w:rsidRPr="008D1918">
              <w:rPr>
                <w:rFonts w:cs="Arial"/>
                <w:sz w:val="20"/>
                <w:szCs w:val="20"/>
                <w:lang w:val="en-AU"/>
              </w:rPr>
              <w:t xml:space="preserve"> (million)</w:t>
            </w:r>
          </w:p>
        </w:tc>
        <w:tc>
          <w:tcPr>
            <w:tcW w:w="1531" w:type="dxa"/>
            <w:vAlign w:val="center"/>
          </w:tcPr>
          <w:p w:rsidRPr="008D1918" w:rsidR="00601AFC" w:rsidP="005724BA" w:rsidRDefault="00601AFC" w14:paraId="2D12A6FC" w14:textId="396D5C72">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 xml:space="preserve">Number of </w:t>
            </w:r>
            <w:r w:rsidRPr="008D1918" w:rsidR="00570A20">
              <w:rPr>
                <w:rFonts w:cs="Arial"/>
                <w:sz w:val="20"/>
                <w:szCs w:val="20"/>
                <w:lang w:val="en-AU"/>
              </w:rPr>
              <w:t>p</w:t>
            </w:r>
            <w:r w:rsidRPr="008D1918">
              <w:rPr>
                <w:rFonts w:cs="Arial"/>
                <w:sz w:val="20"/>
                <w:szCs w:val="20"/>
                <w:lang w:val="en-AU"/>
              </w:rPr>
              <w:t>articipants</w:t>
            </w:r>
          </w:p>
        </w:tc>
        <w:tc>
          <w:tcPr>
            <w:tcW w:w="1531" w:type="dxa"/>
            <w:vAlign w:val="center"/>
            <w:hideMark/>
          </w:tcPr>
          <w:p w:rsidRPr="008D1918" w:rsidR="00601AFC" w:rsidP="005724BA" w:rsidRDefault="00601AFC" w14:paraId="3F9CD4D5" w14:textId="47304A1C">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 xml:space="preserve">Number of </w:t>
            </w:r>
            <w:r w:rsidRPr="008D1918" w:rsidR="00570A20">
              <w:rPr>
                <w:rFonts w:cs="Arial"/>
                <w:sz w:val="20"/>
                <w:szCs w:val="20"/>
                <w:lang w:val="en-AU"/>
              </w:rPr>
              <w:t>p</w:t>
            </w:r>
            <w:r w:rsidRPr="008D1918">
              <w:rPr>
                <w:rFonts w:cs="Arial"/>
                <w:sz w:val="20"/>
                <w:szCs w:val="20"/>
                <w:lang w:val="en-AU"/>
              </w:rPr>
              <w:t>roviders</w:t>
            </w:r>
          </w:p>
        </w:tc>
      </w:tr>
      <w:tr w:rsidRPr="008D1918" w:rsidR="00A238C6" w14:paraId="5875462A" w14:textId="77777777">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601AFC" w:rsidRDefault="00601AFC" w14:paraId="06E3F385" w14:textId="77777777">
            <w:pPr>
              <w:spacing w:before="60" w:after="60"/>
              <w:rPr>
                <w:rFonts w:cs="Arial"/>
                <w:sz w:val="20"/>
                <w:szCs w:val="20"/>
                <w:lang w:val="en-AU"/>
              </w:rPr>
            </w:pPr>
            <w:r w:rsidRPr="008D1918">
              <w:rPr>
                <w:rFonts w:cs="Arial"/>
                <w:sz w:val="20"/>
                <w:szCs w:val="20"/>
                <w:lang w:val="en-AU"/>
              </w:rPr>
              <w:t>Access Community Social and Recreational Activities Standard</w:t>
            </w:r>
          </w:p>
        </w:tc>
        <w:tc>
          <w:tcPr>
            <w:tcW w:w="1701" w:type="dxa"/>
            <w:vAlign w:val="center"/>
            <w:hideMark/>
          </w:tcPr>
          <w:p w:rsidRPr="008D1918" w:rsidR="00601AFC" w:rsidP="005724BA" w:rsidRDefault="00601AFC" w14:paraId="7201DF80"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$4,230</w:t>
            </w:r>
          </w:p>
        </w:tc>
        <w:tc>
          <w:tcPr>
            <w:tcW w:w="1531" w:type="dxa"/>
            <w:vAlign w:val="center"/>
          </w:tcPr>
          <w:p w:rsidRPr="008D1918" w:rsidR="00601AFC" w:rsidP="005724BA" w:rsidRDefault="00601AFC" w14:paraId="4CE81574"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256,093</w:t>
            </w:r>
          </w:p>
        </w:tc>
        <w:tc>
          <w:tcPr>
            <w:tcW w:w="1531" w:type="dxa"/>
            <w:vAlign w:val="center"/>
            <w:hideMark/>
          </w:tcPr>
          <w:p w:rsidRPr="008D1918" w:rsidR="00601AFC" w:rsidP="005724BA" w:rsidRDefault="00601AFC" w14:paraId="7E8BE8F7"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95,395</w:t>
            </w:r>
          </w:p>
        </w:tc>
      </w:tr>
      <w:tr w:rsidRPr="008D1918" w:rsidR="00601AFC" w14:paraId="77A85435" w14:textId="77777777">
        <w:trPr>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601AFC" w:rsidRDefault="00601AFC" w14:paraId="26118B9B" w14:textId="77777777">
            <w:pPr>
              <w:spacing w:before="60" w:after="60"/>
              <w:rPr>
                <w:rFonts w:cs="Arial"/>
                <w:sz w:val="20"/>
                <w:szCs w:val="20"/>
                <w:lang w:val="en-AU"/>
              </w:rPr>
            </w:pPr>
            <w:r w:rsidRPr="008D1918">
              <w:rPr>
                <w:rFonts w:cs="Arial"/>
                <w:sz w:val="20"/>
                <w:szCs w:val="20"/>
                <w:lang w:val="en-AU"/>
              </w:rPr>
              <w:t>Group Activities Standard</w:t>
            </w:r>
          </w:p>
        </w:tc>
        <w:tc>
          <w:tcPr>
            <w:tcW w:w="1701" w:type="dxa"/>
            <w:vAlign w:val="center"/>
            <w:hideMark/>
          </w:tcPr>
          <w:p w:rsidRPr="008D1918" w:rsidR="00601AFC" w:rsidP="005724BA" w:rsidRDefault="00601AFC" w14:paraId="0A2584B1"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$658</w:t>
            </w:r>
          </w:p>
        </w:tc>
        <w:tc>
          <w:tcPr>
            <w:tcW w:w="1531" w:type="dxa"/>
            <w:vAlign w:val="center"/>
          </w:tcPr>
          <w:p w:rsidRPr="008D1918" w:rsidR="00601AFC" w:rsidP="005724BA" w:rsidRDefault="00601AFC" w14:paraId="5C60236F"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63,422</w:t>
            </w:r>
          </w:p>
        </w:tc>
        <w:tc>
          <w:tcPr>
            <w:tcW w:w="1531" w:type="dxa"/>
            <w:vAlign w:val="center"/>
            <w:hideMark/>
          </w:tcPr>
          <w:p w:rsidRPr="008D1918" w:rsidR="00601AFC" w:rsidP="005724BA" w:rsidRDefault="00601AFC" w14:paraId="6F3C4ECF"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7,682</w:t>
            </w:r>
          </w:p>
        </w:tc>
      </w:tr>
      <w:tr w:rsidRPr="008D1918" w:rsidR="00A238C6" w14:paraId="71F407A7" w14:textId="77777777">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601AFC" w:rsidRDefault="00601AFC" w14:paraId="0FB35C95" w14:textId="77777777">
            <w:pPr>
              <w:spacing w:before="60" w:after="60"/>
              <w:rPr>
                <w:rFonts w:cs="Arial"/>
                <w:sz w:val="20"/>
                <w:szCs w:val="20"/>
                <w:lang w:val="en-AU"/>
              </w:rPr>
            </w:pPr>
            <w:r w:rsidRPr="008D1918">
              <w:rPr>
                <w:rFonts w:cs="Arial"/>
                <w:sz w:val="20"/>
                <w:szCs w:val="20"/>
                <w:lang w:val="en-AU"/>
              </w:rPr>
              <w:t>Activity Based Transport</w:t>
            </w:r>
          </w:p>
        </w:tc>
        <w:tc>
          <w:tcPr>
            <w:tcW w:w="1701" w:type="dxa"/>
            <w:vAlign w:val="center"/>
            <w:hideMark/>
          </w:tcPr>
          <w:p w:rsidRPr="008D1918" w:rsidR="00601AFC" w:rsidP="005724BA" w:rsidRDefault="00601AFC" w14:paraId="6EF3862F"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$253</w:t>
            </w:r>
          </w:p>
        </w:tc>
        <w:tc>
          <w:tcPr>
            <w:tcW w:w="1531" w:type="dxa"/>
            <w:vAlign w:val="center"/>
          </w:tcPr>
          <w:p w:rsidRPr="008D1918" w:rsidR="00601AFC" w:rsidP="005724BA" w:rsidRDefault="00601AFC" w14:paraId="0F6FB2E9"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173,901</w:t>
            </w:r>
          </w:p>
        </w:tc>
        <w:tc>
          <w:tcPr>
            <w:tcW w:w="1531" w:type="dxa"/>
            <w:vAlign w:val="center"/>
            <w:hideMark/>
          </w:tcPr>
          <w:p w:rsidRPr="008D1918" w:rsidR="00601AFC" w:rsidP="005724BA" w:rsidRDefault="00601AFC" w14:paraId="4B2F559B"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41,949</w:t>
            </w:r>
          </w:p>
        </w:tc>
      </w:tr>
      <w:tr w:rsidRPr="008D1918" w:rsidR="00601AFC" w14:paraId="2808AF48" w14:textId="77777777">
        <w:trPr>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601AFC" w:rsidRDefault="00601AFC" w14:paraId="39D68489" w14:textId="77777777">
            <w:pPr>
              <w:spacing w:before="60" w:after="60"/>
              <w:rPr>
                <w:rFonts w:cs="Arial"/>
                <w:sz w:val="20"/>
                <w:szCs w:val="20"/>
                <w:lang w:val="en-AU"/>
              </w:rPr>
            </w:pPr>
            <w:r w:rsidRPr="008D1918">
              <w:rPr>
                <w:rFonts w:cs="Arial"/>
                <w:sz w:val="20"/>
                <w:szCs w:val="20"/>
                <w:lang w:val="en-AU"/>
              </w:rPr>
              <w:t>Access Community Social and Recreational Activities High Intensity</w:t>
            </w:r>
          </w:p>
        </w:tc>
        <w:tc>
          <w:tcPr>
            <w:tcW w:w="1701" w:type="dxa"/>
            <w:vAlign w:val="center"/>
            <w:hideMark/>
          </w:tcPr>
          <w:p w:rsidRPr="008D1918" w:rsidR="00601AFC" w:rsidP="005724BA" w:rsidRDefault="00601AFC" w14:paraId="75A740C7"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$144</w:t>
            </w:r>
          </w:p>
        </w:tc>
        <w:tc>
          <w:tcPr>
            <w:tcW w:w="1531" w:type="dxa"/>
            <w:vAlign w:val="center"/>
          </w:tcPr>
          <w:p w:rsidRPr="008D1918" w:rsidR="00601AFC" w:rsidP="005724BA" w:rsidRDefault="00601AFC" w14:paraId="2C6CF74C"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6,594</w:t>
            </w:r>
          </w:p>
        </w:tc>
        <w:tc>
          <w:tcPr>
            <w:tcW w:w="1531" w:type="dxa"/>
            <w:vAlign w:val="center"/>
            <w:hideMark/>
          </w:tcPr>
          <w:p w:rsidRPr="008D1918" w:rsidR="00601AFC" w:rsidP="005724BA" w:rsidRDefault="00601AFC" w14:paraId="6B57F2C0"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3,757</w:t>
            </w:r>
          </w:p>
        </w:tc>
      </w:tr>
      <w:tr w:rsidRPr="008D1918" w:rsidR="00A238C6" w14:paraId="38AC3242" w14:textId="77777777">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601AFC" w:rsidRDefault="00601AFC" w14:paraId="703916A0" w14:textId="6860E713">
            <w:pPr>
              <w:spacing w:before="60" w:after="60"/>
              <w:rPr>
                <w:rFonts w:cs="Arial"/>
                <w:sz w:val="20"/>
                <w:szCs w:val="20"/>
                <w:lang w:val="en-AU"/>
              </w:rPr>
            </w:pPr>
            <w:r w:rsidRPr="008D1918">
              <w:rPr>
                <w:rFonts w:cs="Arial"/>
                <w:sz w:val="20"/>
                <w:szCs w:val="20"/>
                <w:lang w:val="en-AU"/>
              </w:rPr>
              <w:t xml:space="preserve">Provider </w:t>
            </w:r>
            <w:r w:rsidRPr="008D1918" w:rsidR="0070340E">
              <w:rPr>
                <w:rFonts w:cs="Arial"/>
                <w:sz w:val="20"/>
                <w:szCs w:val="20"/>
                <w:lang w:val="en-AU"/>
              </w:rPr>
              <w:t>T</w:t>
            </w:r>
            <w:r w:rsidRPr="008D1918">
              <w:rPr>
                <w:rFonts w:cs="Arial"/>
                <w:sz w:val="20"/>
                <w:szCs w:val="20"/>
                <w:lang w:val="en-AU"/>
              </w:rPr>
              <w:t>ravel</w:t>
            </w:r>
          </w:p>
        </w:tc>
        <w:tc>
          <w:tcPr>
            <w:tcW w:w="1701" w:type="dxa"/>
            <w:vAlign w:val="center"/>
            <w:hideMark/>
          </w:tcPr>
          <w:p w:rsidRPr="008D1918" w:rsidR="00601AFC" w:rsidP="005724BA" w:rsidRDefault="00601AFC" w14:paraId="5925DE2D"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$80</w:t>
            </w:r>
          </w:p>
        </w:tc>
        <w:tc>
          <w:tcPr>
            <w:tcW w:w="1531" w:type="dxa"/>
            <w:vAlign w:val="center"/>
          </w:tcPr>
          <w:p w:rsidRPr="008D1918" w:rsidR="00601AFC" w:rsidP="005724BA" w:rsidRDefault="00601AFC" w14:paraId="1CC94D79"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91,128</w:t>
            </w:r>
          </w:p>
        </w:tc>
        <w:tc>
          <w:tcPr>
            <w:tcW w:w="1531" w:type="dxa"/>
            <w:vAlign w:val="center"/>
            <w:hideMark/>
          </w:tcPr>
          <w:p w:rsidRPr="008D1918" w:rsidR="00601AFC" w:rsidP="005724BA" w:rsidRDefault="00601AFC" w14:paraId="71ADEEB9"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26,993</w:t>
            </w:r>
          </w:p>
        </w:tc>
      </w:tr>
      <w:tr w:rsidRPr="008D1918" w:rsidR="00601AFC" w14:paraId="6FC1BB06" w14:textId="77777777">
        <w:trPr>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601AFC" w:rsidRDefault="00601AFC" w14:paraId="4110DBFA" w14:textId="77777777">
            <w:pPr>
              <w:spacing w:before="60" w:after="60"/>
              <w:rPr>
                <w:rFonts w:cs="Arial"/>
                <w:sz w:val="20"/>
                <w:szCs w:val="20"/>
                <w:lang w:val="en-AU"/>
              </w:rPr>
            </w:pPr>
            <w:r w:rsidRPr="008D1918">
              <w:rPr>
                <w:rFonts w:cs="Arial"/>
                <w:sz w:val="20"/>
                <w:szCs w:val="20"/>
                <w:lang w:val="en-AU"/>
              </w:rPr>
              <w:t>Group Activities High Intensity</w:t>
            </w:r>
          </w:p>
        </w:tc>
        <w:tc>
          <w:tcPr>
            <w:tcW w:w="1701" w:type="dxa"/>
            <w:vAlign w:val="center"/>
            <w:hideMark/>
          </w:tcPr>
          <w:p w:rsidRPr="008D1918" w:rsidR="00601AFC" w:rsidP="005724BA" w:rsidRDefault="00601AFC" w14:paraId="3ED3E308"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$65</w:t>
            </w:r>
          </w:p>
        </w:tc>
        <w:tc>
          <w:tcPr>
            <w:tcW w:w="1531" w:type="dxa"/>
            <w:vAlign w:val="center"/>
          </w:tcPr>
          <w:p w:rsidRPr="008D1918" w:rsidR="00601AFC" w:rsidP="005724BA" w:rsidRDefault="00601AFC" w14:paraId="61B9823F"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2,886</w:t>
            </w:r>
          </w:p>
        </w:tc>
        <w:tc>
          <w:tcPr>
            <w:tcW w:w="1531" w:type="dxa"/>
            <w:vAlign w:val="center"/>
            <w:hideMark/>
          </w:tcPr>
          <w:p w:rsidRPr="008D1918" w:rsidR="00601AFC" w:rsidP="005724BA" w:rsidRDefault="00601AFC" w14:paraId="24C68AA6"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865</w:t>
            </w:r>
          </w:p>
        </w:tc>
      </w:tr>
      <w:tr w:rsidRPr="008D1918" w:rsidR="00A238C6" w14:paraId="255CD4A7" w14:textId="77777777">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601AFC" w:rsidRDefault="00601AFC" w14:paraId="7630C246" w14:textId="77777777">
            <w:pPr>
              <w:spacing w:before="60" w:after="60"/>
              <w:rPr>
                <w:rFonts w:cs="Arial"/>
                <w:sz w:val="20"/>
                <w:szCs w:val="20"/>
                <w:lang w:val="en-AU"/>
              </w:rPr>
            </w:pPr>
            <w:r w:rsidRPr="008D1918">
              <w:rPr>
                <w:rFonts w:cs="Arial"/>
                <w:sz w:val="20"/>
                <w:szCs w:val="20"/>
                <w:lang w:val="en-AU"/>
              </w:rPr>
              <w:t>Centre Capital Cost</w:t>
            </w:r>
          </w:p>
        </w:tc>
        <w:tc>
          <w:tcPr>
            <w:tcW w:w="1701" w:type="dxa"/>
            <w:vAlign w:val="center"/>
            <w:hideMark/>
          </w:tcPr>
          <w:p w:rsidRPr="008D1918" w:rsidR="00601AFC" w:rsidP="005724BA" w:rsidRDefault="00601AFC" w14:paraId="4799E340"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$48</w:t>
            </w:r>
          </w:p>
        </w:tc>
        <w:tc>
          <w:tcPr>
            <w:tcW w:w="1531" w:type="dxa"/>
            <w:vAlign w:val="center"/>
          </w:tcPr>
          <w:p w:rsidRPr="008D1918" w:rsidR="00601AFC" w:rsidP="005724BA" w:rsidRDefault="00601AFC" w14:paraId="75AFF6C6"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53,344</w:t>
            </w:r>
          </w:p>
        </w:tc>
        <w:tc>
          <w:tcPr>
            <w:tcW w:w="1531" w:type="dxa"/>
            <w:vAlign w:val="center"/>
            <w:hideMark/>
          </w:tcPr>
          <w:p w:rsidRPr="008D1918" w:rsidR="00601AFC" w:rsidP="005724BA" w:rsidRDefault="00601AFC" w14:paraId="7A9AF2AD"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1,756</w:t>
            </w:r>
          </w:p>
        </w:tc>
      </w:tr>
      <w:tr w:rsidRPr="008D1918" w:rsidR="00601AFC" w14:paraId="7077E655" w14:textId="77777777">
        <w:trPr>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601AFC" w:rsidRDefault="00601AFC" w14:paraId="7556E39B" w14:textId="77777777">
            <w:pPr>
              <w:spacing w:before="60" w:after="60"/>
              <w:rPr>
                <w:rFonts w:cs="Arial"/>
                <w:sz w:val="20"/>
                <w:szCs w:val="20"/>
                <w:lang w:val="en-AU"/>
              </w:rPr>
            </w:pPr>
            <w:r w:rsidRPr="008D1918">
              <w:rPr>
                <w:rFonts w:cs="Arial"/>
                <w:sz w:val="20"/>
                <w:szCs w:val="20"/>
                <w:lang w:val="en-AU"/>
              </w:rPr>
              <w:t>Establishment Fee for Personal Care/Participation</w:t>
            </w:r>
          </w:p>
        </w:tc>
        <w:tc>
          <w:tcPr>
            <w:tcW w:w="1701" w:type="dxa"/>
            <w:vAlign w:val="center"/>
            <w:hideMark/>
          </w:tcPr>
          <w:p w:rsidRPr="008D1918" w:rsidR="00601AFC" w:rsidP="005724BA" w:rsidRDefault="00601AFC" w14:paraId="2166A274"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$3.6</w:t>
            </w:r>
          </w:p>
        </w:tc>
        <w:tc>
          <w:tcPr>
            <w:tcW w:w="1531" w:type="dxa"/>
            <w:vAlign w:val="center"/>
          </w:tcPr>
          <w:p w:rsidRPr="008D1918" w:rsidR="00601AFC" w:rsidP="005724BA" w:rsidRDefault="00601AFC" w14:paraId="7972FA67"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4,997</w:t>
            </w:r>
          </w:p>
        </w:tc>
        <w:tc>
          <w:tcPr>
            <w:tcW w:w="1531" w:type="dxa"/>
            <w:vAlign w:val="center"/>
            <w:hideMark/>
          </w:tcPr>
          <w:p w:rsidRPr="008D1918" w:rsidR="00601AFC" w:rsidP="005724BA" w:rsidRDefault="00601AFC" w14:paraId="4AFD3F72"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1,595</w:t>
            </w:r>
          </w:p>
        </w:tc>
      </w:tr>
      <w:tr w:rsidRPr="008D1918" w:rsidR="00A238C6" w14:paraId="35860297" w14:textId="77777777">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rsidRPr="008D1918" w:rsidR="00601AFC" w:rsidRDefault="00601AFC" w14:paraId="42CC36A0" w14:textId="77777777">
            <w:pPr>
              <w:spacing w:before="60" w:after="60"/>
              <w:rPr>
                <w:rFonts w:cs="Arial"/>
                <w:sz w:val="20"/>
                <w:szCs w:val="20"/>
                <w:lang w:val="en-AU"/>
              </w:rPr>
            </w:pPr>
            <w:r w:rsidRPr="008D1918">
              <w:rPr>
                <w:rFonts w:cs="Arial"/>
                <w:sz w:val="20"/>
                <w:szCs w:val="20"/>
                <w:lang w:val="en-AU"/>
              </w:rPr>
              <w:t>Access Community Social and Recreational Activities Standard - TTP</w:t>
            </w:r>
          </w:p>
        </w:tc>
        <w:tc>
          <w:tcPr>
            <w:tcW w:w="1701" w:type="dxa"/>
            <w:vAlign w:val="center"/>
            <w:hideMark/>
          </w:tcPr>
          <w:p w:rsidRPr="008D1918" w:rsidR="00601AFC" w:rsidP="005724BA" w:rsidRDefault="00601AFC" w14:paraId="2F5879C2"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sz w:val="20"/>
                <w:szCs w:val="20"/>
                <w:lang w:val="en-AU"/>
              </w:rPr>
              <w:t>$1.3</w:t>
            </w:r>
          </w:p>
        </w:tc>
        <w:tc>
          <w:tcPr>
            <w:tcW w:w="1531" w:type="dxa"/>
            <w:vAlign w:val="center"/>
          </w:tcPr>
          <w:p w:rsidRPr="008D1918" w:rsidR="00601AFC" w:rsidP="005724BA" w:rsidRDefault="00601AFC" w14:paraId="7043D4F3"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897</w:t>
            </w:r>
          </w:p>
        </w:tc>
        <w:tc>
          <w:tcPr>
            <w:tcW w:w="1531" w:type="dxa"/>
            <w:vAlign w:val="center"/>
            <w:hideMark/>
          </w:tcPr>
          <w:p w:rsidRPr="008D1918" w:rsidR="00601AFC" w:rsidP="005724BA" w:rsidRDefault="00601AFC" w14:paraId="754D676F" w14:textId="77777777">
            <w:pPr>
              <w:spacing w:before="60" w:after="60"/>
              <w:ind w:right="18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rPr>
            </w:pPr>
            <w:r w:rsidRPr="008D1918">
              <w:rPr>
                <w:rFonts w:cs="Arial"/>
                <w:sz w:val="20"/>
                <w:szCs w:val="20"/>
                <w:lang w:val="en-AU"/>
              </w:rPr>
              <w:t>174</w:t>
            </w:r>
          </w:p>
        </w:tc>
      </w:tr>
      <w:tr w:rsidRPr="008D1918" w:rsidR="00601AFC" w14:paraId="11764E04" w14:textId="77777777">
        <w:trPr>
          <w:trHeight w:val="22"/>
        </w:trPr>
        <w:tc>
          <w:tcPr>
            <w:cnfStyle w:val="001000000000" w:firstRow="0" w:lastRow="0" w:firstColumn="1" w:lastColumn="0" w:oddVBand="0" w:evenVBand="0" w:oddHBand="0" w:evenHBand="0" w:firstRowFirstColumn="0" w:firstRowLastColumn="0" w:lastRowFirstColumn="0" w:lastRowLastColumn="0"/>
            <w:tcW w:w="3969" w:type="dxa"/>
            <w:vAlign w:val="center"/>
          </w:tcPr>
          <w:p w:rsidRPr="008D1918" w:rsidR="00601AFC" w:rsidRDefault="00601AFC" w14:paraId="711E18AB" w14:textId="77777777">
            <w:pPr>
              <w:spacing w:before="60" w:after="60"/>
              <w:rPr>
                <w:rFonts w:cs="Arial"/>
                <w:sz w:val="20"/>
                <w:szCs w:val="20"/>
                <w:lang w:val="en-AU"/>
              </w:rPr>
            </w:pPr>
            <w:r w:rsidRPr="008D1918">
              <w:rPr>
                <w:rFonts w:cs="Arial"/>
                <w:sz w:val="20"/>
                <w:szCs w:val="20"/>
                <w:lang w:val="en-AU"/>
              </w:rPr>
              <w:t>Group Activities Standard - TTP</w:t>
            </w:r>
          </w:p>
        </w:tc>
        <w:tc>
          <w:tcPr>
            <w:tcW w:w="1701" w:type="dxa"/>
            <w:vAlign w:val="center"/>
          </w:tcPr>
          <w:p w:rsidRPr="008D1918" w:rsidR="00601AFC" w:rsidP="005724BA" w:rsidRDefault="00601AFC" w14:paraId="2AA552B5"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sz w:val="20"/>
                <w:szCs w:val="20"/>
                <w:lang w:val="en-AU"/>
              </w:rPr>
              <w:t>$0.5</w:t>
            </w:r>
          </w:p>
        </w:tc>
        <w:tc>
          <w:tcPr>
            <w:tcW w:w="1531" w:type="dxa"/>
            <w:vAlign w:val="center"/>
          </w:tcPr>
          <w:p w:rsidRPr="008D1918" w:rsidR="00601AFC" w:rsidP="005724BA" w:rsidRDefault="00601AFC" w14:paraId="2362A387"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468</w:t>
            </w:r>
          </w:p>
        </w:tc>
        <w:tc>
          <w:tcPr>
            <w:tcW w:w="1531" w:type="dxa"/>
            <w:vAlign w:val="center"/>
          </w:tcPr>
          <w:p w:rsidRPr="008D1918" w:rsidR="00601AFC" w:rsidP="005724BA" w:rsidRDefault="00601AFC" w14:paraId="1A28273F" w14:textId="77777777">
            <w:pPr>
              <w:spacing w:before="60" w:after="60"/>
              <w:ind w:right="18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rPr>
            </w:pPr>
            <w:r w:rsidRPr="008D1918">
              <w:rPr>
                <w:rFonts w:cs="Arial"/>
                <w:sz w:val="20"/>
                <w:szCs w:val="20"/>
                <w:lang w:val="en-AU"/>
              </w:rPr>
              <w:t>85</w:t>
            </w:r>
          </w:p>
        </w:tc>
      </w:tr>
    </w:tbl>
    <w:p w:rsidRPr="008D1918" w:rsidR="00601AFC" w:rsidP="009B607D" w:rsidRDefault="00601AFC" w14:paraId="029BB6CA" w14:textId="77777777">
      <w:pPr>
        <w:spacing w:before="120" w:after="3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601AFC" w:rsidP="00BD0457" w:rsidRDefault="00601AFC" w14:paraId="25C6CCC5" w14:textId="67908C9A">
      <w:pPr>
        <w:pStyle w:val="Heading31"/>
        <w:ind w:left="1077" w:hanging="720"/>
      </w:pPr>
      <w:bookmarkStart w:name="_Toc223539765" w:id="2027"/>
      <w:bookmarkStart w:name="_Toc223539978" w:id="2028"/>
      <w:bookmarkStart w:name="_Toc223540446" w:id="2029"/>
      <w:bookmarkStart w:name="_Toc223540662" w:id="2030"/>
      <w:bookmarkStart w:name="_Toc223542202" w:id="2031"/>
      <w:bookmarkStart w:name="_Toc223604388" w:id="2032"/>
      <w:bookmarkStart w:name="_Toc223604599" w:id="2033"/>
      <w:bookmarkStart w:name="_Toc227337169" w:id="2034"/>
      <w:r w:rsidRPr="008D1918">
        <w:t xml:space="preserve">Market </w:t>
      </w:r>
      <w:r w:rsidRPr="008D1918" w:rsidR="002B447F">
        <w:t>a</w:t>
      </w:r>
      <w:r w:rsidRPr="008D1918">
        <w:t>nalysis</w:t>
      </w:r>
      <w:bookmarkEnd w:id="2027"/>
      <w:bookmarkEnd w:id="2028"/>
      <w:bookmarkEnd w:id="2029"/>
      <w:bookmarkEnd w:id="2030"/>
      <w:bookmarkEnd w:id="2031"/>
      <w:bookmarkEnd w:id="2032"/>
      <w:bookmarkEnd w:id="2033"/>
      <w:bookmarkEnd w:id="2034"/>
      <w:r w:rsidRPr="008D1918">
        <w:t xml:space="preserve"> </w:t>
      </w:r>
    </w:p>
    <w:p w:rsidRPr="008D1918" w:rsidR="00601AFC" w:rsidP="00041468" w:rsidRDefault="00601AFC" w14:paraId="56AA76FC" w14:textId="53697A1C">
      <w:pPr>
        <w:pStyle w:val="StyleStyle112pt"/>
      </w:pPr>
      <w:bookmarkStart w:name="_Toc223428539" w:id="2035"/>
      <w:bookmarkStart w:name="_Toc223446007" w:id="2036"/>
      <w:bookmarkStart w:name="_Toc223539766" w:id="2037"/>
      <w:bookmarkStart w:name="_Toc223539979" w:id="2038"/>
      <w:bookmarkStart w:name="_Toc223540447" w:id="2039"/>
      <w:bookmarkStart w:name="_Toc223540663" w:id="2040"/>
      <w:bookmarkStart w:name="_Toc223542203" w:id="2041"/>
      <w:bookmarkStart w:name="_Toc223604389" w:id="2042"/>
      <w:bookmarkStart w:name="_Toc223604600" w:id="2043"/>
      <w:bookmarkStart w:name="_Toc223604841" w:id="2044"/>
      <w:bookmarkStart w:name="_Toc223618686" w:id="2045"/>
      <w:bookmarkStart w:name="_Toc223702915" w:id="2046"/>
      <w:bookmarkStart w:name="_Toc227318802" w:id="2047"/>
      <w:bookmarkStart w:name="_Toc227337170" w:id="2048"/>
      <w:r w:rsidRPr="008D1918">
        <w:t xml:space="preserve">Two delivery models, one </w:t>
      </w:r>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r w:rsidRPr="008D1918" w:rsidR="004616D8">
        <w:t>maximum price</w:t>
      </w:r>
    </w:p>
    <w:p w:rsidRPr="008D1918" w:rsidR="00601AFC" w:rsidRDefault="00601AFC" w14:paraId="64A37E15" w14:textId="107E64E8">
      <w:pPr>
        <w:rPr>
          <w:lang w:val="en-AU"/>
        </w:rPr>
      </w:pPr>
      <w:r w:rsidRPr="008D1918">
        <w:rPr>
          <w:lang w:val="en-AU"/>
        </w:rPr>
        <w:t>Registration status and legal entity data together confirm S</w:t>
      </w:r>
      <w:r w:rsidRPr="008D1918" w:rsidR="00476700">
        <w:rPr>
          <w:lang w:val="en-AU"/>
        </w:rPr>
        <w:t>C</w:t>
      </w:r>
      <w:r w:rsidRPr="008D1918">
        <w:rPr>
          <w:lang w:val="en-AU"/>
        </w:rPr>
        <w:t xml:space="preserve">CP is not a single market differentiated only by provider size. It comprises </w:t>
      </w:r>
      <w:r w:rsidRPr="008D1918" w:rsidR="00FD4ECE">
        <w:rPr>
          <w:lang w:val="en-AU"/>
        </w:rPr>
        <w:t xml:space="preserve">2 </w:t>
      </w:r>
      <w:r w:rsidRPr="008D1918">
        <w:rPr>
          <w:lang w:val="en-AU"/>
        </w:rPr>
        <w:t>structurally distinct delivery models operating under the same price.</w:t>
      </w:r>
    </w:p>
    <w:p w:rsidRPr="008D1918" w:rsidR="00601AFC" w:rsidRDefault="00601AFC" w14:paraId="6F28D1FA" w14:textId="49BD6677">
      <w:pPr>
        <w:rPr>
          <w:lang w:val="en-AU"/>
        </w:rPr>
      </w:pPr>
      <w:r w:rsidRPr="008D1918">
        <w:rPr>
          <w:lang w:val="en-AU"/>
        </w:rPr>
        <w:t>The first is an organisational delivery model, associated predominantly with larger registered providers operating as companies. Companies account for around 19% of active providers but claim 74% of total S</w:t>
      </w:r>
      <w:r w:rsidRPr="008D1918" w:rsidR="00476700">
        <w:rPr>
          <w:lang w:val="en-AU"/>
        </w:rPr>
        <w:t>C</w:t>
      </w:r>
      <w:r w:rsidRPr="008D1918">
        <w:rPr>
          <w:lang w:val="en-AU"/>
        </w:rPr>
        <w:t>CP payments (approximately $4 billion), at an average of $211,100 per provider (</w:t>
      </w:r>
      <w:r w:rsidRPr="008D1918" w:rsidR="005C48FA">
        <w:rPr>
          <w:lang w:val="en-AU"/>
        </w:rPr>
        <w:fldChar w:fldCharType="begin"/>
      </w:r>
      <w:r w:rsidRPr="008D1918" w:rsidR="005C48FA">
        <w:rPr>
          <w:lang w:val="en-AU"/>
        </w:rPr>
        <w:instrText xml:space="preserve"> REF _Ref223696566 \h </w:instrText>
      </w:r>
      <w:r w:rsidRPr="008D1918" w:rsidR="00762DF8">
        <w:rPr>
          <w:lang w:val="en-AU"/>
        </w:rPr>
        <w:instrText xml:space="preserve"> \* MERGEFORMAT </w:instrText>
      </w:r>
      <w:r w:rsidRPr="008D1918" w:rsidR="005C48FA">
        <w:rPr>
          <w:lang w:val="en-AU"/>
        </w:rPr>
      </w:r>
      <w:r w:rsidRPr="008D1918" w:rsidR="005C48FA">
        <w:rPr>
          <w:lang w:val="en-AU"/>
        </w:rPr>
        <w:fldChar w:fldCharType="separate"/>
      </w:r>
      <w:r w:rsidRPr="008F56A2" w:rsidR="008F56A2">
        <w:rPr>
          <w:lang w:val="en-AU"/>
        </w:rPr>
        <w:t>Table</w:t>
      </w:r>
      <w:r w:rsidRPr="008D1918" w:rsidR="008F56A2">
        <w:t xml:space="preserve"> </w:t>
      </w:r>
      <w:r w:rsidR="008F56A2">
        <w:rPr>
          <w:noProof/>
        </w:rPr>
        <w:t>45</w:t>
      </w:r>
      <w:r w:rsidRPr="008D1918" w:rsidR="005C48FA">
        <w:rPr>
          <w:lang w:val="en-AU"/>
        </w:rPr>
        <w:fldChar w:fldCharType="end"/>
      </w:r>
      <w:r w:rsidRPr="008D1918">
        <w:rPr>
          <w:lang w:val="en-AU"/>
        </w:rPr>
        <w:t>). These providers operate with formal governance structures, employed workforces, enterprise agreements and compliance systems.</w:t>
      </w:r>
    </w:p>
    <w:p w:rsidRPr="008D1918" w:rsidR="00601AFC" w:rsidRDefault="00601AFC" w14:paraId="0C0C68AC" w14:textId="33437D6E">
      <w:pPr>
        <w:rPr>
          <w:lang w:val="en-AU"/>
        </w:rPr>
      </w:pPr>
      <w:r w:rsidRPr="008D1918">
        <w:rPr>
          <w:lang w:val="en-AU"/>
        </w:rPr>
        <w:t>The second is a relational delivery model, associated predominantly with unregistered sole traders. Sole traders account for 76% of providers (75,504) and claim 20% of payments (approximately $1.1 billion), at an average of $14,400 per provider (</w:t>
      </w:r>
      <w:r w:rsidRPr="008D1918" w:rsidR="005C48FA">
        <w:rPr>
          <w:lang w:val="en-AU"/>
        </w:rPr>
        <w:fldChar w:fldCharType="begin"/>
      </w:r>
      <w:r w:rsidRPr="008D1918" w:rsidR="005C48FA">
        <w:rPr>
          <w:lang w:val="en-AU"/>
        </w:rPr>
        <w:instrText xml:space="preserve"> REF _Ref223696566 \h </w:instrText>
      </w:r>
      <w:r w:rsidRPr="008D1918" w:rsidR="00762DF8">
        <w:rPr>
          <w:lang w:val="en-AU"/>
        </w:rPr>
        <w:instrText xml:space="preserve"> \* MERGEFORMAT </w:instrText>
      </w:r>
      <w:r w:rsidRPr="008D1918" w:rsidR="005C48FA">
        <w:rPr>
          <w:lang w:val="en-AU"/>
        </w:rPr>
      </w:r>
      <w:r w:rsidRPr="008D1918" w:rsidR="005C48FA">
        <w:rPr>
          <w:lang w:val="en-AU"/>
        </w:rPr>
        <w:fldChar w:fldCharType="separate"/>
      </w:r>
      <w:r w:rsidRPr="008F56A2" w:rsidR="008F56A2">
        <w:rPr>
          <w:lang w:val="en-AU"/>
        </w:rPr>
        <w:t>Table</w:t>
      </w:r>
      <w:r w:rsidRPr="008D1918" w:rsidR="008F56A2">
        <w:t xml:space="preserve"> </w:t>
      </w:r>
      <w:r w:rsidR="008F56A2">
        <w:rPr>
          <w:noProof/>
        </w:rPr>
        <w:t>45</w:t>
      </w:r>
      <w:r w:rsidRPr="008D1918" w:rsidR="005C48FA">
        <w:rPr>
          <w:lang w:val="en-AU"/>
        </w:rPr>
        <w:fldChar w:fldCharType="end"/>
      </w:r>
      <w:r w:rsidRPr="008D1918">
        <w:rPr>
          <w:lang w:val="en-AU"/>
        </w:rPr>
        <w:t xml:space="preserve">). These providers typically work directly with a small number of participants without the overhead structures that organisational delivery requires. </w:t>
      </w:r>
      <w:r w:rsidRPr="008D1918">
        <w:rPr>
          <w:lang w:val="en-AU"/>
        </w:rPr>
        <w:t>Fifty-six per cent of all S</w:t>
      </w:r>
      <w:r w:rsidRPr="008D1918" w:rsidR="00476700">
        <w:rPr>
          <w:lang w:val="en-AU"/>
        </w:rPr>
        <w:t>C</w:t>
      </w:r>
      <w:r w:rsidRPr="008D1918">
        <w:rPr>
          <w:lang w:val="en-AU"/>
        </w:rPr>
        <w:t xml:space="preserve">CP providers (55,862) support a single participant and 88% support </w:t>
      </w:r>
      <w:r w:rsidRPr="008D1918" w:rsidR="00186248">
        <w:rPr>
          <w:lang w:val="en-AU"/>
        </w:rPr>
        <w:t xml:space="preserve">5 </w:t>
      </w:r>
      <w:r w:rsidRPr="008D1918">
        <w:rPr>
          <w:lang w:val="en-AU"/>
        </w:rPr>
        <w:t>or fewer</w:t>
      </w:r>
      <w:r w:rsidRPr="008D1918" w:rsidR="00186248">
        <w:rPr>
          <w:lang w:val="en-AU"/>
        </w:rPr>
        <w:t xml:space="preserve"> participants</w:t>
      </w:r>
      <w:r w:rsidRPr="008D1918">
        <w:rPr>
          <w:lang w:val="en-AU"/>
        </w:rPr>
        <w:t>.</w:t>
      </w:r>
    </w:p>
    <w:p w:rsidRPr="008D1918" w:rsidR="00601AFC" w:rsidP="005C48FA" w:rsidRDefault="005C48FA" w14:paraId="531843E8" w14:textId="7A2F99E1">
      <w:pPr>
        <w:pStyle w:val="Caption"/>
      </w:pPr>
      <w:bookmarkStart w:name="_Ref223696566" w:id="2049"/>
      <w:r w:rsidRPr="008D1918">
        <w:t xml:space="preserve">Table </w:t>
      </w:r>
      <w:r>
        <w:fldChar w:fldCharType="begin"/>
      </w:r>
      <w:r>
        <w:instrText>SEQ Table \* ARABIC</w:instrText>
      </w:r>
      <w:r>
        <w:fldChar w:fldCharType="separate"/>
      </w:r>
      <w:r w:rsidR="008F56A2">
        <w:rPr>
          <w:noProof/>
        </w:rPr>
        <w:t>45</w:t>
      </w:r>
      <w:r>
        <w:fldChar w:fldCharType="end"/>
      </w:r>
      <w:bookmarkEnd w:id="2049"/>
      <w:r w:rsidRPr="008D1918" w:rsidR="00601AFC">
        <w:t>: S</w:t>
      </w:r>
      <w:r w:rsidRPr="008D1918" w:rsidR="00476700">
        <w:t>C</w:t>
      </w:r>
      <w:r w:rsidRPr="008D1918" w:rsidR="00601AFC">
        <w:t xml:space="preserve">CP supports </w:t>
      </w:r>
      <w:r w:rsidRPr="008D1918" w:rsidR="008318A2">
        <w:t xml:space="preserve">NDIS </w:t>
      </w:r>
      <w:r w:rsidRPr="008D1918" w:rsidR="00601AFC">
        <w:t>statistics by legal entity type, July to December 2025</w:t>
      </w:r>
    </w:p>
    <w:tbl>
      <w:tblPr>
        <w:tblStyle w:val="GridTable4-Accent121"/>
        <w:tblW w:w="0" w:type="auto"/>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2835"/>
        <w:gridCol w:w="1134"/>
        <w:gridCol w:w="1418"/>
        <w:gridCol w:w="1418"/>
        <w:gridCol w:w="1077"/>
        <w:gridCol w:w="1077"/>
      </w:tblGrid>
      <w:tr w:rsidRPr="008D1918" w:rsidR="00A238C6" w:rsidTr="009B714B" w14:paraId="27E01097"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2835" w:type="dxa"/>
            <w:tcBorders>
              <w:right w:val="single" w:color="501E58" w:themeColor="accent5" w:themeShade="BF" w:sz="6" w:space="0"/>
            </w:tcBorders>
            <w:vAlign w:val="center"/>
          </w:tcPr>
          <w:p w:rsidRPr="008D1918" w:rsidR="00601AFC" w:rsidP="009B714B" w:rsidRDefault="00601AFC" w14:paraId="64F208AD" w14:textId="77777777">
            <w:pPr>
              <w:spacing w:before="60" w:after="60"/>
              <w:rPr>
                <w:rFonts w:cs="Arial"/>
                <w:sz w:val="20"/>
                <w:szCs w:val="20"/>
                <w:lang w:val="en-AU" w:eastAsia="en-AU"/>
              </w:rPr>
            </w:pPr>
            <w:r w:rsidRPr="008D1918">
              <w:rPr>
                <w:rFonts w:cs="Cordia New"/>
                <w:sz w:val="20"/>
                <w:szCs w:val="20"/>
                <w:lang w:val="en-AU"/>
              </w:rPr>
              <w:t>Statistics</w:t>
            </w:r>
          </w:p>
        </w:tc>
        <w:tc>
          <w:tcPr>
            <w:tcW w:w="1134" w:type="dxa"/>
            <w:tcBorders>
              <w:left w:val="single" w:color="501E58" w:themeColor="accent5" w:themeShade="BF" w:sz="6" w:space="0"/>
              <w:right w:val="single" w:color="501E58" w:themeColor="accent5" w:themeShade="BF" w:sz="6" w:space="0"/>
            </w:tcBorders>
            <w:vAlign w:val="center"/>
          </w:tcPr>
          <w:p w:rsidRPr="008D1918" w:rsidR="00601AFC" w:rsidP="009B714B" w:rsidRDefault="00601AFC" w14:paraId="3443B62E" w14:textId="77777777">
            <w:pPr>
              <w:spacing w:before="60" w:after="60"/>
              <w:jc w:val="right"/>
              <w:rPr>
                <w:rFonts w:cs="Arial"/>
                <w:sz w:val="20"/>
                <w:szCs w:val="20"/>
                <w:lang w:val="en-AU" w:eastAsia="en-AU"/>
              </w:rPr>
            </w:pPr>
            <w:r w:rsidRPr="008D1918">
              <w:rPr>
                <w:rFonts w:cs="Cordia New"/>
                <w:sz w:val="20"/>
                <w:szCs w:val="20"/>
                <w:lang w:val="en-AU"/>
              </w:rPr>
              <w:t>Company</w:t>
            </w:r>
          </w:p>
        </w:tc>
        <w:tc>
          <w:tcPr>
            <w:tcW w:w="1418" w:type="dxa"/>
            <w:tcBorders>
              <w:left w:val="single" w:color="501E58" w:themeColor="accent5" w:themeShade="BF" w:sz="6" w:space="0"/>
              <w:right w:val="single" w:color="501E58" w:themeColor="accent5" w:themeShade="BF" w:sz="6" w:space="0"/>
            </w:tcBorders>
            <w:vAlign w:val="center"/>
          </w:tcPr>
          <w:p w:rsidRPr="008D1918" w:rsidR="00601AFC" w:rsidP="009B714B" w:rsidRDefault="00601AFC" w14:paraId="24B0DAAE" w14:textId="02CC5CA3">
            <w:pPr>
              <w:spacing w:before="60" w:after="60"/>
              <w:jc w:val="right"/>
              <w:rPr>
                <w:rFonts w:cs="Arial"/>
                <w:sz w:val="20"/>
                <w:szCs w:val="20"/>
                <w:lang w:val="en-AU" w:eastAsia="en-AU"/>
              </w:rPr>
            </w:pPr>
            <w:r w:rsidRPr="008D1918">
              <w:rPr>
                <w:rFonts w:cs="Cordia New"/>
                <w:sz w:val="20"/>
                <w:szCs w:val="20"/>
                <w:lang w:val="en-AU"/>
              </w:rPr>
              <w:t xml:space="preserve">Government </w:t>
            </w:r>
            <w:r w:rsidRPr="008D1918" w:rsidR="009B714B">
              <w:rPr>
                <w:rFonts w:cs="Cordia New"/>
                <w:sz w:val="20"/>
                <w:szCs w:val="20"/>
                <w:lang w:val="en-AU"/>
              </w:rPr>
              <w:t>e</w:t>
            </w:r>
            <w:r w:rsidRPr="008D1918">
              <w:rPr>
                <w:rFonts w:cs="Cordia New"/>
                <w:sz w:val="20"/>
                <w:szCs w:val="20"/>
                <w:lang w:val="en-AU"/>
              </w:rPr>
              <w:t>ntity</w:t>
            </w:r>
          </w:p>
        </w:tc>
        <w:tc>
          <w:tcPr>
            <w:tcW w:w="1418" w:type="dxa"/>
            <w:tcBorders>
              <w:left w:val="single" w:color="501E58" w:themeColor="accent5" w:themeShade="BF" w:sz="6" w:space="0"/>
              <w:right w:val="single" w:color="501E58" w:themeColor="accent5" w:themeShade="BF" w:sz="6" w:space="0"/>
            </w:tcBorders>
            <w:vAlign w:val="center"/>
          </w:tcPr>
          <w:p w:rsidRPr="008D1918" w:rsidR="00601AFC" w:rsidP="009B714B" w:rsidRDefault="00601AFC" w14:paraId="2FC20221" w14:textId="31738C16">
            <w:pPr>
              <w:spacing w:before="60" w:after="60"/>
              <w:jc w:val="right"/>
              <w:rPr>
                <w:rFonts w:cs="Arial"/>
                <w:sz w:val="20"/>
                <w:szCs w:val="20"/>
                <w:lang w:val="en-AU" w:eastAsia="en-AU"/>
              </w:rPr>
            </w:pPr>
            <w:r w:rsidRPr="008D1918">
              <w:rPr>
                <w:rFonts w:cs="Cordia New"/>
                <w:sz w:val="20"/>
                <w:szCs w:val="20"/>
                <w:lang w:val="en-AU"/>
              </w:rPr>
              <w:t>Partnership (</w:t>
            </w:r>
            <w:r w:rsidRPr="008D1918" w:rsidR="009B714B">
              <w:rPr>
                <w:rFonts w:cs="Cordia New"/>
                <w:sz w:val="20"/>
                <w:szCs w:val="20"/>
                <w:lang w:val="en-AU"/>
              </w:rPr>
              <w:t>o</w:t>
            </w:r>
            <w:r w:rsidRPr="008D1918">
              <w:rPr>
                <w:rFonts w:cs="Cordia New"/>
                <w:sz w:val="20"/>
                <w:szCs w:val="20"/>
                <w:lang w:val="en-AU"/>
              </w:rPr>
              <w:t>ther)</w:t>
            </w:r>
          </w:p>
        </w:tc>
        <w:tc>
          <w:tcPr>
            <w:tcW w:w="1077" w:type="dxa"/>
            <w:tcBorders>
              <w:left w:val="single" w:color="501E58" w:themeColor="accent5" w:themeShade="BF" w:sz="6" w:space="0"/>
              <w:right w:val="single" w:color="501E58" w:themeColor="accent5" w:themeShade="BF" w:sz="6" w:space="0"/>
            </w:tcBorders>
            <w:vAlign w:val="center"/>
          </w:tcPr>
          <w:p w:rsidRPr="008D1918" w:rsidR="00601AFC" w:rsidP="009B714B" w:rsidRDefault="00601AFC" w14:paraId="40D87951" w14:textId="6BD0D7B8">
            <w:pPr>
              <w:spacing w:before="60" w:after="60"/>
              <w:jc w:val="right"/>
              <w:rPr>
                <w:rFonts w:cs="Arial"/>
                <w:sz w:val="20"/>
                <w:szCs w:val="20"/>
                <w:lang w:val="en-AU" w:eastAsia="en-AU"/>
              </w:rPr>
            </w:pPr>
            <w:r w:rsidRPr="008D1918">
              <w:rPr>
                <w:rFonts w:cs="Cordia New"/>
                <w:sz w:val="20"/>
                <w:szCs w:val="20"/>
                <w:lang w:val="en-AU"/>
              </w:rPr>
              <w:t xml:space="preserve">Trust / </w:t>
            </w:r>
            <w:r w:rsidRPr="008D1918" w:rsidR="009B714B">
              <w:rPr>
                <w:rFonts w:cs="Cordia New"/>
                <w:sz w:val="20"/>
                <w:szCs w:val="20"/>
                <w:lang w:val="en-AU"/>
              </w:rPr>
              <w:t>s</w:t>
            </w:r>
            <w:r w:rsidRPr="008D1918">
              <w:rPr>
                <w:rFonts w:cs="Cordia New"/>
                <w:sz w:val="20"/>
                <w:szCs w:val="20"/>
                <w:lang w:val="en-AU"/>
              </w:rPr>
              <w:t>uper</w:t>
            </w:r>
          </w:p>
        </w:tc>
        <w:tc>
          <w:tcPr>
            <w:tcW w:w="1077" w:type="dxa"/>
            <w:tcBorders>
              <w:left w:val="single" w:color="501E58" w:themeColor="accent5" w:themeShade="BF" w:sz="6" w:space="0"/>
              <w:right w:val="single" w:color="501E58" w:themeColor="accent5" w:themeShade="BF" w:sz="6" w:space="0"/>
            </w:tcBorders>
            <w:vAlign w:val="center"/>
          </w:tcPr>
          <w:p w:rsidRPr="008D1918" w:rsidR="00601AFC" w:rsidP="009B714B" w:rsidRDefault="00601AFC" w14:paraId="4BB2DD49" w14:textId="3DA2507C">
            <w:pPr>
              <w:spacing w:before="60" w:after="60"/>
              <w:jc w:val="right"/>
              <w:rPr>
                <w:rFonts w:cs="Arial"/>
                <w:sz w:val="20"/>
                <w:szCs w:val="20"/>
                <w:lang w:val="en-AU" w:eastAsia="en-AU"/>
              </w:rPr>
            </w:pPr>
            <w:r w:rsidRPr="008D1918">
              <w:rPr>
                <w:rFonts w:cs="Cordia New"/>
                <w:sz w:val="20"/>
                <w:szCs w:val="20"/>
                <w:lang w:val="en-AU"/>
              </w:rPr>
              <w:t xml:space="preserve">Sole </w:t>
            </w:r>
            <w:r w:rsidRPr="008D1918" w:rsidR="009B714B">
              <w:rPr>
                <w:rFonts w:cs="Cordia New"/>
                <w:sz w:val="20"/>
                <w:szCs w:val="20"/>
                <w:lang w:val="en-AU"/>
              </w:rPr>
              <w:t>t</w:t>
            </w:r>
            <w:r w:rsidRPr="008D1918">
              <w:rPr>
                <w:rFonts w:cs="Cordia New"/>
                <w:sz w:val="20"/>
                <w:szCs w:val="20"/>
                <w:lang w:val="en-AU"/>
              </w:rPr>
              <w:t>rader</w:t>
            </w:r>
          </w:p>
        </w:tc>
      </w:tr>
      <w:tr w:rsidRPr="008D1918" w:rsidR="00173A73" w14:paraId="3293FD95" w14:textId="77777777">
        <w:trPr>
          <w:cnfStyle w:val="000000100000" w:firstRow="0" w:lastRow="0" w:firstColumn="0" w:lastColumn="0" w:oddVBand="0" w:evenVBand="0" w:oddHBand="1" w:evenHBand="0" w:firstRowFirstColumn="0" w:firstRowLastColumn="0" w:lastRowFirstColumn="0" w:lastRowLastColumn="0"/>
          <w:trHeight w:val="397"/>
        </w:trPr>
        <w:tc>
          <w:tcPr>
            <w:tcW w:w="2835"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RDefault="00601AFC" w14:paraId="59E926E1" w14:textId="77777777">
            <w:pPr>
              <w:spacing w:before="60" w:after="60"/>
              <w:rPr>
                <w:rFonts w:cs="Arial"/>
                <w:sz w:val="20"/>
                <w:szCs w:val="20"/>
                <w:lang w:val="en-AU" w:eastAsia="en-AU"/>
              </w:rPr>
            </w:pPr>
            <w:r w:rsidRPr="008D1918">
              <w:rPr>
                <w:rFonts w:cs="Cordia New"/>
                <w:sz w:val="20"/>
                <w:szCs w:val="20"/>
                <w:lang w:val="en-AU"/>
              </w:rPr>
              <w:t>Number of NDIS participants</w:t>
            </w:r>
          </w:p>
        </w:tc>
        <w:tc>
          <w:tcPr>
            <w:tcW w:w="1134"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60855E27" w14:textId="77777777">
            <w:pPr>
              <w:spacing w:before="60" w:after="60"/>
              <w:ind w:right="30"/>
              <w:jc w:val="right"/>
              <w:rPr>
                <w:rFonts w:cs="Arial"/>
                <w:color w:val="000000"/>
                <w:sz w:val="20"/>
                <w:szCs w:val="20"/>
                <w:lang w:val="en-AU" w:eastAsia="en-AU"/>
              </w:rPr>
            </w:pPr>
            <w:r w:rsidRPr="008D1918">
              <w:rPr>
                <w:sz w:val="20"/>
                <w:szCs w:val="20"/>
                <w:lang w:val="en-AU"/>
              </w:rPr>
              <w:t>220,373</w:t>
            </w:r>
          </w:p>
        </w:tc>
        <w:tc>
          <w:tcPr>
            <w:tcW w:w="1418"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7779E4E4" w14:textId="77777777">
            <w:pPr>
              <w:spacing w:before="60" w:after="60"/>
              <w:ind w:right="30"/>
              <w:jc w:val="right"/>
              <w:rPr>
                <w:rFonts w:cs="Arial"/>
                <w:color w:val="000000"/>
                <w:sz w:val="20"/>
                <w:szCs w:val="20"/>
                <w:lang w:val="en-AU" w:eastAsia="en-AU"/>
              </w:rPr>
            </w:pPr>
            <w:r w:rsidRPr="008D1918">
              <w:rPr>
                <w:sz w:val="20"/>
                <w:szCs w:val="20"/>
                <w:lang w:val="en-AU"/>
              </w:rPr>
              <w:t>1,216</w:t>
            </w:r>
          </w:p>
        </w:tc>
        <w:tc>
          <w:tcPr>
            <w:tcW w:w="1418"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1A4F0028" w14:textId="77777777">
            <w:pPr>
              <w:spacing w:before="60" w:after="60"/>
              <w:ind w:right="30"/>
              <w:jc w:val="right"/>
              <w:rPr>
                <w:rFonts w:cs="Arial"/>
                <w:color w:val="000000"/>
                <w:sz w:val="20"/>
                <w:szCs w:val="20"/>
                <w:lang w:val="en-AU" w:eastAsia="en-AU"/>
              </w:rPr>
            </w:pPr>
            <w:r w:rsidRPr="008D1918">
              <w:rPr>
                <w:sz w:val="20"/>
                <w:szCs w:val="20"/>
                <w:lang w:val="en-AU"/>
              </w:rPr>
              <w:t>7,192</w:t>
            </w:r>
          </w:p>
        </w:tc>
        <w:tc>
          <w:tcPr>
            <w:tcW w:w="1077"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63C5C5C9" w14:textId="77777777">
            <w:pPr>
              <w:spacing w:before="60" w:after="60"/>
              <w:ind w:right="30"/>
              <w:jc w:val="right"/>
              <w:rPr>
                <w:rFonts w:cs="Arial"/>
                <w:color w:val="000000"/>
                <w:sz w:val="20"/>
                <w:szCs w:val="20"/>
                <w:lang w:val="en-AU" w:eastAsia="en-AU"/>
              </w:rPr>
            </w:pPr>
            <w:r w:rsidRPr="008D1918">
              <w:rPr>
                <w:sz w:val="20"/>
                <w:szCs w:val="20"/>
                <w:lang w:val="en-AU"/>
              </w:rPr>
              <w:t>22,592</w:t>
            </w:r>
          </w:p>
        </w:tc>
        <w:tc>
          <w:tcPr>
            <w:tcW w:w="1077"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3541A642" w14:textId="77777777">
            <w:pPr>
              <w:spacing w:before="60" w:after="60"/>
              <w:ind w:right="30"/>
              <w:jc w:val="right"/>
              <w:rPr>
                <w:rFonts w:cs="Arial"/>
                <w:sz w:val="20"/>
                <w:szCs w:val="20"/>
                <w:lang w:val="en-AU"/>
              </w:rPr>
            </w:pPr>
            <w:r w:rsidRPr="008D1918">
              <w:rPr>
                <w:sz w:val="20"/>
                <w:szCs w:val="20"/>
                <w:lang w:val="en-AU"/>
              </w:rPr>
              <w:t>89,483</w:t>
            </w:r>
          </w:p>
        </w:tc>
      </w:tr>
      <w:tr w:rsidRPr="008D1918" w:rsidR="00601AFC" w14:paraId="62392487" w14:textId="77777777">
        <w:trPr>
          <w:trHeight w:val="397"/>
        </w:trPr>
        <w:tc>
          <w:tcPr>
            <w:tcW w:w="2835"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RDefault="00601AFC" w14:paraId="7273FB2B" w14:textId="77777777">
            <w:pPr>
              <w:spacing w:before="60" w:after="60"/>
              <w:rPr>
                <w:rFonts w:cs="Arial"/>
                <w:sz w:val="20"/>
                <w:szCs w:val="20"/>
                <w:lang w:val="en-AU" w:eastAsia="en-AU"/>
              </w:rPr>
            </w:pPr>
            <w:r w:rsidRPr="008D1918">
              <w:rPr>
                <w:rFonts w:cs="Cordia New"/>
                <w:sz w:val="20"/>
                <w:szCs w:val="20"/>
                <w:lang w:val="en-AU"/>
              </w:rPr>
              <w:t>Number of active providers</w:t>
            </w:r>
          </w:p>
        </w:tc>
        <w:tc>
          <w:tcPr>
            <w:tcW w:w="113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667789BE" w14:textId="77777777">
            <w:pPr>
              <w:spacing w:before="60" w:after="60"/>
              <w:ind w:right="30"/>
              <w:jc w:val="right"/>
              <w:rPr>
                <w:rFonts w:cs="Arial"/>
                <w:color w:val="000000"/>
                <w:sz w:val="20"/>
                <w:szCs w:val="20"/>
                <w:lang w:val="en-AU" w:eastAsia="en-AU"/>
              </w:rPr>
            </w:pPr>
            <w:r w:rsidRPr="008D1918">
              <w:rPr>
                <w:sz w:val="20"/>
                <w:szCs w:val="20"/>
                <w:lang w:val="en-AU"/>
              </w:rPr>
              <w:t>19,151</w:t>
            </w:r>
          </w:p>
        </w:tc>
        <w:tc>
          <w:tcPr>
            <w:tcW w:w="141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12EC383C" w14:textId="77777777">
            <w:pPr>
              <w:spacing w:before="60" w:after="60"/>
              <w:ind w:right="30"/>
              <w:jc w:val="right"/>
              <w:rPr>
                <w:rFonts w:cs="Arial"/>
                <w:color w:val="000000"/>
                <w:sz w:val="20"/>
                <w:szCs w:val="20"/>
                <w:lang w:val="en-AU" w:eastAsia="en-AU"/>
              </w:rPr>
            </w:pPr>
            <w:r w:rsidRPr="008D1918">
              <w:rPr>
                <w:sz w:val="20"/>
                <w:szCs w:val="20"/>
                <w:lang w:val="en-AU"/>
              </w:rPr>
              <w:t>140</w:t>
            </w:r>
          </w:p>
        </w:tc>
        <w:tc>
          <w:tcPr>
            <w:tcW w:w="141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0B361317" w14:textId="77777777">
            <w:pPr>
              <w:spacing w:before="60" w:after="60"/>
              <w:ind w:right="30"/>
              <w:jc w:val="right"/>
              <w:rPr>
                <w:rFonts w:cs="Arial"/>
                <w:color w:val="000000"/>
                <w:sz w:val="20"/>
                <w:szCs w:val="20"/>
                <w:lang w:val="en-AU" w:eastAsia="en-AU"/>
              </w:rPr>
            </w:pPr>
            <w:r w:rsidRPr="008D1918">
              <w:rPr>
                <w:sz w:val="20"/>
                <w:szCs w:val="20"/>
                <w:lang w:val="en-AU"/>
              </w:rPr>
              <w:t>1,671</w:t>
            </w:r>
          </w:p>
        </w:tc>
        <w:tc>
          <w:tcPr>
            <w:tcW w:w="107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34872329" w14:textId="77777777">
            <w:pPr>
              <w:spacing w:before="60" w:after="60"/>
              <w:ind w:right="30"/>
              <w:jc w:val="right"/>
              <w:rPr>
                <w:rFonts w:cs="Arial"/>
                <w:color w:val="000000"/>
                <w:sz w:val="20"/>
                <w:szCs w:val="20"/>
                <w:lang w:val="en-AU" w:eastAsia="en-AU"/>
              </w:rPr>
            </w:pPr>
            <w:r w:rsidRPr="008D1918">
              <w:rPr>
                <w:sz w:val="20"/>
                <w:szCs w:val="20"/>
                <w:lang w:val="en-AU"/>
              </w:rPr>
              <w:t>2,901</w:t>
            </w:r>
          </w:p>
        </w:tc>
        <w:tc>
          <w:tcPr>
            <w:tcW w:w="107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3F5CB283" w14:textId="77777777">
            <w:pPr>
              <w:spacing w:before="60" w:after="60"/>
              <w:ind w:right="30"/>
              <w:jc w:val="right"/>
              <w:rPr>
                <w:rFonts w:cs="Arial"/>
                <w:sz w:val="20"/>
                <w:szCs w:val="20"/>
                <w:lang w:val="en-AU"/>
              </w:rPr>
            </w:pPr>
            <w:r w:rsidRPr="008D1918">
              <w:rPr>
                <w:sz w:val="20"/>
                <w:szCs w:val="20"/>
                <w:lang w:val="en-AU"/>
              </w:rPr>
              <w:t>75,504</w:t>
            </w:r>
          </w:p>
        </w:tc>
      </w:tr>
      <w:tr w:rsidRPr="008D1918" w:rsidR="00173A73" w14:paraId="5B71165A" w14:textId="77777777">
        <w:trPr>
          <w:cnfStyle w:val="000000100000" w:firstRow="0" w:lastRow="0" w:firstColumn="0" w:lastColumn="0" w:oddVBand="0" w:evenVBand="0" w:oddHBand="1" w:evenHBand="0" w:firstRowFirstColumn="0" w:firstRowLastColumn="0" w:lastRowFirstColumn="0" w:lastRowLastColumn="0"/>
          <w:trHeight w:val="397"/>
        </w:trPr>
        <w:tc>
          <w:tcPr>
            <w:tcW w:w="2835"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RDefault="00601AFC" w14:paraId="453B402F" w14:textId="7FDFD1EF">
            <w:pPr>
              <w:spacing w:before="60" w:after="60"/>
              <w:rPr>
                <w:rFonts w:cs="Arial"/>
                <w:sz w:val="20"/>
                <w:szCs w:val="20"/>
                <w:lang w:val="en-AU" w:eastAsia="en-AU"/>
              </w:rPr>
            </w:pPr>
            <w:r w:rsidRPr="008D1918">
              <w:rPr>
                <w:rFonts w:cs="Cordia New"/>
                <w:sz w:val="20"/>
                <w:szCs w:val="20"/>
                <w:lang w:val="en-AU"/>
              </w:rPr>
              <w:t>Total amount claimed by active providers of S</w:t>
            </w:r>
            <w:r w:rsidRPr="008D1918" w:rsidR="00476700">
              <w:rPr>
                <w:rFonts w:cs="Cordia New"/>
                <w:sz w:val="20"/>
                <w:szCs w:val="20"/>
                <w:lang w:val="en-AU"/>
              </w:rPr>
              <w:t>C</w:t>
            </w:r>
            <w:r w:rsidRPr="008D1918">
              <w:rPr>
                <w:rFonts w:cs="Cordia New"/>
                <w:sz w:val="20"/>
                <w:szCs w:val="20"/>
                <w:lang w:val="en-AU"/>
              </w:rPr>
              <w:t xml:space="preserve">CP-related supports </w:t>
            </w:r>
            <w:r w:rsidRPr="008D1918">
              <w:rPr>
                <w:rFonts w:cs="Cordia New"/>
                <w:b/>
                <w:bCs/>
                <w:sz w:val="20"/>
                <w:szCs w:val="20"/>
                <w:lang w:val="en-AU"/>
              </w:rPr>
              <w:t>($ million)</w:t>
            </w:r>
          </w:p>
        </w:tc>
        <w:tc>
          <w:tcPr>
            <w:tcW w:w="113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0D1A2F8E" w14:textId="77777777">
            <w:pPr>
              <w:spacing w:before="60" w:after="60"/>
              <w:ind w:right="30"/>
              <w:jc w:val="right"/>
              <w:rPr>
                <w:rFonts w:cs="Arial"/>
                <w:sz w:val="20"/>
                <w:szCs w:val="20"/>
                <w:lang w:val="en-AU"/>
              </w:rPr>
            </w:pPr>
            <w:r w:rsidRPr="008D1918">
              <w:rPr>
                <w:sz w:val="20"/>
                <w:szCs w:val="20"/>
                <w:lang w:val="en-AU"/>
              </w:rPr>
              <w:t>$4,043.3</w:t>
            </w:r>
          </w:p>
        </w:tc>
        <w:tc>
          <w:tcPr>
            <w:tcW w:w="141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409F2451" w14:textId="77777777">
            <w:pPr>
              <w:spacing w:before="60" w:after="60"/>
              <w:ind w:right="30"/>
              <w:jc w:val="right"/>
              <w:rPr>
                <w:rFonts w:cs="Arial"/>
                <w:sz w:val="20"/>
                <w:szCs w:val="20"/>
                <w:lang w:val="en-AU"/>
              </w:rPr>
            </w:pPr>
            <w:r w:rsidRPr="008D1918">
              <w:rPr>
                <w:sz w:val="20"/>
                <w:szCs w:val="20"/>
                <w:lang w:val="en-AU"/>
              </w:rPr>
              <w:t>$6.3</w:t>
            </w:r>
          </w:p>
        </w:tc>
        <w:tc>
          <w:tcPr>
            <w:tcW w:w="141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34410713" w14:textId="77777777">
            <w:pPr>
              <w:spacing w:before="60" w:after="60"/>
              <w:ind w:right="30"/>
              <w:jc w:val="right"/>
              <w:rPr>
                <w:rFonts w:cs="Arial"/>
                <w:sz w:val="20"/>
                <w:szCs w:val="20"/>
                <w:lang w:val="en-AU"/>
              </w:rPr>
            </w:pPr>
            <w:r w:rsidRPr="008D1918">
              <w:rPr>
                <w:sz w:val="20"/>
                <w:szCs w:val="20"/>
                <w:lang w:val="en-AU"/>
              </w:rPr>
              <w:t>$66.5</w:t>
            </w:r>
          </w:p>
        </w:tc>
        <w:tc>
          <w:tcPr>
            <w:tcW w:w="107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3DB940F7" w14:textId="77777777">
            <w:pPr>
              <w:spacing w:before="60" w:after="60"/>
              <w:ind w:right="30"/>
              <w:jc w:val="right"/>
              <w:rPr>
                <w:rFonts w:cs="Arial"/>
                <w:sz w:val="20"/>
                <w:szCs w:val="20"/>
                <w:lang w:val="en-AU"/>
              </w:rPr>
            </w:pPr>
            <w:r w:rsidRPr="008D1918">
              <w:rPr>
                <w:sz w:val="20"/>
                <w:szCs w:val="20"/>
                <w:lang w:val="en-AU"/>
              </w:rPr>
              <w:t>$272.4</w:t>
            </w:r>
          </w:p>
        </w:tc>
        <w:tc>
          <w:tcPr>
            <w:tcW w:w="107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06FE0E23" w14:textId="77777777">
            <w:pPr>
              <w:spacing w:before="60" w:after="60"/>
              <w:ind w:right="30"/>
              <w:jc w:val="right"/>
              <w:rPr>
                <w:rFonts w:cs="Arial"/>
                <w:sz w:val="20"/>
                <w:szCs w:val="20"/>
                <w:lang w:val="en-AU"/>
              </w:rPr>
            </w:pPr>
            <w:r w:rsidRPr="008D1918">
              <w:rPr>
                <w:sz w:val="20"/>
                <w:szCs w:val="20"/>
                <w:lang w:val="en-AU"/>
              </w:rPr>
              <w:t>$1,087.9</w:t>
            </w:r>
          </w:p>
        </w:tc>
      </w:tr>
      <w:tr w:rsidRPr="008D1918" w:rsidR="00601AFC" w14:paraId="17CFA30B" w14:textId="77777777">
        <w:trPr>
          <w:trHeight w:val="397"/>
        </w:trPr>
        <w:tc>
          <w:tcPr>
            <w:tcW w:w="2835"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RDefault="00601AFC" w14:paraId="1C735908" w14:textId="62DD5873">
            <w:pPr>
              <w:spacing w:before="60" w:after="60"/>
              <w:rPr>
                <w:rFonts w:cs="Arial"/>
                <w:b/>
                <w:bCs/>
                <w:sz w:val="20"/>
                <w:szCs w:val="20"/>
                <w:lang w:val="en-AU" w:eastAsia="en-AU"/>
              </w:rPr>
            </w:pPr>
            <w:r w:rsidRPr="008D1918">
              <w:rPr>
                <w:rFonts w:cs="Cordia New"/>
                <w:sz w:val="20"/>
                <w:szCs w:val="20"/>
                <w:lang w:val="en-AU"/>
              </w:rPr>
              <w:t>Average amount claimed by all active providers of SC</w:t>
            </w:r>
            <w:r w:rsidRPr="008D1918" w:rsidR="00476700">
              <w:rPr>
                <w:rFonts w:cs="Cordia New"/>
                <w:sz w:val="20"/>
                <w:szCs w:val="20"/>
                <w:lang w:val="en-AU"/>
              </w:rPr>
              <w:t>C</w:t>
            </w:r>
            <w:r w:rsidRPr="008D1918">
              <w:rPr>
                <w:rFonts w:cs="Cordia New"/>
                <w:sz w:val="20"/>
                <w:szCs w:val="20"/>
                <w:lang w:val="en-AU"/>
              </w:rPr>
              <w:t>P-related supports</w:t>
            </w:r>
          </w:p>
        </w:tc>
        <w:tc>
          <w:tcPr>
            <w:tcW w:w="113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102B55AF" w14:textId="77777777">
            <w:pPr>
              <w:spacing w:before="60" w:after="60"/>
              <w:ind w:right="30"/>
              <w:jc w:val="right"/>
              <w:rPr>
                <w:rFonts w:cs="Arial"/>
                <w:b/>
                <w:bCs/>
                <w:sz w:val="20"/>
                <w:szCs w:val="20"/>
                <w:lang w:val="en-AU"/>
              </w:rPr>
            </w:pPr>
            <w:r w:rsidRPr="008D1918">
              <w:rPr>
                <w:sz w:val="20"/>
                <w:szCs w:val="20"/>
                <w:lang w:val="en-AU"/>
              </w:rPr>
              <w:t>$211,100</w:t>
            </w:r>
          </w:p>
        </w:tc>
        <w:tc>
          <w:tcPr>
            <w:tcW w:w="141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6982E2E1" w14:textId="77777777">
            <w:pPr>
              <w:spacing w:before="60" w:after="60"/>
              <w:ind w:right="30"/>
              <w:jc w:val="right"/>
              <w:rPr>
                <w:rFonts w:cs="Arial"/>
                <w:b/>
                <w:bCs/>
                <w:sz w:val="20"/>
                <w:szCs w:val="20"/>
                <w:lang w:val="en-AU"/>
              </w:rPr>
            </w:pPr>
            <w:r w:rsidRPr="008D1918">
              <w:rPr>
                <w:sz w:val="20"/>
                <w:szCs w:val="20"/>
                <w:lang w:val="en-AU"/>
              </w:rPr>
              <w:t>$45,200</w:t>
            </w:r>
          </w:p>
        </w:tc>
        <w:tc>
          <w:tcPr>
            <w:tcW w:w="141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5D46B671" w14:textId="77777777">
            <w:pPr>
              <w:spacing w:before="60" w:after="60"/>
              <w:ind w:right="30"/>
              <w:jc w:val="right"/>
              <w:rPr>
                <w:rFonts w:cs="Arial"/>
                <w:b/>
                <w:bCs/>
                <w:sz w:val="20"/>
                <w:szCs w:val="20"/>
                <w:lang w:val="en-AU"/>
              </w:rPr>
            </w:pPr>
            <w:r w:rsidRPr="008D1918">
              <w:rPr>
                <w:sz w:val="20"/>
                <w:szCs w:val="20"/>
                <w:lang w:val="en-AU"/>
              </w:rPr>
              <w:t>$39,800</w:t>
            </w:r>
          </w:p>
        </w:tc>
        <w:tc>
          <w:tcPr>
            <w:tcW w:w="107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7CD1EBAF" w14:textId="77777777">
            <w:pPr>
              <w:spacing w:before="60" w:after="60"/>
              <w:ind w:right="30"/>
              <w:jc w:val="right"/>
              <w:rPr>
                <w:rFonts w:cs="Arial"/>
                <w:b/>
                <w:bCs/>
                <w:sz w:val="20"/>
                <w:szCs w:val="20"/>
                <w:lang w:val="en-AU"/>
              </w:rPr>
            </w:pPr>
            <w:r w:rsidRPr="008D1918">
              <w:rPr>
                <w:sz w:val="20"/>
                <w:szCs w:val="20"/>
                <w:lang w:val="en-AU"/>
              </w:rPr>
              <w:t>$93,900</w:t>
            </w:r>
          </w:p>
        </w:tc>
        <w:tc>
          <w:tcPr>
            <w:tcW w:w="107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CB7842" w:rsidRDefault="00601AFC" w14:paraId="1C4B823A" w14:textId="77777777">
            <w:pPr>
              <w:spacing w:before="60" w:after="60"/>
              <w:ind w:right="30"/>
              <w:jc w:val="right"/>
              <w:rPr>
                <w:rFonts w:cs="Arial"/>
                <w:b/>
                <w:bCs/>
                <w:sz w:val="20"/>
                <w:szCs w:val="20"/>
                <w:lang w:val="en-AU"/>
              </w:rPr>
            </w:pPr>
            <w:r w:rsidRPr="008D1918">
              <w:rPr>
                <w:sz w:val="20"/>
                <w:szCs w:val="20"/>
                <w:lang w:val="en-AU"/>
              </w:rPr>
              <w:t>$14,400</w:t>
            </w:r>
          </w:p>
        </w:tc>
      </w:tr>
    </w:tbl>
    <w:p w:rsidRPr="008D1918" w:rsidR="00601AFC" w:rsidRDefault="00601AFC" w14:paraId="13AEAAC6"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601AFC" w:rsidRDefault="00601AFC" w14:paraId="2EDA363D" w14:textId="77777777">
      <w:pPr>
        <w:spacing w:before="60" w:after="60" w:line="240" w:lineRule="atLeast"/>
        <w:rPr>
          <w:rFonts w:cs="Arial" w:eastAsiaTheme="minorEastAsia"/>
          <w:sz w:val="20"/>
          <w:szCs w:val="20"/>
          <w:lang w:val="en-AU"/>
        </w:rPr>
      </w:pPr>
      <w:r w:rsidRPr="008D1918">
        <w:rPr>
          <w:rFonts w:cs="Arial" w:eastAsiaTheme="minorEastAsia"/>
          <w:sz w:val="20"/>
          <w:szCs w:val="20"/>
          <w:lang w:val="en-AU"/>
        </w:rPr>
        <w:t>Average revenue is rounded up to the nearest hundred.</w:t>
      </w:r>
    </w:p>
    <w:p w:rsidRPr="008D1918" w:rsidR="00601AFC" w:rsidP="00933118" w:rsidRDefault="00601AFC" w14:paraId="5ED18D22" w14:textId="5375ECE5">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Note: Providers with a missing legal entity type are excluded.</w:t>
      </w:r>
    </w:p>
    <w:p w:rsidRPr="008D1918" w:rsidR="00601AFC" w:rsidRDefault="00601AFC" w14:paraId="2991EA47" w14:textId="176188F1">
      <w:pPr>
        <w:rPr>
          <w:lang w:val="en-AU"/>
        </w:rPr>
      </w:pPr>
      <w:r w:rsidRPr="008D1918">
        <w:rPr>
          <w:lang w:val="en-AU"/>
        </w:rPr>
        <w:t xml:space="preserve">The unregistered market is </w:t>
      </w:r>
      <w:r w:rsidRPr="008D1918" w:rsidR="00D64A66">
        <w:rPr>
          <w:lang w:val="en-AU"/>
        </w:rPr>
        <w:t xml:space="preserve">mostly </w:t>
      </w:r>
      <w:r w:rsidRPr="008D1918">
        <w:rPr>
          <w:lang w:val="en-AU"/>
        </w:rPr>
        <w:t xml:space="preserve">sole traders. Of </w:t>
      </w:r>
      <w:r w:rsidRPr="008D1918" w:rsidR="003443A0">
        <w:rPr>
          <w:lang w:val="en-AU"/>
        </w:rPr>
        <w:t>the</w:t>
      </w:r>
      <w:r w:rsidRPr="008D1918">
        <w:rPr>
          <w:lang w:val="en-AU"/>
        </w:rPr>
        <w:t xml:space="preserve"> </w:t>
      </w:r>
      <w:r w:rsidRPr="008D1918" w:rsidR="000A124F">
        <w:rPr>
          <w:lang w:val="en-AU"/>
        </w:rPr>
        <w:t xml:space="preserve">89,909 </w:t>
      </w:r>
      <w:r w:rsidRPr="008D1918">
        <w:rPr>
          <w:lang w:val="en-AU"/>
        </w:rPr>
        <w:t>unregistered providers with a known entity type, 74,762 are sole traders and only</w:t>
      </w:r>
      <w:r w:rsidRPr="008D1918" w:rsidR="00230A91">
        <w:rPr>
          <w:lang w:val="en-AU"/>
        </w:rPr>
        <w:t xml:space="preserve"> 15,147</w:t>
      </w:r>
      <w:r w:rsidRPr="008D1918">
        <w:rPr>
          <w:lang w:val="en-AU"/>
        </w:rPr>
        <w:t xml:space="preserve"> are organisations. </w:t>
      </w:r>
      <w:r w:rsidRPr="008D1918" w:rsidR="00F623DB">
        <w:rPr>
          <w:lang w:val="en-AU"/>
        </w:rPr>
        <w:t>This is i</w:t>
      </w:r>
      <w:r w:rsidRPr="008D1918">
        <w:rPr>
          <w:lang w:val="en-AU"/>
        </w:rPr>
        <w:t>n</w:t>
      </w:r>
      <w:r w:rsidRPr="008D1918" w:rsidR="003443A0">
        <w:rPr>
          <w:lang w:val="en-AU"/>
        </w:rPr>
        <w:t xml:space="preserve"> contrast</w:t>
      </w:r>
      <w:r w:rsidRPr="008D1918">
        <w:rPr>
          <w:lang w:val="en-AU"/>
        </w:rPr>
        <w:t xml:space="preserve"> </w:t>
      </w:r>
      <w:r w:rsidRPr="008D1918" w:rsidR="00F623DB">
        <w:rPr>
          <w:lang w:val="en-AU"/>
        </w:rPr>
        <w:t>to</w:t>
      </w:r>
      <w:r w:rsidRPr="008D1918">
        <w:rPr>
          <w:lang w:val="en-AU"/>
        </w:rPr>
        <w:t xml:space="preserve"> the registered market</w:t>
      </w:r>
      <w:r w:rsidRPr="008D1918" w:rsidR="00F623DB">
        <w:rPr>
          <w:lang w:val="en-AU"/>
        </w:rPr>
        <w:t xml:space="preserve"> where</w:t>
      </w:r>
      <w:r w:rsidRPr="008D1918">
        <w:rPr>
          <w:lang w:val="en-AU"/>
        </w:rPr>
        <w:t xml:space="preserve">, </w:t>
      </w:r>
      <w:r w:rsidRPr="008D1918" w:rsidR="00491CF2">
        <w:rPr>
          <w:lang w:val="en-AU"/>
        </w:rPr>
        <w:t xml:space="preserve">the number of </w:t>
      </w:r>
      <w:r w:rsidRPr="008D1918">
        <w:rPr>
          <w:lang w:val="en-AU"/>
        </w:rPr>
        <w:t>organisations (</w:t>
      </w:r>
      <w:r w:rsidRPr="008D1918" w:rsidR="00491CF2">
        <w:rPr>
          <w:lang w:val="en-AU"/>
        </w:rPr>
        <w:t>9,566</w:t>
      </w:r>
      <w:r w:rsidRPr="008D1918">
        <w:rPr>
          <w:lang w:val="en-AU"/>
        </w:rPr>
        <w:t>)</w:t>
      </w:r>
      <w:r w:rsidRPr="008D1918" w:rsidR="00F33265">
        <w:rPr>
          <w:lang w:val="en-AU"/>
        </w:rPr>
        <w:t xml:space="preserve"> </w:t>
      </w:r>
      <w:r w:rsidRPr="008D1918" w:rsidR="00251749">
        <w:rPr>
          <w:lang w:val="en-AU"/>
        </w:rPr>
        <w:t>are</w:t>
      </w:r>
      <w:r w:rsidRPr="008D1918" w:rsidR="007B02DB">
        <w:rPr>
          <w:lang w:val="en-AU"/>
        </w:rPr>
        <w:t xml:space="preserve"> significantly more than</w:t>
      </w:r>
      <w:r w:rsidRPr="008D1918">
        <w:rPr>
          <w:lang w:val="en-AU"/>
        </w:rPr>
        <w:t xml:space="preserve"> sole traders (829) </w:t>
      </w:r>
      <w:r w:rsidRPr="008D1918" w:rsidR="00202492">
        <w:rPr>
          <w:lang w:val="en-AU"/>
        </w:rPr>
        <w:t>and</w:t>
      </w:r>
      <w:r w:rsidRPr="008D1918">
        <w:rPr>
          <w:lang w:val="en-AU"/>
        </w:rPr>
        <w:t xml:space="preserve"> registered organisations claim substantially more in payments ($</w:t>
      </w:r>
      <w:r w:rsidRPr="008D1918" w:rsidR="00754983">
        <w:rPr>
          <w:lang w:val="en-AU"/>
        </w:rPr>
        <w:t>3,36</w:t>
      </w:r>
      <w:r w:rsidRPr="008D1918" w:rsidR="008C4BEE">
        <w:rPr>
          <w:lang w:val="en-AU"/>
        </w:rPr>
        <w:t>8</w:t>
      </w:r>
      <w:r w:rsidRPr="008D1918" w:rsidR="00754983">
        <w:rPr>
          <w:lang w:val="en-AU"/>
        </w:rPr>
        <w:t xml:space="preserve"> </w:t>
      </w:r>
      <w:r w:rsidRPr="008D1918">
        <w:rPr>
          <w:lang w:val="en-AU"/>
        </w:rPr>
        <w:t xml:space="preserve">million compared with $50 million </w:t>
      </w:r>
      <w:r w:rsidRPr="008D1918" w:rsidR="006C7CCE">
        <w:rPr>
          <w:lang w:val="en-AU"/>
        </w:rPr>
        <w:t>respectively</w:t>
      </w:r>
      <w:r w:rsidRPr="008D1918">
        <w:rPr>
          <w:lang w:val="en-AU"/>
        </w:rPr>
        <w:t>) (</w:t>
      </w:r>
      <w:r w:rsidRPr="008D1918" w:rsidR="005C48FA">
        <w:rPr>
          <w:lang w:val="en-AU"/>
        </w:rPr>
        <w:fldChar w:fldCharType="begin"/>
      </w:r>
      <w:r w:rsidRPr="008D1918" w:rsidR="005C48FA">
        <w:rPr>
          <w:lang w:val="en-AU"/>
        </w:rPr>
        <w:instrText xml:space="preserve"> REF _Ref223696614 \h </w:instrText>
      </w:r>
      <w:r w:rsidRPr="008D1918" w:rsidR="00762DF8">
        <w:rPr>
          <w:lang w:val="en-AU"/>
        </w:rPr>
        <w:instrText xml:space="preserve"> \* MERGEFORMAT </w:instrText>
      </w:r>
      <w:r w:rsidRPr="008D1918" w:rsidR="005C48FA">
        <w:rPr>
          <w:lang w:val="en-AU"/>
        </w:rPr>
      </w:r>
      <w:r w:rsidRPr="008D1918" w:rsidR="005C48FA">
        <w:rPr>
          <w:lang w:val="en-AU"/>
        </w:rPr>
        <w:fldChar w:fldCharType="separate"/>
      </w:r>
      <w:r w:rsidRPr="008F56A2" w:rsidR="008F56A2">
        <w:rPr>
          <w:lang w:val="en-AU"/>
        </w:rPr>
        <w:t>Table</w:t>
      </w:r>
      <w:r w:rsidRPr="008D1918" w:rsidR="008F56A2">
        <w:t xml:space="preserve"> </w:t>
      </w:r>
      <w:r w:rsidR="008F56A2">
        <w:rPr>
          <w:noProof/>
        </w:rPr>
        <w:t>46</w:t>
      </w:r>
      <w:r w:rsidRPr="008D1918" w:rsidR="005C48FA">
        <w:rPr>
          <w:lang w:val="en-AU"/>
        </w:rPr>
        <w:fldChar w:fldCharType="end"/>
      </w:r>
      <w:r w:rsidRPr="008D1918">
        <w:rPr>
          <w:lang w:val="en-AU"/>
        </w:rPr>
        <w:t xml:space="preserve"> and </w:t>
      </w:r>
      <w:r w:rsidRPr="008D1918" w:rsidR="003B2D0E">
        <w:rPr>
          <w:lang w:val="en-AU"/>
        </w:rPr>
        <w:fldChar w:fldCharType="begin"/>
      </w:r>
      <w:r w:rsidRPr="008D1918" w:rsidR="003B2D0E">
        <w:rPr>
          <w:lang w:val="en-AU"/>
        </w:rPr>
        <w:instrText xml:space="preserve"> REF _Ref223696823 \h </w:instrText>
      </w:r>
      <w:r w:rsidRPr="008D1918" w:rsidR="00762DF8">
        <w:rPr>
          <w:lang w:val="en-AU"/>
        </w:rPr>
        <w:instrText xml:space="preserve"> \* MERGEFORMAT </w:instrText>
      </w:r>
      <w:r w:rsidRPr="008D1918" w:rsidR="003B2D0E">
        <w:rPr>
          <w:lang w:val="en-AU"/>
        </w:rPr>
      </w:r>
      <w:r w:rsidRPr="008D1918" w:rsidR="003B2D0E">
        <w:rPr>
          <w:lang w:val="en-AU"/>
        </w:rPr>
        <w:fldChar w:fldCharType="separate"/>
      </w:r>
      <w:r w:rsidRPr="008F56A2" w:rsidR="008F56A2">
        <w:rPr>
          <w:lang w:val="en-AU"/>
        </w:rPr>
        <w:t>Table</w:t>
      </w:r>
      <w:r w:rsidRPr="008D1918" w:rsidR="008F56A2">
        <w:t xml:space="preserve"> </w:t>
      </w:r>
      <w:r w:rsidR="008F56A2">
        <w:rPr>
          <w:noProof/>
        </w:rPr>
        <w:t>47</w:t>
      </w:r>
      <w:r w:rsidRPr="008D1918" w:rsidR="003B2D0E">
        <w:rPr>
          <w:lang w:val="en-AU"/>
        </w:rPr>
        <w:fldChar w:fldCharType="end"/>
      </w:r>
      <w:r w:rsidRPr="008D1918">
        <w:rPr>
          <w:lang w:val="en-AU"/>
        </w:rPr>
        <w:t>).</w:t>
      </w:r>
    </w:p>
    <w:p w:rsidRPr="008D1918" w:rsidR="00601AFC" w:rsidRDefault="277EF12F" w14:paraId="2893A1DB" w14:textId="66F10B73">
      <w:pPr>
        <w:pStyle w:val="Caption"/>
        <w:keepNext w:val="0"/>
        <w:spacing w:before="0" w:after="200" w:line="288" w:lineRule="auto"/>
        <w:rPr>
          <w:i w:val="0"/>
          <w:iCs w:val="0"/>
          <w:color w:val="auto"/>
        </w:rPr>
      </w:pPr>
      <w:r w:rsidRPr="008D1918">
        <w:rPr>
          <w:i w:val="0"/>
          <w:color w:val="auto"/>
        </w:rPr>
        <w:t>The distribution of</w:t>
      </w:r>
      <w:r w:rsidRPr="008D1918" w:rsidR="00601AFC">
        <w:rPr>
          <w:i w:val="0"/>
          <w:color w:val="auto"/>
        </w:rPr>
        <w:t xml:space="preserve"> providers by legal entity type and number of participants supported</w:t>
      </w:r>
      <w:r w:rsidRPr="008D1918">
        <w:rPr>
          <w:i w:val="0"/>
          <w:color w:val="auto"/>
        </w:rPr>
        <w:t xml:space="preserve"> shows a clear and notable</w:t>
      </w:r>
      <w:r w:rsidRPr="008D1918" w:rsidR="00601AFC">
        <w:rPr>
          <w:i w:val="0"/>
          <w:color w:val="auto"/>
        </w:rPr>
        <w:t xml:space="preserve"> pattern</w:t>
      </w:r>
      <w:r w:rsidRPr="008D1918" w:rsidR="00601AFC">
        <w:rPr>
          <w:i w:val="0"/>
          <w:iCs w:val="0"/>
          <w:color w:val="auto"/>
        </w:rPr>
        <w:t xml:space="preserve">. Among unregistered sole traders, 47,795 (64%) support </w:t>
      </w:r>
      <w:r w:rsidRPr="008D1918" w:rsidR="00811443">
        <w:rPr>
          <w:i w:val="0"/>
          <w:iCs w:val="0"/>
          <w:color w:val="auto"/>
        </w:rPr>
        <w:t>a single</w:t>
      </w:r>
      <w:r w:rsidRPr="008D1918" w:rsidR="00601AFC">
        <w:rPr>
          <w:i w:val="0"/>
          <w:iCs w:val="0"/>
          <w:color w:val="auto"/>
        </w:rPr>
        <w:t xml:space="preserve"> participant, and a further 13,307 support </w:t>
      </w:r>
      <w:r w:rsidRPr="008D1918" w:rsidR="00FD4ECE">
        <w:rPr>
          <w:i w:val="0"/>
          <w:iCs w:val="0"/>
          <w:color w:val="auto"/>
        </w:rPr>
        <w:t xml:space="preserve">2 </w:t>
      </w:r>
      <w:r w:rsidRPr="008D1918" w:rsidR="328CCE2D">
        <w:rPr>
          <w:i w:val="0"/>
          <w:iCs w:val="0"/>
          <w:color w:val="000000" w:themeColor="accent6"/>
        </w:rPr>
        <w:t>(</w:t>
      </w:r>
      <w:r w:rsidRPr="008D1918" w:rsidR="005C48FA">
        <w:rPr>
          <w:i w:val="0"/>
          <w:color w:val="000000" w:themeColor="accent6"/>
        </w:rPr>
        <w:fldChar w:fldCharType="begin"/>
      </w:r>
      <w:r w:rsidRPr="008D1918" w:rsidR="005C48FA">
        <w:rPr>
          <w:i w:val="0"/>
          <w:color w:val="000000" w:themeColor="accent6"/>
        </w:rPr>
        <w:instrText xml:space="preserve"> REF _Ref223696614 \h </w:instrText>
      </w:r>
      <w:r w:rsidRPr="008D1918" w:rsidR="00762DF8">
        <w:rPr>
          <w:i w:val="0"/>
          <w:color w:val="000000" w:themeColor="accent6"/>
        </w:rPr>
        <w:instrText xml:space="preserve"> \* MERGEFORMAT </w:instrText>
      </w:r>
      <w:r w:rsidRPr="008D1918" w:rsidR="005C48FA">
        <w:rPr>
          <w:i w:val="0"/>
          <w:color w:val="000000" w:themeColor="accent6"/>
        </w:rPr>
      </w:r>
      <w:r w:rsidRPr="008D1918" w:rsidR="005C48FA">
        <w:rPr>
          <w:i w:val="0"/>
          <w:color w:val="000000" w:themeColor="accent6"/>
        </w:rPr>
        <w:fldChar w:fldCharType="separate"/>
      </w:r>
      <w:r w:rsidRPr="008F56A2" w:rsidR="008F56A2">
        <w:rPr>
          <w:i w:val="0"/>
          <w:color w:val="000000" w:themeColor="accent6"/>
        </w:rPr>
        <w:t xml:space="preserve">Table </w:t>
      </w:r>
      <w:r w:rsidRPr="008F56A2" w:rsidR="008F56A2">
        <w:rPr>
          <w:i w:val="0"/>
          <w:noProof/>
          <w:color w:val="000000" w:themeColor="accent6"/>
        </w:rPr>
        <w:t>46</w:t>
      </w:r>
      <w:r w:rsidRPr="008D1918" w:rsidR="005C48FA">
        <w:rPr>
          <w:i w:val="0"/>
          <w:iCs w:val="0"/>
          <w:color w:val="000000" w:themeColor="accent6"/>
        </w:rPr>
        <w:fldChar w:fldCharType="end"/>
      </w:r>
      <w:r w:rsidRPr="008D1918" w:rsidR="328CCE2D">
        <w:rPr>
          <w:i w:val="0"/>
          <w:iCs w:val="0"/>
          <w:color w:val="000000" w:themeColor="accent6"/>
        </w:rPr>
        <w:t xml:space="preserve"> and</w:t>
      </w:r>
      <w:r w:rsidRPr="008D1918" w:rsidR="003B2D0E">
        <w:rPr>
          <w:i w:val="0"/>
          <w:iCs w:val="0"/>
          <w:color w:val="000000" w:themeColor="accent6"/>
        </w:rPr>
        <w:t xml:space="preserve"> </w:t>
      </w:r>
      <w:r w:rsidRPr="008D1918" w:rsidR="003B2D0E">
        <w:rPr>
          <w:i w:val="0"/>
          <w:color w:val="000000" w:themeColor="accent6"/>
        </w:rPr>
        <w:fldChar w:fldCharType="begin"/>
      </w:r>
      <w:r w:rsidRPr="008D1918" w:rsidR="003B2D0E">
        <w:rPr>
          <w:i w:val="0"/>
          <w:color w:val="000000" w:themeColor="accent6"/>
        </w:rPr>
        <w:instrText xml:space="preserve"> REF _Ref223696823 \h </w:instrText>
      </w:r>
      <w:r w:rsidRPr="008D1918" w:rsidR="00762DF8">
        <w:rPr>
          <w:i w:val="0"/>
          <w:color w:val="000000" w:themeColor="accent6"/>
        </w:rPr>
        <w:instrText xml:space="preserve"> \* MERGEFORMAT </w:instrText>
      </w:r>
      <w:r w:rsidRPr="008D1918" w:rsidR="003B2D0E">
        <w:rPr>
          <w:i w:val="0"/>
          <w:color w:val="000000" w:themeColor="accent6"/>
        </w:rPr>
      </w:r>
      <w:r w:rsidRPr="008D1918" w:rsidR="003B2D0E">
        <w:rPr>
          <w:i w:val="0"/>
          <w:color w:val="000000" w:themeColor="accent6"/>
        </w:rPr>
        <w:fldChar w:fldCharType="separate"/>
      </w:r>
      <w:r w:rsidRPr="008F56A2" w:rsidR="008F56A2">
        <w:rPr>
          <w:i w:val="0"/>
          <w:color w:val="000000" w:themeColor="accent6"/>
        </w:rPr>
        <w:t xml:space="preserve">Table </w:t>
      </w:r>
      <w:r w:rsidRPr="008F56A2" w:rsidR="008F56A2">
        <w:rPr>
          <w:i w:val="0"/>
          <w:noProof/>
          <w:color w:val="000000" w:themeColor="accent6"/>
        </w:rPr>
        <w:t>47</w:t>
      </w:r>
      <w:r w:rsidRPr="008D1918" w:rsidR="003B2D0E">
        <w:rPr>
          <w:i w:val="0"/>
          <w:iCs w:val="0"/>
          <w:color w:val="000000" w:themeColor="accent6"/>
        </w:rPr>
        <w:fldChar w:fldCharType="end"/>
      </w:r>
      <w:r w:rsidRPr="008D1918" w:rsidR="328CCE2D">
        <w:rPr>
          <w:i w:val="0"/>
          <w:iCs w:val="0"/>
          <w:color w:val="000000" w:themeColor="accent6"/>
        </w:rPr>
        <w:t>)</w:t>
      </w:r>
      <w:r w:rsidRPr="008D1918" w:rsidR="00601AFC">
        <w:rPr>
          <w:i w:val="0"/>
          <w:iCs w:val="0"/>
          <w:color w:val="auto"/>
        </w:rPr>
        <w:t xml:space="preserve">. More than </w:t>
      </w:r>
      <w:r w:rsidRPr="008D1918" w:rsidR="00186248">
        <w:rPr>
          <w:i w:val="0"/>
          <w:iCs w:val="0"/>
          <w:color w:val="auto"/>
        </w:rPr>
        <w:t xml:space="preserve">4 </w:t>
      </w:r>
      <w:r w:rsidRPr="008D1918" w:rsidR="00601AFC">
        <w:rPr>
          <w:i w:val="0"/>
          <w:iCs w:val="0"/>
          <w:color w:val="auto"/>
        </w:rPr>
        <w:t xml:space="preserve">in </w:t>
      </w:r>
      <w:r w:rsidRPr="008D1918" w:rsidR="00186248">
        <w:rPr>
          <w:i w:val="0"/>
          <w:iCs w:val="0"/>
          <w:color w:val="auto"/>
        </w:rPr>
        <w:t xml:space="preserve">5 </w:t>
      </w:r>
      <w:r w:rsidRPr="008D1918" w:rsidR="00601AFC">
        <w:rPr>
          <w:i w:val="0"/>
          <w:iCs w:val="0"/>
          <w:color w:val="auto"/>
        </w:rPr>
        <w:t xml:space="preserve">unregistered sole traders work with one or </w:t>
      </w:r>
      <w:r w:rsidRPr="008D1918" w:rsidR="00FD4ECE">
        <w:rPr>
          <w:i w:val="0"/>
          <w:iCs w:val="0"/>
          <w:color w:val="auto"/>
        </w:rPr>
        <w:t xml:space="preserve">2 </w:t>
      </w:r>
      <w:r w:rsidRPr="008D1918" w:rsidR="00601AFC">
        <w:rPr>
          <w:i w:val="0"/>
          <w:iCs w:val="0"/>
          <w:color w:val="auto"/>
        </w:rPr>
        <w:t>people. By contrast, registered organisations span the full range of provider scale, from individual participant relationships to providers supporting hundreds of participants</w:t>
      </w:r>
      <w:r w:rsidRPr="008D1918" w:rsidR="00ED0161">
        <w:rPr>
          <w:i w:val="0"/>
          <w:iCs w:val="0"/>
          <w:color w:val="auto"/>
        </w:rPr>
        <w:t xml:space="preserve">. This reflects </w:t>
      </w:r>
      <w:r w:rsidRPr="008D1918" w:rsidR="00601AFC">
        <w:rPr>
          <w:i w:val="0"/>
          <w:iCs w:val="0"/>
          <w:color w:val="auto"/>
        </w:rPr>
        <w:t>an organisational delivery model designed to</w:t>
      </w:r>
      <w:r w:rsidRPr="008D1918" w:rsidR="00E43DDB">
        <w:rPr>
          <w:i w:val="0"/>
          <w:iCs w:val="0"/>
          <w:color w:val="auto"/>
        </w:rPr>
        <w:t xml:space="preserve"> operate at</w:t>
      </w:r>
      <w:r w:rsidRPr="008D1918" w:rsidR="00601AFC">
        <w:rPr>
          <w:i w:val="0"/>
          <w:iCs w:val="0"/>
          <w:color w:val="auto"/>
        </w:rPr>
        <w:t xml:space="preserve"> scale. </w:t>
      </w:r>
    </w:p>
    <w:p w:rsidRPr="008D1918" w:rsidR="00601AFC" w:rsidP="005C48FA" w:rsidRDefault="005C48FA" w14:paraId="42B50DE0" w14:textId="54502080">
      <w:pPr>
        <w:pStyle w:val="Caption"/>
      </w:pPr>
      <w:bookmarkStart w:name="_Ref223696614" w:id="2050"/>
      <w:r w:rsidRPr="008D1918">
        <w:t xml:space="preserve">Table </w:t>
      </w:r>
      <w:r>
        <w:fldChar w:fldCharType="begin"/>
      </w:r>
      <w:r>
        <w:instrText>SEQ Table \* ARABIC</w:instrText>
      </w:r>
      <w:r>
        <w:fldChar w:fldCharType="separate"/>
      </w:r>
      <w:r w:rsidR="008F56A2">
        <w:rPr>
          <w:noProof/>
        </w:rPr>
        <w:t>46</w:t>
      </w:r>
      <w:r>
        <w:fldChar w:fldCharType="end"/>
      </w:r>
      <w:bookmarkEnd w:id="2050"/>
      <w:r w:rsidRPr="008D1918" w:rsidR="00601AFC">
        <w:t>: Number of providers and total payments by legal entity type and number of participants – registered providers</w:t>
      </w:r>
      <w:r w:rsidRPr="008D1918" w:rsidR="00C85053">
        <w:t>, July to December 2025</w:t>
      </w:r>
    </w:p>
    <w:tbl>
      <w:tblPr>
        <w:tblStyle w:val="GridTable4-Accent121"/>
        <w:tblW w:w="9298" w:type="dxa"/>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2041"/>
        <w:gridCol w:w="1644"/>
        <w:gridCol w:w="2098"/>
        <w:gridCol w:w="1474"/>
        <w:gridCol w:w="2041"/>
      </w:tblGrid>
      <w:tr w:rsidRPr="008D1918" w:rsidR="00173A73" w:rsidTr="00265523" w14:paraId="72A32387"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2041" w:type="dxa"/>
            <w:tcBorders>
              <w:right w:val="single" w:color="501E58" w:themeColor="accent5" w:themeShade="BF" w:sz="6" w:space="0"/>
            </w:tcBorders>
            <w:vAlign w:val="center"/>
            <w:hideMark/>
          </w:tcPr>
          <w:p w:rsidRPr="008D1918" w:rsidR="00601AFC" w:rsidP="005C48FA" w:rsidRDefault="00601AFC" w14:paraId="36E21082" w14:textId="03635BF8">
            <w:pPr>
              <w:keepNext/>
              <w:spacing w:before="60" w:after="60"/>
              <w:rPr>
                <w:rFonts w:cs="Arial"/>
                <w:b w:val="0"/>
                <w:bCs w:val="0"/>
                <w:sz w:val="20"/>
                <w:szCs w:val="20"/>
                <w:lang w:val="en-AU"/>
              </w:rPr>
            </w:pPr>
            <w:r w:rsidRPr="008D1918">
              <w:rPr>
                <w:rFonts w:cs="Arial"/>
                <w:sz w:val="20"/>
                <w:szCs w:val="20"/>
                <w:lang w:val="en-AU"/>
              </w:rPr>
              <w:t xml:space="preserve">Size of </w:t>
            </w:r>
            <w:r w:rsidRPr="008D1918" w:rsidR="005C48FA">
              <w:rPr>
                <w:rFonts w:cs="Arial"/>
                <w:sz w:val="20"/>
                <w:szCs w:val="20"/>
                <w:lang w:val="en-AU"/>
              </w:rPr>
              <w:t>p</w:t>
            </w:r>
            <w:r w:rsidRPr="008D1918">
              <w:rPr>
                <w:rFonts w:cs="Arial"/>
                <w:sz w:val="20"/>
                <w:szCs w:val="20"/>
                <w:lang w:val="en-AU"/>
              </w:rPr>
              <w:t>rovider (number of participants supported)</w:t>
            </w:r>
          </w:p>
        </w:tc>
        <w:tc>
          <w:tcPr>
            <w:tcW w:w="1644" w:type="dxa"/>
            <w:tcBorders>
              <w:left w:val="single" w:color="501E58" w:themeColor="accent5" w:themeShade="BF" w:sz="6" w:space="0"/>
              <w:right w:val="single" w:color="501E58" w:themeColor="accent5" w:themeShade="BF" w:sz="6" w:space="0"/>
            </w:tcBorders>
            <w:vAlign w:val="center"/>
          </w:tcPr>
          <w:p w:rsidRPr="008D1918" w:rsidR="00601AFC" w:rsidP="005C48FA" w:rsidRDefault="00601AFC" w14:paraId="19A025AB" w14:textId="77777777">
            <w:pPr>
              <w:keepNext/>
              <w:spacing w:before="60" w:after="60"/>
              <w:jc w:val="right"/>
              <w:rPr>
                <w:rFonts w:cs="Arial"/>
                <w:sz w:val="20"/>
                <w:szCs w:val="20"/>
                <w:lang w:val="en-AU" w:eastAsia="en-AU"/>
              </w:rPr>
            </w:pPr>
            <w:r w:rsidRPr="008D1918">
              <w:rPr>
                <w:rFonts w:cs="Arial"/>
                <w:sz w:val="20"/>
                <w:szCs w:val="20"/>
                <w:lang w:val="en-AU"/>
              </w:rPr>
              <w:t>Organisation count</w:t>
            </w:r>
          </w:p>
        </w:tc>
        <w:tc>
          <w:tcPr>
            <w:tcW w:w="2098" w:type="dxa"/>
            <w:tcBorders>
              <w:left w:val="single" w:color="501E58" w:themeColor="accent5" w:themeShade="BF" w:sz="6" w:space="0"/>
              <w:right w:val="single" w:color="501E58" w:themeColor="accent5" w:themeShade="BF" w:sz="6" w:space="0"/>
            </w:tcBorders>
            <w:vAlign w:val="center"/>
          </w:tcPr>
          <w:p w:rsidRPr="008D1918" w:rsidR="009E4225" w:rsidP="005C48FA" w:rsidRDefault="00601AFC" w14:paraId="6C6935E7" w14:textId="4C30E3D9">
            <w:pPr>
              <w:keepNext/>
              <w:spacing w:before="60" w:after="0"/>
              <w:jc w:val="right"/>
              <w:rPr>
                <w:rFonts w:cs="Arial"/>
                <w:b w:val="0"/>
                <w:bCs w:val="0"/>
                <w:sz w:val="20"/>
                <w:szCs w:val="20"/>
                <w:lang w:val="en-AU"/>
              </w:rPr>
            </w:pPr>
            <w:r w:rsidRPr="008D1918">
              <w:rPr>
                <w:rFonts w:cs="Arial"/>
                <w:sz w:val="20"/>
                <w:szCs w:val="20"/>
                <w:lang w:val="en-AU"/>
              </w:rPr>
              <w:t xml:space="preserve">Total </w:t>
            </w:r>
            <w:r w:rsidRPr="008D1918" w:rsidR="005C48FA">
              <w:rPr>
                <w:rFonts w:cs="Arial"/>
                <w:sz w:val="20"/>
                <w:szCs w:val="20"/>
                <w:lang w:val="en-AU"/>
              </w:rPr>
              <w:t>o</w:t>
            </w:r>
            <w:r w:rsidRPr="008D1918">
              <w:rPr>
                <w:rFonts w:cs="Arial"/>
                <w:sz w:val="20"/>
                <w:szCs w:val="20"/>
                <w:lang w:val="en-AU"/>
              </w:rPr>
              <w:t>rganisation payment</w:t>
            </w:r>
          </w:p>
          <w:p w:rsidRPr="008D1918" w:rsidR="00601AFC" w:rsidP="005C48FA" w:rsidRDefault="00601AFC" w14:paraId="2FD1CDD0" w14:textId="50086075">
            <w:pPr>
              <w:keepNext/>
              <w:spacing w:before="0" w:after="60"/>
              <w:jc w:val="right"/>
              <w:rPr>
                <w:rFonts w:cs="Arial"/>
                <w:sz w:val="20"/>
                <w:szCs w:val="20"/>
                <w:lang w:val="en-AU" w:eastAsia="en-AU"/>
              </w:rPr>
            </w:pPr>
            <w:r w:rsidRPr="008D1918">
              <w:rPr>
                <w:rFonts w:cs="Arial"/>
                <w:sz w:val="20"/>
                <w:szCs w:val="20"/>
                <w:lang w:val="en-AU"/>
              </w:rPr>
              <w:t>(million)</w:t>
            </w:r>
          </w:p>
        </w:tc>
        <w:tc>
          <w:tcPr>
            <w:tcW w:w="1474" w:type="dxa"/>
            <w:tcBorders>
              <w:left w:val="single" w:color="501E58" w:themeColor="accent5" w:themeShade="BF" w:sz="6" w:space="0"/>
              <w:right w:val="single" w:color="501E58" w:themeColor="accent5" w:themeShade="BF" w:sz="6" w:space="0"/>
            </w:tcBorders>
            <w:vAlign w:val="center"/>
          </w:tcPr>
          <w:p w:rsidRPr="008D1918" w:rsidR="00601AFC" w:rsidP="005C48FA" w:rsidRDefault="00601AFC" w14:paraId="1ED18359" w14:textId="77777777">
            <w:pPr>
              <w:keepNext/>
              <w:spacing w:before="60" w:after="60"/>
              <w:jc w:val="right"/>
              <w:rPr>
                <w:rFonts w:cs="Arial"/>
                <w:sz w:val="20"/>
                <w:szCs w:val="20"/>
                <w:lang w:val="en-AU"/>
              </w:rPr>
            </w:pPr>
            <w:r w:rsidRPr="008D1918">
              <w:rPr>
                <w:rFonts w:cs="Arial"/>
                <w:sz w:val="20"/>
                <w:szCs w:val="20"/>
                <w:lang w:val="en-AU"/>
              </w:rPr>
              <w:t>Sole trader count</w:t>
            </w:r>
          </w:p>
        </w:tc>
        <w:tc>
          <w:tcPr>
            <w:tcW w:w="2041" w:type="dxa"/>
            <w:tcBorders>
              <w:left w:val="single" w:color="501E58" w:themeColor="accent5" w:themeShade="BF" w:sz="6" w:space="0"/>
              <w:right w:val="single" w:color="501E58" w:themeColor="accent5" w:themeShade="BF" w:sz="6" w:space="0"/>
            </w:tcBorders>
            <w:vAlign w:val="center"/>
            <w:hideMark/>
          </w:tcPr>
          <w:p w:rsidRPr="008D1918" w:rsidR="009E4225" w:rsidP="005C48FA" w:rsidRDefault="00601AFC" w14:paraId="24DC36AC" w14:textId="3FA0CB38">
            <w:pPr>
              <w:keepNext/>
              <w:spacing w:before="60" w:after="0"/>
              <w:jc w:val="right"/>
              <w:rPr>
                <w:rFonts w:cs="Arial"/>
                <w:b w:val="0"/>
                <w:bCs w:val="0"/>
                <w:sz w:val="20"/>
                <w:szCs w:val="20"/>
                <w:lang w:val="en-AU"/>
              </w:rPr>
            </w:pPr>
            <w:r w:rsidRPr="008D1918">
              <w:rPr>
                <w:rFonts w:cs="Arial"/>
                <w:sz w:val="20"/>
                <w:szCs w:val="20"/>
                <w:lang w:val="en-AU"/>
              </w:rPr>
              <w:t>Total sole trader payment</w:t>
            </w:r>
          </w:p>
          <w:p w:rsidRPr="008D1918" w:rsidR="00601AFC" w:rsidP="005C48FA" w:rsidRDefault="00601AFC" w14:paraId="66A8BE8D" w14:textId="1B2CE865">
            <w:pPr>
              <w:keepNext/>
              <w:spacing w:before="0" w:after="60"/>
              <w:jc w:val="right"/>
              <w:rPr>
                <w:rFonts w:cs="Arial"/>
                <w:sz w:val="20"/>
                <w:szCs w:val="20"/>
                <w:lang w:val="en-AU" w:eastAsia="en-AU"/>
              </w:rPr>
            </w:pPr>
            <w:r w:rsidRPr="008D1918">
              <w:rPr>
                <w:rFonts w:cs="Arial"/>
                <w:sz w:val="20"/>
                <w:szCs w:val="20"/>
                <w:lang w:val="en-AU"/>
              </w:rPr>
              <w:t>(million)</w:t>
            </w:r>
          </w:p>
        </w:tc>
      </w:tr>
      <w:tr w:rsidRPr="008D1918" w:rsidR="00173A73" w:rsidTr="00265523" w14:paraId="440BB28F" w14:textId="77777777">
        <w:trPr>
          <w:cnfStyle w:val="000000100000" w:firstRow="0" w:lastRow="0" w:firstColumn="0" w:lastColumn="0" w:oddVBand="0" w:evenVBand="0" w:oddHBand="1" w:evenHBand="0" w:firstRowFirstColumn="0" w:firstRowLastColumn="0" w:lastRowFirstColumn="0" w:lastRowLastColumn="0"/>
          <w:trHeight w:val="340"/>
        </w:trPr>
        <w:tc>
          <w:tcPr>
            <w:tcW w:w="2041"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796D8FE" w14:textId="77777777">
            <w:pPr>
              <w:keepNext/>
              <w:spacing w:before="60" w:after="20"/>
              <w:rPr>
                <w:rFonts w:cs="Arial"/>
                <w:sz w:val="20"/>
                <w:szCs w:val="20"/>
                <w:lang w:val="en-AU" w:eastAsia="en-AU"/>
              </w:rPr>
            </w:pPr>
            <w:r w:rsidRPr="008D1918">
              <w:rPr>
                <w:rFonts w:cs="Arial"/>
                <w:sz w:val="20"/>
                <w:szCs w:val="20"/>
                <w:lang w:val="en-AU"/>
              </w:rPr>
              <w:t>1</w:t>
            </w:r>
          </w:p>
        </w:tc>
        <w:tc>
          <w:tcPr>
            <w:tcW w:w="1644"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10F784A" w14:textId="173E6E51">
            <w:pPr>
              <w:keepNext/>
              <w:spacing w:before="60" w:after="20"/>
              <w:ind w:right="312"/>
              <w:jc w:val="right"/>
              <w:rPr>
                <w:rFonts w:cs="Arial"/>
                <w:color w:val="000000"/>
                <w:sz w:val="20"/>
                <w:szCs w:val="20"/>
                <w:lang w:val="en-AU" w:eastAsia="en-AU"/>
              </w:rPr>
            </w:pPr>
            <w:r w:rsidRPr="008D1918">
              <w:rPr>
                <w:rFonts w:cs="Arial"/>
                <w:sz w:val="20"/>
                <w:szCs w:val="20"/>
                <w:lang w:val="en-AU"/>
              </w:rPr>
              <w:t xml:space="preserve"> </w:t>
            </w:r>
            <w:r w:rsidRPr="008D1918" w:rsidR="006102A0">
              <w:rPr>
                <w:rFonts w:cs="Arial"/>
                <w:sz w:val="20"/>
                <w:szCs w:val="20"/>
                <w:lang w:val="en-AU"/>
              </w:rPr>
              <w:t>1,811</w:t>
            </w:r>
          </w:p>
        </w:tc>
        <w:tc>
          <w:tcPr>
            <w:tcW w:w="2098"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9869E00" w14:textId="16E7EC54">
            <w:pPr>
              <w:keepNext/>
              <w:spacing w:before="60" w:after="20"/>
              <w:ind w:right="312"/>
              <w:jc w:val="right"/>
              <w:rPr>
                <w:rFonts w:cs="Arial"/>
                <w:color w:val="000000"/>
                <w:sz w:val="20"/>
                <w:szCs w:val="20"/>
                <w:lang w:val="en-AU" w:eastAsia="en-AU"/>
              </w:rPr>
            </w:pPr>
            <w:r w:rsidRPr="008D1918">
              <w:rPr>
                <w:rFonts w:cs="Arial"/>
                <w:sz w:val="20"/>
                <w:szCs w:val="20"/>
                <w:lang w:val="en-AU"/>
              </w:rPr>
              <w:t>$2</w:t>
            </w:r>
            <w:r w:rsidRPr="008D1918" w:rsidR="00273D7D">
              <w:rPr>
                <w:rFonts w:cs="Arial"/>
                <w:sz w:val="20"/>
                <w:szCs w:val="20"/>
                <w:lang w:val="en-AU"/>
              </w:rPr>
              <w:t>1</w:t>
            </w:r>
          </w:p>
        </w:tc>
        <w:tc>
          <w:tcPr>
            <w:tcW w:w="1474"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C684E3A" w14:textId="77777777">
            <w:pPr>
              <w:keepNext/>
              <w:spacing w:before="60" w:after="20"/>
              <w:ind w:right="312"/>
              <w:jc w:val="right"/>
              <w:rPr>
                <w:rFonts w:cs="Arial"/>
                <w:color w:val="000000"/>
                <w:sz w:val="20"/>
                <w:szCs w:val="20"/>
                <w:lang w:val="en-AU" w:eastAsia="en-AU"/>
              </w:rPr>
            </w:pPr>
            <w:r w:rsidRPr="008D1918">
              <w:rPr>
                <w:rFonts w:cs="Arial"/>
                <w:sz w:val="20"/>
                <w:szCs w:val="20"/>
                <w:lang w:val="en-AU"/>
              </w:rPr>
              <w:t xml:space="preserve"> 307 </w:t>
            </w:r>
          </w:p>
        </w:tc>
        <w:tc>
          <w:tcPr>
            <w:tcW w:w="2041"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088DD406" w14:textId="77777777">
            <w:pPr>
              <w:keepNext/>
              <w:spacing w:before="60" w:after="20"/>
              <w:ind w:right="312"/>
              <w:jc w:val="right"/>
              <w:rPr>
                <w:rFonts w:cs="Arial"/>
                <w:color w:val="000000"/>
                <w:sz w:val="20"/>
                <w:szCs w:val="20"/>
                <w:lang w:val="en-AU" w:eastAsia="en-AU"/>
              </w:rPr>
            </w:pPr>
            <w:r w:rsidRPr="008D1918">
              <w:rPr>
                <w:rFonts w:cs="Arial"/>
                <w:sz w:val="20"/>
                <w:szCs w:val="20"/>
                <w:lang w:val="en-AU"/>
              </w:rPr>
              <w:t>$3</w:t>
            </w:r>
          </w:p>
        </w:tc>
      </w:tr>
      <w:tr w:rsidRPr="008D1918" w:rsidR="00601AFC" w:rsidTr="00265523" w14:paraId="1B39C2A3" w14:textId="77777777">
        <w:trPr>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0FCE03A0" w14:textId="77777777">
            <w:pPr>
              <w:keepNext/>
              <w:spacing w:before="60" w:after="20"/>
              <w:rPr>
                <w:rFonts w:cs="Arial"/>
                <w:sz w:val="20"/>
                <w:szCs w:val="20"/>
                <w:lang w:val="en-AU" w:eastAsia="en-AU"/>
              </w:rPr>
            </w:pPr>
            <w:r w:rsidRPr="008D1918">
              <w:rPr>
                <w:rFonts w:cs="Arial"/>
                <w:sz w:val="20"/>
                <w:szCs w:val="20"/>
                <w:lang w:val="en-AU"/>
              </w:rPr>
              <w:t>2</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D6DC546" w14:textId="511ACE06">
            <w:pPr>
              <w:keepNext/>
              <w:spacing w:before="60" w:after="20"/>
              <w:ind w:right="312"/>
              <w:jc w:val="right"/>
              <w:rPr>
                <w:rFonts w:cs="Arial"/>
                <w:color w:val="000000"/>
                <w:sz w:val="20"/>
                <w:szCs w:val="20"/>
                <w:lang w:val="en-AU" w:eastAsia="en-AU"/>
              </w:rPr>
            </w:pPr>
            <w:r w:rsidRPr="008D1918">
              <w:rPr>
                <w:rFonts w:cs="Arial"/>
                <w:sz w:val="20"/>
                <w:szCs w:val="20"/>
                <w:lang w:val="en-AU"/>
              </w:rPr>
              <w:t xml:space="preserve"> 9</w:t>
            </w:r>
            <w:r w:rsidRPr="008D1918" w:rsidR="006102A0">
              <w:rPr>
                <w:rFonts w:cs="Arial"/>
                <w:sz w:val="20"/>
                <w:szCs w:val="20"/>
                <w:lang w:val="en-AU"/>
              </w:rPr>
              <w:t>62</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735F874" w14:textId="0C5EA9A7">
            <w:pPr>
              <w:keepNext/>
              <w:spacing w:before="60" w:after="20"/>
              <w:ind w:right="312"/>
              <w:jc w:val="right"/>
              <w:rPr>
                <w:rFonts w:cs="Arial"/>
                <w:color w:val="000000"/>
                <w:sz w:val="20"/>
                <w:szCs w:val="20"/>
                <w:lang w:val="en-AU" w:eastAsia="en-AU"/>
              </w:rPr>
            </w:pPr>
            <w:r w:rsidRPr="008D1918">
              <w:rPr>
                <w:rFonts w:cs="Arial"/>
                <w:sz w:val="20"/>
                <w:szCs w:val="20"/>
                <w:lang w:val="en-AU"/>
              </w:rPr>
              <w:t>$</w:t>
            </w:r>
            <w:r w:rsidRPr="008D1918" w:rsidR="00273D7D">
              <w:rPr>
                <w:rFonts w:cs="Arial"/>
                <w:sz w:val="20"/>
                <w:szCs w:val="20"/>
                <w:lang w:val="en-AU"/>
              </w:rPr>
              <w:t>25</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5C8954E1" w14:textId="77777777">
            <w:pPr>
              <w:keepNext/>
              <w:spacing w:before="60" w:after="20"/>
              <w:ind w:right="312"/>
              <w:jc w:val="right"/>
              <w:rPr>
                <w:rFonts w:cs="Arial"/>
                <w:color w:val="000000"/>
                <w:sz w:val="20"/>
                <w:szCs w:val="20"/>
                <w:lang w:val="en-AU" w:eastAsia="en-AU"/>
              </w:rPr>
            </w:pPr>
            <w:r w:rsidRPr="008D1918">
              <w:rPr>
                <w:rFonts w:cs="Arial"/>
                <w:sz w:val="20"/>
                <w:szCs w:val="20"/>
                <w:lang w:val="en-AU"/>
              </w:rPr>
              <w:t xml:space="preserve"> 122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1B8A144E" w14:textId="77777777">
            <w:pPr>
              <w:keepNext/>
              <w:spacing w:before="60" w:after="20"/>
              <w:ind w:right="312"/>
              <w:jc w:val="right"/>
              <w:rPr>
                <w:rFonts w:cs="Arial"/>
                <w:color w:val="000000"/>
                <w:sz w:val="20"/>
                <w:szCs w:val="20"/>
                <w:lang w:val="en-AU" w:eastAsia="en-AU"/>
              </w:rPr>
            </w:pPr>
            <w:r w:rsidRPr="008D1918">
              <w:rPr>
                <w:rFonts w:cs="Arial"/>
                <w:sz w:val="20"/>
                <w:szCs w:val="20"/>
                <w:lang w:val="en-AU"/>
              </w:rPr>
              <w:t>$2</w:t>
            </w:r>
          </w:p>
        </w:tc>
      </w:tr>
      <w:tr w:rsidRPr="008D1918" w:rsidR="00A238C6" w:rsidTr="00265523" w14:paraId="3AE222DB" w14:textId="77777777">
        <w:trPr>
          <w:cnfStyle w:val="000000100000" w:firstRow="0" w:lastRow="0" w:firstColumn="0" w:lastColumn="0" w:oddVBand="0" w:evenVBand="0" w:oddHBand="1" w:evenHBand="0" w:firstRowFirstColumn="0" w:firstRowLastColumn="0" w:lastRowFirstColumn="0" w:lastRowLastColumn="0"/>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11ECB9F0" w14:textId="77777777">
            <w:pPr>
              <w:keepNext/>
              <w:spacing w:before="60" w:after="20"/>
              <w:rPr>
                <w:rFonts w:cs="Arial"/>
                <w:sz w:val="20"/>
                <w:szCs w:val="20"/>
                <w:lang w:val="en-AU" w:eastAsia="en-AU"/>
              </w:rPr>
            </w:pPr>
            <w:r w:rsidRPr="008D1918">
              <w:rPr>
                <w:rFonts w:cs="Arial"/>
                <w:sz w:val="20"/>
                <w:szCs w:val="20"/>
                <w:lang w:val="en-AU"/>
              </w:rPr>
              <w:t>3</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41A5F40B" w14:textId="269F2D9B">
            <w:pPr>
              <w:keepNext/>
              <w:spacing w:before="60" w:after="20"/>
              <w:ind w:right="312"/>
              <w:jc w:val="right"/>
              <w:rPr>
                <w:rFonts w:cs="Arial"/>
                <w:sz w:val="20"/>
                <w:szCs w:val="20"/>
                <w:lang w:val="en-AU"/>
              </w:rPr>
            </w:pPr>
            <w:r w:rsidRPr="008D1918">
              <w:rPr>
                <w:rFonts w:cs="Arial"/>
                <w:sz w:val="20"/>
                <w:szCs w:val="20"/>
                <w:lang w:val="en-AU"/>
              </w:rPr>
              <w:t xml:space="preserve"> </w:t>
            </w:r>
            <w:r w:rsidRPr="008D1918" w:rsidR="004362B2">
              <w:rPr>
                <w:rFonts w:cs="Arial"/>
                <w:sz w:val="20"/>
                <w:szCs w:val="20"/>
                <w:lang w:val="en-AU"/>
              </w:rPr>
              <w:t>682</w:t>
            </w:r>
            <w:r w:rsidRPr="008D1918">
              <w:rPr>
                <w:rFonts w:cs="Arial"/>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16902B42" w14:textId="43A56727">
            <w:pPr>
              <w:keepNext/>
              <w:spacing w:before="60" w:after="20"/>
              <w:ind w:right="312"/>
              <w:jc w:val="right"/>
              <w:rPr>
                <w:rFonts w:cs="Arial"/>
                <w:sz w:val="20"/>
                <w:szCs w:val="20"/>
                <w:lang w:val="en-AU"/>
              </w:rPr>
            </w:pPr>
            <w:r w:rsidRPr="008D1918">
              <w:rPr>
                <w:rFonts w:cs="Arial"/>
                <w:sz w:val="20"/>
                <w:szCs w:val="20"/>
                <w:lang w:val="en-AU"/>
              </w:rPr>
              <w:t>$</w:t>
            </w:r>
            <w:r w:rsidRPr="008D1918" w:rsidR="00273D7D">
              <w:rPr>
                <w:rFonts w:cs="Arial"/>
                <w:sz w:val="20"/>
                <w:szCs w:val="20"/>
                <w:lang w:val="en-AU"/>
              </w:rPr>
              <w:t>28</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3D82D9D" w14:textId="77777777">
            <w:pPr>
              <w:keepNext/>
              <w:spacing w:before="60" w:after="20"/>
              <w:ind w:right="312"/>
              <w:jc w:val="right"/>
              <w:rPr>
                <w:rFonts w:cs="Arial"/>
                <w:sz w:val="20"/>
                <w:szCs w:val="20"/>
                <w:lang w:val="en-AU"/>
              </w:rPr>
            </w:pPr>
            <w:r w:rsidRPr="008D1918">
              <w:rPr>
                <w:rFonts w:cs="Arial"/>
                <w:sz w:val="20"/>
                <w:szCs w:val="20"/>
                <w:lang w:val="en-AU"/>
              </w:rPr>
              <w:t xml:space="preserve"> 91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075AA114" w14:textId="77777777">
            <w:pPr>
              <w:keepNext/>
              <w:spacing w:before="60" w:after="20"/>
              <w:ind w:right="312"/>
              <w:jc w:val="right"/>
              <w:rPr>
                <w:rFonts w:cs="Arial"/>
                <w:sz w:val="20"/>
                <w:szCs w:val="20"/>
                <w:lang w:val="en-AU"/>
              </w:rPr>
            </w:pPr>
            <w:r w:rsidRPr="008D1918">
              <w:rPr>
                <w:rFonts w:cs="Arial"/>
                <w:sz w:val="20"/>
                <w:szCs w:val="20"/>
                <w:lang w:val="en-AU"/>
              </w:rPr>
              <w:t>$3</w:t>
            </w:r>
          </w:p>
        </w:tc>
      </w:tr>
      <w:tr w:rsidRPr="008D1918" w:rsidR="00601AFC" w:rsidTr="00265523" w14:paraId="3678F73C" w14:textId="77777777">
        <w:trPr>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105FF3F1" w14:textId="77777777">
            <w:pPr>
              <w:keepNext/>
              <w:spacing w:before="60" w:after="20"/>
              <w:rPr>
                <w:rFonts w:cs="Arial"/>
                <w:b/>
                <w:bCs/>
                <w:sz w:val="20"/>
                <w:szCs w:val="20"/>
                <w:lang w:val="en-AU" w:eastAsia="en-AU"/>
              </w:rPr>
            </w:pPr>
            <w:r w:rsidRPr="008D1918">
              <w:rPr>
                <w:rFonts w:cs="Arial"/>
                <w:sz w:val="20"/>
                <w:szCs w:val="20"/>
                <w:lang w:val="en-AU"/>
              </w:rPr>
              <w:t>4</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4C1E29DC" w14:textId="3B7326D3">
            <w:pPr>
              <w:keepNext/>
              <w:spacing w:before="60" w:after="20"/>
              <w:ind w:right="312"/>
              <w:jc w:val="right"/>
              <w:rPr>
                <w:rFonts w:cs="Arial"/>
                <w:b/>
                <w:bCs/>
                <w:sz w:val="20"/>
                <w:szCs w:val="20"/>
                <w:lang w:val="en-AU"/>
              </w:rPr>
            </w:pPr>
            <w:r w:rsidRPr="008D1918">
              <w:rPr>
                <w:rFonts w:cs="Arial"/>
                <w:sz w:val="20"/>
                <w:szCs w:val="20"/>
                <w:lang w:val="en-AU"/>
              </w:rPr>
              <w:t xml:space="preserve"> </w:t>
            </w:r>
            <w:r w:rsidRPr="008D1918" w:rsidR="004362B2">
              <w:rPr>
                <w:rFonts w:cs="Arial"/>
                <w:sz w:val="20"/>
                <w:szCs w:val="20"/>
                <w:lang w:val="en-AU"/>
              </w:rPr>
              <w:t>522</w:t>
            </w:r>
            <w:r w:rsidRPr="008D1918">
              <w:rPr>
                <w:rFonts w:cs="Arial"/>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C38B770" w14:textId="584D7264">
            <w:pPr>
              <w:keepNext/>
              <w:spacing w:before="60" w:after="20"/>
              <w:ind w:right="312"/>
              <w:jc w:val="right"/>
              <w:rPr>
                <w:rFonts w:cs="Arial"/>
                <w:b/>
                <w:bCs/>
                <w:sz w:val="20"/>
                <w:szCs w:val="20"/>
                <w:lang w:val="en-AU"/>
              </w:rPr>
            </w:pPr>
            <w:r w:rsidRPr="008D1918">
              <w:rPr>
                <w:rFonts w:cs="Arial"/>
                <w:sz w:val="20"/>
                <w:szCs w:val="20"/>
                <w:lang w:val="en-AU"/>
              </w:rPr>
              <w:t>$3</w:t>
            </w:r>
            <w:r w:rsidRPr="008D1918" w:rsidR="00273D7D">
              <w:rPr>
                <w:rFonts w:cs="Arial"/>
                <w:sz w:val="20"/>
                <w:szCs w:val="20"/>
                <w:lang w:val="en-AU"/>
              </w:rPr>
              <w:t>3</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6E20758" w14:textId="77777777">
            <w:pPr>
              <w:keepNext/>
              <w:spacing w:before="60" w:after="20"/>
              <w:ind w:right="312"/>
              <w:jc w:val="right"/>
              <w:rPr>
                <w:rFonts w:cs="Arial"/>
                <w:b/>
                <w:bCs/>
                <w:sz w:val="20"/>
                <w:szCs w:val="20"/>
                <w:lang w:val="en-AU"/>
              </w:rPr>
            </w:pPr>
            <w:r w:rsidRPr="008D1918">
              <w:rPr>
                <w:rFonts w:cs="Arial"/>
                <w:sz w:val="20"/>
                <w:szCs w:val="20"/>
                <w:lang w:val="en-AU"/>
              </w:rPr>
              <w:t xml:space="preserve"> 58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0840BC00" w14:textId="77777777">
            <w:pPr>
              <w:keepNext/>
              <w:spacing w:before="60" w:after="20"/>
              <w:ind w:right="312"/>
              <w:jc w:val="right"/>
              <w:rPr>
                <w:rFonts w:cs="Arial"/>
                <w:b/>
                <w:bCs/>
                <w:sz w:val="20"/>
                <w:szCs w:val="20"/>
                <w:lang w:val="en-AU"/>
              </w:rPr>
            </w:pPr>
            <w:r w:rsidRPr="008D1918">
              <w:rPr>
                <w:rFonts w:cs="Arial"/>
                <w:sz w:val="20"/>
                <w:szCs w:val="20"/>
                <w:lang w:val="en-AU"/>
              </w:rPr>
              <w:t>$2</w:t>
            </w:r>
          </w:p>
        </w:tc>
      </w:tr>
      <w:tr w:rsidRPr="008D1918" w:rsidR="00A238C6" w:rsidTr="00265523" w14:paraId="5CAE8A2B" w14:textId="77777777">
        <w:trPr>
          <w:cnfStyle w:val="000000100000" w:firstRow="0" w:lastRow="0" w:firstColumn="0" w:lastColumn="0" w:oddVBand="0" w:evenVBand="0" w:oddHBand="1" w:evenHBand="0" w:firstRowFirstColumn="0" w:firstRowLastColumn="0" w:lastRowFirstColumn="0" w:lastRowLastColumn="0"/>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59B18B37" w14:textId="77777777">
            <w:pPr>
              <w:keepNext/>
              <w:spacing w:before="60" w:after="20"/>
              <w:rPr>
                <w:rFonts w:cs="Arial"/>
                <w:b/>
                <w:bCs/>
                <w:sz w:val="20"/>
                <w:szCs w:val="20"/>
                <w:lang w:val="en-AU" w:eastAsia="en-AU"/>
              </w:rPr>
            </w:pPr>
            <w:r w:rsidRPr="008D1918">
              <w:rPr>
                <w:rFonts w:cs="Arial"/>
                <w:sz w:val="20"/>
                <w:szCs w:val="20"/>
                <w:lang w:val="en-AU"/>
              </w:rPr>
              <w:t>5</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0B36B5B2" w14:textId="4BA53675">
            <w:pPr>
              <w:keepNext/>
              <w:spacing w:before="60" w:after="20"/>
              <w:ind w:right="312"/>
              <w:jc w:val="right"/>
              <w:rPr>
                <w:rFonts w:cs="Arial"/>
                <w:b/>
                <w:bCs/>
                <w:sz w:val="20"/>
                <w:szCs w:val="20"/>
                <w:lang w:val="en-AU"/>
              </w:rPr>
            </w:pPr>
            <w:r w:rsidRPr="008D1918">
              <w:rPr>
                <w:rFonts w:cs="Arial"/>
                <w:sz w:val="20"/>
                <w:szCs w:val="20"/>
                <w:lang w:val="en-AU"/>
              </w:rPr>
              <w:t xml:space="preserve"> </w:t>
            </w:r>
            <w:r w:rsidRPr="008D1918" w:rsidR="004362B2">
              <w:rPr>
                <w:rFonts w:cs="Arial"/>
                <w:sz w:val="20"/>
                <w:szCs w:val="20"/>
                <w:lang w:val="en-AU"/>
              </w:rPr>
              <w:t>424</w:t>
            </w:r>
            <w:r w:rsidRPr="008D1918">
              <w:rPr>
                <w:rFonts w:cs="Arial"/>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4CE512AE" w14:textId="20E1293D">
            <w:pPr>
              <w:keepNext/>
              <w:spacing w:before="60" w:after="20"/>
              <w:ind w:right="312"/>
              <w:jc w:val="right"/>
              <w:rPr>
                <w:rFonts w:cs="Arial"/>
                <w:b/>
                <w:bCs/>
                <w:sz w:val="20"/>
                <w:szCs w:val="20"/>
                <w:lang w:val="en-AU"/>
              </w:rPr>
            </w:pPr>
            <w:r w:rsidRPr="008D1918">
              <w:rPr>
                <w:rFonts w:cs="Arial"/>
                <w:sz w:val="20"/>
                <w:szCs w:val="20"/>
                <w:lang w:val="en-AU"/>
              </w:rPr>
              <w:t>$2</w:t>
            </w:r>
            <w:r w:rsidRPr="008D1918" w:rsidR="00273D7D">
              <w:rPr>
                <w:rFonts w:cs="Arial"/>
                <w:sz w:val="20"/>
                <w:szCs w:val="20"/>
                <w:lang w:val="en-AU"/>
              </w:rPr>
              <w:t>9</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0B0A6CB7" w14:textId="77777777">
            <w:pPr>
              <w:keepNext/>
              <w:spacing w:before="60" w:after="20"/>
              <w:ind w:right="312"/>
              <w:jc w:val="right"/>
              <w:rPr>
                <w:rFonts w:cs="Arial"/>
                <w:b/>
                <w:bCs/>
                <w:sz w:val="20"/>
                <w:szCs w:val="20"/>
                <w:lang w:val="en-AU"/>
              </w:rPr>
            </w:pPr>
            <w:r w:rsidRPr="008D1918">
              <w:rPr>
                <w:rFonts w:cs="Arial"/>
                <w:sz w:val="20"/>
                <w:szCs w:val="20"/>
                <w:lang w:val="en-AU"/>
              </w:rPr>
              <w:t xml:space="preserve"> 42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9F9513E" w14:textId="77777777">
            <w:pPr>
              <w:keepNext/>
              <w:spacing w:before="60" w:after="20"/>
              <w:ind w:right="312"/>
              <w:jc w:val="right"/>
              <w:rPr>
                <w:rFonts w:cs="Arial"/>
                <w:b/>
                <w:bCs/>
                <w:sz w:val="20"/>
                <w:szCs w:val="20"/>
                <w:lang w:val="en-AU"/>
              </w:rPr>
            </w:pPr>
            <w:r w:rsidRPr="008D1918">
              <w:rPr>
                <w:rFonts w:cs="Arial"/>
                <w:sz w:val="20"/>
                <w:szCs w:val="20"/>
                <w:lang w:val="en-AU"/>
              </w:rPr>
              <w:t>$2</w:t>
            </w:r>
          </w:p>
        </w:tc>
      </w:tr>
      <w:tr w:rsidRPr="008D1918" w:rsidR="00601AFC" w:rsidTr="00392D79" w14:paraId="08869B60" w14:textId="77777777">
        <w:trPr>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EF77AE0" w14:textId="3606CA3D">
            <w:pPr>
              <w:keepNext/>
              <w:spacing w:before="60" w:after="20"/>
              <w:rPr>
                <w:rFonts w:cs="Arial"/>
                <w:b/>
                <w:bCs/>
                <w:sz w:val="20"/>
                <w:szCs w:val="20"/>
                <w:lang w:val="en-AU" w:eastAsia="en-AU"/>
              </w:rPr>
            </w:pPr>
            <w:r w:rsidRPr="008D1918">
              <w:rPr>
                <w:rFonts w:cs="Arial"/>
                <w:sz w:val="20"/>
                <w:szCs w:val="20"/>
                <w:lang w:val="en-AU"/>
              </w:rPr>
              <w:t>6–10</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731A263" w14:textId="1C26FD20">
            <w:pPr>
              <w:keepNext/>
              <w:spacing w:before="60" w:after="20"/>
              <w:ind w:right="312"/>
              <w:jc w:val="right"/>
              <w:rPr>
                <w:rFonts w:cs="Arial"/>
                <w:b/>
                <w:bCs/>
                <w:sz w:val="20"/>
                <w:szCs w:val="20"/>
                <w:lang w:val="en-AU"/>
              </w:rPr>
            </w:pPr>
            <w:r w:rsidRPr="008D1918">
              <w:rPr>
                <w:rFonts w:cs="Arial"/>
                <w:sz w:val="20"/>
                <w:szCs w:val="20"/>
                <w:lang w:val="en-AU"/>
              </w:rPr>
              <w:t xml:space="preserve"> 13</w:t>
            </w:r>
            <w:r w:rsidRPr="008D1918" w:rsidR="00273D7D">
              <w:rPr>
                <w:rFonts w:cs="Arial"/>
                <w:sz w:val="20"/>
                <w:szCs w:val="20"/>
                <w:lang w:val="en-AU"/>
              </w:rPr>
              <w:t>42</w:t>
            </w:r>
            <w:r w:rsidRPr="008D1918">
              <w:rPr>
                <w:rFonts w:cs="Arial"/>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62FA6F3" w14:textId="1EC96734">
            <w:pPr>
              <w:keepNext/>
              <w:spacing w:before="60" w:after="20"/>
              <w:ind w:right="312"/>
              <w:jc w:val="right"/>
              <w:rPr>
                <w:rFonts w:cs="Arial"/>
                <w:b/>
                <w:bCs/>
                <w:sz w:val="20"/>
                <w:szCs w:val="20"/>
                <w:lang w:val="en-AU"/>
              </w:rPr>
            </w:pPr>
            <w:r w:rsidRPr="008D1918">
              <w:rPr>
                <w:rFonts w:cs="Arial"/>
                <w:sz w:val="20"/>
                <w:szCs w:val="20"/>
                <w:lang w:val="en-AU"/>
              </w:rPr>
              <w:t>$</w:t>
            </w:r>
            <w:r w:rsidRPr="008D1918" w:rsidR="00273D7D">
              <w:rPr>
                <w:rFonts w:cs="Arial"/>
                <w:sz w:val="20"/>
                <w:szCs w:val="20"/>
                <w:lang w:val="en-AU"/>
              </w:rPr>
              <w:t>155</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1D24A334" w14:textId="77777777">
            <w:pPr>
              <w:keepNext/>
              <w:spacing w:before="60" w:after="20"/>
              <w:ind w:right="312"/>
              <w:jc w:val="right"/>
              <w:rPr>
                <w:rFonts w:cs="Arial"/>
                <w:b/>
                <w:bCs/>
                <w:sz w:val="20"/>
                <w:szCs w:val="20"/>
                <w:lang w:val="en-AU"/>
              </w:rPr>
            </w:pPr>
            <w:r w:rsidRPr="008D1918">
              <w:rPr>
                <w:rFonts w:cs="Arial"/>
                <w:sz w:val="20"/>
                <w:szCs w:val="20"/>
                <w:lang w:val="en-AU"/>
              </w:rPr>
              <w:t xml:space="preserve"> 108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195BD29" w14:textId="77777777">
            <w:pPr>
              <w:keepNext/>
              <w:spacing w:before="60" w:after="20"/>
              <w:ind w:right="312"/>
              <w:jc w:val="right"/>
              <w:rPr>
                <w:rFonts w:cs="Arial"/>
                <w:b/>
                <w:bCs/>
                <w:sz w:val="20"/>
                <w:szCs w:val="20"/>
                <w:lang w:val="en-AU"/>
              </w:rPr>
            </w:pPr>
            <w:r w:rsidRPr="008D1918">
              <w:rPr>
                <w:rFonts w:cs="Arial"/>
                <w:sz w:val="20"/>
                <w:szCs w:val="20"/>
                <w:lang w:val="en-AU"/>
              </w:rPr>
              <w:t>$10</w:t>
            </w:r>
          </w:p>
        </w:tc>
      </w:tr>
      <w:tr w:rsidRPr="008D1918" w:rsidR="00A238C6" w:rsidTr="00392D79" w14:paraId="098E5033" w14:textId="77777777">
        <w:trPr>
          <w:cnfStyle w:val="000000100000" w:firstRow="0" w:lastRow="0" w:firstColumn="0" w:lastColumn="0" w:oddVBand="0" w:evenVBand="0" w:oddHBand="1" w:evenHBand="0" w:firstRowFirstColumn="0" w:firstRowLastColumn="0" w:lastRowFirstColumn="0" w:lastRowLastColumn="0"/>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F035E4F" w14:textId="3578A525">
            <w:pPr>
              <w:keepNext/>
              <w:spacing w:before="60" w:after="20"/>
              <w:rPr>
                <w:rFonts w:cs="Arial"/>
                <w:b/>
                <w:bCs/>
                <w:sz w:val="20"/>
                <w:szCs w:val="20"/>
                <w:lang w:val="en-AU" w:eastAsia="en-AU"/>
              </w:rPr>
            </w:pPr>
            <w:r w:rsidRPr="008D1918">
              <w:rPr>
                <w:rFonts w:cs="Arial"/>
                <w:sz w:val="20"/>
                <w:szCs w:val="20"/>
                <w:lang w:val="en-AU"/>
              </w:rPr>
              <w:t>11–50</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F45CB86" w14:textId="1D3B3E26">
            <w:pPr>
              <w:keepNext/>
              <w:spacing w:before="60" w:after="20"/>
              <w:ind w:right="312"/>
              <w:jc w:val="right"/>
              <w:rPr>
                <w:rFonts w:cs="Arial"/>
                <w:b/>
                <w:bCs/>
                <w:sz w:val="20"/>
                <w:szCs w:val="20"/>
                <w:lang w:val="en-AU"/>
              </w:rPr>
            </w:pPr>
            <w:r w:rsidRPr="008D1918">
              <w:rPr>
                <w:rFonts w:cs="Arial"/>
                <w:sz w:val="20"/>
                <w:szCs w:val="20"/>
                <w:lang w:val="en-AU"/>
              </w:rPr>
              <w:t xml:space="preserve"> 227</w:t>
            </w:r>
            <w:r w:rsidRPr="008D1918" w:rsidR="00273D7D">
              <w:rPr>
                <w:rFonts w:cs="Arial"/>
                <w:sz w:val="20"/>
                <w:szCs w:val="20"/>
                <w:lang w:val="en-AU"/>
              </w:rPr>
              <w:t>8</w:t>
            </w:r>
            <w:r w:rsidRPr="008D1918">
              <w:rPr>
                <w:rFonts w:cs="Arial"/>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39DB0D1" w14:textId="2F8900AC">
            <w:pPr>
              <w:keepNext/>
              <w:spacing w:before="60" w:after="20"/>
              <w:ind w:right="312"/>
              <w:jc w:val="right"/>
              <w:rPr>
                <w:rFonts w:cs="Arial"/>
                <w:b/>
                <w:bCs/>
                <w:sz w:val="20"/>
                <w:szCs w:val="20"/>
                <w:lang w:val="en-AU"/>
              </w:rPr>
            </w:pPr>
            <w:r w:rsidRPr="008D1918">
              <w:rPr>
                <w:rFonts w:cs="Arial"/>
                <w:sz w:val="20"/>
                <w:szCs w:val="20"/>
                <w:lang w:val="en-AU"/>
              </w:rPr>
              <w:t>$</w:t>
            </w:r>
            <w:r w:rsidRPr="008D1918" w:rsidR="00BB7193">
              <w:rPr>
                <w:rFonts w:cs="Arial"/>
                <w:sz w:val="20"/>
                <w:szCs w:val="20"/>
                <w:lang w:val="en-AU"/>
              </w:rPr>
              <w:t>1,004</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395134C" w14:textId="77777777">
            <w:pPr>
              <w:keepNext/>
              <w:spacing w:before="60" w:after="20"/>
              <w:ind w:right="312"/>
              <w:jc w:val="right"/>
              <w:rPr>
                <w:rFonts w:cs="Arial"/>
                <w:b/>
                <w:bCs/>
                <w:sz w:val="20"/>
                <w:szCs w:val="20"/>
                <w:lang w:val="en-AU"/>
              </w:rPr>
            </w:pPr>
            <w:r w:rsidRPr="008D1918">
              <w:rPr>
                <w:rFonts w:cs="Arial"/>
                <w:sz w:val="20"/>
                <w:szCs w:val="20"/>
                <w:lang w:val="en-AU"/>
              </w:rPr>
              <w:t xml:space="preserve"> 96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9122E7D" w14:textId="77777777">
            <w:pPr>
              <w:keepNext/>
              <w:spacing w:before="60" w:after="20"/>
              <w:ind w:right="312"/>
              <w:jc w:val="right"/>
              <w:rPr>
                <w:rFonts w:cs="Arial"/>
                <w:b/>
                <w:bCs/>
                <w:sz w:val="20"/>
                <w:szCs w:val="20"/>
                <w:lang w:val="en-AU"/>
              </w:rPr>
            </w:pPr>
            <w:r w:rsidRPr="008D1918">
              <w:rPr>
                <w:rFonts w:cs="Arial"/>
                <w:sz w:val="20"/>
                <w:szCs w:val="20"/>
                <w:lang w:val="en-AU"/>
              </w:rPr>
              <w:t>$24</w:t>
            </w:r>
          </w:p>
        </w:tc>
      </w:tr>
      <w:tr w:rsidRPr="008D1918" w:rsidR="00601AFC" w:rsidTr="00265523" w14:paraId="0B75EBB1" w14:textId="77777777">
        <w:trPr>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3A75F63" w14:textId="624985CF">
            <w:pPr>
              <w:keepNext/>
              <w:spacing w:before="60" w:after="20"/>
              <w:rPr>
                <w:rFonts w:cs="Arial"/>
                <w:b/>
                <w:bCs/>
                <w:sz w:val="20"/>
                <w:szCs w:val="20"/>
                <w:lang w:val="en-AU" w:eastAsia="en-AU"/>
              </w:rPr>
            </w:pPr>
            <w:r w:rsidRPr="008D1918">
              <w:rPr>
                <w:rFonts w:cs="Arial"/>
                <w:sz w:val="20"/>
                <w:szCs w:val="20"/>
                <w:lang w:val="en-AU"/>
              </w:rPr>
              <w:t>51–100</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7032EE9" w14:textId="0E2EB2C7">
            <w:pPr>
              <w:keepNext/>
              <w:spacing w:before="60" w:after="20"/>
              <w:ind w:right="312"/>
              <w:jc w:val="right"/>
              <w:rPr>
                <w:rFonts w:cs="Arial"/>
                <w:b/>
                <w:bCs/>
                <w:sz w:val="20"/>
                <w:szCs w:val="20"/>
                <w:lang w:val="en-AU"/>
              </w:rPr>
            </w:pPr>
            <w:r w:rsidRPr="008D1918">
              <w:rPr>
                <w:rFonts w:cs="Arial"/>
                <w:sz w:val="20"/>
                <w:szCs w:val="20"/>
                <w:lang w:val="en-AU"/>
              </w:rPr>
              <w:t xml:space="preserve"> </w:t>
            </w:r>
            <w:r w:rsidRPr="008D1918" w:rsidR="00273D7D">
              <w:rPr>
                <w:rFonts w:cs="Arial"/>
                <w:sz w:val="20"/>
                <w:szCs w:val="20"/>
                <w:lang w:val="en-AU"/>
              </w:rPr>
              <w:t>623</w:t>
            </w:r>
            <w:r w:rsidRPr="008D1918">
              <w:rPr>
                <w:rFonts w:cs="Arial"/>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102B613C" w14:textId="308D24AE">
            <w:pPr>
              <w:keepNext/>
              <w:spacing w:before="60" w:after="20"/>
              <w:ind w:right="312"/>
              <w:jc w:val="right"/>
              <w:rPr>
                <w:rFonts w:cs="Arial"/>
                <w:b/>
                <w:bCs/>
                <w:sz w:val="20"/>
                <w:szCs w:val="20"/>
                <w:lang w:val="en-AU"/>
              </w:rPr>
            </w:pPr>
            <w:r w:rsidRPr="008D1918">
              <w:rPr>
                <w:rFonts w:cs="Arial"/>
                <w:sz w:val="20"/>
                <w:szCs w:val="20"/>
                <w:lang w:val="en-AU"/>
              </w:rPr>
              <w:t>$</w:t>
            </w:r>
            <w:r w:rsidRPr="008D1918" w:rsidR="00BB7193">
              <w:rPr>
                <w:rFonts w:cs="Arial"/>
                <w:sz w:val="20"/>
                <w:szCs w:val="20"/>
                <w:lang w:val="en-AU"/>
              </w:rPr>
              <w:t>650</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B3E044D" w14:textId="77777777">
            <w:pPr>
              <w:keepNext/>
              <w:spacing w:before="60" w:after="20"/>
              <w:ind w:right="312"/>
              <w:jc w:val="right"/>
              <w:rPr>
                <w:rFonts w:cs="Arial"/>
                <w:b/>
                <w:bCs/>
                <w:sz w:val="20"/>
                <w:szCs w:val="20"/>
                <w:lang w:val="en-AU"/>
              </w:rPr>
            </w:pPr>
            <w:r w:rsidRPr="008D1918">
              <w:rPr>
                <w:rFonts w:cs="Arial"/>
                <w:sz w:val="20"/>
                <w:szCs w:val="20"/>
                <w:lang w:val="en-AU"/>
              </w:rPr>
              <w:t xml:space="preserve"> 5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4537DF14" w14:textId="77777777">
            <w:pPr>
              <w:keepNext/>
              <w:spacing w:before="60" w:after="20"/>
              <w:ind w:right="312"/>
              <w:jc w:val="right"/>
              <w:rPr>
                <w:rFonts w:cs="Arial"/>
                <w:b/>
                <w:bCs/>
                <w:sz w:val="20"/>
                <w:szCs w:val="20"/>
                <w:lang w:val="en-AU"/>
              </w:rPr>
            </w:pPr>
            <w:r w:rsidRPr="008D1918">
              <w:rPr>
                <w:rFonts w:cs="Arial"/>
                <w:sz w:val="20"/>
                <w:szCs w:val="20"/>
                <w:lang w:val="en-AU"/>
              </w:rPr>
              <w:t>$4</w:t>
            </w:r>
          </w:p>
        </w:tc>
      </w:tr>
      <w:tr w:rsidRPr="008D1918" w:rsidR="00A238C6" w:rsidTr="00265523" w14:paraId="6C1176E1" w14:textId="77777777">
        <w:trPr>
          <w:cnfStyle w:val="000000100000" w:firstRow="0" w:lastRow="0" w:firstColumn="0" w:lastColumn="0" w:oddVBand="0" w:evenVBand="0" w:oddHBand="1" w:evenHBand="0" w:firstRowFirstColumn="0" w:firstRowLastColumn="0" w:lastRowFirstColumn="0" w:lastRowLastColumn="0"/>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45DFAE95" w14:textId="463FCF50">
            <w:pPr>
              <w:keepNext/>
              <w:spacing w:before="60" w:after="20"/>
              <w:rPr>
                <w:rFonts w:cs="Arial"/>
                <w:b/>
                <w:bCs/>
                <w:sz w:val="20"/>
                <w:szCs w:val="20"/>
                <w:lang w:val="en-AU" w:eastAsia="en-AU"/>
              </w:rPr>
            </w:pPr>
            <w:r w:rsidRPr="008D1918">
              <w:rPr>
                <w:rFonts w:cs="Arial"/>
                <w:sz w:val="20"/>
                <w:szCs w:val="20"/>
                <w:lang w:val="en-AU"/>
              </w:rPr>
              <w:t>101–250</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1395655" w14:textId="31C4FD61">
            <w:pPr>
              <w:keepNext/>
              <w:spacing w:before="60" w:after="20"/>
              <w:ind w:right="312"/>
              <w:jc w:val="right"/>
              <w:rPr>
                <w:rFonts w:cs="Arial"/>
                <w:b/>
                <w:bCs/>
                <w:sz w:val="20"/>
                <w:szCs w:val="20"/>
                <w:lang w:val="en-AU"/>
              </w:rPr>
            </w:pPr>
            <w:r w:rsidRPr="008D1918">
              <w:rPr>
                <w:rFonts w:cs="Arial"/>
                <w:sz w:val="20"/>
                <w:szCs w:val="20"/>
                <w:lang w:val="en-AU"/>
              </w:rPr>
              <w:t xml:space="preserve"> </w:t>
            </w:r>
            <w:r w:rsidRPr="008D1918" w:rsidR="00273D7D">
              <w:rPr>
                <w:rFonts w:cs="Arial"/>
                <w:sz w:val="20"/>
                <w:szCs w:val="20"/>
                <w:lang w:val="en-AU"/>
              </w:rPr>
              <w:t>311</w:t>
            </w:r>
            <w:r w:rsidRPr="008D1918">
              <w:rPr>
                <w:rFonts w:cs="Arial"/>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FB1CA4D" w14:textId="6D3947BB">
            <w:pPr>
              <w:keepNext/>
              <w:spacing w:before="60" w:after="20"/>
              <w:ind w:right="312"/>
              <w:jc w:val="right"/>
              <w:rPr>
                <w:rFonts w:cs="Arial"/>
                <w:b/>
                <w:bCs/>
                <w:sz w:val="20"/>
                <w:szCs w:val="20"/>
                <w:lang w:val="en-AU"/>
              </w:rPr>
            </w:pPr>
            <w:r w:rsidRPr="008D1918">
              <w:rPr>
                <w:rFonts w:cs="Arial"/>
                <w:sz w:val="20"/>
                <w:szCs w:val="20"/>
                <w:lang w:val="en-AU"/>
              </w:rPr>
              <w:t>$</w:t>
            </w:r>
            <w:r w:rsidRPr="008D1918" w:rsidR="00E36173">
              <w:rPr>
                <w:rFonts w:cs="Arial"/>
                <w:sz w:val="20"/>
                <w:szCs w:val="20"/>
                <w:lang w:val="en-AU"/>
              </w:rPr>
              <w:t>634</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2AADA7D" w14:textId="2FF3E5CE">
            <w:pPr>
              <w:keepNext/>
              <w:spacing w:before="60" w:after="20"/>
              <w:ind w:right="312"/>
              <w:jc w:val="right"/>
              <w:rPr>
                <w:rFonts w:cs="Arial"/>
                <w:b/>
                <w:bCs/>
                <w:sz w:val="20"/>
                <w:szCs w:val="20"/>
                <w:lang w:val="en-AU"/>
              </w:rPr>
            </w:pPr>
            <w:r w:rsidRPr="008D1918">
              <w:rPr>
                <w:rFonts w:cs="Arial"/>
                <w:sz w:val="20"/>
                <w:szCs w:val="20"/>
                <w:lang w:val="en-AU"/>
              </w:rPr>
              <w:t>-</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4F8CEA9D" w14:textId="6CC71967">
            <w:pPr>
              <w:keepNext/>
              <w:spacing w:before="60" w:after="20"/>
              <w:ind w:right="312"/>
              <w:jc w:val="right"/>
              <w:rPr>
                <w:rFonts w:cs="Arial"/>
                <w:b/>
                <w:bCs/>
                <w:sz w:val="20"/>
                <w:szCs w:val="20"/>
                <w:lang w:val="en-AU"/>
              </w:rPr>
            </w:pPr>
            <w:r w:rsidRPr="008D1918">
              <w:rPr>
                <w:rFonts w:cs="Arial"/>
                <w:sz w:val="20"/>
                <w:szCs w:val="20"/>
                <w:lang w:val="en-AU"/>
              </w:rPr>
              <w:t>-</w:t>
            </w:r>
          </w:p>
        </w:tc>
      </w:tr>
      <w:tr w:rsidRPr="008D1918" w:rsidR="00601AFC" w:rsidTr="00265523" w14:paraId="20CD4102" w14:textId="77777777">
        <w:trPr>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50A7A84" w14:textId="7D60B0DD">
            <w:pPr>
              <w:keepNext/>
              <w:spacing w:before="60" w:after="20"/>
              <w:rPr>
                <w:rFonts w:cs="Arial"/>
                <w:b/>
                <w:bCs/>
                <w:sz w:val="20"/>
                <w:szCs w:val="20"/>
                <w:lang w:val="en-AU" w:eastAsia="en-AU"/>
              </w:rPr>
            </w:pPr>
            <w:r w:rsidRPr="008D1918">
              <w:rPr>
                <w:rFonts w:cs="Arial"/>
                <w:sz w:val="20"/>
                <w:szCs w:val="20"/>
                <w:lang w:val="en-AU"/>
              </w:rPr>
              <w:t>251–1000</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E0AFFA2" w14:textId="4981B470">
            <w:pPr>
              <w:keepNext/>
              <w:spacing w:before="60" w:after="20"/>
              <w:ind w:right="312"/>
              <w:jc w:val="right"/>
              <w:rPr>
                <w:rFonts w:cs="Arial"/>
                <w:b/>
                <w:bCs/>
                <w:sz w:val="20"/>
                <w:szCs w:val="20"/>
                <w:lang w:val="en-AU"/>
              </w:rPr>
            </w:pPr>
            <w:r w:rsidRPr="008D1918">
              <w:rPr>
                <w:rFonts w:cs="Arial"/>
                <w:sz w:val="20"/>
                <w:szCs w:val="20"/>
                <w:lang w:val="en-AU"/>
              </w:rPr>
              <w:t xml:space="preserve"> </w:t>
            </w:r>
            <w:r w:rsidRPr="008D1918" w:rsidR="00273D7D">
              <w:rPr>
                <w:rFonts w:cs="Arial"/>
                <w:sz w:val="20"/>
                <w:szCs w:val="20"/>
                <w:lang w:val="en-AU"/>
              </w:rPr>
              <w:t>101</w:t>
            </w:r>
            <w:r w:rsidRPr="008D1918">
              <w:rPr>
                <w:rFonts w:cs="Arial"/>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6FDB00E" w14:textId="0FF40EEC">
            <w:pPr>
              <w:keepNext/>
              <w:spacing w:before="60" w:after="20"/>
              <w:ind w:right="312"/>
              <w:jc w:val="right"/>
              <w:rPr>
                <w:rFonts w:cs="Arial"/>
                <w:b/>
                <w:bCs/>
                <w:sz w:val="20"/>
                <w:szCs w:val="20"/>
                <w:lang w:val="en-AU"/>
              </w:rPr>
            </w:pPr>
            <w:r w:rsidRPr="008D1918">
              <w:rPr>
                <w:rFonts w:cs="Arial"/>
                <w:sz w:val="20"/>
                <w:szCs w:val="20"/>
                <w:lang w:val="en-AU"/>
              </w:rPr>
              <w:t>$</w:t>
            </w:r>
            <w:r w:rsidRPr="008D1918" w:rsidR="00E36173">
              <w:rPr>
                <w:rFonts w:cs="Arial"/>
                <w:sz w:val="20"/>
                <w:szCs w:val="20"/>
                <w:lang w:val="en-AU"/>
              </w:rPr>
              <w:t>554</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D5810DA" w14:textId="04259A5C">
            <w:pPr>
              <w:keepNext/>
              <w:spacing w:before="60" w:after="20"/>
              <w:ind w:right="312"/>
              <w:jc w:val="right"/>
              <w:rPr>
                <w:rFonts w:cs="Arial"/>
                <w:b/>
                <w:bCs/>
                <w:sz w:val="20"/>
                <w:szCs w:val="20"/>
                <w:lang w:val="en-AU"/>
              </w:rPr>
            </w:pPr>
            <w:r w:rsidRPr="008D1918">
              <w:rPr>
                <w:rFonts w:cs="Arial"/>
                <w:sz w:val="20"/>
                <w:szCs w:val="20"/>
                <w:lang w:val="en-AU"/>
              </w:rPr>
              <w:t xml:space="preserve">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68B807E" w14:textId="2D2673FD">
            <w:pPr>
              <w:keepNext/>
              <w:spacing w:before="60" w:after="20"/>
              <w:ind w:right="312"/>
              <w:jc w:val="right"/>
              <w:rPr>
                <w:rFonts w:cs="Arial"/>
                <w:b/>
                <w:bCs/>
                <w:sz w:val="20"/>
                <w:szCs w:val="20"/>
                <w:lang w:val="en-AU"/>
              </w:rPr>
            </w:pPr>
            <w:r w:rsidRPr="008D1918">
              <w:rPr>
                <w:rFonts w:cs="Arial"/>
                <w:sz w:val="20"/>
                <w:szCs w:val="20"/>
                <w:lang w:val="en-AU"/>
              </w:rPr>
              <w:t>-</w:t>
            </w:r>
          </w:p>
        </w:tc>
      </w:tr>
      <w:tr w:rsidRPr="008D1918" w:rsidR="00C52662" w:rsidTr="00265523" w14:paraId="2AD21451" w14:textId="77777777">
        <w:trPr>
          <w:cnfStyle w:val="000000100000" w:firstRow="0" w:lastRow="0" w:firstColumn="0" w:lastColumn="0" w:oddVBand="0" w:evenVBand="0" w:oddHBand="1" w:evenHBand="0" w:firstRowFirstColumn="0" w:firstRowLastColumn="0" w:lastRowFirstColumn="0" w:lastRowLastColumn="0"/>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C52662" w:rsidP="00392D79" w:rsidRDefault="00C52662" w14:paraId="051A9ADB" w14:textId="496ED6BB">
            <w:pPr>
              <w:keepNext/>
              <w:spacing w:before="60" w:after="20"/>
              <w:rPr>
                <w:rFonts w:cs="Arial"/>
                <w:sz w:val="20"/>
                <w:szCs w:val="20"/>
                <w:lang w:val="en-AU"/>
              </w:rPr>
            </w:pPr>
            <w:r w:rsidRPr="008D1918">
              <w:rPr>
                <w:rFonts w:cs="Arial"/>
                <w:sz w:val="20"/>
                <w:szCs w:val="20"/>
                <w:lang w:val="en-AU"/>
              </w:rPr>
              <w:t>1000+</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C52662" w:rsidP="00392D79" w:rsidRDefault="00C52662" w14:paraId="68B37E9A" w14:textId="7E846687">
            <w:pPr>
              <w:keepNext/>
              <w:spacing w:before="60" w:after="20"/>
              <w:ind w:right="312"/>
              <w:jc w:val="right"/>
              <w:rPr>
                <w:rFonts w:cs="Arial"/>
                <w:sz w:val="20"/>
                <w:szCs w:val="20"/>
                <w:lang w:val="en-AU"/>
              </w:rPr>
            </w:pPr>
            <w:r w:rsidRPr="008D1918">
              <w:rPr>
                <w:rFonts w:cs="Arial"/>
                <w:sz w:val="20"/>
                <w:szCs w:val="20"/>
                <w:lang w:val="en-AU"/>
              </w:rPr>
              <w:t>10</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C52662" w:rsidP="00392D79" w:rsidRDefault="00C52662" w14:paraId="490CB8E1" w14:textId="575251B8">
            <w:pPr>
              <w:keepNext/>
              <w:spacing w:before="60" w:after="20"/>
              <w:ind w:right="312"/>
              <w:jc w:val="right"/>
              <w:rPr>
                <w:rFonts w:cs="Arial"/>
                <w:sz w:val="20"/>
                <w:szCs w:val="20"/>
                <w:lang w:val="en-AU"/>
              </w:rPr>
            </w:pPr>
            <w:r w:rsidRPr="008D1918">
              <w:rPr>
                <w:rFonts w:cs="Arial"/>
                <w:sz w:val="20"/>
                <w:szCs w:val="20"/>
                <w:lang w:val="en-AU"/>
              </w:rPr>
              <w:t>$234</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C52662" w:rsidP="00392D79" w:rsidRDefault="00FA1D46" w14:paraId="081D6EE7" w14:textId="319F5D11">
            <w:pPr>
              <w:keepNext/>
              <w:spacing w:before="60" w:after="20"/>
              <w:ind w:right="312"/>
              <w:jc w:val="right"/>
              <w:rPr>
                <w:rFonts w:cs="Arial"/>
                <w:sz w:val="20"/>
                <w:szCs w:val="20"/>
                <w:lang w:val="en-AU"/>
              </w:rPr>
            </w:pPr>
            <w:r w:rsidRPr="008D1918">
              <w:rPr>
                <w:rFonts w:cs="Arial"/>
                <w:sz w:val="20"/>
                <w:szCs w:val="20"/>
                <w:lang w:val="en-AU"/>
              </w:rPr>
              <w:t>-</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C52662" w:rsidP="00392D79" w:rsidRDefault="00FA1D46" w14:paraId="6C343B41" w14:textId="373C7638">
            <w:pPr>
              <w:keepNext/>
              <w:spacing w:before="60" w:after="20"/>
              <w:ind w:right="312"/>
              <w:jc w:val="right"/>
              <w:rPr>
                <w:rFonts w:cs="Arial"/>
                <w:sz w:val="20"/>
                <w:szCs w:val="20"/>
                <w:lang w:val="en-AU"/>
              </w:rPr>
            </w:pPr>
            <w:r w:rsidRPr="008D1918">
              <w:rPr>
                <w:rFonts w:cs="Arial"/>
                <w:sz w:val="20"/>
                <w:szCs w:val="20"/>
                <w:lang w:val="en-AU"/>
              </w:rPr>
              <w:t>-</w:t>
            </w:r>
          </w:p>
        </w:tc>
      </w:tr>
      <w:tr w:rsidRPr="008D1918" w:rsidR="00A238C6" w:rsidTr="00265523" w14:paraId="5600C5E6" w14:textId="77777777">
        <w:trPr>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D43BE64" w14:textId="77777777">
            <w:pPr>
              <w:keepNext/>
              <w:spacing w:before="60" w:after="20"/>
              <w:rPr>
                <w:rFonts w:cs="Arial"/>
                <w:b/>
                <w:bCs/>
                <w:sz w:val="20"/>
                <w:szCs w:val="20"/>
                <w:lang w:val="en-AU" w:eastAsia="en-AU"/>
              </w:rPr>
            </w:pPr>
            <w:r w:rsidRPr="008D1918">
              <w:rPr>
                <w:rFonts w:cs="Arial"/>
                <w:b/>
                <w:bCs/>
                <w:sz w:val="20"/>
                <w:szCs w:val="20"/>
                <w:lang w:val="en-AU"/>
              </w:rPr>
              <w:t>Overall</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AEC0C46" w14:textId="20ED2C3C">
            <w:pPr>
              <w:keepNext/>
              <w:spacing w:before="60" w:after="20"/>
              <w:ind w:right="312"/>
              <w:jc w:val="right"/>
              <w:rPr>
                <w:rFonts w:cs="Arial"/>
                <w:b/>
                <w:bCs/>
                <w:sz w:val="20"/>
                <w:szCs w:val="20"/>
                <w:lang w:val="en-AU"/>
              </w:rPr>
            </w:pPr>
            <w:r w:rsidRPr="008D1918">
              <w:rPr>
                <w:rFonts w:cs="Arial"/>
                <w:b/>
                <w:bCs/>
                <w:sz w:val="20"/>
                <w:szCs w:val="20"/>
                <w:lang w:val="en-AU"/>
              </w:rPr>
              <w:t xml:space="preserve"> </w:t>
            </w:r>
            <w:r w:rsidRPr="008D1918" w:rsidR="00E36173">
              <w:rPr>
                <w:rFonts w:cs="Arial"/>
                <w:b/>
                <w:bCs/>
                <w:sz w:val="20"/>
                <w:szCs w:val="20"/>
                <w:lang w:val="en-AU"/>
              </w:rPr>
              <w:t>9,566</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C9F9C57" w14:textId="45C6ABA0">
            <w:pPr>
              <w:keepNext/>
              <w:spacing w:before="60" w:after="20"/>
              <w:ind w:right="312"/>
              <w:jc w:val="right"/>
              <w:rPr>
                <w:rFonts w:cs="Arial"/>
                <w:b/>
                <w:bCs/>
                <w:sz w:val="20"/>
                <w:szCs w:val="20"/>
                <w:lang w:val="en-AU"/>
              </w:rPr>
            </w:pPr>
            <w:r w:rsidRPr="008D1918">
              <w:rPr>
                <w:rFonts w:cs="Arial"/>
                <w:b/>
                <w:bCs/>
                <w:sz w:val="20"/>
                <w:szCs w:val="20"/>
                <w:lang w:val="en-AU"/>
              </w:rPr>
              <w:t>$</w:t>
            </w:r>
            <w:r w:rsidRPr="008D1918" w:rsidR="001C01A3">
              <w:rPr>
                <w:rFonts w:cs="Arial"/>
                <w:b/>
                <w:bCs/>
                <w:sz w:val="20"/>
                <w:szCs w:val="20"/>
                <w:lang w:val="en-AU"/>
              </w:rPr>
              <w:t>3,368</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523D9750" w14:textId="77777777">
            <w:pPr>
              <w:keepNext/>
              <w:spacing w:before="60" w:after="20"/>
              <w:ind w:right="312"/>
              <w:jc w:val="right"/>
              <w:rPr>
                <w:rFonts w:cs="Arial"/>
                <w:b/>
                <w:bCs/>
                <w:sz w:val="20"/>
                <w:szCs w:val="20"/>
                <w:lang w:val="en-AU"/>
              </w:rPr>
            </w:pPr>
            <w:r w:rsidRPr="008D1918">
              <w:rPr>
                <w:rFonts w:cs="Arial"/>
                <w:b/>
                <w:bCs/>
                <w:sz w:val="20"/>
                <w:szCs w:val="20"/>
                <w:lang w:val="en-AU"/>
              </w:rPr>
              <w:t xml:space="preserve"> 829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1FE2AC82" w14:textId="77777777">
            <w:pPr>
              <w:keepNext/>
              <w:spacing w:before="60" w:after="20"/>
              <w:ind w:right="312"/>
              <w:jc w:val="right"/>
              <w:rPr>
                <w:rFonts w:cs="Arial"/>
                <w:b/>
                <w:bCs/>
                <w:sz w:val="20"/>
                <w:szCs w:val="20"/>
                <w:lang w:val="en-AU"/>
              </w:rPr>
            </w:pPr>
            <w:r w:rsidRPr="008D1918">
              <w:rPr>
                <w:rFonts w:cs="Arial"/>
                <w:b/>
                <w:bCs/>
                <w:sz w:val="20"/>
                <w:szCs w:val="20"/>
                <w:lang w:val="en-AU"/>
              </w:rPr>
              <w:t>$50</w:t>
            </w:r>
          </w:p>
        </w:tc>
      </w:tr>
    </w:tbl>
    <w:p w:rsidRPr="008D1918" w:rsidR="00601AFC" w:rsidP="00A6613E" w:rsidRDefault="00601AFC" w14:paraId="76B4FE1D" w14:textId="77777777">
      <w:pPr>
        <w:spacing w:before="120" w:after="3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601AFC" w:rsidP="003B2D0E" w:rsidRDefault="003B2D0E" w14:paraId="18859E84" w14:textId="647B3D36">
      <w:pPr>
        <w:pStyle w:val="Caption"/>
      </w:pPr>
      <w:bookmarkStart w:name="_Ref223696823" w:id="2051"/>
      <w:r w:rsidRPr="008D1918">
        <w:t xml:space="preserve">Table </w:t>
      </w:r>
      <w:r>
        <w:fldChar w:fldCharType="begin"/>
      </w:r>
      <w:r>
        <w:instrText>SEQ Table \* ARABIC</w:instrText>
      </w:r>
      <w:r>
        <w:fldChar w:fldCharType="separate"/>
      </w:r>
      <w:r w:rsidR="008F56A2">
        <w:rPr>
          <w:noProof/>
        </w:rPr>
        <w:t>47</w:t>
      </w:r>
      <w:r>
        <w:fldChar w:fldCharType="end"/>
      </w:r>
      <w:bookmarkEnd w:id="2051"/>
      <w:r w:rsidRPr="008D1918" w:rsidR="00601AFC">
        <w:t>: Number of providers and total payments by legal entity type and number of participants – unregistered providers</w:t>
      </w:r>
      <w:r w:rsidRPr="008D1918" w:rsidR="00967F90">
        <w:t>, July to December 2025</w:t>
      </w:r>
    </w:p>
    <w:tbl>
      <w:tblPr>
        <w:tblStyle w:val="GridTable4-Accent121"/>
        <w:tblW w:w="9298" w:type="dxa"/>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2041"/>
        <w:gridCol w:w="1644"/>
        <w:gridCol w:w="2098"/>
        <w:gridCol w:w="1474"/>
        <w:gridCol w:w="2041"/>
      </w:tblGrid>
      <w:tr w:rsidRPr="008D1918" w:rsidR="00173A73" w:rsidTr="00265523" w14:paraId="44CBD83D"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2041" w:type="dxa"/>
            <w:tcBorders>
              <w:right w:val="single" w:color="501E58" w:themeColor="accent5" w:themeShade="BF" w:sz="6" w:space="0"/>
            </w:tcBorders>
            <w:vAlign w:val="center"/>
            <w:hideMark/>
          </w:tcPr>
          <w:p w:rsidRPr="008D1918" w:rsidR="00601AFC" w:rsidP="003B2D0E" w:rsidRDefault="00601AFC" w14:paraId="591EEAB8" w14:textId="10BB36E4">
            <w:pPr>
              <w:keepNext/>
              <w:spacing w:before="60" w:after="60"/>
              <w:rPr>
                <w:rFonts w:cs="Arial"/>
                <w:sz w:val="20"/>
                <w:szCs w:val="20"/>
                <w:lang w:val="en-AU" w:eastAsia="en-AU"/>
              </w:rPr>
            </w:pPr>
            <w:r w:rsidRPr="008D1918">
              <w:rPr>
                <w:sz w:val="20"/>
                <w:szCs w:val="20"/>
                <w:lang w:val="en-AU"/>
              </w:rPr>
              <w:t xml:space="preserve">Size of </w:t>
            </w:r>
            <w:r w:rsidRPr="008D1918" w:rsidR="003B2D0E">
              <w:rPr>
                <w:sz w:val="20"/>
                <w:szCs w:val="20"/>
                <w:lang w:val="en-AU"/>
              </w:rPr>
              <w:t>p</w:t>
            </w:r>
            <w:r w:rsidRPr="008D1918">
              <w:rPr>
                <w:sz w:val="20"/>
                <w:szCs w:val="20"/>
                <w:lang w:val="en-AU"/>
              </w:rPr>
              <w:t>rovider (number of participants supported)</w:t>
            </w:r>
          </w:p>
        </w:tc>
        <w:tc>
          <w:tcPr>
            <w:tcW w:w="1644" w:type="dxa"/>
            <w:tcBorders>
              <w:left w:val="single" w:color="501E58" w:themeColor="accent5" w:themeShade="BF" w:sz="6" w:space="0"/>
              <w:right w:val="single" w:color="501E58" w:themeColor="accent5" w:themeShade="BF" w:sz="6" w:space="0"/>
            </w:tcBorders>
            <w:vAlign w:val="center"/>
          </w:tcPr>
          <w:p w:rsidRPr="008D1918" w:rsidR="00601AFC" w:rsidP="003B2D0E" w:rsidRDefault="00601AFC" w14:paraId="121F7A99" w14:textId="77777777">
            <w:pPr>
              <w:keepNext/>
              <w:spacing w:before="60" w:after="60"/>
              <w:jc w:val="right"/>
              <w:rPr>
                <w:rFonts w:cs="Arial"/>
                <w:sz w:val="20"/>
                <w:szCs w:val="20"/>
                <w:lang w:val="en-AU" w:eastAsia="en-AU"/>
              </w:rPr>
            </w:pPr>
            <w:r w:rsidRPr="008D1918">
              <w:rPr>
                <w:sz w:val="20"/>
                <w:szCs w:val="20"/>
                <w:lang w:val="en-AU"/>
              </w:rPr>
              <w:t>Organisation count</w:t>
            </w:r>
          </w:p>
        </w:tc>
        <w:tc>
          <w:tcPr>
            <w:tcW w:w="2098" w:type="dxa"/>
            <w:tcBorders>
              <w:left w:val="single" w:color="501E58" w:themeColor="accent5" w:themeShade="BF" w:sz="6" w:space="0"/>
              <w:right w:val="single" w:color="501E58" w:themeColor="accent5" w:themeShade="BF" w:sz="6" w:space="0"/>
            </w:tcBorders>
            <w:vAlign w:val="center"/>
          </w:tcPr>
          <w:p w:rsidRPr="008D1918" w:rsidR="00E53B2C" w:rsidP="003B2D0E" w:rsidRDefault="00601AFC" w14:paraId="6610C1AA" w14:textId="16A34ED8">
            <w:pPr>
              <w:keepNext/>
              <w:spacing w:before="60" w:after="0"/>
              <w:jc w:val="right"/>
              <w:rPr>
                <w:b w:val="0"/>
                <w:bCs w:val="0"/>
                <w:sz w:val="20"/>
                <w:szCs w:val="20"/>
                <w:lang w:val="en-AU"/>
              </w:rPr>
            </w:pPr>
            <w:r w:rsidRPr="008D1918">
              <w:rPr>
                <w:sz w:val="20"/>
                <w:szCs w:val="20"/>
                <w:lang w:val="en-AU"/>
              </w:rPr>
              <w:t xml:space="preserve">Total </w:t>
            </w:r>
            <w:r w:rsidRPr="008D1918" w:rsidR="003B2D0E">
              <w:rPr>
                <w:sz w:val="20"/>
                <w:szCs w:val="20"/>
                <w:lang w:val="en-AU"/>
              </w:rPr>
              <w:t>o</w:t>
            </w:r>
            <w:r w:rsidRPr="008D1918">
              <w:rPr>
                <w:sz w:val="20"/>
                <w:szCs w:val="20"/>
                <w:lang w:val="en-AU"/>
              </w:rPr>
              <w:t>rganisation payment</w:t>
            </w:r>
          </w:p>
          <w:p w:rsidRPr="008D1918" w:rsidR="00601AFC" w:rsidP="003B2D0E" w:rsidRDefault="00601AFC" w14:paraId="5CAF0CAF" w14:textId="60C7A4F9">
            <w:pPr>
              <w:keepNext/>
              <w:spacing w:before="0" w:after="60"/>
              <w:jc w:val="right"/>
              <w:rPr>
                <w:rFonts w:cs="Arial"/>
                <w:sz w:val="20"/>
                <w:szCs w:val="20"/>
                <w:lang w:val="en-AU" w:eastAsia="en-AU"/>
              </w:rPr>
            </w:pPr>
            <w:r w:rsidRPr="008D1918">
              <w:rPr>
                <w:sz w:val="20"/>
                <w:szCs w:val="20"/>
                <w:lang w:val="en-AU"/>
              </w:rPr>
              <w:t>(million)</w:t>
            </w:r>
          </w:p>
        </w:tc>
        <w:tc>
          <w:tcPr>
            <w:tcW w:w="1474" w:type="dxa"/>
            <w:tcBorders>
              <w:left w:val="single" w:color="501E58" w:themeColor="accent5" w:themeShade="BF" w:sz="6" w:space="0"/>
              <w:right w:val="single" w:color="501E58" w:themeColor="accent5" w:themeShade="BF" w:sz="6" w:space="0"/>
            </w:tcBorders>
            <w:vAlign w:val="center"/>
          </w:tcPr>
          <w:p w:rsidRPr="008D1918" w:rsidR="00601AFC" w:rsidP="003B2D0E" w:rsidRDefault="00601AFC" w14:paraId="42866BE4" w14:textId="77777777">
            <w:pPr>
              <w:keepNext/>
              <w:spacing w:before="60" w:after="60"/>
              <w:jc w:val="right"/>
              <w:rPr>
                <w:rFonts w:cs="Arial"/>
                <w:sz w:val="20"/>
                <w:szCs w:val="20"/>
                <w:lang w:val="en-AU"/>
              </w:rPr>
            </w:pPr>
            <w:r w:rsidRPr="008D1918">
              <w:rPr>
                <w:sz w:val="20"/>
                <w:szCs w:val="20"/>
                <w:lang w:val="en-AU"/>
              </w:rPr>
              <w:t>Sole trader count</w:t>
            </w:r>
          </w:p>
        </w:tc>
        <w:tc>
          <w:tcPr>
            <w:tcW w:w="2041" w:type="dxa"/>
            <w:tcBorders>
              <w:left w:val="single" w:color="501E58" w:themeColor="accent5" w:themeShade="BF" w:sz="6" w:space="0"/>
              <w:right w:val="single" w:color="501E58" w:themeColor="accent5" w:themeShade="BF" w:sz="6" w:space="0"/>
            </w:tcBorders>
            <w:vAlign w:val="center"/>
            <w:hideMark/>
          </w:tcPr>
          <w:p w:rsidRPr="008D1918" w:rsidR="00E53B2C" w:rsidP="003B2D0E" w:rsidRDefault="00601AFC" w14:paraId="36FC4378" w14:textId="77777777">
            <w:pPr>
              <w:keepNext/>
              <w:spacing w:before="60" w:after="0"/>
              <w:jc w:val="right"/>
              <w:rPr>
                <w:b w:val="0"/>
                <w:bCs w:val="0"/>
                <w:sz w:val="20"/>
                <w:szCs w:val="20"/>
                <w:lang w:val="en-AU"/>
              </w:rPr>
            </w:pPr>
            <w:r w:rsidRPr="008D1918">
              <w:rPr>
                <w:sz w:val="20"/>
                <w:szCs w:val="20"/>
                <w:lang w:val="en-AU"/>
              </w:rPr>
              <w:t>Total sole trader payment</w:t>
            </w:r>
          </w:p>
          <w:p w:rsidRPr="008D1918" w:rsidR="00601AFC" w:rsidP="003B2D0E" w:rsidRDefault="00601AFC" w14:paraId="39E5ED42" w14:textId="35FC9C13">
            <w:pPr>
              <w:keepNext/>
              <w:spacing w:before="0" w:after="60"/>
              <w:jc w:val="right"/>
              <w:rPr>
                <w:rFonts w:cs="Arial"/>
                <w:sz w:val="20"/>
                <w:szCs w:val="20"/>
                <w:lang w:val="en-AU" w:eastAsia="en-AU"/>
              </w:rPr>
            </w:pPr>
            <w:r w:rsidRPr="008D1918">
              <w:rPr>
                <w:sz w:val="20"/>
                <w:szCs w:val="20"/>
                <w:lang w:val="en-AU"/>
              </w:rPr>
              <w:t>(million)</w:t>
            </w:r>
          </w:p>
        </w:tc>
      </w:tr>
      <w:tr w:rsidRPr="008D1918" w:rsidR="00173A73" w:rsidTr="00265523" w14:paraId="4B641597" w14:textId="77777777">
        <w:trPr>
          <w:cnfStyle w:val="000000100000" w:firstRow="0" w:lastRow="0" w:firstColumn="0" w:lastColumn="0" w:oddVBand="0" w:evenVBand="0" w:oddHBand="1" w:evenHBand="0" w:firstRowFirstColumn="0" w:firstRowLastColumn="0" w:lastRowFirstColumn="0" w:lastRowLastColumn="0"/>
          <w:trHeight w:val="340"/>
        </w:trPr>
        <w:tc>
          <w:tcPr>
            <w:tcW w:w="2041"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5B337F24" w14:textId="77777777">
            <w:pPr>
              <w:keepNext/>
              <w:spacing w:before="60" w:after="20"/>
              <w:rPr>
                <w:rFonts w:cs="Arial"/>
                <w:sz w:val="20"/>
                <w:szCs w:val="20"/>
                <w:lang w:val="en-AU" w:eastAsia="en-AU"/>
              </w:rPr>
            </w:pPr>
            <w:r w:rsidRPr="008D1918">
              <w:rPr>
                <w:sz w:val="20"/>
                <w:szCs w:val="20"/>
                <w:lang w:val="en-AU"/>
              </w:rPr>
              <w:t>1</w:t>
            </w:r>
          </w:p>
        </w:tc>
        <w:tc>
          <w:tcPr>
            <w:tcW w:w="1644"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1A15FE4" w14:textId="551831D3">
            <w:pPr>
              <w:keepNext/>
              <w:spacing w:before="60" w:after="20"/>
              <w:ind w:right="171"/>
              <w:jc w:val="right"/>
              <w:rPr>
                <w:rFonts w:cs="Arial"/>
                <w:color w:val="000000"/>
                <w:sz w:val="20"/>
                <w:szCs w:val="20"/>
                <w:lang w:val="en-AU" w:eastAsia="en-AU"/>
              </w:rPr>
            </w:pPr>
            <w:r w:rsidRPr="008D1918">
              <w:rPr>
                <w:sz w:val="20"/>
                <w:szCs w:val="20"/>
                <w:lang w:val="en-AU"/>
              </w:rPr>
              <w:t xml:space="preserve"> </w:t>
            </w:r>
            <w:r w:rsidRPr="008D1918" w:rsidR="00900DB9">
              <w:rPr>
                <w:sz w:val="20"/>
                <w:szCs w:val="20"/>
                <w:lang w:val="en-AU"/>
              </w:rPr>
              <w:t>6,246</w:t>
            </w:r>
            <w:r w:rsidRPr="008D1918">
              <w:rPr>
                <w:sz w:val="20"/>
                <w:szCs w:val="20"/>
                <w:lang w:val="en-AU"/>
              </w:rPr>
              <w:t xml:space="preserve"> </w:t>
            </w:r>
          </w:p>
        </w:tc>
        <w:tc>
          <w:tcPr>
            <w:tcW w:w="2098"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06E8A98A" w14:textId="1C3C53E1">
            <w:pPr>
              <w:keepNext/>
              <w:spacing w:before="60" w:after="20"/>
              <w:ind w:right="171"/>
              <w:jc w:val="right"/>
              <w:rPr>
                <w:rFonts w:cs="Arial"/>
                <w:color w:val="000000"/>
                <w:sz w:val="20"/>
                <w:szCs w:val="20"/>
                <w:lang w:val="en-AU" w:eastAsia="en-AU"/>
              </w:rPr>
            </w:pPr>
            <w:r w:rsidRPr="008D1918">
              <w:rPr>
                <w:sz w:val="20"/>
                <w:szCs w:val="20"/>
                <w:lang w:val="en-AU"/>
              </w:rPr>
              <w:t>$</w:t>
            </w:r>
            <w:r w:rsidRPr="008D1918" w:rsidR="00ED3466">
              <w:rPr>
                <w:sz w:val="20"/>
                <w:szCs w:val="20"/>
                <w:lang w:val="en-AU"/>
              </w:rPr>
              <w:t>51</w:t>
            </w:r>
          </w:p>
        </w:tc>
        <w:tc>
          <w:tcPr>
            <w:tcW w:w="1474"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6BCC257" w14:textId="77777777">
            <w:pPr>
              <w:keepNext/>
              <w:spacing w:before="60" w:after="20"/>
              <w:ind w:right="171"/>
              <w:jc w:val="right"/>
              <w:rPr>
                <w:rFonts w:cs="Arial"/>
                <w:color w:val="000000"/>
                <w:sz w:val="20"/>
                <w:szCs w:val="20"/>
                <w:lang w:val="en-AU" w:eastAsia="en-AU"/>
              </w:rPr>
            </w:pPr>
            <w:r w:rsidRPr="008D1918">
              <w:rPr>
                <w:sz w:val="20"/>
                <w:szCs w:val="20"/>
                <w:lang w:val="en-AU"/>
              </w:rPr>
              <w:t xml:space="preserve"> 47,795 </w:t>
            </w:r>
          </w:p>
        </w:tc>
        <w:tc>
          <w:tcPr>
            <w:tcW w:w="2041" w:type="dxa"/>
            <w:tcBorders>
              <w:top w:val="single" w:color="501E58" w:themeColor="accent5" w:themeShade="BF"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27847B7" w14:textId="77777777">
            <w:pPr>
              <w:keepNext/>
              <w:spacing w:before="60" w:after="20"/>
              <w:ind w:right="171"/>
              <w:jc w:val="right"/>
              <w:rPr>
                <w:rFonts w:cs="Arial"/>
                <w:color w:val="000000"/>
                <w:sz w:val="20"/>
                <w:szCs w:val="20"/>
                <w:lang w:val="en-AU" w:eastAsia="en-AU"/>
              </w:rPr>
            </w:pPr>
            <w:r w:rsidRPr="008D1918">
              <w:rPr>
                <w:sz w:val="20"/>
                <w:szCs w:val="20"/>
                <w:lang w:val="en-AU"/>
              </w:rPr>
              <w:t>$379</w:t>
            </w:r>
          </w:p>
        </w:tc>
      </w:tr>
      <w:tr w:rsidRPr="008D1918" w:rsidR="00601AFC" w:rsidTr="00265523" w14:paraId="042A8BF4" w14:textId="77777777">
        <w:trPr>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599D2117" w14:textId="77777777">
            <w:pPr>
              <w:keepNext/>
              <w:spacing w:before="60" w:after="20"/>
              <w:rPr>
                <w:rFonts w:cs="Arial"/>
                <w:sz w:val="20"/>
                <w:szCs w:val="20"/>
                <w:lang w:val="en-AU" w:eastAsia="en-AU"/>
              </w:rPr>
            </w:pPr>
            <w:r w:rsidRPr="008D1918">
              <w:rPr>
                <w:sz w:val="20"/>
                <w:szCs w:val="20"/>
                <w:lang w:val="en-AU"/>
              </w:rPr>
              <w:t>2</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C0B4405" w14:textId="1148A626">
            <w:pPr>
              <w:keepNext/>
              <w:spacing w:before="60" w:after="20"/>
              <w:ind w:right="171"/>
              <w:jc w:val="right"/>
              <w:rPr>
                <w:rFonts w:cs="Arial"/>
                <w:color w:val="000000"/>
                <w:sz w:val="20"/>
                <w:szCs w:val="20"/>
                <w:lang w:val="en-AU" w:eastAsia="en-AU"/>
              </w:rPr>
            </w:pPr>
            <w:r w:rsidRPr="008D1918">
              <w:rPr>
                <w:sz w:val="20"/>
                <w:szCs w:val="20"/>
                <w:lang w:val="en-AU"/>
              </w:rPr>
              <w:t xml:space="preserve"> 2</w:t>
            </w:r>
            <w:r w:rsidRPr="008D1918" w:rsidR="0062519A">
              <w:rPr>
                <w:sz w:val="20"/>
                <w:szCs w:val="20"/>
                <w:lang w:val="en-AU"/>
              </w:rPr>
              <w:t>,213</w:t>
            </w:r>
            <w:r w:rsidRPr="008D1918">
              <w:rPr>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573D7DC2" w14:textId="7E252208">
            <w:pPr>
              <w:keepNext/>
              <w:spacing w:before="60" w:after="20"/>
              <w:ind w:right="171"/>
              <w:jc w:val="right"/>
              <w:rPr>
                <w:rFonts w:cs="Arial"/>
                <w:color w:val="000000"/>
                <w:sz w:val="20"/>
                <w:szCs w:val="20"/>
                <w:lang w:val="en-AU" w:eastAsia="en-AU"/>
              </w:rPr>
            </w:pPr>
            <w:r w:rsidRPr="008D1918">
              <w:rPr>
                <w:sz w:val="20"/>
                <w:szCs w:val="20"/>
                <w:lang w:val="en-AU"/>
              </w:rPr>
              <w:t>$</w:t>
            </w:r>
            <w:r w:rsidRPr="008D1918" w:rsidR="004464F3">
              <w:rPr>
                <w:sz w:val="20"/>
                <w:szCs w:val="20"/>
                <w:lang w:val="en-AU"/>
              </w:rPr>
              <w:t>43</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D0E64C0" w14:textId="77777777">
            <w:pPr>
              <w:keepNext/>
              <w:spacing w:before="60" w:after="20"/>
              <w:ind w:right="171"/>
              <w:jc w:val="right"/>
              <w:rPr>
                <w:rFonts w:cs="Arial"/>
                <w:color w:val="000000"/>
                <w:sz w:val="20"/>
                <w:szCs w:val="20"/>
                <w:lang w:val="en-AU" w:eastAsia="en-AU"/>
              </w:rPr>
            </w:pPr>
            <w:r w:rsidRPr="008D1918">
              <w:rPr>
                <w:sz w:val="20"/>
                <w:szCs w:val="20"/>
                <w:lang w:val="en-AU"/>
              </w:rPr>
              <w:t xml:space="preserve"> 13,307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5C3BFB75" w14:textId="77777777">
            <w:pPr>
              <w:keepNext/>
              <w:spacing w:before="60" w:after="20"/>
              <w:ind w:right="171"/>
              <w:jc w:val="right"/>
              <w:rPr>
                <w:rFonts w:cs="Arial"/>
                <w:color w:val="000000"/>
                <w:sz w:val="20"/>
                <w:szCs w:val="20"/>
                <w:lang w:val="en-AU" w:eastAsia="en-AU"/>
              </w:rPr>
            </w:pPr>
            <w:r w:rsidRPr="008D1918">
              <w:rPr>
                <w:sz w:val="20"/>
                <w:szCs w:val="20"/>
                <w:lang w:val="en-AU"/>
              </w:rPr>
              <w:t>$204</w:t>
            </w:r>
          </w:p>
        </w:tc>
      </w:tr>
      <w:tr w:rsidRPr="008D1918" w:rsidR="00A238C6" w:rsidTr="00265523" w14:paraId="3240FEEC" w14:textId="77777777">
        <w:trPr>
          <w:cnfStyle w:val="000000100000" w:firstRow="0" w:lastRow="0" w:firstColumn="0" w:lastColumn="0" w:oddVBand="0" w:evenVBand="0" w:oddHBand="1" w:evenHBand="0" w:firstRowFirstColumn="0" w:firstRowLastColumn="0" w:lastRowFirstColumn="0" w:lastRowLastColumn="0"/>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F47B7F3" w14:textId="77777777">
            <w:pPr>
              <w:keepNext/>
              <w:spacing w:before="60" w:after="20"/>
              <w:rPr>
                <w:rFonts w:cs="Arial"/>
                <w:sz w:val="20"/>
                <w:szCs w:val="20"/>
                <w:lang w:val="en-AU" w:eastAsia="en-AU"/>
              </w:rPr>
            </w:pPr>
            <w:r w:rsidRPr="008D1918">
              <w:rPr>
                <w:sz w:val="20"/>
                <w:szCs w:val="20"/>
                <w:lang w:val="en-AU"/>
              </w:rPr>
              <w:t>3</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D68DAD7" w14:textId="066F3C07">
            <w:pPr>
              <w:keepNext/>
              <w:spacing w:before="60" w:after="20"/>
              <w:ind w:right="171"/>
              <w:jc w:val="right"/>
              <w:rPr>
                <w:rFonts w:cs="Arial"/>
                <w:sz w:val="20"/>
                <w:szCs w:val="20"/>
                <w:lang w:val="en-AU"/>
              </w:rPr>
            </w:pPr>
            <w:r w:rsidRPr="008D1918">
              <w:rPr>
                <w:sz w:val="20"/>
                <w:szCs w:val="20"/>
                <w:lang w:val="en-AU"/>
              </w:rPr>
              <w:t xml:space="preserve"> </w:t>
            </w:r>
            <w:r w:rsidRPr="008D1918" w:rsidR="0062519A">
              <w:rPr>
                <w:sz w:val="20"/>
                <w:szCs w:val="20"/>
                <w:lang w:val="en-AU"/>
              </w:rPr>
              <w:t>1,202</w:t>
            </w:r>
            <w:r w:rsidRPr="008D1918">
              <w:rPr>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AA043CC" w14:textId="0867937D">
            <w:pPr>
              <w:keepNext/>
              <w:spacing w:before="60" w:after="20"/>
              <w:ind w:right="171"/>
              <w:jc w:val="right"/>
              <w:rPr>
                <w:rFonts w:cs="Arial"/>
                <w:sz w:val="20"/>
                <w:szCs w:val="20"/>
                <w:lang w:val="en-AU"/>
              </w:rPr>
            </w:pPr>
            <w:r w:rsidRPr="008D1918">
              <w:rPr>
                <w:sz w:val="20"/>
                <w:szCs w:val="20"/>
                <w:lang w:val="en-AU"/>
              </w:rPr>
              <w:t>$</w:t>
            </w:r>
            <w:r w:rsidRPr="008D1918" w:rsidR="004464F3">
              <w:rPr>
                <w:sz w:val="20"/>
                <w:szCs w:val="20"/>
                <w:lang w:val="en-AU"/>
              </w:rPr>
              <w:t>32</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155ACD8" w14:textId="77777777">
            <w:pPr>
              <w:keepNext/>
              <w:spacing w:before="60" w:after="20"/>
              <w:ind w:right="171"/>
              <w:jc w:val="right"/>
              <w:rPr>
                <w:rFonts w:cs="Arial"/>
                <w:sz w:val="20"/>
                <w:szCs w:val="20"/>
                <w:lang w:val="en-AU"/>
              </w:rPr>
            </w:pPr>
            <w:r w:rsidRPr="008D1918">
              <w:rPr>
                <w:sz w:val="20"/>
                <w:szCs w:val="20"/>
                <w:lang w:val="en-AU"/>
              </w:rPr>
              <w:t xml:space="preserve"> 5,846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ED4BC1A" w14:textId="77777777">
            <w:pPr>
              <w:keepNext/>
              <w:spacing w:before="60" w:after="20"/>
              <w:ind w:right="171"/>
              <w:jc w:val="right"/>
              <w:rPr>
                <w:rFonts w:cs="Arial"/>
                <w:sz w:val="20"/>
                <w:szCs w:val="20"/>
                <w:lang w:val="en-AU"/>
              </w:rPr>
            </w:pPr>
            <w:r w:rsidRPr="008D1918">
              <w:rPr>
                <w:sz w:val="20"/>
                <w:szCs w:val="20"/>
                <w:lang w:val="en-AU"/>
              </w:rPr>
              <w:t>$133</w:t>
            </w:r>
          </w:p>
        </w:tc>
      </w:tr>
      <w:tr w:rsidRPr="008D1918" w:rsidR="00601AFC" w:rsidTr="00265523" w14:paraId="60569552" w14:textId="77777777">
        <w:trPr>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02807689" w14:textId="77777777">
            <w:pPr>
              <w:keepNext/>
              <w:spacing w:before="60" w:after="20"/>
              <w:rPr>
                <w:rFonts w:cs="Arial"/>
                <w:b/>
                <w:bCs/>
                <w:sz w:val="20"/>
                <w:szCs w:val="20"/>
                <w:lang w:val="en-AU" w:eastAsia="en-AU"/>
              </w:rPr>
            </w:pPr>
            <w:r w:rsidRPr="008D1918">
              <w:rPr>
                <w:sz w:val="20"/>
                <w:szCs w:val="20"/>
                <w:lang w:val="en-AU"/>
              </w:rPr>
              <w:t>4</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15500E3C" w14:textId="4E4F82CE">
            <w:pPr>
              <w:keepNext/>
              <w:spacing w:before="60" w:after="20"/>
              <w:ind w:right="171"/>
              <w:jc w:val="right"/>
              <w:rPr>
                <w:rFonts w:cs="Arial"/>
                <w:b/>
                <w:bCs/>
                <w:sz w:val="20"/>
                <w:szCs w:val="20"/>
                <w:lang w:val="en-AU"/>
              </w:rPr>
            </w:pPr>
            <w:r w:rsidRPr="008D1918">
              <w:rPr>
                <w:sz w:val="20"/>
                <w:szCs w:val="20"/>
                <w:lang w:val="en-AU"/>
              </w:rPr>
              <w:t xml:space="preserve"> </w:t>
            </w:r>
            <w:r w:rsidRPr="008D1918" w:rsidR="0062519A">
              <w:rPr>
                <w:sz w:val="20"/>
                <w:szCs w:val="20"/>
                <w:lang w:val="en-AU"/>
              </w:rPr>
              <w:t>847</w:t>
            </w:r>
            <w:r w:rsidRPr="008D1918">
              <w:rPr>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B3ECA93" w14:textId="56844CD9">
            <w:pPr>
              <w:keepNext/>
              <w:spacing w:before="60" w:after="20"/>
              <w:ind w:right="171"/>
              <w:jc w:val="right"/>
              <w:rPr>
                <w:rFonts w:cs="Arial"/>
                <w:b/>
                <w:bCs/>
                <w:sz w:val="20"/>
                <w:szCs w:val="20"/>
                <w:lang w:val="en-AU"/>
              </w:rPr>
            </w:pPr>
            <w:r w:rsidRPr="008D1918">
              <w:rPr>
                <w:sz w:val="20"/>
                <w:szCs w:val="20"/>
                <w:lang w:val="en-AU"/>
              </w:rPr>
              <w:t>$</w:t>
            </w:r>
            <w:r w:rsidRPr="008D1918" w:rsidR="004464F3">
              <w:rPr>
                <w:sz w:val="20"/>
                <w:szCs w:val="20"/>
                <w:lang w:val="en-AU"/>
              </w:rPr>
              <w:t>35</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2EE2B69" w14:textId="77777777">
            <w:pPr>
              <w:keepNext/>
              <w:spacing w:before="60" w:after="20"/>
              <w:ind w:right="171"/>
              <w:jc w:val="right"/>
              <w:rPr>
                <w:rFonts w:cs="Arial"/>
                <w:b/>
                <w:bCs/>
                <w:sz w:val="20"/>
                <w:szCs w:val="20"/>
                <w:lang w:val="en-AU"/>
              </w:rPr>
            </w:pPr>
            <w:r w:rsidRPr="008D1918">
              <w:rPr>
                <w:sz w:val="20"/>
                <w:szCs w:val="20"/>
                <w:lang w:val="en-AU"/>
              </w:rPr>
              <w:t xml:space="preserve"> 3,031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6045C52" w14:textId="77777777">
            <w:pPr>
              <w:keepNext/>
              <w:spacing w:before="60" w:after="20"/>
              <w:ind w:right="171"/>
              <w:jc w:val="right"/>
              <w:rPr>
                <w:rFonts w:cs="Arial"/>
                <w:b/>
                <w:bCs/>
                <w:sz w:val="20"/>
                <w:szCs w:val="20"/>
                <w:lang w:val="en-AU"/>
              </w:rPr>
            </w:pPr>
            <w:r w:rsidRPr="008D1918">
              <w:rPr>
                <w:sz w:val="20"/>
                <w:szCs w:val="20"/>
                <w:lang w:val="en-AU"/>
              </w:rPr>
              <w:t>$87</w:t>
            </w:r>
          </w:p>
        </w:tc>
      </w:tr>
      <w:tr w:rsidRPr="008D1918" w:rsidR="00A238C6" w:rsidTr="00265523" w14:paraId="4F5AA4CD" w14:textId="77777777">
        <w:trPr>
          <w:cnfStyle w:val="000000100000" w:firstRow="0" w:lastRow="0" w:firstColumn="0" w:lastColumn="0" w:oddVBand="0" w:evenVBand="0" w:oddHBand="1" w:evenHBand="0" w:firstRowFirstColumn="0" w:firstRowLastColumn="0" w:lastRowFirstColumn="0" w:lastRowLastColumn="0"/>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4AB5B54" w14:textId="77777777">
            <w:pPr>
              <w:keepNext/>
              <w:spacing w:before="60" w:after="20"/>
              <w:rPr>
                <w:rFonts w:cs="Arial"/>
                <w:b/>
                <w:bCs/>
                <w:sz w:val="20"/>
                <w:szCs w:val="20"/>
                <w:lang w:val="en-AU" w:eastAsia="en-AU"/>
              </w:rPr>
            </w:pPr>
            <w:r w:rsidRPr="008D1918">
              <w:rPr>
                <w:sz w:val="20"/>
                <w:szCs w:val="20"/>
                <w:lang w:val="en-AU"/>
              </w:rPr>
              <w:t>5</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CDB9EF9" w14:textId="708420A1">
            <w:pPr>
              <w:keepNext/>
              <w:spacing w:before="60" w:after="20"/>
              <w:ind w:right="171"/>
              <w:jc w:val="right"/>
              <w:rPr>
                <w:rFonts w:cs="Arial"/>
                <w:b/>
                <w:bCs/>
                <w:sz w:val="20"/>
                <w:szCs w:val="20"/>
                <w:lang w:val="en-AU"/>
              </w:rPr>
            </w:pPr>
            <w:r w:rsidRPr="008D1918">
              <w:rPr>
                <w:sz w:val="20"/>
                <w:szCs w:val="20"/>
                <w:lang w:val="en-AU"/>
              </w:rPr>
              <w:t xml:space="preserve"> </w:t>
            </w:r>
            <w:r w:rsidRPr="008D1918" w:rsidR="00343992">
              <w:rPr>
                <w:sz w:val="20"/>
                <w:szCs w:val="20"/>
                <w:lang w:val="en-AU"/>
              </w:rPr>
              <w:t>631</w:t>
            </w:r>
            <w:r w:rsidRPr="008D1918">
              <w:rPr>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406EA13B" w14:textId="2E4CB2C3">
            <w:pPr>
              <w:keepNext/>
              <w:spacing w:before="60" w:after="20"/>
              <w:ind w:right="171"/>
              <w:jc w:val="right"/>
              <w:rPr>
                <w:rFonts w:cs="Arial"/>
                <w:b/>
                <w:bCs/>
                <w:sz w:val="20"/>
                <w:szCs w:val="20"/>
                <w:lang w:val="en-AU"/>
              </w:rPr>
            </w:pPr>
            <w:r w:rsidRPr="008D1918">
              <w:rPr>
                <w:sz w:val="20"/>
                <w:szCs w:val="20"/>
                <w:lang w:val="en-AU"/>
              </w:rPr>
              <w:t>$</w:t>
            </w:r>
            <w:r w:rsidRPr="008D1918" w:rsidR="004464F3">
              <w:rPr>
                <w:sz w:val="20"/>
                <w:szCs w:val="20"/>
                <w:lang w:val="en-AU"/>
              </w:rPr>
              <w:t>30</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F2C2820" w14:textId="77777777">
            <w:pPr>
              <w:keepNext/>
              <w:spacing w:before="60" w:after="20"/>
              <w:ind w:right="171"/>
              <w:jc w:val="right"/>
              <w:rPr>
                <w:rFonts w:cs="Arial"/>
                <w:b/>
                <w:bCs/>
                <w:sz w:val="20"/>
                <w:szCs w:val="20"/>
                <w:lang w:val="en-AU"/>
              </w:rPr>
            </w:pPr>
            <w:r w:rsidRPr="008D1918">
              <w:rPr>
                <w:sz w:val="20"/>
                <w:szCs w:val="20"/>
                <w:lang w:val="en-AU"/>
              </w:rPr>
              <w:t xml:space="preserve"> 1,699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0C0C4FB6" w14:textId="77777777">
            <w:pPr>
              <w:keepNext/>
              <w:spacing w:before="60" w:after="20"/>
              <w:ind w:right="171"/>
              <w:jc w:val="right"/>
              <w:rPr>
                <w:rFonts w:cs="Arial"/>
                <w:b/>
                <w:bCs/>
                <w:sz w:val="20"/>
                <w:szCs w:val="20"/>
                <w:lang w:val="en-AU"/>
              </w:rPr>
            </w:pPr>
            <w:r w:rsidRPr="008D1918">
              <w:rPr>
                <w:sz w:val="20"/>
                <w:szCs w:val="20"/>
                <w:lang w:val="en-AU"/>
              </w:rPr>
              <w:t>$58</w:t>
            </w:r>
          </w:p>
        </w:tc>
      </w:tr>
      <w:tr w:rsidRPr="008D1918" w:rsidR="00601AFC" w:rsidTr="00392D79" w14:paraId="62735306" w14:textId="77777777">
        <w:trPr>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3712257" w14:textId="4A797E4C">
            <w:pPr>
              <w:keepNext/>
              <w:spacing w:before="60" w:after="20"/>
              <w:rPr>
                <w:rFonts w:cs="Arial"/>
                <w:b/>
                <w:bCs/>
                <w:sz w:val="20"/>
                <w:szCs w:val="20"/>
                <w:lang w:val="en-AU" w:eastAsia="en-AU"/>
              </w:rPr>
            </w:pPr>
            <w:r w:rsidRPr="008D1918">
              <w:rPr>
                <w:sz w:val="20"/>
                <w:szCs w:val="20"/>
                <w:lang w:val="en-AU"/>
              </w:rPr>
              <w:t>6</w:t>
            </w:r>
            <w:r w:rsidRPr="008D1918">
              <w:rPr>
                <w:rFonts w:cs="Arial"/>
                <w:sz w:val="20"/>
                <w:szCs w:val="20"/>
                <w:lang w:val="en-AU"/>
              </w:rPr>
              <w:t>–</w:t>
            </w:r>
            <w:r w:rsidRPr="008D1918">
              <w:rPr>
                <w:sz w:val="20"/>
                <w:szCs w:val="20"/>
                <w:lang w:val="en-AU"/>
              </w:rPr>
              <w:t>10</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063F4398" w14:textId="3D00B57E">
            <w:pPr>
              <w:keepNext/>
              <w:spacing w:before="60" w:after="20"/>
              <w:ind w:right="171"/>
              <w:jc w:val="right"/>
              <w:rPr>
                <w:rFonts w:cs="Arial"/>
                <w:b/>
                <w:bCs/>
                <w:sz w:val="20"/>
                <w:szCs w:val="20"/>
                <w:lang w:val="en-AU"/>
              </w:rPr>
            </w:pPr>
            <w:r w:rsidRPr="008D1918">
              <w:rPr>
                <w:sz w:val="20"/>
                <w:szCs w:val="20"/>
                <w:lang w:val="en-AU"/>
              </w:rPr>
              <w:t xml:space="preserve"> </w:t>
            </w:r>
            <w:r w:rsidRPr="008D1918" w:rsidR="00343992">
              <w:rPr>
                <w:sz w:val="20"/>
                <w:szCs w:val="20"/>
                <w:lang w:val="en-AU"/>
              </w:rPr>
              <w:t>1,720</w:t>
            </w:r>
            <w:r w:rsidRPr="008D1918">
              <w:rPr>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4410C57B" w14:textId="0ED90834">
            <w:pPr>
              <w:keepNext/>
              <w:spacing w:before="60" w:after="20"/>
              <w:ind w:right="171"/>
              <w:jc w:val="right"/>
              <w:rPr>
                <w:rFonts w:cs="Arial"/>
                <w:b/>
                <w:bCs/>
                <w:sz w:val="20"/>
                <w:szCs w:val="20"/>
                <w:lang w:val="en-AU"/>
              </w:rPr>
            </w:pPr>
            <w:r w:rsidRPr="008D1918">
              <w:rPr>
                <w:sz w:val="20"/>
                <w:szCs w:val="20"/>
                <w:lang w:val="en-AU"/>
              </w:rPr>
              <w:t>$</w:t>
            </w:r>
            <w:r w:rsidRPr="008D1918" w:rsidR="004464F3">
              <w:rPr>
                <w:sz w:val="20"/>
                <w:szCs w:val="20"/>
                <w:lang w:val="en-AU"/>
              </w:rPr>
              <w:t>126</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5274E06A" w14:textId="77777777">
            <w:pPr>
              <w:keepNext/>
              <w:spacing w:before="60" w:after="20"/>
              <w:ind w:right="171"/>
              <w:jc w:val="right"/>
              <w:rPr>
                <w:rFonts w:cs="Arial"/>
                <w:b/>
                <w:bCs/>
                <w:sz w:val="20"/>
                <w:szCs w:val="20"/>
                <w:lang w:val="en-AU"/>
              </w:rPr>
            </w:pPr>
            <w:r w:rsidRPr="008D1918">
              <w:rPr>
                <w:sz w:val="20"/>
                <w:szCs w:val="20"/>
                <w:lang w:val="en-AU"/>
              </w:rPr>
              <w:t xml:space="preserve"> 2,447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8D22F74" w14:textId="77777777">
            <w:pPr>
              <w:keepNext/>
              <w:spacing w:before="60" w:after="20"/>
              <w:ind w:right="171"/>
              <w:jc w:val="right"/>
              <w:rPr>
                <w:rFonts w:cs="Arial"/>
                <w:b/>
                <w:bCs/>
                <w:sz w:val="20"/>
                <w:szCs w:val="20"/>
                <w:lang w:val="en-AU"/>
              </w:rPr>
            </w:pPr>
            <w:r w:rsidRPr="008D1918">
              <w:rPr>
                <w:sz w:val="20"/>
                <w:szCs w:val="20"/>
                <w:lang w:val="en-AU"/>
              </w:rPr>
              <w:t>$111</w:t>
            </w:r>
          </w:p>
        </w:tc>
      </w:tr>
      <w:tr w:rsidRPr="008D1918" w:rsidR="00A238C6" w:rsidTr="00392D79" w14:paraId="7F55874C" w14:textId="77777777">
        <w:trPr>
          <w:cnfStyle w:val="000000100000" w:firstRow="0" w:lastRow="0" w:firstColumn="0" w:lastColumn="0" w:oddVBand="0" w:evenVBand="0" w:oddHBand="1" w:evenHBand="0" w:firstRowFirstColumn="0" w:firstRowLastColumn="0" w:lastRowFirstColumn="0" w:lastRowLastColumn="0"/>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D44FDDE" w14:textId="1E67FDFF">
            <w:pPr>
              <w:keepNext/>
              <w:spacing w:before="60" w:after="20"/>
              <w:rPr>
                <w:rFonts w:cs="Arial"/>
                <w:b/>
                <w:bCs/>
                <w:sz w:val="20"/>
                <w:szCs w:val="20"/>
                <w:lang w:val="en-AU" w:eastAsia="en-AU"/>
              </w:rPr>
            </w:pPr>
            <w:r w:rsidRPr="008D1918">
              <w:rPr>
                <w:sz w:val="20"/>
                <w:szCs w:val="20"/>
                <w:lang w:val="en-AU"/>
              </w:rPr>
              <w:t>11</w:t>
            </w:r>
            <w:r w:rsidRPr="008D1918">
              <w:rPr>
                <w:rFonts w:cs="Arial"/>
                <w:sz w:val="20"/>
                <w:szCs w:val="20"/>
                <w:lang w:val="en-AU"/>
              </w:rPr>
              <w:t>–</w:t>
            </w:r>
            <w:r w:rsidRPr="008D1918">
              <w:rPr>
                <w:sz w:val="20"/>
                <w:szCs w:val="20"/>
                <w:lang w:val="en-AU"/>
              </w:rPr>
              <w:t>50</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5ACC350B" w14:textId="473B5185">
            <w:pPr>
              <w:keepNext/>
              <w:spacing w:before="60" w:after="20"/>
              <w:ind w:right="171"/>
              <w:jc w:val="right"/>
              <w:rPr>
                <w:rFonts w:cs="Arial"/>
                <w:b/>
                <w:bCs/>
                <w:sz w:val="20"/>
                <w:szCs w:val="20"/>
                <w:lang w:val="en-AU"/>
              </w:rPr>
            </w:pPr>
            <w:r w:rsidRPr="008D1918">
              <w:rPr>
                <w:sz w:val="20"/>
                <w:szCs w:val="20"/>
                <w:lang w:val="en-AU"/>
              </w:rPr>
              <w:t xml:space="preserve"> </w:t>
            </w:r>
            <w:r w:rsidRPr="008D1918" w:rsidR="00343992">
              <w:rPr>
                <w:sz w:val="20"/>
                <w:szCs w:val="20"/>
                <w:lang w:val="en-AU"/>
              </w:rPr>
              <w:t>2,022</w:t>
            </w:r>
            <w:r w:rsidRPr="008D1918">
              <w:rPr>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71BC986" w14:textId="30D96322">
            <w:pPr>
              <w:keepNext/>
              <w:spacing w:before="60" w:after="20"/>
              <w:ind w:right="171"/>
              <w:jc w:val="right"/>
              <w:rPr>
                <w:rFonts w:cs="Arial"/>
                <w:b/>
                <w:bCs/>
                <w:sz w:val="20"/>
                <w:szCs w:val="20"/>
                <w:lang w:val="en-AU"/>
              </w:rPr>
            </w:pPr>
            <w:r w:rsidRPr="008D1918">
              <w:rPr>
                <w:sz w:val="20"/>
                <w:szCs w:val="20"/>
                <w:lang w:val="en-AU"/>
              </w:rPr>
              <w:t>$</w:t>
            </w:r>
            <w:r w:rsidRPr="008D1918" w:rsidR="004464F3">
              <w:rPr>
                <w:sz w:val="20"/>
                <w:szCs w:val="20"/>
                <w:lang w:val="en-AU"/>
              </w:rPr>
              <w:t>426</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00F146A" w14:textId="77777777">
            <w:pPr>
              <w:keepNext/>
              <w:spacing w:before="60" w:after="20"/>
              <w:ind w:right="171"/>
              <w:jc w:val="right"/>
              <w:rPr>
                <w:rFonts w:cs="Arial"/>
                <w:b/>
                <w:bCs/>
                <w:sz w:val="20"/>
                <w:szCs w:val="20"/>
                <w:lang w:val="en-AU"/>
              </w:rPr>
            </w:pPr>
            <w:r w:rsidRPr="008D1918">
              <w:rPr>
                <w:sz w:val="20"/>
                <w:szCs w:val="20"/>
                <w:lang w:val="en-AU"/>
              </w:rPr>
              <w:t xml:space="preserve"> 635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4D8EEE37" w14:textId="77777777">
            <w:pPr>
              <w:keepNext/>
              <w:spacing w:before="60" w:after="20"/>
              <w:ind w:right="171"/>
              <w:jc w:val="right"/>
              <w:rPr>
                <w:rFonts w:cs="Arial"/>
                <w:b/>
                <w:bCs/>
                <w:sz w:val="20"/>
                <w:szCs w:val="20"/>
                <w:lang w:val="en-AU"/>
              </w:rPr>
            </w:pPr>
            <w:r w:rsidRPr="008D1918">
              <w:rPr>
                <w:sz w:val="20"/>
                <w:szCs w:val="20"/>
                <w:lang w:val="en-AU"/>
              </w:rPr>
              <w:t>$65</w:t>
            </w:r>
          </w:p>
        </w:tc>
      </w:tr>
      <w:tr w:rsidRPr="008D1918" w:rsidR="00601AFC" w:rsidTr="00392D79" w14:paraId="57160BB0" w14:textId="77777777">
        <w:trPr>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0F346E37" w14:textId="6589921F">
            <w:pPr>
              <w:keepNext/>
              <w:spacing w:before="60" w:after="20"/>
              <w:rPr>
                <w:rFonts w:cs="Arial"/>
                <w:b/>
                <w:bCs/>
                <w:sz w:val="20"/>
                <w:szCs w:val="20"/>
                <w:lang w:val="en-AU" w:eastAsia="en-AU"/>
              </w:rPr>
            </w:pPr>
            <w:r w:rsidRPr="008D1918">
              <w:rPr>
                <w:sz w:val="20"/>
                <w:szCs w:val="20"/>
                <w:lang w:val="en-AU"/>
              </w:rPr>
              <w:t>51</w:t>
            </w:r>
            <w:r w:rsidRPr="008D1918">
              <w:rPr>
                <w:rFonts w:cs="Arial"/>
                <w:sz w:val="20"/>
                <w:szCs w:val="20"/>
                <w:lang w:val="en-AU"/>
              </w:rPr>
              <w:t>–</w:t>
            </w:r>
            <w:r w:rsidRPr="008D1918">
              <w:rPr>
                <w:sz w:val="20"/>
                <w:szCs w:val="20"/>
                <w:lang w:val="en-AU"/>
              </w:rPr>
              <w:t>100</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6974F457" w14:textId="2F61A5B6">
            <w:pPr>
              <w:keepNext/>
              <w:spacing w:before="60" w:after="20"/>
              <w:ind w:right="171"/>
              <w:jc w:val="right"/>
              <w:rPr>
                <w:rFonts w:cs="Arial"/>
                <w:b/>
                <w:bCs/>
                <w:sz w:val="20"/>
                <w:szCs w:val="20"/>
                <w:lang w:val="en-AU"/>
              </w:rPr>
            </w:pPr>
            <w:r w:rsidRPr="008D1918">
              <w:rPr>
                <w:sz w:val="20"/>
                <w:szCs w:val="20"/>
                <w:lang w:val="en-AU"/>
              </w:rPr>
              <w:t xml:space="preserve"> </w:t>
            </w:r>
            <w:r w:rsidRPr="008D1918" w:rsidR="00343992">
              <w:rPr>
                <w:sz w:val="20"/>
                <w:szCs w:val="20"/>
                <w:lang w:val="en-AU"/>
              </w:rPr>
              <w:t>204</w:t>
            </w:r>
            <w:r w:rsidRPr="008D1918">
              <w:rPr>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46CEAEEE" w14:textId="7595E93D">
            <w:pPr>
              <w:keepNext/>
              <w:spacing w:before="60" w:after="20"/>
              <w:ind w:right="171"/>
              <w:jc w:val="right"/>
              <w:rPr>
                <w:rFonts w:cs="Arial"/>
                <w:b/>
                <w:bCs/>
                <w:sz w:val="20"/>
                <w:szCs w:val="20"/>
                <w:lang w:val="en-AU"/>
              </w:rPr>
            </w:pPr>
            <w:r w:rsidRPr="008D1918">
              <w:rPr>
                <w:sz w:val="20"/>
                <w:szCs w:val="20"/>
                <w:lang w:val="en-AU"/>
              </w:rPr>
              <w:t>$</w:t>
            </w:r>
            <w:r w:rsidRPr="008D1918" w:rsidR="004464F3">
              <w:rPr>
                <w:sz w:val="20"/>
                <w:szCs w:val="20"/>
                <w:lang w:val="en-AU"/>
              </w:rPr>
              <w:t>123</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0219CDEF" w14:textId="77777777">
            <w:pPr>
              <w:keepNext/>
              <w:spacing w:before="60" w:after="20"/>
              <w:ind w:right="171"/>
              <w:jc w:val="right"/>
              <w:rPr>
                <w:rFonts w:cs="Arial"/>
                <w:b/>
                <w:bCs/>
                <w:sz w:val="20"/>
                <w:szCs w:val="20"/>
                <w:lang w:val="en-AU"/>
              </w:rPr>
            </w:pPr>
            <w:r w:rsidRPr="008D1918">
              <w:rPr>
                <w:sz w:val="20"/>
                <w:szCs w:val="20"/>
                <w:lang w:val="en-AU"/>
              </w:rPr>
              <w:t xml:space="preserve"> 2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2FE0BC3" w14:textId="77777777">
            <w:pPr>
              <w:keepNext/>
              <w:spacing w:before="60" w:after="20"/>
              <w:ind w:right="171"/>
              <w:jc w:val="right"/>
              <w:rPr>
                <w:rFonts w:cs="Arial"/>
                <w:b/>
                <w:bCs/>
                <w:sz w:val="20"/>
                <w:szCs w:val="20"/>
                <w:lang w:val="en-AU"/>
              </w:rPr>
            </w:pPr>
            <w:r w:rsidRPr="008D1918">
              <w:rPr>
                <w:sz w:val="20"/>
                <w:szCs w:val="20"/>
                <w:lang w:val="en-AU"/>
              </w:rPr>
              <w:t>$1</w:t>
            </w:r>
          </w:p>
        </w:tc>
      </w:tr>
      <w:tr w:rsidRPr="008D1918" w:rsidR="00A238C6" w:rsidTr="00392D79" w14:paraId="4EE45228" w14:textId="77777777">
        <w:trPr>
          <w:cnfStyle w:val="000000100000" w:firstRow="0" w:lastRow="0" w:firstColumn="0" w:lastColumn="0" w:oddVBand="0" w:evenVBand="0" w:oddHBand="1" w:evenHBand="0" w:firstRowFirstColumn="0" w:firstRowLastColumn="0" w:lastRowFirstColumn="0" w:lastRowLastColumn="0"/>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03CB333C" w14:textId="0234DA82">
            <w:pPr>
              <w:keepNext/>
              <w:spacing w:before="60" w:after="20"/>
              <w:rPr>
                <w:rFonts w:cs="Arial"/>
                <w:b/>
                <w:bCs/>
                <w:sz w:val="20"/>
                <w:szCs w:val="20"/>
                <w:lang w:val="en-AU" w:eastAsia="en-AU"/>
              </w:rPr>
            </w:pPr>
            <w:r w:rsidRPr="008D1918">
              <w:rPr>
                <w:sz w:val="20"/>
                <w:szCs w:val="20"/>
                <w:lang w:val="en-AU"/>
              </w:rPr>
              <w:t>101</w:t>
            </w:r>
            <w:r w:rsidRPr="008D1918">
              <w:rPr>
                <w:rFonts w:cs="Arial"/>
                <w:sz w:val="20"/>
                <w:szCs w:val="20"/>
                <w:lang w:val="en-AU"/>
              </w:rPr>
              <w:t>–</w:t>
            </w:r>
            <w:r w:rsidRPr="008D1918">
              <w:rPr>
                <w:sz w:val="20"/>
                <w:szCs w:val="20"/>
                <w:lang w:val="en-AU"/>
              </w:rPr>
              <w:t>250</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5794589" w14:textId="0B0CE190">
            <w:pPr>
              <w:keepNext/>
              <w:spacing w:before="60" w:after="20"/>
              <w:ind w:right="171"/>
              <w:jc w:val="right"/>
              <w:rPr>
                <w:rFonts w:cs="Arial"/>
                <w:b/>
                <w:bCs/>
                <w:sz w:val="20"/>
                <w:szCs w:val="20"/>
                <w:lang w:val="en-AU"/>
              </w:rPr>
            </w:pPr>
            <w:r w:rsidRPr="008D1918">
              <w:rPr>
                <w:sz w:val="20"/>
                <w:szCs w:val="20"/>
                <w:lang w:val="en-AU"/>
              </w:rPr>
              <w:t xml:space="preserve"> </w:t>
            </w:r>
            <w:r w:rsidRPr="008D1918" w:rsidR="00343992">
              <w:rPr>
                <w:sz w:val="20"/>
                <w:szCs w:val="20"/>
                <w:lang w:val="en-AU"/>
              </w:rPr>
              <w:t>53</w:t>
            </w:r>
            <w:r w:rsidRPr="008D1918">
              <w:rPr>
                <w:sz w:val="20"/>
                <w:szCs w:val="20"/>
                <w:lang w:val="en-AU"/>
              </w:rPr>
              <w:t xml:space="preserve"> </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86D7036" w14:textId="79D01EDA">
            <w:pPr>
              <w:keepNext/>
              <w:spacing w:before="60" w:after="20"/>
              <w:ind w:right="171"/>
              <w:jc w:val="right"/>
              <w:rPr>
                <w:rFonts w:cs="Arial"/>
                <w:b/>
                <w:bCs/>
                <w:sz w:val="20"/>
                <w:szCs w:val="20"/>
                <w:lang w:val="en-AU"/>
              </w:rPr>
            </w:pPr>
            <w:r w:rsidRPr="008D1918">
              <w:rPr>
                <w:sz w:val="20"/>
                <w:szCs w:val="20"/>
                <w:lang w:val="en-AU"/>
              </w:rPr>
              <w:t>$</w:t>
            </w:r>
            <w:r w:rsidRPr="008D1918" w:rsidR="004464F3">
              <w:rPr>
                <w:sz w:val="20"/>
                <w:szCs w:val="20"/>
                <w:lang w:val="en-AU"/>
              </w:rPr>
              <w:t>61</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5976A07B" w14:textId="24AFE796">
            <w:pPr>
              <w:keepNext/>
              <w:spacing w:before="60" w:after="20"/>
              <w:ind w:right="171"/>
              <w:jc w:val="right"/>
              <w:rPr>
                <w:rFonts w:cs="Arial"/>
                <w:b/>
                <w:bCs/>
                <w:sz w:val="20"/>
                <w:szCs w:val="20"/>
                <w:lang w:val="en-AU"/>
              </w:rPr>
            </w:pPr>
            <w:r w:rsidRPr="008D1918">
              <w:rPr>
                <w:sz w:val="20"/>
                <w:szCs w:val="20"/>
                <w:lang w:val="en-AU"/>
              </w:rPr>
              <w:t>-</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36F778DC" w14:textId="341E6EDF">
            <w:pPr>
              <w:keepNext/>
              <w:spacing w:before="60" w:after="20"/>
              <w:ind w:right="171"/>
              <w:jc w:val="right"/>
              <w:rPr>
                <w:rFonts w:cs="Arial"/>
                <w:b/>
                <w:bCs/>
                <w:sz w:val="20"/>
                <w:szCs w:val="20"/>
                <w:lang w:val="en-AU"/>
              </w:rPr>
            </w:pPr>
            <w:r w:rsidRPr="008D1918">
              <w:rPr>
                <w:sz w:val="20"/>
                <w:szCs w:val="20"/>
                <w:lang w:val="en-AU"/>
              </w:rPr>
              <w:t>-</w:t>
            </w:r>
          </w:p>
        </w:tc>
      </w:tr>
      <w:tr w:rsidRPr="008D1918" w:rsidR="00900DB9" w:rsidTr="00265523" w14:paraId="37DD3068" w14:textId="77777777">
        <w:trPr>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900DB9" w:rsidP="00392D79" w:rsidRDefault="002D3476" w14:paraId="60F30B7B" w14:textId="511DE98A">
            <w:pPr>
              <w:keepNext/>
              <w:spacing w:before="60" w:after="20"/>
              <w:rPr>
                <w:sz w:val="20"/>
                <w:szCs w:val="20"/>
                <w:lang w:val="en-AU"/>
              </w:rPr>
            </w:pPr>
            <w:r w:rsidRPr="008D1918">
              <w:rPr>
                <w:sz w:val="20"/>
                <w:szCs w:val="20"/>
                <w:lang w:val="en-AU"/>
              </w:rPr>
              <w:t>251</w:t>
            </w:r>
            <w:r w:rsidRPr="008D1918" w:rsidR="00261109">
              <w:rPr>
                <w:sz w:val="20"/>
                <w:szCs w:val="20"/>
                <w:lang w:val="en-AU"/>
              </w:rPr>
              <w:t>–</w:t>
            </w:r>
            <w:r w:rsidRPr="008D1918">
              <w:rPr>
                <w:sz w:val="20"/>
                <w:szCs w:val="20"/>
                <w:lang w:val="en-AU"/>
              </w:rPr>
              <w:t>1000</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900DB9" w:rsidP="00392D79" w:rsidRDefault="00ED3466" w14:paraId="670C5B14" w14:textId="58354756">
            <w:pPr>
              <w:keepNext/>
              <w:spacing w:before="60" w:after="20"/>
              <w:ind w:right="171"/>
              <w:jc w:val="right"/>
              <w:rPr>
                <w:sz w:val="20"/>
                <w:szCs w:val="20"/>
                <w:lang w:val="en-AU"/>
              </w:rPr>
            </w:pPr>
            <w:r w:rsidRPr="008D1918">
              <w:rPr>
                <w:sz w:val="20"/>
                <w:szCs w:val="20"/>
                <w:lang w:val="en-AU"/>
              </w:rPr>
              <w:t>7</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900DB9" w:rsidP="00392D79" w:rsidRDefault="00901D6F" w14:paraId="600EEF99" w14:textId="196EE30C">
            <w:pPr>
              <w:keepNext/>
              <w:spacing w:before="60" w:after="20"/>
              <w:ind w:right="171"/>
              <w:jc w:val="right"/>
              <w:rPr>
                <w:sz w:val="20"/>
                <w:szCs w:val="20"/>
                <w:lang w:val="en-AU"/>
              </w:rPr>
            </w:pPr>
            <w:r w:rsidRPr="008D1918">
              <w:rPr>
                <w:sz w:val="20"/>
                <w:szCs w:val="20"/>
                <w:lang w:val="en-AU"/>
              </w:rPr>
              <w:t>$18</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900DB9" w:rsidP="00392D79" w:rsidRDefault="00FA1D46" w14:paraId="380A988C" w14:textId="0B5419CC">
            <w:pPr>
              <w:keepNext/>
              <w:spacing w:before="60" w:after="20"/>
              <w:ind w:right="171"/>
              <w:jc w:val="right"/>
              <w:rPr>
                <w:sz w:val="20"/>
                <w:szCs w:val="20"/>
                <w:lang w:val="en-AU"/>
              </w:rPr>
            </w:pPr>
            <w:r w:rsidRPr="008D1918">
              <w:rPr>
                <w:sz w:val="20"/>
                <w:szCs w:val="20"/>
                <w:lang w:val="en-AU"/>
              </w:rPr>
              <w:t>-</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900DB9" w:rsidP="00392D79" w:rsidRDefault="00FA1D46" w14:paraId="098B1625" w14:textId="0E902D84">
            <w:pPr>
              <w:keepNext/>
              <w:spacing w:before="60" w:after="20"/>
              <w:ind w:right="171"/>
              <w:jc w:val="right"/>
              <w:rPr>
                <w:sz w:val="20"/>
                <w:szCs w:val="20"/>
                <w:lang w:val="en-AU"/>
              </w:rPr>
            </w:pPr>
            <w:r w:rsidRPr="008D1918">
              <w:rPr>
                <w:sz w:val="20"/>
                <w:szCs w:val="20"/>
                <w:lang w:val="en-AU"/>
              </w:rPr>
              <w:t>-</w:t>
            </w:r>
          </w:p>
        </w:tc>
      </w:tr>
      <w:tr w:rsidRPr="008D1918" w:rsidR="00900DB9" w:rsidTr="00392D79" w14:paraId="1B94F7AA" w14:textId="77777777">
        <w:trPr>
          <w:cnfStyle w:val="000000100000" w:firstRow="0" w:lastRow="0" w:firstColumn="0" w:lastColumn="0" w:oddVBand="0" w:evenVBand="0" w:oddHBand="1" w:evenHBand="0" w:firstRowFirstColumn="0" w:firstRowLastColumn="0" w:lastRowFirstColumn="0" w:lastRowLastColumn="0"/>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900DB9" w:rsidP="00392D79" w:rsidRDefault="002D3476" w14:paraId="454939BD" w14:textId="029CAA38">
            <w:pPr>
              <w:keepNext/>
              <w:spacing w:before="60" w:after="20"/>
              <w:rPr>
                <w:sz w:val="20"/>
                <w:szCs w:val="20"/>
                <w:lang w:val="en-AU"/>
              </w:rPr>
            </w:pPr>
            <w:r w:rsidRPr="008D1918">
              <w:rPr>
                <w:sz w:val="20"/>
                <w:szCs w:val="20"/>
                <w:lang w:val="en-AU"/>
              </w:rPr>
              <w:t>1000+</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900DB9" w:rsidP="00392D79" w:rsidRDefault="00ED3466" w14:paraId="2538D25E" w14:textId="30DBDC9D">
            <w:pPr>
              <w:keepNext/>
              <w:spacing w:before="60" w:after="20"/>
              <w:ind w:right="171"/>
              <w:jc w:val="right"/>
              <w:rPr>
                <w:sz w:val="20"/>
                <w:szCs w:val="20"/>
                <w:lang w:val="en-AU"/>
              </w:rPr>
            </w:pPr>
            <w:r w:rsidRPr="008D1918">
              <w:rPr>
                <w:sz w:val="20"/>
                <w:szCs w:val="20"/>
                <w:lang w:val="en-AU"/>
              </w:rPr>
              <w:t>2</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900DB9" w:rsidP="00392D79" w:rsidRDefault="00901D6F" w14:paraId="0FEB174D" w14:textId="40A39C21">
            <w:pPr>
              <w:keepNext/>
              <w:spacing w:before="60" w:after="20"/>
              <w:ind w:right="171"/>
              <w:jc w:val="right"/>
              <w:rPr>
                <w:sz w:val="20"/>
                <w:szCs w:val="20"/>
                <w:lang w:val="en-AU"/>
              </w:rPr>
            </w:pPr>
            <w:r w:rsidRPr="008D1918">
              <w:rPr>
                <w:sz w:val="20"/>
                <w:szCs w:val="20"/>
                <w:lang w:val="en-AU"/>
              </w:rPr>
              <w:t>$74</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900DB9" w:rsidP="00392D79" w:rsidRDefault="00FA1D46" w14:paraId="48E98C76" w14:textId="4535983E">
            <w:pPr>
              <w:keepNext/>
              <w:spacing w:before="60" w:after="20"/>
              <w:ind w:right="171"/>
              <w:jc w:val="right"/>
              <w:rPr>
                <w:sz w:val="20"/>
                <w:szCs w:val="20"/>
                <w:lang w:val="en-AU"/>
              </w:rPr>
            </w:pPr>
            <w:r w:rsidRPr="008D1918">
              <w:rPr>
                <w:sz w:val="20"/>
                <w:szCs w:val="20"/>
                <w:lang w:val="en-AU"/>
              </w:rPr>
              <w:t>-</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900DB9" w:rsidP="00392D79" w:rsidRDefault="00FA1D46" w14:paraId="42BE5A24" w14:textId="4C2EE5E3">
            <w:pPr>
              <w:keepNext/>
              <w:spacing w:before="60" w:after="20"/>
              <w:ind w:right="171"/>
              <w:jc w:val="right"/>
              <w:rPr>
                <w:sz w:val="20"/>
                <w:szCs w:val="20"/>
                <w:lang w:val="en-AU"/>
              </w:rPr>
            </w:pPr>
            <w:r w:rsidRPr="008D1918">
              <w:rPr>
                <w:sz w:val="20"/>
                <w:szCs w:val="20"/>
                <w:lang w:val="en-AU"/>
              </w:rPr>
              <w:t>-</w:t>
            </w:r>
          </w:p>
        </w:tc>
      </w:tr>
      <w:tr w:rsidRPr="008D1918" w:rsidR="00601AFC" w:rsidTr="00265523" w14:paraId="481CC586" w14:textId="77777777">
        <w:trPr>
          <w:trHeight w:val="340"/>
        </w:trPr>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830B840" w14:textId="77777777">
            <w:pPr>
              <w:keepNext/>
              <w:spacing w:before="60" w:after="20"/>
              <w:rPr>
                <w:rFonts w:cs="Arial"/>
                <w:b/>
                <w:bCs/>
                <w:sz w:val="20"/>
                <w:szCs w:val="20"/>
                <w:lang w:val="en-AU" w:eastAsia="en-AU"/>
              </w:rPr>
            </w:pPr>
            <w:r w:rsidRPr="008D1918">
              <w:rPr>
                <w:b/>
                <w:bCs/>
                <w:sz w:val="20"/>
                <w:szCs w:val="20"/>
                <w:lang w:val="en-AU"/>
              </w:rPr>
              <w:t>Overall</w:t>
            </w:r>
          </w:p>
        </w:tc>
        <w:tc>
          <w:tcPr>
            <w:tcW w:w="164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019426B" w14:textId="582AEE5C">
            <w:pPr>
              <w:keepNext/>
              <w:spacing w:before="60" w:after="20"/>
              <w:ind w:right="171"/>
              <w:jc w:val="right"/>
              <w:rPr>
                <w:rFonts w:cs="Arial"/>
                <w:b/>
                <w:bCs/>
                <w:sz w:val="20"/>
                <w:szCs w:val="20"/>
                <w:lang w:val="en-AU"/>
              </w:rPr>
            </w:pPr>
            <w:r w:rsidRPr="008D1918">
              <w:rPr>
                <w:b/>
                <w:bCs/>
                <w:sz w:val="20"/>
                <w:szCs w:val="20"/>
                <w:lang w:val="en-AU"/>
              </w:rPr>
              <w:t xml:space="preserve"> </w:t>
            </w:r>
            <w:r w:rsidRPr="008D1918" w:rsidR="00ED3466">
              <w:rPr>
                <w:b/>
                <w:bCs/>
                <w:sz w:val="20"/>
                <w:szCs w:val="20"/>
                <w:lang w:val="en-AU"/>
              </w:rPr>
              <w:t>15,147</w:t>
            </w:r>
          </w:p>
        </w:tc>
        <w:tc>
          <w:tcPr>
            <w:tcW w:w="2098"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1415F48A" w14:textId="77777777">
            <w:pPr>
              <w:keepNext/>
              <w:spacing w:before="60" w:after="20"/>
              <w:ind w:right="171"/>
              <w:jc w:val="right"/>
              <w:rPr>
                <w:rFonts w:cs="Arial"/>
                <w:b/>
                <w:bCs/>
                <w:sz w:val="20"/>
                <w:szCs w:val="20"/>
                <w:lang w:val="en-AU"/>
              </w:rPr>
            </w:pPr>
            <w:r w:rsidRPr="008D1918">
              <w:rPr>
                <w:b/>
                <w:bCs/>
                <w:sz w:val="20"/>
                <w:szCs w:val="20"/>
                <w:lang w:val="en-AU"/>
              </w:rPr>
              <w:t>$158</w:t>
            </w:r>
          </w:p>
        </w:tc>
        <w:tc>
          <w:tcPr>
            <w:tcW w:w="147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29531ABD" w14:textId="77777777">
            <w:pPr>
              <w:keepNext/>
              <w:spacing w:before="60" w:after="20"/>
              <w:ind w:right="171"/>
              <w:jc w:val="right"/>
              <w:rPr>
                <w:rFonts w:cs="Arial"/>
                <w:b/>
                <w:bCs/>
                <w:sz w:val="20"/>
                <w:szCs w:val="20"/>
                <w:lang w:val="en-AU"/>
              </w:rPr>
            </w:pPr>
            <w:r w:rsidRPr="008D1918">
              <w:rPr>
                <w:b/>
                <w:bCs/>
                <w:sz w:val="20"/>
                <w:szCs w:val="20"/>
                <w:lang w:val="en-AU"/>
              </w:rPr>
              <w:t xml:space="preserve"> 74,762 </w:t>
            </w:r>
          </w:p>
        </w:tc>
        <w:tc>
          <w:tcPr>
            <w:tcW w:w="2041"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vAlign w:val="center"/>
          </w:tcPr>
          <w:p w:rsidRPr="008D1918" w:rsidR="00601AFC" w:rsidP="00392D79" w:rsidRDefault="00601AFC" w14:paraId="74359EDF" w14:textId="77777777">
            <w:pPr>
              <w:keepNext/>
              <w:spacing w:before="60" w:after="20"/>
              <w:ind w:right="171"/>
              <w:jc w:val="right"/>
              <w:rPr>
                <w:rFonts w:cs="Arial"/>
                <w:b/>
                <w:bCs/>
                <w:sz w:val="20"/>
                <w:szCs w:val="20"/>
                <w:lang w:val="en-AU"/>
              </w:rPr>
            </w:pPr>
            <w:r w:rsidRPr="008D1918">
              <w:rPr>
                <w:b/>
                <w:bCs/>
                <w:sz w:val="20"/>
                <w:szCs w:val="20"/>
                <w:lang w:val="en-AU"/>
              </w:rPr>
              <w:t>$1,038</w:t>
            </w:r>
          </w:p>
        </w:tc>
      </w:tr>
    </w:tbl>
    <w:p w:rsidRPr="008D1918" w:rsidR="00601AFC" w:rsidP="00A6613E" w:rsidRDefault="00601AFC" w14:paraId="12D290E8" w14:textId="77777777">
      <w:pPr>
        <w:spacing w:before="120" w:after="3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601AFC" w:rsidP="00041468" w:rsidRDefault="00601AFC" w14:paraId="330DC4FC" w14:textId="7186A637">
      <w:pPr>
        <w:pStyle w:val="StyleStyle112pt"/>
      </w:pPr>
      <w:bookmarkStart w:name="_Toc223428540" w:id="2052"/>
      <w:bookmarkStart w:name="_Toc223446008" w:id="2053"/>
      <w:bookmarkStart w:name="_Toc223539767" w:id="2054"/>
      <w:bookmarkStart w:name="_Toc223539980" w:id="2055"/>
      <w:bookmarkStart w:name="_Toc223540448" w:id="2056"/>
      <w:bookmarkStart w:name="_Toc223540664" w:id="2057"/>
      <w:bookmarkStart w:name="_Toc223542204" w:id="2058"/>
      <w:bookmarkStart w:name="_Toc223604390" w:id="2059"/>
      <w:bookmarkStart w:name="_Toc223604601" w:id="2060"/>
      <w:bookmarkStart w:name="_Toc223604842" w:id="2061"/>
      <w:bookmarkStart w:name="_Toc223618687" w:id="2062"/>
      <w:bookmarkStart w:name="_Toc223702916" w:id="2063"/>
      <w:bookmarkStart w:name="_Toc227318803" w:id="2064"/>
      <w:bookmarkStart w:name="_Toc227337171" w:id="2065"/>
      <w:r w:rsidRPr="008D1918">
        <w:t xml:space="preserve">Claiming </w:t>
      </w:r>
      <w:r w:rsidRPr="008D1918" w:rsidR="00764D4E">
        <w:t>b</w:t>
      </w:r>
      <w:r w:rsidRPr="008D1918">
        <w:t>ehaviour</w:t>
      </w:r>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r w:rsidRPr="008D1918">
        <w:t xml:space="preserve"> </w:t>
      </w:r>
    </w:p>
    <w:p w:rsidRPr="008D1918" w:rsidR="004616D8" w:rsidP="004616D8" w:rsidRDefault="004616D8" w14:paraId="0B45AEC7" w14:textId="7446EC85">
      <w:pPr>
        <w:rPr>
          <w:lang w:val="en-AU"/>
        </w:rPr>
      </w:pPr>
      <w:r w:rsidRPr="008D1918">
        <w:rPr>
          <w:lang w:val="en-AU"/>
        </w:rPr>
        <w:t xml:space="preserve">Claiming behaviour evidence indicates the current </w:t>
      </w:r>
      <w:r w:rsidRPr="00CC1AFD" w:rsidR="00CC1AFD">
        <w:rPr>
          <w:lang w:val="en-AU"/>
        </w:rPr>
        <w:t>maximum</w:t>
      </w:r>
      <w:r w:rsidRPr="008D1918">
        <w:rPr>
          <w:lang w:val="en-AU"/>
        </w:rPr>
        <w:t xml:space="preserve"> </w:t>
      </w:r>
      <w:r w:rsidRPr="008D1918" w:rsidR="00840717">
        <w:rPr>
          <w:lang w:val="en-AU"/>
        </w:rPr>
        <w:t>prices bears</w:t>
      </w:r>
      <w:r w:rsidRPr="008D1918">
        <w:rPr>
          <w:lang w:val="en-AU"/>
        </w:rPr>
        <w:t xml:space="preserve"> differently on registered and unregistered providers. Registered providers claim at the </w:t>
      </w:r>
      <w:r w:rsidRPr="00CC1AFD" w:rsidR="00CC1AFD">
        <w:rPr>
          <w:lang w:val="en-AU"/>
        </w:rPr>
        <w:t>maximum</w:t>
      </w:r>
      <w:r w:rsidRPr="008D1918">
        <w:rPr>
          <w:lang w:val="en-AU"/>
        </w:rPr>
        <w:t xml:space="preserve"> price in approximately 73–79% of transactions; unregistered providers do so in around 61–67% of transactions. This 10–15% gap has been stable over 3 years (</w:t>
      </w:r>
      <w:r w:rsidRPr="008D1918">
        <w:rPr>
          <w:lang w:val="en-AU"/>
        </w:rPr>
        <w:fldChar w:fldCharType="begin"/>
      </w:r>
      <w:r w:rsidRPr="008D1918">
        <w:rPr>
          <w:lang w:val="en-AU"/>
        </w:rPr>
        <w:instrText xml:space="preserve"> REF _Ref223696949 \h  \* MERGEFORMAT </w:instrText>
      </w:r>
      <w:r w:rsidRPr="008D1918">
        <w:rPr>
          <w:lang w:val="en-AU"/>
        </w:rPr>
      </w:r>
      <w:r w:rsidRPr="008D1918">
        <w:rPr>
          <w:lang w:val="en-AU"/>
        </w:rPr>
        <w:fldChar w:fldCharType="separate"/>
      </w:r>
      <w:r w:rsidRPr="008F56A2" w:rsidR="008F56A2">
        <w:rPr>
          <w:lang w:val="en-AU"/>
        </w:rPr>
        <w:t>Table</w:t>
      </w:r>
      <w:r w:rsidRPr="008D1918" w:rsidR="008F56A2">
        <w:t xml:space="preserve"> </w:t>
      </w:r>
      <w:r w:rsidR="008F56A2">
        <w:rPr>
          <w:noProof/>
        </w:rPr>
        <w:t>48</w:t>
      </w:r>
      <w:r w:rsidRPr="008D1918">
        <w:rPr>
          <w:lang w:val="en-AU"/>
        </w:rPr>
        <w:fldChar w:fldCharType="end"/>
      </w:r>
      <w:r w:rsidRPr="008D1918">
        <w:rPr>
          <w:lang w:val="en-AU"/>
        </w:rPr>
        <w:t>).</w:t>
      </w:r>
    </w:p>
    <w:p w:rsidRPr="008D1918" w:rsidR="00601AFC" w:rsidP="00BB3A21" w:rsidRDefault="00BB3A21" w14:paraId="7BB1503C" w14:textId="67A47E83">
      <w:pPr>
        <w:pStyle w:val="Caption"/>
      </w:pPr>
      <w:bookmarkStart w:name="_Ref223696949" w:id="2066"/>
      <w:r w:rsidRPr="008D1918">
        <w:t xml:space="preserve">Table </w:t>
      </w:r>
      <w:r>
        <w:fldChar w:fldCharType="begin"/>
      </w:r>
      <w:r>
        <w:instrText>SEQ Table \* ARABIC</w:instrText>
      </w:r>
      <w:r>
        <w:fldChar w:fldCharType="separate"/>
      </w:r>
      <w:r w:rsidR="008F56A2">
        <w:rPr>
          <w:noProof/>
        </w:rPr>
        <w:t>48</w:t>
      </w:r>
      <w:r>
        <w:fldChar w:fldCharType="end"/>
      </w:r>
      <w:bookmarkEnd w:id="2066"/>
      <w:r w:rsidRPr="008D1918" w:rsidR="00601AFC">
        <w:t xml:space="preserve">: Claiming patterns at </w:t>
      </w:r>
      <w:r w:rsidRPr="008D1918" w:rsidR="00C675FD">
        <w:t>published price</w:t>
      </w:r>
      <w:r w:rsidRPr="008D1918" w:rsidDel="00C675FD" w:rsidR="00C675FD">
        <w:t xml:space="preserve"> </w:t>
      </w:r>
      <w:r w:rsidRPr="008D1918" w:rsidR="00601AFC">
        <w:t>analysis for S</w:t>
      </w:r>
      <w:r w:rsidRPr="008D1918" w:rsidR="00476700">
        <w:t>C</w:t>
      </w:r>
      <w:r w:rsidRPr="008D1918" w:rsidR="00601AFC">
        <w:t>CP supports, January 2023 to December 2025</w:t>
      </w:r>
    </w:p>
    <w:tbl>
      <w:tblPr>
        <w:tblStyle w:val="GridTable4-Accent121"/>
        <w:tblW w:w="0" w:type="auto"/>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985"/>
        <w:gridCol w:w="1191"/>
        <w:gridCol w:w="1191"/>
        <w:gridCol w:w="1191"/>
        <w:gridCol w:w="1191"/>
        <w:gridCol w:w="1191"/>
        <w:gridCol w:w="1191"/>
      </w:tblGrid>
      <w:tr w:rsidRPr="008D1918" w:rsidR="00A238C6" w:rsidTr="00BB3A21" w14:paraId="4DCDFC37"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1985" w:type="dxa"/>
            <w:vAlign w:val="center"/>
          </w:tcPr>
          <w:p w:rsidRPr="008D1918" w:rsidR="00601AFC" w:rsidP="00BB3A21" w:rsidRDefault="00601AFC" w14:paraId="5C601AE3" w14:textId="2C964720">
            <w:pPr>
              <w:spacing w:before="60" w:after="60"/>
              <w:rPr>
                <w:rFonts w:cs="Calibri"/>
                <w:sz w:val="20"/>
                <w:szCs w:val="20"/>
                <w:lang w:val="en-AU" w:eastAsia="en-AU"/>
              </w:rPr>
            </w:pPr>
            <w:r w:rsidRPr="008D1918">
              <w:rPr>
                <w:rFonts w:cs="Arial"/>
                <w:sz w:val="20"/>
                <w:szCs w:val="20"/>
                <w:lang w:val="en-AU" w:eastAsia="en-AU"/>
              </w:rPr>
              <w:t xml:space="preserve">Claiming patterns – at </w:t>
            </w:r>
            <w:r w:rsidRPr="008D1918" w:rsidR="00C675FD">
              <w:rPr>
                <w:sz w:val="20"/>
                <w:szCs w:val="20"/>
                <w:lang w:val="en-AU"/>
              </w:rPr>
              <w:t>published price</w:t>
            </w:r>
          </w:p>
        </w:tc>
        <w:tc>
          <w:tcPr>
            <w:tcW w:w="1191" w:type="dxa"/>
          </w:tcPr>
          <w:p w:rsidRPr="008D1918" w:rsidR="00601AFC" w:rsidRDefault="00601AFC" w14:paraId="6DF45180" w14:textId="77777777">
            <w:pPr>
              <w:spacing w:before="60" w:after="0"/>
              <w:jc w:val="center"/>
              <w:rPr>
                <w:rFonts w:cs="Cordia New"/>
                <w:sz w:val="20"/>
                <w:szCs w:val="20"/>
                <w:lang w:val="en-AU"/>
              </w:rPr>
            </w:pPr>
            <w:r w:rsidRPr="008D1918">
              <w:rPr>
                <w:rFonts w:cs="Cordia New"/>
                <w:sz w:val="20"/>
                <w:szCs w:val="20"/>
                <w:lang w:val="en-AU"/>
              </w:rPr>
              <w:t>January – June</w:t>
            </w:r>
          </w:p>
          <w:p w:rsidRPr="008D1918" w:rsidR="00601AFC" w:rsidP="00E53B2C" w:rsidRDefault="00601AFC" w14:paraId="50E78FF0" w14:textId="77777777">
            <w:pPr>
              <w:spacing w:before="0" w:after="60"/>
              <w:jc w:val="center"/>
              <w:rPr>
                <w:rFonts w:cs="Calibri"/>
                <w:sz w:val="20"/>
                <w:szCs w:val="20"/>
                <w:lang w:val="en-AU" w:eastAsia="en-AU"/>
              </w:rPr>
            </w:pPr>
            <w:r w:rsidRPr="008D1918">
              <w:rPr>
                <w:rFonts w:cs="Cordia New"/>
                <w:sz w:val="20"/>
                <w:szCs w:val="20"/>
                <w:lang w:val="en-AU"/>
              </w:rPr>
              <w:t>2023</w:t>
            </w:r>
          </w:p>
        </w:tc>
        <w:tc>
          <w:tcPr>
            <w:tcW w:w="1191" w:type="dxa"/>
          </w:tcPr>
          <w:p w:rsidRPr="008D1918" w:rsidR="00601AFC" w:rsidRDefault="00601AFC" w14:paraId="5E89CE84" w14:textId="77777777">
            <w:pPr>
              <w:spacing w:before="60" w:after="60"/>
              <w:jc w:val="center"/>
              <w:rPr>
                <w:rFonts w:cs="Calibri"/>
                <w:sz w:val="20"/>
                <w:szCs w:val="20"/>
                <w:lang w:val="en-AU" w:eastAsia="en-AU"/>
              </w:rPr>
            </w:pPr>
            <w:r w:rsidRPr="008D1918">
              <w:rPr>
                <w:rFonts w:cs="Cordia New"/>
                <w:sz w:val="20"/>
                <w:szCs w:val="20"/>
                <w:lang w:val="en-AU"/>
              </w:rPr>
              <w:t>July – December 2023</w:t>
            </w:r>
          </w:p>
        </w:tc>
        <w:tc>
          <w:tcPr>
            <w:tcW w:w="1191" w:type="dxa"/>
          </w:tcPr>
          <w:p w:rsidRPr="008D1918" w:rsidR="00601AFC" w:rsidRDefault="00601AFC" w14:paraId="67C4801B" w14:textId="77777777">
            <w:pPr>
              <w:spacing w:before="60" w:after="0"/>
              <w:jc w:val="center"/>
              <w:rPr>
                <w:rFonts w:cs="Cordia New"/>
                <w:sz w:val="20"/>
                <w:szCs w:val="20"/>
                <w:lang w:val="en-AU"/>
              </w:rPr>
            </w:pPr>
            <w:r w:rsidRPr="008D1918">
              <w:rPr>
                <w:rFonts w:cs="Cordia New"/>
                <w:sz w:val="20"/>
                <w:szCs w:val="20"/>
                <w:lang w:val="en-AU"/>
              </w:rPr>
              <w:t>January – June</w:t>
            </w:r>
          </w:p>
          <w:p w:rsidRPr="008D1918" w:rsidR="00601AFC" w:rsidP="00E53B2C" w:rsidRDefault="00601AFC" w14:paraId="78738A0F" w14:textId="77777777">
            <w:pPr>
              <w:spacing w:before="0" w:after="60"/>
              <w:jc w:val="center"/>
              <w:rPr>
                <w:rFonts w:cs="Calibri"/>
                <w:sz w:val="20"/>
                <w:szCs w:val="20"/>
                <w:lang w:val="en-AU" w:eastAsia="en-AU"/>
              </w:rPr>
            </w:pPr>
            <w:r w:rsidRPr="008D1918">
              <w:rPr>
                <w:rFonts w:cs="Cordia New"/>
                <w:sz w:val="20"/>
                <w:szCs w:val="20"/>
                <w:lang w:val="en-AU"/>
              </w:rPr>
              <w:t>2024</w:t>
            </w:r>
          </w:p>
        </w:tc>
        <w:tc>
          <w:tcPr>
            <w:tcW w:w="1191" w:type="dxa"/>
          </w:tcPr>
          <w:p w:rsidRPr="008D1918" w:rsidR="00601AFC" w:rsidRDefault="00601AFC" w14:paraId="03846421" w14:textId="77777777">
            <w:pPr>
              <w:spacing w:before="60" w:after="60"/>
              <w:jc w:val="center"/>
              <w:rPr>
                <w:rFonts w:cs="Calibri"/>
                <w:sz w:val="20"/>
                <w:szCs w:val="20"/>
                <w:lang w:val="en-AU" w:eastAsia="en-AU"/>
              </w:rPr>
            </w:pPr>
            <w:r w:rsidRPr="008D1918">
              <w:rPr>
                <w:rFonts w:cs="Cordia New"/>
                <w:sz w:val="20"/>
                <w:szCs w:val="20"/>
                <w:lang w:val="en-AU"/>
              </w:rPr>
              <w:t>July – December 2024</w:t>
            </w:r>
          </w:p>
        </w:tc>
        <w:tc>
          <w:tcPr>
            <w:tcW w:w="1191" w:type="dxa"/>
          </w:tcPr>
          <w:p w:rsidRPr="008D1918" w:rsidR="00601AFC" w:rsidRDefault="00601AFC" w14:paraId="0901F113" w14:textId="77777777">
            <w:pPr>
              <w:spacing w:before="60" w:after="0"/>
              <w:jc w:val="center"/>
              <w:rPr>
                <w:rFonts w:cs="Cordia New"/>
                <w:sz w:val="20"/>
                <w:szCs w:val="20"/>
                <w:lang w:val="en-AU"/>
              </w:rPr>
            </w:pPr>
            <w:r w:rsidRPr="008D1918">
              <w:rPr>
                <w:rFonts w:cs="Cordia New"/>
                <w:sz w:val="20"/>
                <w:szCs w:val="20"/>
                <w:lang w:val="en-AU"/>
              </w:rPr>
              <w:t>January – June</w:t>
            </w:r>
          </w:p>
          <w:p w:rsidRPr="008D1918" w:rsidR="00601AFC" w:rsidP="00E53B2C" w:rsidRDefault="00601AFC" w14:paraId="2A8A2A63" w14:textId="77777777">
            <w:pPr>
              <w:spacing w:before="0" w:after="60"/>
              <w:jc w:val="center"/>
              <w:rPr>
                <w:rFonts w:cs="Calibri"/>
                <w:sz w:val="20"/>
                <w:szCs w:val="20"/>
                <w:lang w:val="en-AU" w:eastAsia="en-AU"/>
              </w:rPr>
            </w:pPr>
            <w:r w:rsidRPr="008D1918">
              <w:rPr>
                <w:rFonts w:cs="Cordia New"/>
                <w:sz w:val="20"/>
                <w:szCs w:val="20"/>
                <w:lang w:val="en-AU"/>
              </w:rPr>
              <w:t>2025</w:t>
            </w:r>
          </w:p>
        </w:tc>
        <w:tc>
          <w:tcPr>
            <w:tcW w:w="1191" w:type="dxa"/>
          </w:tcPr>
          <w:p w:rsidRPr="008D1918" w:rsidR="00601AFC" w:rsidRDefault="00601AFC" w14:paraId="1188F28E" w14:textId="77777777">
            <w:pPr>
              <w:spacing w:before="60" w:after="60"/>
              <w:jc w:val="center"/>
              <w:rPr>
                <w:rFonts w:cs="Calibri"/>
                <w:sz w:val="20"/>
                <w:szCs w:val="20"/>
                <w:lang w:val="en-AU" w:eastAsia="en-AU"/>
              </w:rPr>
            </w:pPr>
            <w:r w:rsidRPr="008D1918">
              <w:rPr>
                <w:rFonts w:cs="Cordia New"/>
                <w:sz w:val="20"/>
                <w:szCs w:val="20"/>
                <w:lang w:val="en-AU"/>
              </w:rPr>
              <w:t>July – December 2025</w:t>
            </w:r>
          </w:p>
        </w:tc>
      </w:tr>
      <w:tr w:rsidRPr="008D1918" w:rsidR="00A238C6" w:rsidTr="00E53B2C" w14:paraId="214B38D5" w14:textId="77777777">
        <w:trPr>
          <w:cnfStyle w:val="000000100000" w:firstRow="0" w:lastRow="0" w:firstColumn="0" w:lastColumn="0" w:oddVBand="0" w:evenVBand="0" w:oddHBand="1" w:evenHBand="0" w:firstRowFirstColumn="0" w:firstRowLastColumn="0" w:lastRowFirstColumn="0" w:lastRowLastColumn="0"/>
          <w:trHeight w:val="397"/>
        </w:trPr>
        <w:tc>
          <w:tcPr>
            <w:tcW w:w="1985" w:type="dxa"/>
            <w:vAlign w:val="center"/>
          </w:tcPr>
          <w:p w:rsidRPr="008D1918" w:rsidR="00601AFC" w:rsidRDefault="00601AFC" w14:paraId="7251A085" w14:textId="77777777">
            <w:pPr>
              <w:spacing w:before="60" w:after="60"/>
              <w:rPr>
                <w:rFonts w:cs="Calibri"/>
                <w:sz w:val="20"/>
                <w:szCs w:val="20"/>
                <w:lang w:val="en-AU" w:eastAsia="en-AU"/>
              </w:rPr>
            </w:pPr>
            <w:r w:rsidRPr="008D1918">
              <w:rPr>
                <w:rFonts w:cs="Cordia New"/>
                <w:sz w:val="20"/>
                <w:szCs w:val="20"/>
                <w:lang w:val="en-AU"/>
              </w:rPr>
              <w:t>Registered</w:t>
            </w:r>
          </w:p>
        </w:tc>
        <w:tc>
          <w:tcPr>
            <w:tcW w:w="1191" w:type="dxa"/>
            <w:vAlign w:val="center"/>
          </w:tcPr>
          <w:p w:rsidRPr="008D1918" w:rsidR="00601AFC" w:rsidRDefault="00601AFC" w14:paraId="408806A7" w14:textId="77777777">
            <w:pPr>
              <w:spacing w:before="60" w:after="60"/>
              <w:jc w:val="center"/>
              <w:rPr>
                <w:rFonts w:cs="Cordia New"/>
                <w:sz w:val="20"/>
                <w:szCs w:val="20"/>
                <w:lang w:val="en-AU" w:eastAsia="en-AU"/>
              </w:rPr>
            </w:pPr>
            <w:r w:rsidRPr="008D1918">
              <w:rPr>
                <w:sz w:val="20"/>
                <w:szCs w:val="20"/>
                <w:lang w:val="en-AU"/>
              </w:rPr>
              <w:t>79</w:t>
            </w:r>
            <w:r w:rsidRPr="008D1918">
              <w:rPr>
                <w:rFonts w:cs="Cordia New"/>
                <w:sz w:val="20"/>
                <w:szCs w:val="20"/>
                <w:lang w:val="en-AU"/>
              </w:rPr>
              <w:t>%</w:t>
            </w:r>
          </w:p>
        </w:tc>
        <w:tc>
          <w:tcPr>
            <w:tcW w:w="1191" w:type="dxa"/>
            <w:vAlign w:val="center"/>
          </w:tcPr>
          <w:p w:rsidRPr="008D1918" w:rsidR="00601AFC" w:rsidRDefault="00601AFC" w14:paraId="3D7403B8" w14:textId="77777777">
            <w:pPr>
              <w:spacing w:before="60" w:after="60"/>
              <w:jc w:val="center"/>
              <w:rPr>
                <w:rFonts w:cs="Calibri"/>
                <w:color w:val="000000"/>
                <w:sz w:val="20"/>
                <w:szCs w:val="20"/>
                <w:lang w:val="en-AU" w:eastAsia="en-AU"/>
              </w:rPr>
            </w:pPr>
            <w:r w:rsidRPr="008D1918">
              <w:rPr>
                <w:sz w:val="20"/>
                <w:szCs w:val="20"/>
                <w:lang w:val="en-AU"/>
              </w:rPr>
              <w:t>78</w:t>
            </w:r>
            <w:r w:rsidRPr="008D1918">
              <w:rPr>
                <w:rFonts w:cs="Cordia New"/>
                <w:sz w:val="20"/>
                <w:szCs w:val="20"/>
                <w:lang w:val="en-AU"/>
              </w:rPr>
              <w:t>%</w:t>
            </w:r>
          </w:p>
        </w:tc>
        <w:tc>
          <w:tcPr>
            <w:tcW w:w="1191" w:type="dxa"/>
            <w:vAlign w:val="center"/>
          </w:tcPr>
          <w:p w:rsidRPr="008D1918" w:rsidR="00601AFC" w:rsidRDefault="00601AFC" w14:paraId="26BF7586" w14:textId="77777777">
            <w:pPr>
              <w:spacing w:before="60" w:after="60"/>
              <w:jc w:val="center"/>
              <w:rPr>
                <w:rFonts w:cs="Calibri"/>
                <w:color w:val="000000"/>
                <w:sz w:val="20"/>
                <w:szCs w:val="20"/>
                <w:lang w:val="en-AU" w:eastAsia="en-AU"/>
              </w:rPr>
            </w:pPr>
            <w:r w:rsidRPr="008D1918">
              <w:rPr>
                <w:sz w:val="20"/>
                <w:szCs w:val="20"/>
                <w:lang w:val="en-AU"/>
              </w:rPr>
              <w:t>73</w:t>
            </w:r>
            <w:r w:rsidRPr="008D1918">
              <w:rPr>
                <w:rFonts w:cs="Cordia New"/>
                <w:sz w:val="20"/>
                <w:szCs w:val="20"/>
                <w:lang w:val="en-AU"/>
              </w:rPr>
              <w:t>%</w:t>
            </w:r>
          </w:p>
        </w:tc>
        <w:tc>
          <w:tcPr>
            <w:tcW w:w="1191" w:type="dxa"/>
            <w:vAlign w:val="center"/>
          </w:tcPr>
          <w:p w:rsidRPr="008D1918" w:rsidR="00601AFC" w:rsidRDefault="00601AFC" w14:paraId="1A0C5AB1" w14:textId="77777777">
            <w:pPr>
              <w:spacing w:before="60" w:after="60"/>
              <w:jc w:val="center"/>
              <w:rPr>
                <w:rFonts w:cs="Calibri"/>
                <w:color w:val="000000"/>
                <w:sz w:val="20"/>
                <w:szCs w:val="20"/>
                <w:lang w:val="en-AU" w:eastAsia="en-AU"/>
              </w:rPr>
            </w:pPr>
            <w:r w:rsidRPr="008D1918">
              <w:rPr>
                <w:sz w:val="20"/>
                <w:szCs w:val="20"/>
                <w:lang w:val="en-AU"/>
              </w:rPr>
              <w:t>74</w:t>
            </w:r>
            <w:r w:rsidRPr="008D1918">
              <w:rPr>
                <w:rFonts w:cs="Cordia New"/>
                <w:sz w:val="20"/>
                <w:szCs w:val="20"/>
                <w:lang w:val="en-AU"/>
              </w:rPr>
              <w:t>%</w:t>
            </w:r>
          </w:p>
        </w:tc>
        <w:tc>
          <w:tcPr>
            <w:tcW w:w="1191" w:type="dxa"/>
            <w:vAlign w:val="center"/>
          </w:tcPr>
          <w:p w:rsidRPr="008D1918" w:rsidR="00601AFC" w:rsidRDefault="00601AFC" w14:paraId="66FFF6F0" w14:textId="77777777">
            <w:pPr>
              <w:spacing w:before="60" w:after="60"/>
              <w:jc w:val="center"/>
              <w:rPr>
                <w:rFonts w:cs="Calibri"/>
                <w:sz w:val="20"/>
                <w:szCs w:val="20"/>
                <w:lang w:val="en-AU"/>
              </w:rPr>
            </w:pPr>
            <w:r w:rsidRPr="008D1918">
              <w:rPr>
                <w:sz w:val="20"/>
                <w:szCs w:val="20"/>
                <w:lang w:val="en-AU"/>
              </w:rPr>
              <w:t>77</w:t>
            </w:r>
            <w:r w:rsidRPr="008D1918">
              <w:rPr>
                <w:rFonts w:cs="Cordia New"/>
                <w:sz w:val="20"/>
                <w:szCs w:val="20"/>
                <w:lang w:val="en-AU"/>
              </w:rPr>
              <w:t>%</w:t>
            </w:r>
          </w:p>
        </w:tc>
        <w:tc>
          <w:tcPr>
            <w:tcW w:w="1191" w:type="dxa"/>
            <w:vAlign w:val="center"/>
          </w:tcPr>
          <w:p w:rsidRPr="008D1918" w:rsidR="00601AFC" w:rsidRDefault="00601AFC" w14:paraId="04B14FB3" w14:textId="77777777">
            <w:pPr>
              <w:spacing w:before="60" w:after="60"/>
              <w:jc w:val="center"/>
              <w:rPr>
                <w:rFonts w:cs="Calibri"/>
                <w:sz w:val="20"/>
                <w:szCs w:val="20"/>
                <w:lang w:val="en-AU"/>
              </w:rPr>
            </w:pPr>
            <w:r w:rsidRPr="008D1918">
              <w:rPr>
                <w:sz w:val="20"/>
                <w:szCs w:val="20"/>
                <w:lang w:val="en-AU"/>
              </w:rPr>
              <w:t>77</w:t>
            </w:r>
            <w:r w:rsidRPr="008D1918">
              <w:rPr>
                <w:rFonts w:cs="Cordia New"/>
                <w:sz w:val="20"/>
                <w:szCs w:val="20"/>
                <w:lang w:val="en-AU"/>
              </w:rPr>
              <w:t>%</w:t>
            </w:r>
          </w:p>
        </w:tc>
      </w:tr>
      <w:tr w:rsidRPr="008D1918" w:rsidR="00601AFC" w:rsidTr="00E53B2C" w14:paraId="1873B260" w14:textId="77777777">
        <w:trPr>
          <w:trHeight w:val="397"/>
        </w:trPr>
        <w:tc>
          <w:tcPr>
            <w:tcW w:w="1985" w:type="dxa"/>
            <w:vAlign w:val="center"/>
          </w:tcPr>
          <w:p w:rsidRPr="008D1918" w:rsidR="00601AFC" w:rsidRDefault="00601AFC" w14:paraId="5DCFFCB3" w14:textId="77777777">
            <w:pPr>
              <w:spacing w:before="60" w:after="60"/>
              <w:rPr>
                <w:rFonts w:cs="Calibri"/>
                <w:sz w:val="20"/>
                <w:szCs w:val="20"/>
                <w:lang w:val="en-AU" w:eastAsia="en-AU"/>
              </w:rPr>
            </w:pPr>
            <w:r w:rsidRPr="008D1918">
              <w:rPr>
                <w:rFonts w:cs="Cordia New"/>
                <w:sz w:val="20"/>
                <w:szCs w:val="20"/>
                <w:lang w:val="en-AU"/>
              </w:rPr>
              <w:t>Unregistered</w:t>
            </w:r>
          </w:p>
        </w:tc>
        <w:tc>
          <w:tcPr>
            <w:tcW w:w="1191" w:type="dxa"/>
            <w:vAlign w:val="center"/>
          </w:tcPr>
          <w:p w:rsidRPr="008D1918" w:rsidR="00601AFC" w:rsidRDefault="00601AFC" w14:paraId="0F1E3725" w14:textId="77777777">
            <w:pPr>
              <w:spacing w:before="60" w:after="60"/>
              <w:jc w:val="center"/>
              <w:rPr>
                <w:rFonts w:cs="Calibri"/>
                <w:color w:val="000000"/>
                <w:sz w:val="20"/>
                <w:szCs w:val="20"/>
                <w:lang w:val="en-AU" w:eastAsia="en-AU"/>
              </w:rPr>
            </w:pPr>
            <w:r w:rsidRPr="008D1918">
              <w:rPr>
                <w:sz w:val="20"/>
                <w:szCs w:val="20"/>
                <w:lang w:val="en-AU"/>
              </w:rPr>
              <w:t>64</w:t>
            </w:r>
            <w:r w:rsidRPr="008D1918">
              <w:rPr>
                <w:rFonts w:cs="Cordia New"/>
                <w:sz w:val="20"/>
                <w:szCs w:val="20"/>
                <w:lang w:val="en-AU"/>
              </w:rPr>
              <w:t>%</w:t>
            </w:r>
          </w:p>
        </w:tc>
        <w:tc>
          <w:tcPr>
            <w:tcW w:w="1191" w:type="dxa"/>
            <w:vAlign w:val="center"/>
          </w:tcPr>
          <w:p w:rsidRPr="008D1918" w:rsidR="00601AFC" w:rsidRDefault="00601AFC" w14:paraId="1536514C" w14:textId="77777777">
            <w:pPr>
              <w:spacing w:before="60" w:after="60"/>
              <w:jc w:val="center"/>
              <w:rPr>
                <w:rFonts w:cs="Calibri"/>
                <w:color w:val="000000"/>
                <w:sz w:val="20"/>
                <w:szCs w:val="20"/>
                <w:lang w:val="en-AU" w:eastAsia="en-AU"/>
              </w:rPr>
            </w:pPr>
            <w:r w:rsidRPr="008D1918">
              <w:rPr>
                <w:sz w:val="20"/>
                <w:szCs w:val="20"/>
                <w:lang w:val="en-AU"/>
              </w:rPr>
              <w:t>62</w:t>
            </w:r>
            <w:r w:rsidRPr="008D1918">
              <w:rPr>
                <w:rFonts w:cs="Cordia New"/>
                <w:sz w:val="20"/>
                <w:szCs w:val="20"/>
                <w:lang w:val="en-AU"/>
              </w:rPr>
              <w:t>%</w:t>
            </w:r>
          </w:p>
        </w:tc>
        <w:tc>
          <w:tcPr>
            <w:tcW w:w="1191" w:type="dxa"/>
            <w:vAlign w:val="center"/>
          </w:tcPr>
          <w:p w:rsidRPr="008D1918" w:rsidR="00601AFC" w:rsidRDefault="00601AFC" w14:paraId="5FD995B1" w14:textId="77777777">
            <w:pPr>
              <w:spacing w:before="60" w:after="60"/>
              <w:jc w:val="center"/>
              <w:rPr>
                <w:rFonts w:cs="Calibri"/>
                <w:color w:val="000000"/>
                <w:sz w:val="20"/>
                <w:szCs w:val="20"/>
                <w:lang w:val="en-AU" w:eastAsia="en-AU"/>
              </w:rPr>
            </w:pPr>
            <w:r w:rsidRPr="008D1918">
              <w:rPr>
                <w:sz w:val="20"/>
                <w:szCs w:val="20"/>
                <w:lang w:val="en-AU"/>
              </w:rPr>
              <w:t>63</w:t>
            </w:r>
            <w:r w:rsidRPr="008D1918">
              <w:rPr>
                <w:rFonts w:cs="Cordia New"/>
                <w:sz w:val="20"/>
                <w:szCs w:val="20"/>
                <w:lang w:val="en-AU"/>
              </w:rPr>
              <w:t>%</w:t>
            </w:r>
          </w:p>
        </w:tc>
        <w:tc>
          <w:tcPr>
            <w:tcW w:w="1191" w:type="dxa"/>
            <w:vAlign w:val="center"/>
          </w:tcPr>
          <w:p w:rsidRPr="008D1918" w:rsidR="00601AFC" w:rsidRDefault="00601AFC" w14:paraId="39509346" w14:textId="77777777">
            <w:pPr>
              <w:spacing w:before="60" w:after="60"/>
              <w:jc w:val="center"/>
              <w:rPr>
                <w:rFonts w:cs="Calibri"/>
                <w:color w:val="000000"/>
                <w:sz w:val="20"/>
                <w:szCs w:val="20"/>
                <w:lang w:val="en-AU" w:eastAsia="en-AU"/>
              </w:rPr>
            </w:pPr>
            <w:r w:rsidRPr="008D1918">
              <w:rPr>
                <w:sz w:val="20"/>
                <w:szCs w:val="20"/>
                <w:lang w:val="en-AU"/>
              </w:rPr>
              <w:t>61</w:t>
            </w:r>
            <w:r w:rsidRPr="008D1918">
              <w:rPr>
                <w:rFonts w:cs="Cordia New"/>
                <w:sz w:val="20"/>
                <w:szCs w:val="20"/>
                <w:lang w:val="en-AU"/>
              </w:rPr>
              <w:t>%</w:t>
            </w:r>
          </w:p>
        </w:tc>
        <w:tc>
          <w:tcPr>
            <w:tcW w:w="1191" w:type="dxa"/>
            <w:vAlign w:val="center"/>
          </w:tcPr>
          <w:p w:rsidRPr="008D1918" w:rsidR="00601AFC" w:rsidRDefault="00601AFC" w14:paraId="632EB474" w14:textId="77777777">
            <w:pPr>
              <w:spacing w:before="60" w:after="60"/>
              <w:jc w:val="center"/>
              <w:rPr>
                <w:rFonts w:cs="Calibri"/>
                <w:sz w:val="20"/>
                <w:szCs w:val="20"/>
                <w:lang w:val="en-AU"/>
              </w:rPr>
            </w:pPr>
            <w:r w:rsidRPr="008D1918">
              <w:rPr>
                <w:sz w:val="20"/>
                <w:szCs w:val="20"/>
                <w:lang w:val="en-AU"/>
              </w:rPr>
              <w:t>67</w:t>
            </w:r>
            <w:r w:rsidRPr="008D1918">
              <w:rPr>
                <w:rFonts w:cs="Cordia New"/>
                <w:sz w:val="20"/>
                <w:szCs w:val="20"/>
                <w:lang w:val="en-AU"/>
              </w:rPr>
              <w:t>%</w:t>
            </w:r>
          </w:p>
        </w:tc>
        <w:tc>
          <w:tcPr>
            <w:tcW w:w="1191" w:type="dxa"/>
            <w:vAlign w:val="center"/>
          </w:tcPr>
          <w:p w:rsidRPr="008D1918" w:rsidR="00601AFC" w:rsidRDefault="00601AFC" w14:paraId="11CD9FAF" w14:textId="77777777">
            <w:pPr>
              <w:spacing w:before="60" w:after="60"/>
              <w:jc w:val="center"/>
              <w:rPr>
                <w:rFonts w:cs="Calibri"/>
                <w:sz w:val="20"/>
                <w:szCs w:val="20"/>
                <w:lang w:val="en-AU"/>
              </w:rPr>
            </w:pPr>
            <w:r w:rsidRPr="008D1918">
              <w:rPr>
                <w:sz w:val="20"/>
                <w:szCs w:val="20"/>
                <w:lang w:val="en-AU"/>
              </w:rPr>
              <w:t>64</w:t>
            </w:r>
            <w:r w:rsidRPr="008D1918">
              <w:rPr>
                <w:rFonts w:cs="Cordia New"/>
                <w:sz w:val="20"/>
                <w:szCs w:val="20"/>
                <w:lang w:val="en-AU"/>
              </w:rPr>
              <w:t>%</w:t>
            </w:r>
          </w:p>
        </w:tc>
      </w:tr>
      <w:tr w:rsidRPr="008D1918" w:rsidR="00A238C6" w:rsidTr="00E53B2C" w14:paraId="261C4856" w14:textId="77777777">
        <w:trPr>
          <w:cnfStyle w:val="000000100000" w:firstRow="0" w:lastRow="0" w:firstColumn="0" w:lastColumn="0" w:oddVBand="0" w:evenVBand="0" w:oddHBand="1" w:evenHBand="0" w:firstRowFirstColumn="0" w:firstRowLastColumn="0" w:lastRowFirstColumn="0" w:lastRowLastColumn="0"/>
          <w:trHeight w:val="397"/>
        </w:trPr>
        <w:tc>
          <w:tcPr>
            <w:tcW w:w="1985" w:type="dxa"/>
            <w:vAlign w:val="center"/>
          </w:tcPr>
          <w:p w:rsidRPr="008D1918" w:rsidR="00601AFC" w:rsidRDefault="00601AFC" w14:paraId="298ED063" w14:textId="77777777">
            <w:pPr>
              <w:spacing w:before="60" w:after="60"/>
              <w:rPr>
                <w:rFonts w:cs="Calibri"/>
                <w:b/>
                <w:bCs/>
                <w:sz w:val="20"/>
                <w:szCs w:val="20"/>
                <w:lang w:val="en-AU" w:eastAsia="en-AU"/>
              </w:rPr>
            </w:pPr>
            <w:r w:rsidRPr="008D1918">
              <w:rPr>
                <w:rFonts w:cs="Cordia New"/>
                <w:b/>
                <w:bCs/>
                <w:sz w:val="20"/>
                <w:szCs w:val="20"/>
                <w:lang w:val="en-AU"/>
              </w:rPr>
              <w:t>All Providers</w:t>
            </w:r>
          </w:p>
        </w:tc>
        <w:tc>
          <w:tcPr>
            <w:tcW w:w="1191" w:type="dxa"/>
            <w:vAlign w:val="center"/>
          </w:tcPr>
          <w:p w:rsidRPr="008D1918" w:rsidR="00601AFC" w:rsidRDefault="00601AFC" w14:paraId="66DD32B0" w14:textId="77777777">
            <w:pPr>
              <w:spacing w:before="60" w:after="60"/>
              <w:jc w:val="center"/>
              <w:rPr>
                <w:rFonts w:cs="Cordia New"/>
                <w:b/>
                <w:bCs/>
                <w:sz w:val="20"/>
                <w:szCs w:val="20"/>
                <w:lang w:val="en-AU"/>
              </w:rPr>
            </w:pPr>
            <w:r w:rsidRPr="008D1918">
              <w:rPr>
                <w:b/>
                <w:bCs/>
                <w:sz w:val="20"/>
                <w:szCs w:val="20"/>
                <w:lang w:val="en-AU"/>
              </w:rPr>
              <w:t>75</w:t>
            </w:r>
            <w:r w:rsidRPr="008D1918">
              <w:rPr>
                <w:rFonts w:cs="Cordia New"/>
                <w:b/>
                <w:bCs/>
                <w:sz w:val="20"/>
                <w:szCs w:val="20"/>
                <w:lang w:val="en-AU"/>
              </w:rPr>
              <w:t>%</w:t>
            </w:r>
          </w:p>
        </w:tc>
        <w:tc>
          <w:tcPr>
            <w:tcW w:w="1191" w:type="dxa"/>
            <w:vAlign w:val="center"/>
          </w:tcPr>
          <w:p w:rsidRPr="008D1918" w:rsidR="00601AFC" w:rsidRDefault="00601AFC" w14:paraId="4EEE8A24" w14:textId="77777777">
            <w:pPr>
              <w:spacing w:before="60" w:after="60"/>
              <w:jc w:val="center"/>
              <w:rPr>
                <w:rFonts w:cs="Calibri"/>
                <w:b/>
                <w:bCs/>
                <w:sz w:val="20"/>
                <w:szCs w:val="20"/>
                <w:lang w:val="en-AU"/>
              </w:rPr>
            </w:pPr>
            <w:r w:rsidRPr="008D1918">
              <w:rPr>
                <w:b/>
                <w:bCs/>
                <w:sz w:val="20"/>
                <w:szCs w:val="20"/>
                <w:lang w:val="en-AU"/>
              </w:rPr>
              <w:t>73</w:t>
            </w:r>
            <w:r w:rsidRPr="008D1918">
              <w:rPr>
                <w:rFonts w:cs="Cordia New"/>
                <w:b/>
                <w:bCs/>
                <w:sz w:val="20"/>
                <w:szCs w:val="20"/>
                <w:lang w:val="en-AU"/>
              </w:rPr>
              <w:t>%</w:t>
            </w:r>
          </w:p>
        </w:tc>
        <w:tc>
          <w:tcPr>
            <w:tcW w:w="1191" w:type="dxa"/>
            <w:vAlign w:val="center"/>
          </w:tcPr>
          <w:p w:rsidRPr="008D1918" w:rsidR="00601AFC" w:rsidRDefault="00601AFC" w14:paraId="303658C0" w14:textId="77777777">
            <w:pPr>
              <w:spacing w:before="60" w:after="60"/>
              <w:jc w:val="center"/>
              <w:rPr>
                <w:rFonts w:cs="Calibri"/>
                <w:b/>
                <w:bCs/>
                <w:sz w:val="20"/>
                <w:szCs w:val="20"/>
                <w:lang w:val="en-AU"/>
              </w:rPr>
            </w:pPr>
            <w:r w:rsidRPr="008D1918">
              <w:rPr>
                <w:b/>
                <w:bCs/>
                <w:sz w:val="20"/>
                <w:szCs w:val="20"/>
                <w:lang w:val="en-AU"/>
              </w:rPr>
              <w:t>70</w:t>
            </w:r>
            <w:r w:rsidRPr="008D1918">
              <w:rPr>
                <w:rFonts w:cs="Cordia New"/>
                <w:b/>
                <w:bCs/>
                <w:sz w:val="20"/>
                <w:szCs w:val="20"/>
                <w:lang w:val="en-AU"/>
              </w:rPr>
              <w:t>%</w:t>
            </w:r>
          </w:p>
        </w:tc>
        <w:tc>
          <w:tcPr>
            <w:tcW w:w="1191" w:type="dxa"/>
            <w:vAlign w:val="center"/>
          </w:tcPr>
          <w:p w:rsidRPr="008D1918" w:rsidR="00601AFC" w:rsidRDefault="00601AFC" w14:paraId="2FF79724" w14:textId="77777777">
            <w:pPr>
              <w:spacing w:before="60" w:after="60"/>
              <w:jc w:val="center"/>
              <w:rPr>
                <w:rFonts w:cs="Calibri"/>
                <w:b/>
                <w:bCs/>
                <w:sz w:val="20"/>
                <w:szCs w:val="20"/>
                <w:lang w:val="en-AU"/>
              </w:rPr>
            </w:pPr>
            <w:r w:rsidRPr="008D1918">
              <w:rPr>
                <w:b/>
                <w:bCs/>
                <w:sz w:val="20"/>
                <w:szCs w:val="20"/>
                <w:lang w:val="en-AU"/>
              </w:rPr>
              <w:t>70</w:t>
            </w:r>
            <w:r w:rsidRPr="008D1918">
              <w:rPr>
                <w:rFonts w:cs="Cordia New"/>
                <w:b/>
                <w:bCs/>
                <w:sz w:val="20"/>
                <w:szCs w:val="20"/>
                <w:lang w:val="en-AU"/>
              </w:rPr>
              <w:t>%</w:t>
            </w:r>
          </w:p>
        </w:tc>
        <w:tc>
          <w:tcPr>
            <w:tcW w:w="1191" w:type="dxa"/>
            <w:vAlign w:val="center"/>
          </w:tcPr>
          <w:p w:rsidRPr="008D1918" w:rsidR="00601AFC" w:rsidRDefault="00601AFC" w14:paraId="486E0E4E" w14:textId="77777777">
            <w:pPr>
              <w:spacing w:before="60" w:after="60"/>
              <w:jc w:val="center"/>
              <w:rPr>
                <w:rFonts w:cs="Calibri"/>
                <w:b/>
                <w:bCs/>
                <w:sz w:val="20"/>
                <w:szCs w:val="20"/>
                <w:lang w:val="en-AU"/>
              </w:rPr>
            </w:pPr>
            <w:r w:rsidRPr="008D1918">
              <w:rPr>
                <w:b/>
                <w:bCs/>
                <w:sz w:val="20"/>
                <w:szCs w:val="20"/>
                <w:lang w:val="en-AU"/>
              </w:rPr>
              <w:t>74</w:t>
            </w:r>
            <w:r w:rsidRPr="008D1918">
              <w:rPr>
                <w:rFonts w:cs="Cordia New"/>
                <w:b/>
                <w:bCs/>
                <w:sz w:val="20"/>
                <w:szCs w:val="20"/>
                <w:lang w:val="en-AU"/>
              </w:rPr>
              <w:t>%</w:t>
            </w:r>
          </w:p>
        </w:tc>
        <w:tc>
          <w:tcPr>
            <w:tcW w:w="1191" w:type="dxa"/>
            <w:vAlign w:val="center"/>
          </w:tcPr>
          <w:p w:rsidRPr="008D1918" w:rsidR="00601AFC" w:rsidRDefault="00601AFC" w14:paraId="41279217" w14:textId="77777777">
            <w:pPr>
              <w:spacing w:before="60" w:after="60"/>
              <w:jc w:val="center"/>
              <w:rPr>
                <w:rFonts w:cs="Calibri"/>
                <w:b/>
                <w:bCs/>
                <w:sz w:val="20"/>
                <w:szCs w:val="20"/>
                <w:lang w:val="en-AU"/>
              </w:rPr>
            </w:pPr>
            <w:r w:rsidRPr="008D1918">
              <w:rPr>
                <w:b/>
                <w:bCs/>
                <w:sz w:val="20"/>
                <w:szCs w:val="20"/>
                <w:lang w:val="en-AU"/>
              </w:rPr>
              <w:t>73</w:t>
            </w:r>
            <w:r w:rsidRPr="008D1918">
              <w:rPr>
                <w:rFonts w:cs="Cordia New"/>
                <w:b/>
                <w:bCs/>
                <w:sz w:val="20"/>
                <w:szCs w:val="20"/>
                <w:lang w:val="en-AU"/>
              </w:rPr>
              <w:t>%</w:t>
            </w:r>
          </w:p>
        </w:tc>
      </w:tr>
    </w:tbl>
    <w:p w:rsidRPr="008D1918" w:rsidR="00601AFC" w:rsidRDefault="00601AFC" w14:paraId="260FC5C3"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96786A" w:rsidR="00601AFC" w:rsidP="00933118" w:rsidRDefault="00601AFC" w14:paraId="46229E5C" w14:textId="77777777">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 xml:space="preserve">Note: All providers above are inclusive of providers with the unknown registration status at the time of </w:t>
      </w:r>
      <w:r w:rsidRPr="0096786A">
        <w:rPr>
          <w:rFonts w:cs="Calibri" w:eastAsiaTheme="minorEastAsia"/>
          <w:sz w:val="20"/>
          <w:szCs w:val="20"/>
          <w:lang w:val="en-AU"/>
        </w:rPr>
        <w:t>the transaction.</w:t>
      </w:r>
    </w:p>
    <w:p w:rsidR="003314CB" w:rsidRDefault="004616D8" w14:paraId="698D97FE" w14:textId="796353A5">
      <w:pPr>
        <w:spacing w:after="0" w:line="240" w:lineRule="auto"/>
        <w:rPr>
          <w:lang w:val="en-AU"/>
        </w:rPr>
      </w:pPr>
      <w:bookmarkStart w:name="_Ref223696983" w:id="2067"/>
      <w:r w:rsidRPr="0096786A">
        <w:rPr>
          <w:lang w:val="en-AU"/>
        </w:rPr>
        <w:t>Among unregistered providers supporting one participant, 25% claim at less than 80% of the current maximum price, 16% between 80–90% of the maximum price, and 26% at the maximum price. Under the proposed recommended 10% reduction, the new unregistered maximum price would sit at approximately 80% of the current level. This means 25% of this group would</w:t>
      </w:r>
      <w:r w:rsidRPr="008D1918">
        <w:rPr>
          <w:lang w:val="en-AU"/>
        </w:rPr>
        <w:t xml:space="preserve"> be already operating within or below the proposed rate, and a further 16% would be within 10% of it. The rest of the market, comprising registered providers and unregistered providers supporting more than one participant, shows a different distribution: 18% below 80%, 25% between 95–99%, and 29% at the </w:t>
      </w:r>
      <w:r w:rsidR="00EB3A53">
        <w:rPr>
          <w:lang w:val="en-AU"/>
        </w:rPr>
        <w:t>price</w:t>
      </w:r>
      <w:r w:rsidRPr="008D1918">
        <w:rPr>
          <w:lang w:val="en-AU"/>
        </w:rPr>
        <w:t xml:space="preserve"> (</w:t>
      </w:r>
      <w:r w:rsidRPr="008D1918">
        <w:rPr>
          <w:lang w:val="en-AU"/>
        </w:rPr>
        <w:fldChar w:fldCharType="begin"/>
      </w:r>
      <w:r w:rsidRPr="008D1918">
        <w:rPr>
          <w:lang w:val="en-AU"/>
        </w:rPr>
        <w:instrText xml:space="preserve"> REF _Ref228182643 \h </w:instrText>
      </w:r>
      <w:r w:rsidR="008D1918">
        <w:rPr>
          <w:lang w:val="en-AU"/>
        </w:rPr>
        <w:instrText xml:space="preserve"> \* MERGEFORMAT </w:instrText>
      </w:r>
      <w:r w:rsidRPr="008D1918">
        <w:rPr>
          <w:lang w:val="en-AU"/>
        </w:rPr>
      </w:r>
      <w:r w:rsidRPr="008D1918">
        <w:rPr>
          <w:lang w:val="en-AU"/>
        </w:rPr>
        <w:fldChar w:fldCharType="separate"/>
      </w:r>
      <w:r w:rsidRPr="008D1918" w:rsidR="008F56A2">
        <w:t xml:space="preserve">Table </w:t>
      </w:r>
      <w:r w:rsidR="008F56A2">
        <w:rPr>
          <w:noProof/>
        </w:rPr>
        <w:t>49</w:t>
      </w:r>
      <w:r w:rsidRPr="008D1918">
        <w:rPr>
          <w:lang w:val="en-AU"/>
        </w:rPr>
        <w:fldChar w:fldCharType="end"/>
      </w:r>
      <w:r w:rsidRPr="008D1918">
        <w:rPr>
          <w:lang w:val="en-AU"/>
        </w:rPr>
        <w:t>).</w:t>
      </w:r>
      <w:r w:rsidR="003314CB">
        <w:rPr>
          <w:lang w:val="en-AU"/>
        </w:rPr>
        <w:br w:type="page"/>
      </w:r>
    </w:p>
    <w:p w:rsidRPr="008D1918" w:rsidR="00601AFC" w:rsidP="00BB3A21" w:rsidRDefault="00BB3A21" w14:paraId="189B368E" w14:textId="6786A917">
      <w:pPr>
        <w:pStyle w:val="Caption"/>
      </w:pPr>
      <w:bookmarkStart w:name="_Ref228182643" w:id="2068"/>
      <w:r w:rsidRPr="008D1918">
        <w:t xml:space="preserve">Table </w:t>
      </w:r>
      <w:r>
        <w:fldChar w:fldCharType="begin"/>
      </w:r>
      <w:r>
        <w:instrText>SEQ Table \* ARABIC</w:instrText>
      </w:r>
      <w:r>
        <w:fldChar w:fldCharType="separate"/>
      </w:r>
      <w:r w:rsidR="008F56A2">
        <w:rPr>
          <w:noProof/>
        </w:rPr>
        <w:t>49</w:t>
      </w:r>
      <w:r>
        <w:fldChar w:fldCharType="end"/>
      </w:r>
      <w:bookmarkEnd w:id="2067"/>
      <w:bookmarkEnd w:id="2068"/>
      <w:r w:rsidRPr="008D1918" w:rsidR="00601AFC">
        <w:t>: Distribution of S</w:t>
      </w:r>
      <w:r w:rsidRPr="008D1918" w:rsidR="00476700">
        <w:t>C</w:t>
      </w:r>
      <w:r w:rsidRPr="008D1918" w:rsidR="00601AFC">
        <w:t xml:space="preserve">CP provider claims relative to the </w:t>
      </w:r>
      <w:r w:rsidRPr="008D1918" w:rsidR="00C675FD">
        <w:t>published price</w:t>
      </w:r>
      <w:r w:rsidRPr="008D1918" w:rsidR="00601AFC">
        <w:t>, by</w:t>
      </w:r>
      <w:r w:rsidR="0026630C">
        <w:t> </w:t>
      </w:r>
      <w:r w:rsidRPr="008D1918" w:rsidR="00601AFC">
        <w:t xml:space="preserve">provider type and participant count, </w:t>
      </w:r>
      <w:r w:rsidRPr="008D1918" w:rsidR="00E53B2C">
        <w:t>July</w:t>
      </w:r>
      <w:r w:rsidRPr="008D1918" w:rsidR="00601AFC">
        <w:t xml:space="preserve"> to December 2025</w:t>
      </w:r>
    </w:p>
    <w:tbl>
      <w:tblPr>
        <w:tblStyle w:val="GridTable4-Accent121"/>
        <w:tblW w:w="0" w:type="auto"/>
        <w:tblInd w:w="-5" w:type="dxa"/>
        <w:tblLayout w:type="fixed"/>
        <w:tblLook w:val="0420" w:firstRow="1" w:lastRow="0" w:firstColumn="0" w:lastColumn="0" w:noHBand="0" w:noVBand="1"/>
      </w:tblPr>
      <w:tblGrid>
        <w:gridCol w:w="2722"/>
        <w:gridCol w:w="1985"/>
        <w:gridCol w:w="2381"/>
        <w:gridCol w:w="1985"/>
      </w:tblGrid>
      <w:tr w:rsidRPr="008D1918" w:rsidR="00A238C6" w:rsidTr="000F5D0B" w14:paraId="3448E7D8" w14:textId="77777777">
        <w:trPr>
          <w:cnfStyle w:val="100000000000" w:firstRow="1" w:lastRow="0" w:firstColumn="0" w:lastColumn="0" w:oddVBand="0" w:evenVBand="0" w:oddHBand="0" w:evenHBand="0" w:firstRowFirstColumn="0" w:firstRowLastColumn="0" w:lastRowFirstColumn="0" w:lastRowLastColumn="0"/>
          <w:trHeight w:val="567"/>
        </w:trPr>
        <w:tc>
          <w:tcPr>
            <w:tcW w:w="2722" w:type="dxa"/>
            <w:vAlign w:val="center"/>
            <w:hideMark/>
          </w:tcPr>
          <w:p w:rsidRPr="008D1918" w:rsidR="00601AFC" w:rsidP="000F5D0B" w:rsidRDefault="00601AFC" w14:paraId="38D71946" w14:textId="2FD04B98">
            <w:pPr>
              <w:spacing w:before="60" w:after="60"/>
              <w:rPr>
                <w:rFonts w:cs="Arial"/>
                <w:sz w:val="20"/>
                <w:szCs w:val="20"/>
                <w:lang w:val="en-AU" w:eastAsia="en-AU"/>
              </w:rPr>
            </w:pPr>
            <w:r w:rsidRPr="008D1918">
              <w:rPr>
                <w:sz w:val="20"/>
                <w:szCs w:val="20"/>
                <w:lang w:val="en-AU"/>
              </w:rPr>
              <w:t>P</w:t>
            </w:r>
            <w:r w:rsidRPr="008D1918" w:rsidR="00C675FD">
              <w:rPr>
                <w:sz w:val="20"/>
                <w:szCs w:val="20"/>
                <w:lang w:val="en-AU"/>
              </w:rPr>
              <w:t>ublished p</w:t>
            </w:r>
            <w:r w:rsidRPr="008D1918">
              <w:rPr>
                <w:sz w:val="20"/>
                <w:szCs w:val="20"/>
                <w:lang w:val="en-AU"/>
              </w:rPr>
              <w:t xml:space="preserve">rice </w:t>
            </w:r>
          </w:p>
        </w:tc>
        <w:tc>
          <w:tcPr>
            <w:tcW w:w="1985" w:type="dxa"/>
          </w:tcPr>
          <w:p w:rsidRPr="008D1918" w:rsidR="00601AFC" w:rsidP="000F5D0B" w:rsidRDefault="00601AFC" w14:paraId="2EF15724" w14:textId="1E2C6C31">
            <w:pPr>
              <w:spacing w:before="60" w:after="60"/>
              <w:jc w:val="right"/>
              <w:rPr>
                <w:rFonts w:cs="Arial"/>
                <w:sz w:val="20"/>
                <w:szCs w:val="20"/>
                <w:lang w:val="en-AU" w:eastAsia="en-AU"/>
              </w:rPr>
            </w:pPr>
            <w:r w:rsidRPr="008D1918">
              <w:rPr>
                <w:sz w:val="20"/>
                <w:szCs w:val="20"/>
                <w:lang w:val="en-AU"/>
              </w:rPr>
              <w:t>Unregistered providers with only one participant</w:t>
            </w:r>
          </w:p>
        </w:tc>
        <w:tc>
          <w:tcPr>
            <w:tcW w:w="2381" w:type="dxa"/>
          </w:tcPr>
          <w:p w:rsidRPr="008D1918" w:rsidR="00601AFC" w:rsidP="000F5D0B" w:rsidRDefault="00601AFC" w14:paraId="7BA8C934" w14:textId="740BB829">
            <w:pPr>
              <w:spacing w:before="60" w:after="60"/>
              <w:jc w:val="right"/>
              <w:rPr>
                <w:rFonts w:cs="Arial"/>
                <w:sz w:val="20"/>
                <w:szCs w:val="20"/>
                <w:lang w:val="en-AU" w:eastAsia="en-AU"/>
              </w:rPr>
            </w:pPr>
            <w:r w:rsidRPr="008D1918">
              <w:rPr>
                <w:sz w:val="20"/>
                <w:szCs w:val="20"/>
                <w:lang w:val="en-AU"/>
              </w:rPr>
              <w:t xml:space="preserve">Registered providers and </w:t>
            </w:r>
            <w:r w:rsidRPr="008D1918" w:rsidR="0042452A">
              <w:rPr>
                <w:sz w:val="20"/>
                <w:szCs w:val="20"/>
                <w:lang w:val="en-AU"/>
              </w:rPr>
              <w:t>u</w:t>
            </w:r>
            <w:r w:rsidRPr="008D1918">
              <w:rPr>
                <w:sz w:val="20"/>
                <w:szCs w:val="20"/>
                <w:lang w:val="en-AU"/>
              </w:rPr>
              <w:t>nregistered providers with more than one participant</w:t>
            </w:r>
          </w:p>
        </w:tc>
        <w:tc>
          <w:tcPr>
            <w:tcW w:w="1985" w:type="dxa"/>
            <w:hideMark/>
          </w:tcPr>
          <w:p w:rsidRPr="008D1918" w:rsidR="00601AFC" w:rsidP="000F5D0B" w:rsidRDefault="00601AFC" w14:paraId="153BDAE3" w14:textId="35A210AA">
            <w:pPr>
              <w:spacing w:before="60" w:after="60"/>
              <w:jc w:val="right"/>
              <w:rPr>
                <w:rFonts w:cs="Arial"/>
                <w:sz w:val="20"/>
                <w:szCs w:val="20"/>
                <w:lang w:val="en-AU" w:eastAsia="en-AU"/>
              </w:rPr>
            </w:pPr>
            <w:r w:rsidRPr="008D1918">
              <w:rPr>
                <w:sz w:val="20"/>
                <w:szCs w:val="20"/>
                <w:lang w:val="en-AU"/>
              </w:rPr>
              <w:t>All providers who provided S</w:t>
            </w:r>
            <w:r w:rsidRPr="008D1918" w:rsidR="00476700">
              <w:rPr>
                <w:sz w:val="20"/>
                <w:szCs w:val="20"/>
                <w:lang w:val="en-AU"/>
              </w:rPr>
              <w:t>C</w:t>
            </w:r>
            <w:r w:rsidRPr="008D1918">
              <w:rPr>
                <w:sz w:val="20"/>
                <w:szCs w:val="20"/>
                <w:lang w:val="en-AU"/>
              </w:rPr>
              <w:t>CP supports</w:t>
            </w:r>
          </w:p>
        </w:tc>
      </w:tr>
      <w:tr w:rsidRPr="008D1918" w:rsidR="00A41050" w:rsidTr="000F5D0B" w14:paraId="068E9DA2" w14:textId="77777777">
        <w:trPr>
          <w:cnfStyle w:val="000000100000" w:firstRow="0" w:lastRow="0" w:firstColumn="0" w:lastColumn="0" w:oddVBand="0" w:evenVBand="0" w:oddHBand="1" w:evenHBand="0" w:firstRowFirstColumn="0" w:firstRowLastColumn="0" w:lastRowFirstColumn="0" w:lastRowLastColumn="0"/>
          <w:trHeight w:val="397"/>
        </w:trPr>
        <w:tc>
          <w:tcPr>
            <w:tcW w:w="2722" w:type="dxa"/>
          </w:tcPr>
          <w:p w:rsidRPr="008D1918" w:rsidR="00601AFC" w:rsidRDefault="00601AFC" w14:paraId="6BF317D7" w14:textId="06802042">
            <w:pPr>
              <w:spacing w:before="60" w:after="60"/>
              <w:rPr>
                <w:rFonts w:cs="Arial"/>
                <w:sz w:val="20"/>
                <w:szCs w:val="20"/>
                <w:lang w:val="en-AU" w:eastAsia="en-AU"/>
              </w:rPr>
            </w:pPr>
            <w:r w:rsidRPr="008D1918">
              <w:rPr>
                <w:sz w:val="20"/>
                <w:szCs w:val="20"/>
                <w:lang w:val="en-AU"/>
              </w:rPr>
              <w:t xml:space="preserve">Less than 50% of </w:t>
            </w:r>
            <w:r w:rsidRPr="008D1918" w:rsidR="00C675FD">
              <w:rPr>
                <w:sz w:val="20"/>
                <w:szCs w:val="20"/>
                <w:lang w:val="en-AU"/>
              </w:rPr>
              <w:t xml:space="preserve">published </w:t>
            </w:r>
            <w:r w:rsidRPr="008D1918">
              <w:rPr>
                <w:sz w:val="20"/>
                <w:szCs w:val="20"/>
                <w:lang w:val="en-AU"/>
              </w:rPr>
              <w:t>price</w:t>
            </w:r>
          </w:p>
        </w:tc>
        <w:tc>
          <w:tcPr>
            <w:tcW w:w="1985" w:type="dxa"/>
          </w:tcPr>
          <w:p w:rsidRPr="008D1918" w:rsidR="00601AFC" w:rsidP="0042452A" w:rsidRDefault="00601AFC" w14:paraId="67E69328" w14:textId="77777777">
            <w:pPr>
              <w:spacing w:before="60" w:after="60"/>
              <w:ind w:right="69"/>
              <w:jc w:val="right"/>
              <w:rPr>
                <w:rFonts w:cs="Arial"/>
                <w:color w:val="000000"/>
                <w:sz w:val="20"/>
                <w:szCs w:val="20"/>
                <w:lang w:val="en-AU" w:eastAsia="en-AU"/>
              </w:rPr>
            </w:pPr>
            <w:r w:rsidRPr="008D1918">
              <w:rPr>
                <w:sz w:val="20"/>
                <w:szCs w:val="20"/>
                <w:lang w:val="en-AU"/>
              </w:rPr>
              <w:t xml:space="preserve"> 2,296 (4%) </w:t>
            </w:r>
          </w:p>
        </w:tc>
        <w:tc>
          <w:tcPr>
            <w:tcW w:w="2381" w:type="dxa"/>
          </w:tcPr>
          <w:p w:rsidRPr="008D1918" w:rsidR="00601AFC" w:rsidP="0042452A" w:rsidRDefault="00601AFC" w14:paraId="13A84FB5" w14:textId="77777777">
            <w:pPr>
              <w:spacing w:before="60" w:after="60"/>
              <w:ind w:right="69"/>
              <w:jc w:val="right"/>
              <w:rPr>
                <w:rFonts w:cs="Arial"/>
                <w:color w:val="000000"/>
                <w:sz w:val="20"/>
                <w:szCs w:val="20"/>
                <w:lang w:val="en-AU" w:eastAsia="en-AU"/>
              </w:rPr>
            </w:pPr>
            <w:r w:rsidRPr="008D1918">
              <w:rPr>
                <w:sz w:val="20"/>
                <w:szCs w:val="20"/>
                <w:lang w:val="en-AU"/>
              </w:rPr>
              <w:t>2,232 (5%)</w:t>
            </w:r>
          </w:p>
        </w:tc>
        <w:tc>
          <w:tcPr>
            <w:tcW w:w="1985" w:type="dxa"/>
          </w:tcPr>
          <w:p w:rsidRPr="008D1918" w:rsidR="00601AFC" w:rsidP="0042452A" w:rsidRDefault="00601AFC" w14:paraId="3B0694FE" w14:textId="77777777">
            <w:pPr>
              <w:spacing w:before="60" w:after="60"/>
              <w:ind w:right="69"/>
              <w:jc w:val="right"/>
              <w:rPr>
                <w:rFonts w:cs="Arial"/>
                <w:color w:val="000000"/>
                <w:sz w:val="20"/>
                <w:szCs w:val="20"/>
                <w:lang w:val="en-AU" w:eastAsia="en-AU"/>
              </w:rPr>
            </w:pPr>
            <w:r w:rsidRPr="008D1918">
              <w:rPr>
                <w:sz w:val="20"/>
                <w:szCs w:val="20"/>
                <w:lang w:val="en-AU"/>
              </w:rPr>
              <w:t xml:space="preserve"> 4,516 (5%) </w:t>
            </w:r>
          </w:p>
        </w:tc>
      </w:tr>
      <w:tr w:rsidRPr="008D1918" w:rsidR="00601AFC" w:rsidTr="000F5D0B" w14:paraId="3424F283" w14:textId="77777777">
        <w:trPr>
          <w:trHeight w:val="397"/>
        </w:trPr>
        <w:tc>
          <w:tcPr>
            <w:tcW w:w="2722" w:type="dxa"/>
          </w:tcPr>
          <w:p w:rsidRPr="008D1918" w:rsidR="00601AFC" w:rsidRDefault="00601AFC" w14:paraId="2841FCA9" w14:textId="7C622671">
            <w:pPr>
              <w:spacing w:before="60" w:after="60"/>
              <w:rPr>
                <w:rFonts w:cs="Arial"/>
                <w:sz w:val="20"/>
                <w:szCs w:val="20"/>
                <w:lang w:val="en-AU" w:eastAsia="en-AU"/>
              </w:rPr>
            </w:pPr>
            <w:r w:rsidRPr="008D1918">
              <w:rPr>
                <w:sz w:val="20"/>
                <w:szCs w:val="20"/>
                <w:lang w:val="en-AU"/>
              </w:rPr>
              <w:t>50</w:t>
            </w:r>
            <w:r w:rsidRPr="008D1918" w:rsidR="0066721E">
              <w:rPr>
                <w:sz w:val="20"/>
                <w:szCs w:val="20"/>
                <w:lang w:val="en-AU"/>
              </w:rPr>
              <w:t>%</w:t>
            </w:r>
            <w:r w:rsidRPr="008D1918">
              <w:rPr>
                <w:rFonts w:cs="Arial"/>
                <w:sz w:val="20"/>
                <w:szCs w:val="20"/>
                <w:lang w:val="en-AU"/>
              </w:rPr>
              <w:t>–</w:t>
            </w:r>
            <w:r w:rsidRPr="008D1918">
              <w:rPr>
                <w:sz w:val="20"/>
                <w:szCs w:val="20"/>
                <w:lang w:val="en-AU"/>
              </w:rPr>
              <w:t xml:space="preserve">70% of </w:t>
            </w:r>
            <w:r w:rsidRPr="008D1918" w:rsidR="00C675FD">
              <w:rPr>
                <w:sz w:val="20"/>
                <w:szCs w:val="20"/>
                <w:lang w:val="en-AU"/>
              </w:rPr>
              <w:t>published price</w:t>
            </w:r>
          </w:p>
        </w:tc>
        <w:tc>
          <w:tcPr>
            <w:tcW w:w="1985" w:type="dxa"/>
          </w:tcPr>
          <w:p w:rsidRPr="008D1918" w:rsidR="00601AFC" w:rsidP="0042452A" w:rsidRDefault="00601AFC" w14:paraId="0686AAB4" w14:textId="77777777">
            <w:pPr>
              <w:spacing w:before="60" w:after="60"/>
              <w:ind w:right="69"/>
              <w:jc w:val="right"/>
              <w:rPr>
                <w:rFonts w:cs="Arial"/>
                <w:color w:val="000000"/>
                <w:sz w:val="20"/>
                <w:szCs w:val="20"/>
                <w:lang w:val="en-AU" w:eastAsia="en-AU"/>
              </w:rPr>
            </w:pPr>
            <w:r w:rsidRPr="008D1918">
              <w:rPr>
                <w:sz w:val="20"/>
                <w:szCs w:val="20"/>
                <w:lang w:val="en-AU"/>
              </w:rPr>
              <w:t xml:space="preserve"> 4,598 (9%) </w:t>
            </w:r>
          </w:p>
        </w:tc>
        <w:tc>
          <w:tcPr>
            <w:tcW w:w="2381" w:type="dxa"/>
          </w:tcPr>
          <w:p w:rsidRPr="008D1918" w:rsidR="00601AFC" w:rsidP="0042452A" w:rsidRDefault="00601AFC" w14:paraId="774F5D8E" w14:textId="77777777">
            <w:pPr>
              <w:spacing w:before="60" w:after="60"/>
              <w:ind w:right="69"/>
              <w:jc w:val="right"/>
              <w:rPr>
                <w:rFonts w:cs="Arial"/>
                <w:color w:val="000000"/>
                <w:sz w:val="20"/>
                <w:szCs w:val="20"/>
                <w:lang w:val="en-AU" w:eastAsia="en-AU"/>
              </w:rPr>
            </w:pPr>
            <w:r w:rsidRPr="008D1918">
              <w:rPr>
                <w:sz w:val="20"/>
                <w:szCs w:val="20"/>
                <w:lang w:val="en-AU"/>
              </w:rPr>
              <w:t>2,863 (6%)</w:t>
            </w:r>
          </w:p>
        </w:tc>
        <w:tc>
          <w:tcPr>
            <w:tcW w:w="1985" w:type="dxa"/>
          </w:tcPr>
          <w:p w:rsidRPr="008D1918" w:rsidR="00601AFC" w:rsidP="0042452A" w:rsidRDefault="00601AFC" w14:paraId="3AC50A32" w14:textId="77777777">
            <w:pPr>
              <w:spacing w:before="60" w:after="60"/>
              <w:ind w:right="69"/>
              <w:jc w:val="right"/>
              <w:rPr>
                <w:rFonts w:cs="Arial"/>
                <w:color w:val="000000"/>
                <w:sz w:val="20"/>
                <w:szCs w:val="20"/>
                <w:lang w:val="en-AU" w:eastAsia="en-AU"/>
              </w:rPr>
            </w:pPr>
            <w:r w:rsidRPr="008D1918">
              <w:rPr>
                <w:sz w:val="20"/>
                <w:szCs w:val="20"/>
                <w:lang w:val="en-AU"/>
              </w:rPr>
              <w:t xml:space="preserve"> 7,433 (7%) </w:t>
            </w:r>
          </w:p>
        </w:tc>
      </w:tr>
      <w:tr w:rsidRPr="008D1918" w:rsidR="00A41050" w:rsidTr="000F5D0B" w14:paraId="30EC014A" w14:textId="77777777">
        <w:trPr>
          <w:cnfStyle w:val="000000100000" w:firstRow="0" w:lastRow="0" w:firstColumn="0" w:lastColumn="0" w:oddVBand="0" w:evenVBand="0" w:oddHBand="1" w:evenHBand="0" w:firstRowFirstColumn="0" w:firstRowLastColumn="0" w:lastRowFirstColumn="0" w:lastRowLastColumn="0"/>
          <w:trHeight w:val="397"/>
        </w:trPr>
        <w:tc>
          <w:tcPr>
            <w:tcW w:w="2722" w:type="dxa"/>
          </w:tcPr>
          <w:p w:rsidRPr="008D1918" w:rsidR="00601AFC" w:rsidRDefault="00601AFC" w14:paraId="087856F9" w14:textId="5C69AC2B">
            <w:pPr>
              <w:spacing w:before="60" w:after="60"/>
              <w:rPr>
                <w:rFonts w:cs="Arial"/>
                <w:sz w:val="20"/>
                <w:szCs w:val="20"/>
                <w:lang w:val="en-AU" w:eastAsia="en-AU"/>
              </w:rPr>
            </w:pPr>
            <w:r w:rsidRPr="008D1918">
              <w:rPr>
                <w:sz w:val="20"/>
                <w:szCs w:val="20"/>
                <w:lang w:val="en-AU"/>
              </w:rPr>
              <w:t>70</w:t>
            </w:r>
            <w:r w:rsidRPr="008D1918" w:rsidR="0066721E">
              <w:rPr>
                <w:sz w:val="20"/>
                <w:szCs w:val="20"/>
                <w:lang w:val="en-AU"/>
              </w:rPr>
              <w:t>%</w:t>
            </w:r>
            <w:r w:rsidRPr="008D1918">
              <w:rPr>
                <w:rFonts w:cs="Arial"/>
                <w:sz w:val="20"/>
                <w:szCs w:val="20"/>
                <w:lang w:val="en-AU"/>
              </w:rPr>
              <w:t>–</w:t>
            </w:r>
            <w:r w:rsidRPr="008D1918">
              <w:rPr>
                <w:sz w:val="20"/>
                <w:szCs w:val="20"/>
                <w:lang w:val="en-AU"/>
              </w:rPr>
              <w:t xml:space="preserve">80% of </w:t>
            </w:r>
            <w:r w:rsidRPr="008D1918" w:rsidR="00C675FD">
              <w:rPr>
                <w:sz w:val="20"/>
                <w:szCs w:val="20"/>
                <w:lang w:val="en-AU"/>
              </w:rPr>
              <w:t>published price</w:t>
            </w:r>
          </w:p>
        </w:tc>
        <w:tc>
          <w:tcPr>
            <w:tcW w:w="1985" w:type="dxa"/>
          </w:tcPr>
          <w:p w:rsidRPr="008D1918" w:rsidR="00601AFC" w:rsidP="0042452A" w:rsidRDefault="00601AFC" w14:paraId="0BAD3799" w14:textId="77777777">
            <w:pPr>
              <w:spacing w:before="60" w:after="60"/>
              <w:ind w:right="69"/>
              <w:jc w:val="right"/>
              <w:rPr>
                <w:rFonts w:cs="Arial"/>
                <w:color w:val="000000"/>
                <w:sz w:val="20"/>
                <w:szCs w:val="20"/>
                <w:lang w:val="en-AU" w:eastAsia="en-AU"/>
              </w:rPr>
            </w:pPr>
            <w:r w:rsidRPr="008D1918">
              <w:rPr>
                <w:sz w:val="20"/>
                <w:szCs w:val="20"/>
                <w:lang w:val="en-AU"/>
              </w:rPr>
              <w:t xml:space="preserve"> 6,603 (12%) </w:t>
            </w:r>
          </w:p>
        </w:tc>
        <w:tc>
          <w:tcPr>
            <w:tcW w:w="2381" w:type="dxa"/>
          </w:tcPr>
          <w:p w:rsidRPr="008D1918" w:rsidR="00601AFC" w:rsidP="0042452A" w:rsidRDefault="00601AFC" w14:paraId="0F3A9159" w14:textId="77777777">
            <w:pPr>
              <w:spacing w:before="60" w:after="60"/>
              <w:ind w:right="69"/>
              <w:jc w:val="right"/>
              <w:rPr>
                <w:rFonts w:cs="Arial"/>
                <w:color w:val="000000"/>
                <w:sz w:val="20"/>
                <w:szCs w:val="20"/>
                <w:lang w:val="en-AU" w:eastAsia="en-AU"/>
              </w:rPr>
            </w:pPr>
            <w:r w:rsidRPr="008D1918">
              <w:rPr>
                <w:sz w:val="20"/>
                <w:szCs w:val="20"/>
                <w:lang w:val="en-AU"/>
              </w:rPr>
              <w:t>3,288 (7%)</w:t>
            </w:r>
          </w:p>
        </w:tc>
        <w:tc>
          <w:tcPr>
            <w:tcW w:w="1985" w:type="dxa"/>
          </w:tcPr>
          <w:p w:rsidRPr="008D1918" w:rsidR="00601AFC" w:rsidP="0042452A" w:rsidRDefault="00601AFC" w14:paraId="54E6AF9D" w14:textId="77777777">
            <w:pPr>
              <w:spacing w:before="60" w:after="60"/>
              <w:ind w:right="69"/>
              <w:jc w:val="right"/>
              <w:rPr>
                <w:rFonts w:cs="Arial"/>
                <w:color w:val="000000"/>
                <w:sz w:val="20"/>
                <w:szCs w:val="20"/>
                <w:lang w:val="en-AU" w:eastAsia="en-AU"/>
              </w:rPr>
            </w:pPr>
            <w:r w:rsidRPr="008D1918">
              <w:rPr>
                <w:sz w:val="20"/>
                <w:szCs w:val="20"/>
                <w:lang w:val="en-AU"/>
              </w:rPr>
              <w:t xml:space="preserve"> 9,880 (10%) </w:t>
            </w:r>
          </w:p>
        </w:tc>
      </w:tr>
      <w:tr w:rsidRPr="008D1918" w:rsidR="00601AFC" w:rsidTr="000F5D0B" w14:paraId="30A603C9" w14:textId="77777777">
        <w:trPr>
          <w:trHeight w:val="397"/>
        </w:trPr>
        <w:tc>
          <w:tcPr>
            <w:tcW w:w="2722" w:type="dxa"/>
          </w:tcPr>
          <w:p w:rsidRPr="008D1918" w:rsidR="00601AFC" w:rsidRDefault="00601AFC" w14:paraId="68FA32E5" w14:textId="5CFED5D8">
            <w:pPr>
              <w:spacing w:before="60" w:after="60"/>
              <w:rPr>
                <w:rFonts w:cs="Arial"/>
                <w:sz w:val="20"/>
                <w:szCs w:val="20"/>
                <w:lang w:val="en-AU" w:eastAsia="en-AU"/>
              </w:rPr>
            </w:pPr>
            <w:r w:rsidRPr="008D1918">
              <w:rPr>
                <w:sz w:val="20"/>
                <w:szCs w:val="20"/>
                <w:lang w:val="en-AU"/>
              </w:rPr>
              <w:t>80</w:t>
            </w:r>
            <w:r w:rsidRPr="008D1918" w:rsidR="0066721E">
              <w:rPr>
                <w:sz w:val="20"/>
                <w:szCs w:val="20"/>
                <w:lang w:val="en-AU"/>
              </w:rPr>
              <w:t>%</w:t>
            </w:r>
            <w:r w:rsidRPr="008D1918">
              <w:rPr>
                <w:rFonts w:cs="Arial"/>
                <w:sz w:val="20"/>
                <w:szCs w:val="20"/>
                <w:lang w:val="en-AU"/>
              </w:rPr>
              <w:t>–</w:t>
            </w:r>
            <w:r w:rsidRPr="008D1918">
              <w:rPr>
                <w:sz w:val="20"/>
                <w:szCs w:val="20"/>
                <w:lang w:val="en-AU"/>
              </w:rPr>
              <w:t xml:space="preserve">90% of </w:t>
            </w:r>
            <w:r w:rsidRPr="008D1918" w:rsidR="00C675FD">
              <w:rPr>
                <w:sz w:val="20"/>
                <w:szCs w:val="20"/>
                <w:lang w:val="en-AU"/>
              </w:rPr>
              <w:t>published price</w:t>
            </w:r>
          </w:p>
        </w:tc>
        <w:tc>
          <w:tcPr>
            <w:tcW w:w="1985" w:type="dxa"/>
          </w:tcPr>
          <w:p w:rsidRPr="008D1918" w:rsidR="00601AFC" w:rsidP="0042452A" w:rsidRDefault="00601AFC" w14:paraId="617F722D" w14:textId="77777777">
            <w:pPr>
              <w:spacing w:before="60" w:after="60"/>
              <w:ind w:right="69"/>
              <w:jc w:val="right"/>
              <w:rPr>
                <w:rFonts w:cs="Arial"/>
                <w:color w:val="000000"/>
                <w:sz w:val="20"/>
                <w:szCs w:val="20"/>
                <w:lang w:val="en-AU" w:eastAsia="en-AU"/>
              </w:rPr>
            </w:pPr>
            <w:r w:rsidRPr="008D1918">
              <w:rPr>
                <w:sz w:val="20"/>
                <w:szCs w:val="20"/>
                <w:lang w:val="en-AU"/>
              </w:rPr>
              <w:t xml:space="preserve"> 8,820 (16%) </w:t>
            </w:r>
          </w:p>
        </w:tc>
        <w:tc>
          <w:tcPr>
            <w:tcW w:w="2381" w:type="dxa"/>
          </w:tcPr>
          <w:p w:rsidRPr="008D1918" w:rsidR="00601AFC" w:rsidP="0042452A" w:rsidRDefault="00601AFC" w14:paraId="714C1345" w14:textId="77777777">
            <w:pPr>
              <w:spacing w:before="60" w:after="60"/>
              <w:ind w:right="69"/>
              <w:jc w:val="right"/>
              <w:rPr>
                <w:rFonts w:cs="Arial"/>
                <w:color w:val="000000"/>
                <w:sz w:val="20"/>
                <w:szCs w:val="20"/>
                <w:lang w:val="en-AU" w:eastAsia="en-AU"/>
              </w:rPr>
            </w:pPr>
            <w:r w:rsidRPr="008D1918">
              <w:rPr>
                <w:sz w:val="20"/>
                <w:szCs w:val="20"/>
                <w:lang w:val="en-AU"/>
              </w:rPr>
              <w:t>6,190 (13%)</w:t>
            </w:r>
          </w:p>
        </w:tc>
        <w:tc>
          <w:tcPr>
            <w:tcW w:w="1985" w:type="dxa"/>
          </w:tcPr>
          <w:p w:rsidRPr="008D1918" w:rsidR="00601AFC" w:rsidP="0042452A" w:rsidRDefault="00601AFC" w14:paraId="0E8C1FA0" w14:textId="77777777">
            <w:pPr>
              <w:spacing w:before="60" w:after="60"/>
              <w:ind w:right="69"/>
              <w:jc w:val="right"/>
              <w:rPr>
                <w:rFonts w:cs="Arial"/>
                <w:color w:val="000000"/>
                <w:sz w:val="20"/>
                <w:szCs w:val="20"/>
                <w:lang w:val="en-AU" w:eastAsia="en-AU"/>
              </w:rPr>
            </w:pPr>
            <w:r w:rsidRPr="008D1918">
              <w:rPr>
                <w:sz w:val="20"/>
                <w:szCs w:val="20"/>
                <w:lang w:val="en-AU"/>
              </w:rPr>
              <w:t xml:space="preserve"> 14,963 (15%) </w:t>
            </w:r>
          </w:p>
        </w:tc>
      </w:tr>
      <w:tr w:rsidRPr="008D1918" w:rsidR="00A41050" w:rsidTr="000F5D0B" w14:paraId="3AE21D84" w14:textId="77777777">
        <w:trPr>
          <w:cnfStyle w:val="000000100000" w:firstRow="0" w:lastRow="0" w:firstColumn="0" w:lastColumn="0" w:oddVBand="0" w:evenVBand="0" w:oddHBand="1" w:evenHBand="0" w:firstRowFirstColumn="0" w:firstRowLastColumn="0" w:lastRowFirstColumn="0" w:lastRowLastColumn="0"/>
          <w:trHeight w:val="397"/>
        </w:trPr>
        <w:tc>
          <w:tcPr>
            <w:tcW w:w="2722" w:type="dxa"/>
          </w:tcPr>
          <w:p w:rsidRPr="008D1918" w:rsidR="00601AFC" w:rsidRDefault="00601AFC" w14:paraId="6BEBF482" w14:textId="375EB2B6">
            <w:pPr>
              <w:spacing w:before="60" w:after="60"/>
              <w:rPr>
                <w:rFonts w:cs="Arial"/>
                <w:sz w:val="20"/>
                <w:szCs w:val="20"/>
                <w:lang w:val="en-AU" w:eastAsia="en-AU"/>
              </w:rPr>
            </w:pPr>
            <w:r w:rsidRPr="008D1918">
              <w:rPr>
                <w:sz w:val="20"/>
                <w:szCs w:val="20"/>
                <w:lang w:val="en-AU"/>
              </w:rPr>
              <w:t>90</w:t>
            </w:r>
            <w:r w:rsidRPr="008D1918" w:rsidR="0066721E">
              <w:rPr>
                <w:sz w:val="20"/>
                <w:szCs w:val="20"/>
                <w:lang w:val="en-AU"/>
              </w:rPr>
              <w:t>%</w:t>
            </w:r>
            <w:r w:rsidRPr="008D1918">
              <w:rPr>
                <w:rFonts w:cs="Arial"/>
                <w:sz w:val="20"/>
                <w:szCs w:val="20"/>
                <w:lang w:val="en-AU"/>
              </w:rPr>
              <w:t>–</w:t>
            </w:r>
            <w:r w:rsidRPr="008D1918">
              <w:rPr>
                <w:sz w:val="20"/>
                <w:szCs w:val="20"/>
                <w:lang w:val="en-AU"/>
              </w:rPr>
              <w:t xml:space="preserve">95% of </w:t>
            </w:r>
            <w:r w:rsidRPr="008D1918" w:rsidR="00C675FD">
              <w:rPr>
                <w:sz w:val="20"/>
                <w:szCs w:val="20"/>
                <w:lang w:val="en-AU"/>
              </w:rPr>
              <w:t>published price</w:t>
            </w:r>
          </w:p>
        </w:tc>
        <w:tc>
          <w:tcPr>
            <w:tcW w:w="1985" w:type="dxa"/>
          </w:tcPr>
          <w:p w:rsidRPr="008D1918" w:rsidR="00601AFC" w:rsidP="0042452A" w:rsidRDefault="00601AFC" w14:paraId="56100BCC" w14:textId="77777777">
            <w:pPr>
              <w:spacing w:before="60" w:after="60"/>
              <w:ind w:right="69"/>
              <w:jc w:val="right"/>
              <w:rPr>
                <w:rFonts w:cs="Arial"/>
                <w:sz w:val="20"/>
                <w:szCs w:val="20"/>
                <w:lang w:val="en-AU"/>
              </w:rPr>
            </w:pPr>
            <w:r w:rsidRPr="008D1918">
              <w:rPr>
                <w:sz w:val="20"/>
                <w:szCs w:val="20"/>
                <w:lang w:val="en-AU"/>
              </w:rPr>
              <w:t xml:space="preserve"> 6,889 (13%) </w:t>
            </w:r>
          </w:p>
        </w:tc>
        <w:tc>
          <w:tcPr>
            <w:tcW w:w="2381" w:type="dxa"/>
          </w:tcPr>
          <w:p w:rsidRPr="008D1918" w:rsidR="00601AFC" w:rsidP="0042452A" w:rsidRDefault="00601AFC" w14:paraId="40A17297" w14:textId="77777777">
            <w:pPr>
              <w:spacing w:before="60" w:after="60"/>
              <w:ind w:right="69"/>
              <w:jc w:val="right"/>
              <w:rPr>
                <w:rFonts w:cs="Arial"/>
                <w:sz w:val="20"/>
                <w:szCs w:val="20"/>
                <w:lang w:val="en-AU"/>
              </w:rPr>
            </w:pPr>
            <w:r w:rsidRPr="008D1918">
              <w:rPr>
                <w:sz w:val="20"/>
                <w:szCs w:val="20"/>
                <w:lang w:val="en-AU"/>
              </w:rPr>
              <w:t>6,177 (13%)</w:t>
            </w:r>
          </w:p>
        </w:tc>
        <w:tc>
          <w:tcPr>
            <w:tcW w:w="1985" w:type="dxa"/>
          </w:tcPr>
          <w:p w:rsidRPr="008D1918" w:rsidR="00601AFC" w:rsidP="0042452A" w:rsidRDefault="00601AFC" w14:paraId="0CB5F0C3" w14:textId="77777777">
            <w:pPr>
              <w:spacing w:before="60" w:after="60"/>
              <w:ind w:right="69"/>
              <w:jc w:val="right"/>
              <w:rPr>
                <w:rFonts w:cs="Arial"/>
                <w:sz w:val="20"/>
                <w:szCs w:val="20"/>
                <w:lang w:val="en-AU"/>
              </w:rPr>
            </w:pPr>
            <w:r w:rsidRPr="008D1918">
              <w:rPr>
                <w:sz w:val="20"/>
                <w:szCs w:val="20"/>
                <w:lang w:val="en-AU"/>
              </w:rPr>
              <w:t xml:space="preserve"> 13,012 (13%) </w:t>
            </w:r>
          </w:p>
        </w:tc>
      </w:tr>
      <w:tr w:rsidRPr="008D1918" w:rsidR="00601AFC" w:rsidTr="000F5D0B" w14:paraId="43EDD692" w14:textId="77777777">
        <w:trPr>
          <w:trHeight w:val="397"/>
        </w:trPr>
        <w:tc>
          <w:tcPr>
            <w:tcW w:w="2722" w:type="dxa"/>
          </w:tcPr>
          <w:p w:rsidRPr="008D1918" w:rsidR="00601AFC" w:rsidRDefault="00601AFC" w14:paraId="0F931F08" w14:textId="46FAB188">
            <w:pPr>
              <w:spacing w:before="60" w:after="60"/>
              <w:rPr>
                <w:rFonts w:cs="Arial"/>
                <w:sz w:val="20"/>
                <w:szCs w:val="20"/>
                <w:lang w:val="en-AU" w:eastAsia="en-AU"/>
              </w:rPr>
            </w:pPr>
            <w:r w:rsidRPr="008D1918">
              <w:rPr>
                <w:sz w:val="20"/>
                <w:szCs w:val="20"/>
                <w:lang w:val="en-AU"/>
              </w:rPr>
              <w:t>95</w:t>
            </w:r>
            <w:r w:rsidRPr="008D1918" w:rsidR="0066721E">
              <w:rPr>
                <w:sz w:val="20"/>
                <w:szCs w:val="20"/>
                <w:lang w:val="en-AU"/>
              </w:rPr>
              <w:t>%</w:t>
            </w:r>
            <w:r w:rsidRPr="008D1918">
              <w:rPr>
                <w:rFonts w:cs="Arial"/>
                <w:sz w:val="20"/>
                <w:szCs w:val="20"/>
                <w:lang w:val="en-AU"/>
              </w:rPr>
              <w:t>–</w:t>
            </w:r>
            <w:r w:rsidRPr="008D1918">
              <w:rPr>
                <w:sz w:val="20"/>
                <w:szCs w:val="20"/>
                <w:lang w:val="en-AU"/>
              </w:rPr>
              <w:t xml:space="preserve">99% of </w:t>
            </w:r>
            <w:r w:rsidRPr="008D1918" w:rsidR="00C675FD">
              <w:rPr>
                <w:sz w:val="20"/>
                <w:szCs w:val="20"/>
                <w:lang w:val="en-AU"/>
              </w:rPr>
              <w:t>published price</w:t>
            </w:r>
          </w:p>
        </w:tc>
        <w:tc>
          <w:tcPr>
            <w:tcW w:w="1985" w:type="dxa"/>
          </w:tcPr>
          <w:p w:rsidRPr="008D1918" w:rsidR="00601AFC" w:rsidP="0042452A" w:rsidRDefault="00601AFC" w14:paraId="1A1A33BA" w14:textId="77777777">
            <w:pPr>
              <w:spacing w:before="60" w:after="60"/>
              <w:ind w:right="69"/>
              <w:jc w:val="right"/>
              <w:rPr>
                <w:rFonts w:cs="Arial"/>
                <w:sz w:val="20"/>
                <w:szCs w:val="20"/>
                <w:lang w:val="en-AU"/>
              </w:rPr>
            </w:pPr>
            <w:r w:rsidRPr="008D1918">
              <w:rPr>
                <w:sz w:val="20"/>
                <w:szCs w:val="20"/>
                <w:lang w:val="en-AU"/>
              </w:rPr>
              <w:t xml:space="preserve"> 10,334 (19%) </w:t>
            </w:r>
          </w:p>
        </w:tc>
        <w:tc>
          <w:tcPr>
            <w:tcW w:w="2381" w:type="dxa"/>
          </w:tcPr>
          <w:p w:rsidRPr="008D1918" w:rsidR="00601AFC" w:rsidP="0042452A" w:rsidRDefault="00601AFC" w14:paraId="7A3F146C" w14:textId="77777777">
            <w:pPr>
              <w:spacing w:before="60" w:after="60"/>
              <w:ind w:right="69"/>
              <w:jc w:val="right"/>
              <w:rPr>
                <w:rFonts w:cs="Arial"/>
                <w:sz w:val="20"/>
                <w:szCs w:val="20"/>
                <w:lang w:val="en-AU"/>
              </w:rPr>
            </w:pPr>
            <w:r w:rsidRPr="008D1918">
              <w:rPr>
                <w:sz w:val="20"/>
                <w:szCs w:val="20"/>
                <w:lang w:val="en-AU"/>
              </w:rPr>
              <w:t>11,621 (25%)</w:t>
            </w:r>
          </w:p>
        </w:tc>
        <w:tc>
          <w:tcPr>
            <w:tcW w:w="1985" w:type="dxa"/>
          </w:tcPr>
          <w:p w:rsidRPr="008D1918" w:rsidR="00601AFC" w:rsidP="0042452A" w:rsidRDefault="00601AFC" w14:paraId="60FF79BB" w14:textId="77777777">
            <w:pPr>
              <w:spacing w:before="60" w:after="60"/>
              <w:ind w:right="69"/>
              <w:jc w:val="right"/>
              <w:rPr>
                <w:rFonts w:cs="Arial"/>
                <w:sz w:val="20"/>
                <w:szCs w:val="20"/>
                <w:lang w:val="en-AU"/>
              </w:rPr>
            </w:pPr>
            <w:r w:rsidRPr="008D1918">
              <w:rPr>
                <w:sz w:val="20"/>
                <w:szCs w:val="20"/>
                <w:lang w:val="en-AU"/>
              </w:rPr>
              <w:t xml:space="preserve"> 21,825 (22%) </w:t>
            </w:r>
          </w:p>
        </w:tc>
      </w:tr>
      <w:tr w:rsidRPr="008D1918" w:rsidR="00A41050" w:rsidTr="000F5D0B" w14:paraId="16F59E24" w14:textId="77777777">
        <w:trPr>
          <w:cnfStyle w:val="000000100000" w:firstRow="0" w:lastRow="0" w:firstColumn="0" w:lastColumn="0" w:oddVBand="0" w:evenVBand="0" w:oddHBand="1" w:evenHBand="0" w:firstRowFirstColumn="0" w:firstRowLastColumn="0" w:lastRowFirstColumn="0" w:lastRowLastColumn="0"/>
          <w:trHeight w:val="397"/>
        </w:trPr>
        <w:tc>
          <w:tcPr>
            <w:tcW w:w="2722" w:type="dxa"/>
          </w:tcPr>
          <w:p w:rsidRPr="008D1918" w:rsidR="00601AFC" w:rsidRDefault="00601AFC" w14:paraId="164D7E80" w14:textId="1A7977D7">
            <w:pPr>
              <w:spacing w:before="60" w:after="60"/>
              <w:rPr>
                <w:rFonts w:cs="Arial"/>
                <w:sz w:val="20"/>
                <w:szCs w:val="20"/>
                <w:lang w:val="en-AU" w:eastAsia="en-AU"/>
              </w:rPr>
            </w:pPr>
            <w:r w:rsidRPr="008D1918">
              <w:rPr>
                <w:sz w:val="20"/>
                <w:szCs w:val="20"/>
                <w:lang w:val="en-AU"/>
              </w:rPr>
              <w:t xml:space="preserve">At </w:t>
            </w:r>
            <w:r w:rsidRPr="008D1918" w:rsidR="00C675FD">
              <w:rPr>
                <w:sz w:val="20"/>
                <w:szCs w:val="20"/>
                <w:lang w:val="en-AU"/>
              </w:rPr>
              <w:t>published price</w:t>
            </w:r>
          </w:p>
        </w:tc>
        <w:tc>
          <w:tcPr>
            <w:tcW w:w="1985" w:type="dxa"/>
          </w:tcPr>
          <w:p w:rsidRPr="008D1918" w:rsidR="00601AFC" w:rsidP="0042452A" w:rsidRDefault="00601AFC" w14:paraId="35FAB7B6" w14:textId="77777777">
            <w:pPr>
              <w:spacing w:before="60" w:after="60"/>
              <w:ind w:right="69"/>
              <w:jc w:val="right"/>
              <w:rPr>
                <w:rFonts w:cs="Arial"/>
                <w:sz w:val="20"/>
                <w:szCs w:val="20"/>
                <w:lang w:val="en-AU"/>
              </w:rPr>
            </w:pPr>
            <w:r w:rsidRPr="008D1918">
              <w:rPr>
                <w:sz w:val="20"/>
                <w:szCs w:val="20"/>
                <w:lang w:val="en-AU"/>
              </w:rPr>
              <w:t xml:space="preserve"> 14,147 (26%) </w:t>
            </w:r>
          </w:p>
        </w:tc>
        <w:tc>
          <w:tcPr>
            <w:tcW w:w="2381" w:type="dxa"/>
          </w:tcPr>
          <w:p w:rsidRPr="008D1918" w:rsidR="00601AFC" w:rsidP="0042452A" w:rsidRDefault="00601AFC" w14:paraId="6E669855" w14:textId="77777777">
            <w:pPr>
              <w:spacing w:before="60" w:after="60"/>
              <w:ind w:right="69"/>
              <w:jc w:val="right"/>
              <w:rPr>
                <w:rFonts w:cs="Arial"/>
                <w:sz w:val="20"/>
                <w:szCs w:val="20"/>
                <w:lang w:val="en-AU"/>
              </w:rPr>
            </w:pPr>
            <w:r w:rsidRPr="008D1918">
              <w:rPr>
                <w:sz w:val="20"/>
                <w:szCs w:val="20"/>
                <w:lang w:val="en-AU"/>
              </w:rPr>
              <w:t>13,110 (29%)</w:t>
            </w:r>
          </w:p>
        </w:tc>
        <w:tc>
          <w:tcPr>
            <w:tcW w:w="1985" w:type="dxa"/>
          </w:tcPr>
          <w:p w:rsidRPr="008D1918" w:rsidR="00601AFC" w:rsidP="0042452A" w:rsidRDefault="00601AFC" w14:paraId="70EEDF33" w14:textId="77777777">
            <w:pPr>
              <w:spacing w:before="60" w:after="60"/>
              <w:ind w:right="69"/>
              <w:jc w:val="right"/>
              <w:rPr>
                <w:rFonts w:cs="Arial"/>
                <w:sz w:val="20"/>
                <w:szCs w:val="20"/>
                <w:lang w:val="en-AU"/>
              </w:rPr>
            </w:pPr>
            <w:r w:rsidRPr="008D1918">
              <w:rPr>
                <w:sz w:val="20"/>
                <w:szCs w:val="20"/>
                <w:lang w:val="en-AU"/>
              </w:rPr>
              <w:t xml:space="preserve"> 26,993 (27%) </w:t>
            </w:r>
          </w:p>
        </w:tc>
      </w:tr>
      <w:tr w:rsidRPr="008D1918" w:rsidR="00601AFC" w:rsidTr="000F5D0B" w14:paraId="558EF478" w14:textId="77777777">
        <w:trPr>
          <w:trHeight w:val="397"/>
        </w:trPr>
        <w:tc>
          <w:tcPr>
            <w:tcW w:w="2722" w:type="dxa"/>
          </w:tcPr>
          <w:p w:rsidRPr="008D1918" w:rsidR="00601AFC" w:rsidRDefault="00601AFC" w14:paraId="67C0933B" w14:textId="40F726E2">
            <w:pPr>
              <w:spacing w:before="60" w:after="60"/>
              <w:rPr>
                <w:rFonts w:cs="Arial"/>
                <w:sz w:val="20"/>
                <w:szCs w:val="20"/>
                <w:lang w:val="en-AU" w:eastAsia="en-AU"/>
              </w:rPr>
            </w:pPr>
            <w:r w:rsidRPr="008D1918">
              <w:rPr>
                <w:sz w:val="20"/>
                <w:szCs w:val="20"/>
                <w:lang w:val="en-AU"/>
              </w:rPr>
              <w:t xml:space="preserve">Over </w:t>
            </w:r>
            <w:r w:rsidRPr="008D1918" w:rsidR="00C675FD">
              <w:rPr>
                <w:sz w:val="20"/>
                <w:szCs w:val="20"/>
                <w:lang w:val="en-AU"/>
              </w:rPr>
              <w:t>published price</w:t>
            </w:r>
          </w:p>
        </w:tc>
        <w:tc>
          <w:tcPr>
            <w:tcW w:w="1985" w:type="dxa"/>
          </w:tcPr>
          <w:p w:rsidRPr="008D1918" w:rsidR="00601AFC" w:rsidP="0042452A" w:rsidRDefault="00601AFC" w14:paraId="61DD3B90" w14:textId="77777777">
            <w:pPr>
              <w:spacing w:before="60" w:after="60"/>
              <w:ind w:right="69"/>
              <w:jc w:val="right"/>
              <w:rPr>
                <w:rFonts w:cs="Arial"/>
                <w:sz w:val="20"/>
                <w:szCs w:val="20"/>
                <w:lang w:val="en-AU"/>
              </w:rPr>
            </w:pPr>
            <w:r w:rsidRPr="008D1918">
              <w:rPr>
                <w:sz w:val="20"/>
                <w:szCs w:val="20"/>
                <w:lang w:val="en-AU"/>
              </w:rPr>
              <w:t xml:space="preserve"> 153 (0%) </w:t>
            </w:r>
          </w:p>
        </w:tc>
        <w:tc>
          <w:tcPr>
            <w:tcW w:w="2381" w:type="dxa"/>
          </w:tcPr>
          <w:p w:rsidRPr="008D1918" w:rsidR="00601AFC" w:rsidP="0042452A" w:rsidRDefault="00601AFC" w14:paraId="7F42EA2F" w14:textId="77777777">
            <w:pPr>
              <w:spacing w:before="60" w:after="60"/>
              <w:ind w:right="69"/>
              <w:jc w:val="right"/>
              <w:rPr>
                <w:rFonts w:cs="Arial"/>
                <w:sz w:val="20"/>
                <w:szCs w:val="20"/>
                <w:lang w:val="en-AU"/>
              </w:rPr>
            </w:pPr>
            <w:r w:rsidRPr="008D1918">
              <w:rPr>
                <w:sz w:val="20"/>
                <w:szCs w:val="20"/>
                <w:lang w:val="en-AU"/>
              </w:rPr>
              <w:t>296 (1%)</w:t>
            </w:r>
          </w:p>
        </w:tc>
        <w:tc>
          <w:tcPr>
            <w:tcW w:w="1985" w:type="dxa"/>
          </w:tcPr>
          <w:p w:rsidRPr="008D1918" w:rsidR="00601AFC" w:rsidP="0042452A" w:rsidRDefault="00601AFC" w14:paraId="451F1C56" w14:textId="77777777">
            <w:pPr>
              <w:spacing w:before="60" w:after="60"/>
              <w:ind w:right="69"/>
              <w:jc w:val="right"/>
              <w:rPr>
                <w:rFonts w:cs="Arial"/>
                <w:sz w:val="20"/>
                <w:szCs w:val="20"/>
                <w:lang w:val="en-AU"/>
              </w:rPr>
            </w:pPr>
            <w:r w:rsidRPr="008D1918">
              <w:rPr>
                <w:sz w:val="20"/>
                <w:szCs w:val="20"/>
                <w:lang w:val="en-AU"/>
              </w:rPr>
              <w:t xml:space="preserve"> 447 (0%) </w:t>
            </w:r>
          </w:p>
        </w:tc>
      </w:tr>
      <w:tr w:rsidRPr="008D1918" w:rsidR="00A41050" w:rsidTr="000F5D0B" w14:paraId="43D2E33A" w14:textId="77777777">
        <w:trPr>
          <w:cnfStyle w:val="000000100000" w:firstRow="0" w:lastRow="0" w:firstColumn="0" w:lastColumn="0" w:oddVBand="0" w:evenVBand="0" w:oddHBand="1" w:evenHBand="0" w:firstRowFirstColumn="0" w:firstRowLastColumn="0" w:lastRowFirstColumn="0" w:lastRowLastColumn="0"/>
          <w:trHeight w:val="397"/>
        </w:trPr>
        <w:tc>
          <w:tcPr>
            <w:tcW w:w="2722" w:type="dxa"/>
          </w:tcPr>
          <w:p w:rsidRPr="008D1918" w:rsidR="00601AFC" w:rsidRDefault="00601AFC" w14:paraId="684588A4" w14:textId="77777777">
            <w:pPr>
              <w:spacing w:before="60" w:after="60"/>
              <w:rPr>
                <w:rFonts w:cs="Arial"/>
                <w:b/>
                <w:bCs/>
                <w:sz w:val="20"/>
                <w:szCs w:val="20"/>
                <w:lang w:val="en-AU" w:eastAsia="en-AU"/>
              </w:rPr>
            </w:pPr>
            <w:r w:rsidRPr="008D1918">
              <w:rPr>
                <w:b/>
                <w:bCs/>
                <w:sz w:val="20"/>
                <w:szCs w:val="20"/>
                <w:lang w:val="en-AU"/>
              </w:rPr>
              <w:t>Total</w:t>
            </w:r>
          </w:p>
        </w:tc>
        <w:tc>
          <w:tcPr>
            <w:tcW w:w="1985" w:type="dxa"/>
          </w:tcPr>
          <w:p w:rsidRPr="008D1918" w:rsidR="00601AFC" w:rsidP="0042452A" w:rsidRDefault="00601AFC" w14:paraId="4E97EEBE" w14:textId="77777777">
            <w:pPr>
              <w:spacing w:before="60" w:after="60"/>
              <w:ind w:right="69"/>
              <w:jc w:val="right"/>
              <w:rPr>
                <w:rFonts w:cs="Arial"/>
                <w:b/>
                <w:bCs/>
                <w:sz w:val="20"/>
                <w:szCs w:val="20"/>
                <w:lang w:val="en-AU"/>
              </w:rPr>
            </w:pPr>
            <w:r w:rsidRPr="008D1918">
              <w:rPr>
                <w:b/>
                <w:bCs/>
                <w:sz w:val="20"/>
                <w:szCs w:val="20"/>
                <w:lang w:val="en-AU"/>
              </w:rPr>
              <w:t xml:space="preserve"> 54,039 (100%) </w:t>
            </w:r>
          </w:p>
        </w:tc>
        <w:tc>
          <w:tcPr>
            <w:tcW w:w="2381" w:type="dxa"/>
          </w:tcPr>
          <w:p w:rsidRPr="008D1918" w:rsidR="00601AFC" w:rsidP="0042452A" w:rsidRDefault="00601AFC" w14:paraId="35AECFD5" w14:textId="77777777">
            <w:pPr>
              <w:spacing w:before="60" w:after="60"/>
              <w:ind w:right="69"/>
              <w:jc w:val="right"/>
              <w:rPr>
                <w:rFonts w:cs="Arial"/>
                <w:b/>
                <w:bCs/>
                <w:sz w:val="20"/>
                <w:szCs w:val="20"/>
                <w:lang w:val="en-AU"/>
              </w:rPr>
            </w:pPr>
            <w:r w:rsidRPr="008D1918">
              <w:rPr>
                <w:b/>
                <w:bCs/>
                <w:sz w:val="20"/>
                <w:szCs w:val="20"/>
                <w:lang w:val="en-AU"/>
              </w:rPr>
              <w:t>45,871 (100%)</w:t>
            </w:r>
          </w:p>
        </w:tc>
        <w:tc>
          <w:tcPr>
            <w:tcW w:w="1985" w:type="dxa"/>
          </w:tcPr>
          <w:p w:rsidRPr="008D1918" w:rsidR="00601AFC" w:rsidP="0042452A" w:rsidRDefault="00601AFC" w14:paraId="0E67EBEF" w14:textId="77777777">
            <w:pPr>
              <w:spacing w:before="60" w:after="60"/>
              <w:ind w:right="69"/>
              <w:jc w:val="right"/>
              <w:rPr>
                <w:rFonts w:cs="Arial"/>
                <w:b/>
                <w:bCs/>
                <w:sz w:val="20"/>
                <w:szCs w:val="20"/>
                <w:lang w:val="en-AU"/>
              </w:rPr>
            </w:pPr>
            <w:r w:rsidRPr="008D1918">
              <w:rPr>
                <w:b/>
                <w:bCs/>
                <w:sz w:val="20"/>
                <w:szCs w:val="20"/>
                <w:lang w:val="en-AU"/>
              </w:rPr>
              <w:t xml:space="preserve"> 99,365 (100%) </w:t>
            </w:r>
          </w:p>
        </w:tc>
      </w:tr>
    </w:tbl>
    <w:p w:rsidRPr="008D1918" w:rsidR="00601AFC" w:rsidRDefault="00601AFC" w14:paraId="0C63F2C7"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601AFC" w:rsidP="00933118" w:rsidRDefault="00601AFC" w14:paraId="71657370" w14:textId="3AA2806D">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 xml:space="preserve">Note: </w:t>
      </w:r>
      <w:r w:rsidRPr="008D1918" w:rsidR="000E7F57">
        <w:rPr>
          <w:rFonts w:cs="Calibri" w:eastAsiaTheme="minorEastAsia"/>
          <w:sz w:val="20"/>
          <w:szCs w:val="20"/>
          <w:lang w:val="en-AU"/>
        </w:rPr>
        <w:t xml:space="preserve">Claims for supports not subject to a </w:t>
      </w:r>
      <w:r w:rsidRPr="008D1918" w:rsidR="00C675FD">
        <w:rPr>
          <w:sz w:val="20"/>
          <w:szCs w:val="20"/>
          <w:lang w:val="en-AU"/>
        </w:rPr>
        <w:t>published price</w:t>
      </w:r>
      <w:r w:rsidRPr="008D1918" w:rsidDel="00C675FD" w:rsidR="00C675FD">
        <w:rPr>
          <w:rFonts w:cs="Calibri" w:eastAsiaTheme="minorEastAsia"/>
          <w:sz w:val="20"/>
          <w:szCs w:val="20"/>
          <w:lang w:val="en-AU"/>
        </w:rPr>
        <w:t xml:space="preserve"> </w:t>
      </w:r>
      <w:r w:rsidRPr="008D1918" w:rsidR="000E7F57">
        <w:rPr>
          <w:rFonts w:cs="Calibri" w:eastAsiaTheme="minorEastAsia"/>
          <w:sz w:val="20"/>
          <w:szCs w:val="20"/>
          <w:lang w:val="en-AU"/>
        </w:rPr>
        <w:t xml:space="preserve">are not shown separately in the table but are included in the total for each column. </w:t>
      </w:r>
      <w:r w:rsidRPr="008D1918">
        <w:rPr>
          <w:rFonts w:cs="Calibri" w:eastAsiaTheme="minorEastAsia"/>
          <w:sz w:val="20"/>
          <w:szCs w:val="20"/>
          <w:lang w:val="en-AU"/>
        </w:rPr>
        <w:t xml:space="preserve">The </w:t>
      </w:r>
      <w:r w:rsidRPr="008D1918" w:rsidR="0043672F">
        <w:rPr>
          <w:rFonts w:cs="Calibri" w:eastAsiaTheme="minorEastAsia"/>
          <w:sz w:val="20"/>
          <w:szCs w:val="20"/>
          <w:lang w:val="en-AU"/>
        </w:rPr>
        <w:t xml:space="preserve">sum </w:t>
      </w:r>
      <w:r w:rsidRPr="008D1918">
        <w:rPr>
          <w:rFonts w:cs="Calibri" w:eastAsiaTheme="minorEastAsia"/>
          <w:sz w:val="20"/>
          <w:szCs w:val="20"/>
          <w:lang w:val="en-AU"/>
        </w:rPr>
        <w:t>of the first and second column</w:t>
      </w:r>
      <w:r w:rsidRPr="008D1918" w:rsidR="0043672F">
        <w:rPr>
          <w:rFonts w:cs="Calibri" w:eastAsiaTheme="minorEastAsia"/>
          <w:sz w:val="20"/>
          <w:szCs w:val="20"/>
          <w:lang w:val="en-AU"/>
        </w:rPr>
        <w:t>s</w:t>
      </w:r>
      <w:r w:rsidRPr="008D1918">
        <w:rPr>
          <w:rFonts w:cs="Calibri" w:eastAsiaTheme="minorEastAsia"/>
          <w:sz w:val="20"/>
          <w:szCs w:val="20"/>
          <w:lang w:val="en-AU"/>
        </w:rPr>
        <w:t xml:space="preserve"> may not </w:t>
      </w:r>
      <w:r w:rsidRPr="008D1918" w:rsidR="000D41C2">
        <w:rPr>
          <w:rFonts w:cs="Calibri" w:eastAsiaTheme="minorEastAsia"/>
          <w:sz w:val="20"/>
          <w:szCs w:val="20"/>
          <w:lang w:val="en-AU"/>
        </w:rPr>
        <w:t xml:space="preserve">equal the total for </w:t>
      </w:r>
      <w:r w:rsidRPr="008D1918">
        <w:rPr>
          <w:rFonts w:cs="Calibri" w:eastAsiaTheme="minorEastAsia"/>
          <w:sz w:val="20"/>
          <w:szCs w:val="20"/>
          <w:lang w:val="en-AU"/>
        </w:rPr>
        <w:t>all providers column</w:t>
      </w:r>
      <w:r w:rsidRPr="008D1918" w:rsidR="000D41C2">
        <w:rPr>
          <w:rFonts w:cs="Calibri" w:eastAsiaTheme="minorEastAsia"/>
          <w:sz w:val="20"/>
          <w:szCs w:val="20"/>
          <w:lang w:val="en-AU"/>
        </w:rPr>
        <w:t>,</w:t>
      </w:r>
      <w:r w:rsidRPr="008D1918">
        <w:rPr>
          <w:rFonts w:cs="Calibri" w:eastAsiaTheme="minorEastAsia"/>
          <w:sz w:val="20"/>
          <w:szCs w:val="20"/>
          <w:lang w:val="en-AU"/>
        </w:rPr>
        <w:t xml:space="preserve"> as registration status of the provider can change </w:t>
      </w:r>
      <w:r w:rsidRPr="008D1918" w:rsidR="000D41C2">
        <w:rPr>
          <w:rFonts w:cs="Calibri" w:eastAsiaTheme="minorEastAsia"/>
          <w:sz w:val="20"/>
          <w:szCs w:val="20"/>
          <w:lang w:val="en-AU"/>
        </w:rPr>
        <w:t xml:space="preserve">during </w:t>
      </w:r>
      <w:r w:rsidRPr="008D1918">
        <w:rPr>
          <w:rFonts w:cs="Calibri" w:eastAsiaTheme="minorEastAsia"/>
          <w:sz w:val="20"/>
          <w:szCs w:val="20"/>
          <w:lang w:val="en-AU"/>
        </w:rPr>
        <w:t xml:space="preserve">the </w:t>
      </w:r>
      <w:r w:rsidRPr="008D1918" w:rsidR="0060255A">
        <w:rPr>
          <w:rFonts w:cs="Calibri" w:eastAsiaTheme="minorEastAsia"/>
          <w:sz w:val="20"/>
          <w:szCs w:val="20"/>
          <w:lang w:val="en-AU"/>
        </w:rPr>
        <w:t>reporting</w:t>
      </w:r>
      <w:r w:rsidRPr="008D1918">
        <w:rPr>
          <w:rFonts w:cs="Calibri" w:eastAsiaTheme="minorEastAsia"/>
          <w:sz w:val="20"/>
          <w:szCs w:val="20"/>
          <w:lang w:val="en-AU"/>
        </w:rPr>
        <w:t xml:space="preserve"> period. Providers are grouped </w:t>
      </w:r>
      <w:r w:rsidRPr="008D1918" w:rsidR="000D41C2">
        <w:rPr>
          <w:rFonts w:cs="Calibri" w:eastAsiaTheme="minorEastAsia"/>
          <w:sz w:val="20"/>
          <w:szCs w:val="20"/>
          <w:lang w:val="en-AU"/>
        </w:rPr>
        <w:t>a</w:t>
      </w:r>
      <w:r w:rsidRPr="008D1918" w:rsidR="0014266D">
        <w:rPr>
          <w:rFonts w:cs="Calibri" w:eastAsiaTheme="minorEastAsia"/>
          <w:sz w:val="20"/>
          <w:szCs w:val="20"/>
          <w:lang w:val="en-AU"/>
        </w:rPr>
        <w:t xml:space="preserve">ccording to the </w:t>
      </w:r>
      <w:r w:rsidRPr="008D1918" w:rsidR="00A72423">
        <w:rPr>
          <w:rFonts w:cs="Calibri" w:eastAsiaTheme="minorEastAsia"/>
          <w:sz w:val="20"/>
          <w:szCs w:val="20"/>
          <w:lang w:val="en-AU"/>
        </w:rPr>
        <w:t>price applicable to their claims</w:t>
      </w:r>
      <w:r w:rsidRPr="008D1918">
        <w:rPr>
          <w:rFonts w:cs="Calibri" w:eastAsiaTheme="minorEastAsia"/>
          <w:sz w:val="20"/>
          <w:szCs w:val="20"/>
          <w:lang w:val="en-AU"/>
        </w:rPr>
        <w:t>.</w:t>
      </w:r>
      <w:r w:rsidRPr="008D1918" w:rsidR="00315BF0">
        <w:rPr>
          <w:rFonts w:cs="Calibri" w:eastAsiaTheme="minorEastAsia"/>
          <w:sz w:val="20"/>
          <w:szCs w:val="20"/>
          <w:lang w:val="en-AU"/>
        </w:rPr>
        <w:t xml:space="preserve"> </w:t>
      </w:r>
    </w:p>
    <w:p w:rsidRPr="008D1918" w:rsidR="00601AFC" w:rsidRDefault="00601AFC" w14:paraId="1A730445" w14:textId="6D628477">
      <w:pPr>
        <w:tabs>
          <w:tab w:val="left" w:pos="8505"/>
        </w:tabs>
        <w:rPr>
          <w:lang w:val="en-AU"/>
        </w:rPr>
      </w:pPr>
      <w:r w:rsidRPr="008D1918">
        <w:rPr>
          <w:rFonts w:eastAsia="Segoe UI"/>
          <w:lang w:val="en-AU"/>
        </w:rPr>
        <w:t>The 54,039 unregistered providers supporting a single participant represent a segment of the SC</w:t>
      </w:r>
      <w:r w:rsidRPr="008D1918" w:rsidR="00476700">
        <w:rPr>
          <w:rFonts w:eastAsia="Segoe UI"/>
          <w:lang w:val="en-AU"/>
        </w:rPr>
        <w:t>C</w:t>
      </w:r>
      <w:r w:rsidRPr="008D1918">
        <w:rPr>
          <w:rFonts w:eastAsia="Segoe UI"/>
          <w:lang w:val="en-AU"/>
        </w:rPr>
        <w:t>P market with distinct claiming and scale characteristics.</w:t>
      </w:r>
      <w:r w:rsidRPr="008D1918">
        <w:rPr>
          <w:lang w:val="en-AU"/>
        </w:rPr>
        <w:t xml:space="preserve"> They are predominantly sole traders (47,795 of 54,039) and their largest support item is Access Community and Social Recreational Activities</w:t>
      </w:r>
      <w:r w:rsidRPr="008D1918" w:rsidR="00A33755">
        <w:rPr>
          <w:lang w:val="en-AU"/>
        </w:rPr>
        <w:t xml:space="preserve">. This accounts </w:t>
      </w:r>
      <w:r w:rsidRPr="008D1918">
        <w:rPr>
          <w:lang w:val="en-AU"/>
        </w:rPr>
        <w:t>for $413 million of the $430 million in total S</w:t>
      </w:r>
      <w:r w:rsidRPr="008D1918" w:rsidR="00476700">
        <w:rPr>
          <w:lang w:val="en-AU"/>
        </w:rPr>
        <w:t>C</w:t>
      </w:r>
      <w:r w:rsidRPr="008D1918">
        <w:rPr>
          <w:lang w:val="en-AU"/>
        </w:rPr>
        <w:t>CP payments received by this group.</w:t>
      </w:r>
    </w:p>
    <w:p w:rsidRPr="008D1918" w:rsidR="00601AFC" w:rsidP="00041468" w:rsidRDefault="00601AFC" w14:paraId="49778C41" w14:textId="77777777">
      <w:pPr>
        <w:pStyle w:val="StyleStyle112pt"/>
      </w:pPr>
      <w:bookmarkStart w:name="_Toc223428541" w:id="2069"/>
      <w:bookmarkStart w:name="_Toc223446009" w:id="2070"/>
      <w:bookmarkStart w:name="_Toc223539768" w:id="2071"/>
      <w:bookmarkStart w:name="_Toc223539981" w:id="2072"/>
      <w:bookmarkStart w:name="_Toc223540449" w:id="2073"/>
      <w:bookmarkStart w:name="_Toc223540665" w:id="2074"/>
      <w:bookmarkStart w:name="_Toc223542205" w:id="2075"/>
      <w:bookmarkStart w:name="_Toc223604391" w:id="2076"/>
      <w:bookmarkStart w:name="_Toc223604602" w:id="2077"/>
      <w:bookmarkStart w:name="_Toc223604843" w:id="2078"/>
      <w:bookmarkStart w:name="_Toc223618688" w:id="2079"/>
      <w:bookmarkStart w:name="_Toc223702917" w:id="2080"/>
      <w:bookmarkStart w:name="_Toc227318804" w:id="2081"/>
      <w:bookmarkStart w:name="_Toc227337172" w:id="2082"/>
      <w:r w:rsidRPr="008D1918">
        <w:t>Market capacity and stability</w:t>
      </w:r>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r w:rsidRPr="008D1918">
        <w:t xml:space="preserve"> </w:t>
      </w:r>
    </w:p>
    <w:p w:rsidRPr="008D1918" w:rsidR="00601AFC" w:rsidRDefault="00601AFC" w14:paraId="321E3901" w14:textId="2D403FA2">
      <w:pPr>
        <w:rPr>
          <w:lang w:val="en-AU"/>
        </w:rPr>
      </w:pPr>
      <w:r w:rsidRPr="008D1918">
        <w:rPr>
          <w:lang w:val="en-AU"/>
        </w:rPr>
        <w:t xml:space="preserve">Market concentration is low and declining. The top </w:t>
      </w:r>
      <w:r w:rsidRPr="008D1918" w:rsidR="00D62C61">
        <w:rPr>
          <w:lang w:val="en-AU"/>
        </w:rPr>
        <w:t xml:space="preserve">10 </w:t>
      </w:r>
      <w:r w:rsidRPr="008D1918">
        <w:rPr>
          <w:lang w:val="en-AU"/>
        </w:rPr>
        <w:t>providers' share of total SC</w:t>
      </w:r>
      <w:r w:rsidRPr="008D1918" w:rsidR="00476700">
        <w:rPr>
          <w:lang w:val="en-AU"/>
        </w:rPr>
        <w:t>C</w:t>
      </w:r>
      <w:r w:rsidRPr="008D1918">
        <w:rPr>
          <w:lang w:val="en-AU"/>
        </w:rPr>
        <w:t xml:space="preserve">P payments fell from 5.8% to 5.4% over the </w:t>
      </w:r>
      <w:r w:rsidRPr="008D1918" w:rsidR="00186248">
        <w:rPr>
          <w:lang w:val="en-AU"/>
        </w:rPr>
        <w:t>3</w:t>
      </w:r>
      <w:r w:rsidRPr="008D1918">
        <w:rPr>
          <w:lang w:val="en-AU"/>
        </w:rPr>
        <w:t>-year period; in remote areas the decline was sharper, from 24% to 18% (</w:t>
      </w:r>
      <w:r w:rsidRPr="008D1918" w:rsidR="001E1137">
        <w:rPr>
          <w:lang w:val="en-AU"/>
        </w:rPr>
        <w:fldChar w:fldCharType="begin"/>
      </w:r>
      <w:r w:rsidRPr="008D1918" w:rsidR="001E1137">
        <w:rPr>
          <w:lang w:val="en-AU"/>
        </w:rPr>
        <w:instrText xml:space="preserve"> REF _Ref223683419 \h </w:instrText>
      </w:r>
      <w:r w:rsidRPr="008D1918" w:rsidR="00762DF8">
        <w:rPr>
          <w:lang w:val="en-AU"/>
        </w:rPr>
        <w:instrText xml:space="preserve"> \* MERGEFORMAT </w:instrText>
      </w:r>
      <w:r w:rsidRPr="008D1918" w:rsidR="001E1137">
        <w:rPr>
          <w:lang w:val="en-AU"/>
        </w:rPr>
      </w:r>
      <w:r w:rsidRPr="008D1918" w:rsidR="001E1137">
        <w:rPr>
          <w:lang w:val="en-AU"/>
        </w:rPr>
        <w:fldChar w:fldCharType="separate"/>
      </w:r>
      <w:r w:rsidRPr="008F56A2" w:rsidR="008F56A2">
        <w:rPr>
          <w:lang w:val="en-AU"/>
        </w:rPr>
        <w:t>Figure</w:t>
      </w:r>
      <w:r w:rsidRPr="008D1918" w:rsidR="008F56A2">
        <w:t xml:space="preserve"> </w:t>
      </w:r>
      <w:r w:rsidR="008F56A2">
        <w:rPr>
          <w:noProof/>
        </w:rPr>
        <w:t>52</w:t>
      </w:r>
      <w:r w:rsidRPr="008D1918" w:rsidR="001E1137">
        <w:rPr>
          <w:lang w:val="en-AU"/>
        </w:rPr>
        <w:fldChar w:fldCharType="end"/>
      </w:r>
      <w:r w:rsidRPr="008D1918" w:rsidR="00AE5630">
        <w:rPr>
          <w:lang w:val="en-AU"/>
        </w:rPr>
        <w:t>)</w:t>
      </w:r>
      <w:r w:rsidRPr="008D1918">
        <w:rPr>
          <w:lang w:val="en-AU"/>
        </w:rPr>
        <w:t>.</w:t>
      </w:r>
      <w:r w:rsidRPr="008D1918">
        <w:rPr>
          <w:rFonts w:eastAsia="Segoe UI"/>
          <w:lang w:val="en-AU"/>
        </w:rPr>
        <w:t xml:space="preserve"> This pattern indicates new provider entry has dispersed market share rather than increased concentration</w:t>
      </w:r>
      <w:r w:rsidRPr="008D1918">
        <w:rPr>
          <w:lang w:val="en-AU"/>
        </w:rPr>
        <w:t>.</w:t>
      </w:r>
    </w:p>
    <w:p w:rsidRPr="008D1918" w:rsidR="00601AFC" w:rsidP="001E1137" w:rsidRDefault="001E1137" w14:paraId="4C7DA16C" w14:textId="117257A8">
      <w:pPr>
        <w:pStyle w:val="Caption"/>
        <w:rPr>
          <w:rFonts w:eastAsia="DengXian" w:cs="Cordia New"/>
          <w:i w:val="0"/>
          <w:color w:val="6B2876" w:themeColor="accent5"/>
        </w:rPr>
      </w:pPr>
      <w:bookmarkStart w:name="_Ref223683419" w:id="2083"/>
      <w:r w:rsidRPr="008D1918">
        <w:t xml:space="preserve">Figure </w:t>
      </w:r>
      <w:r>
        <w:fldChar w:fldCharType="begin"/>
      </w:r>
      <w:r>
        <w:instrText>SEQ Figure \* ARABIC</w:instrText>
      </w:r>
      <w:r>
        <w:fldChar w:fldCharType="separate"/>
      </w:r>
      <w:r w:rsidR="008F56A2">
        <w:rPr>
          <w:noProof/>
        </w:rPr>
        <w:t>52</w:t>
      </w:r>
      <w:r>
        <w:fldChar w:fldCharType="end"/>
      </w:r>
      <w:bookmarkEnd w:id="2083"/>
      <w:r w:rsidRPr="008D1918" w:rsidR="00601AFC">
        <w:rPr>
          <w:rFonts w:eastAsia="DengXian" w:cs="Cordia New"/>
          <w:color w:val="6B2876" w:themeColor="accent5"/>
        </w:rPr>
        <w:t>: Top 10 providers’ market share against overall provider growth on S</w:t>
      </w:r>
      <w:r w:rsidRPr="008D1918" w:rsidR="00476700">
        <w:rPr>
          <w:rFonts w:eastAsia="DengXian" w:cs="Cordia New"/>
          <w:color w:val="6B2876" w:themeColor="accent5"/>
        </w:rPr>
        <w:t>C</w:t>
      </w:r>
      <w:r w:rsidRPr="008D1918" w:rsidR="00601AFC">
        <w:rPr>
          <w:rFonts w:eastAsia="DengXian" w:cs="Cordia New"/>
          <w:color w:val="6B2876" w:themeColor="accent5"/>
        </w:rPr>
        <w:t>CP supports, January 2023 to December 2025</w:t>
      </w:r>
    </w:p>
    <w:p w:rsidRPr="008D1918" w:rsidR="00601AFC" w:rsidP="005243C1" w:rsidRDefault="00601AFC" w14:paraId="0AA67FB5" w14:textId="77777777">
      <w:pPr>
        <w:spacing w:after="360"/>
        <w:jc w:val="center"/>
        <w:rPr>
          <w:lang w:val="en-AU"/>
        </w:rPr>
      </w:pPr>
      <w:r w:rsidRPr="008D1918">
        <w:rPr>
          <w:noProof/>
          <w:lang w:val="en-AU"/>
        </w:rPr>
        <w:drawing>
          <wp:inline distT="0" distB="0" distL="0" distR="0" wp14:anchorId="167C0C14" wp14:editId="518EF0C7">
            <wp:extent cx="5680800" cy="3290400"/>
            <wp:effectExtent l="0" t="0" r="0" b="5715"/>
            <wp:docPr id="996748670" name="Picture 19" descr="Figure 52: An intersecting bar and line graph indicates the market share of the top 10 providers alongside overall provider growth for SCP supports, measured in six-month intervals from January 2023 to December 2025. &#10;The provider count is 99,365 and the top 10 market share percentage is 5.4% from July to December 2025.&#10;Source: NDIA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48670" name="Picture 19" descr="Figure 52: An intersecting bar and line graph indicates the market share of the top 10 providers alongside overall provider growth for SCP supports, measured in six-month intervals from January 2023 to December 2025. &#10;The provider count is 99,365 and the top 10 market share percentage is 5.4% from July to December 2025.&#10;Source: NDIA internal data."/>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601AFC" w:rsidRDefault="00601AFC" w14:paraId="6D5BB015" w14:textId="7C3EFB35">
      <w:pPr>
        <w:rPr>
          <w:lang w:val="en-AU"/>
        </w:rPr>
      </w:pPr>
      <w:r w:rsidRPr="008D1918">
        <w:rPr>
          <w:lang w:val="en-AU"/>
        </w:rPr>
        <w:t>Provider numbers increased across all remoteness categories between January 2023 and December 2025</w:t>
      </w:r>
      <w:r w:rsidRPr="008D1918" w:rsidR="002E610F">
        <w:rPr>
          <w:lang w:val="en-AU"/>
        </w:rPr>
        <w:t>.</w:t>
      </w:r>
      <w:r w:rsidRPr="008D1918">
        <w:rPr>
          <w:lang w:val="en-AU"/>
        </w:rPr>
        <w:t xml:space="preserve"> In non-remote and very</w:t>
      </w:r>
      <w:r w:rsidRPr="008D1918" w:rsidR="005B21EF">
        <w:rPr>
          <w:lang w:val="en-AU"/>
        </w:rPr>
        <w:t xml:space="preserve"> </w:t>
      </w:r>
      <w:r w:rsidRPr="008D1918">
        <w:rPr>
          <w:lang w:val="en-AU"/>
        </w:rPr>
        <w:t>remote areas registered provider growth outpaced unregistered provider growth (</w:t>
      </w:r>
      <w:r w:rsidRPr="008D1918" w:rsidR="00B930AF">
        <w:rPr>
          <w:lang w:val="en-AU"/>
        </w:rPr>
        <w:fldChar w:fldCharType="begin"/>
      </w:r>
      <w:r w:rsidRPr="008D1918" w:rsidR="00B930AF">
        <w:rPr>
          <w:lang w:val="en-AU"/>
        </w:rPr>
        <w:instrText xml:space="preserve"> REF _Ref223697358 \h </w:instrText>
      </w:r>
      <w:r w:rsidRPr="008D1918" w:rsidR="00762DF8">
        <w:rPr>
          <w:lang w:val="en-AU"/>
        </w:rPr>
        <w:instrText xml:space="preserve"> \* MERGEFORMAT </w:instrText>
      </w:r>
      <w:r w:rsidRPr="008D1918" w:rsidR="00B930AF">
        <w:rPr>
          <w:lang w:val="en-AU"/>
        </w:rPr>
      </w:r>
      <w:r w:rsidRPr="008D1918" w:rsidR="00B930AF">
        <w:rPr>
          <w:lang w:val="en-AU"/>
        </w:rPr>
        <w:fldChar w:fldCharType="separate"/>
      </w:r>
      <w:r w:rsidRPr="008F56A2" w:rsidR="008F56A2">
        <w:rPr>
          <w:lang w:val="en-AU"/>
        </w:rPr>
        <w:t>Table</w:t>
      </w:r>
      <w:r w:rsidRPr="008D1918" w:rsidR="008F56A2">
        <w:t xml:space="preserve"> </w:t>
      </w:r>
      <w:r w:rsidR="008F56A2">
        <w:rPr>
          <w:noProof/>
        </w:rPr>
        <w:t>50</w:t>
      </w:r>
      <w:r w:rsidRPr="008D1918" w:rsidR="00B930AF">
        <w:rPr>
          <w:lang w:val="en-AU"/>
        </w:rPr>
        <w:fldChar w:fldCharType="end"/>
      </w:r>
      <w:r w:rsidRPr="008D1918">
        <w:rPr>
          <w:lang w:val="en-AU"/>
        </w:rPr>
        <w:t xml:space="preserve">, </w:t>
      </w:r>
      <w:r w:rsidRPr="008D1918" w:rsidR="00B930AF">
        <w:rPr>
          <w:lang w:val="en-AU"/>
        </w:rPr>
        <w:fldChar w:fldCharType="begin"/>
      </w:r>
      <w:r w:rsidRPr="008D1918" w:rsidR="00B930AF">
        <w:rPr>
          <w:lang w:val="en-AU"/>
        </w:rPr>
        <w:instrText xml:space="preserve"> REF _Ref223697387 \h </w:instrText>
      </w:r>
      <w:r w:rsidRPr="008D1918" w:rsidR="00762DF8">
        <w:rPr>
          <w:lang w:val="en-AU"/>
        </w:rPr>
        <w:instrText xml:space="preserve"> \* MERGEFORMAT </w:instrText>
      </w:r>
      <w:r w:rsidRPr="008D1918" w:rsidR="00B930AF">
        <w:rPr>
          <w:lang w:val="en-AU"/>
        </w:rPr>
      </w:r>
      <w:r w:rsidRPr="008D1918" w:rsidR="00B930AF">
        <w:rPr>
          <w:lang w:val="en-AU"/>
        </w:rPr>
        <w:fldChar w:fldCharType="separate"/>
      </w:r>
      <w:r w:rsidRPr="008F56A2" w:rsidR="008F56A2">
        <w:rPr>
          <w:lang w:val="en-AU"/>
        </w:rPr>
        <w:t>Table</w:t>
      </w:r>
      <w:r w:rsidRPr="008D1918" w:rsidR="008F56A2">
        <w:t xml:space="preserve"> </w:t>
      </w:r>
      <w:r w:rsidR="008F56A2">
        <w:rPr>
          <w:noProof/>
        </w:rPr>
        <w:t>51</w:t>
      </w:r>
      <w:r w:rsidRPr="008D1918" w:rsidR="00B930AF">
        <w:rPr>
          <w:lang w:val="en-AU"/>
        </w:rPr>
        <w:fldChar w:fldCharType="end"/>
      </w:r>
      <w:r w:rsidRPr="008D1918" w:rsidR="00FE43D8">
        <w:rPr>
          <w:lang w:val="en-AU"/>
        </w:rPr>
        <w:t>,</w:t>
      </w:r>
      <w:r w:rsidRPr="008D1918">
        <w:rPr>
          <w:lang w:val="en-AU"/>
        </w:rPr>
        <w:t xml:space="preserve"> </w:t>
      </w:r>
      <w:r w:rsidRPr="008D1918" w:rsidR="00B930AF">
        <w:rPr>
          <w:lang w:val="en-AU"/>
        </w:rPr>
        <w:fldChar w:fldCharType="begin"/>
      </w:r>
      <w:r w:rsidRPr="008D1918" w:rsidR="00B930AF">
        <w:rPr>
          <w:lang w:val="en-AU"/>
        </w:rPr>
        <w:instrText xml:space="preserve"> REF _Ref223697409 \h </w:instrText>
      </w:r>
      <w:r w:rsidRPr="008D1918" w:rsidR="00762DF8">
        <w:rPr>
          <w:lang w:val="en-AU"/>
        </w:rPr>
        <w:instrText xml:space="preserve"> \* MERGEFORMAT </w:instrText>
      </w:r>
      <w:r w:rsidRPr="008D1918" w:rsidR="00B930AF">
        <w:rPr>
          <w:lang w:val="en-AU"/>
        </w:rPr>
      </w:r>
      <w:r w:rsidRPr="008D1918" w:rsidR="00B930AF">
        <w:rPr>
          <w:lang w:val="en-AU"/>
        </w:rPr>
        <w:fldChar w:fldCharType="separate"/>
      </w:r>
      <w:r w:rsidRPr="008F56A2" w:rsidR="008F56A2">
        <w:rPr>
          <w:lang w:val="en-AU"/>
        </w:rPr>
        <w:t>Table</w:t>
      </w:r>
      <w:r w:rsidRPr="008D1918" w:rsidR="008F56A2">
        <w:t xml:space="preserve"> </w:t>
      </w:r>
      <w:r w:rsidR="008F56A2">
        <w:rPr>
          <w:noProof/>
        </w:rPr>
        <w:t>52</w:t>
      </w:r>
      <w:r w:rsidRPr="008D1918" w:rsidR="00B930AF">
        <w:rPr>
          <w:lang w:val="en-AU"/>
        </w:rPr>
        <w:fldChar w:fldCharType="end"/>
      </w:r>
      <w:r w:rsidRPr="008D1918" w:rsidR="00FE43D8">
        <w:rPr>
          <w:lang w:val="en-AU"/>
        </w:rPr>
        <w:t xml:space="preserve"> </w:t>
      </w:r>
      <w:r w:rsidRPr="008D1918">
        <w:rPr>
          <w:lang w:val="en-AU"/>
        </w:rPr>
        <w:t>and</w:t>
      </w:r>
      <w:r w:rsidRPr="008D1918" w:rsidR="00FE43D8">
        <w:rPr>
          <w:lang w:val="en-AU"/>
        </w:rPr>
        <w:t xml:space="preserve"> </w:t>
      </w:r>
      <w:r w:rsidRPr="008D1918" w:rsidR="00FE43D8">
        <w:rPr>
          <w:lang w:val="en-AU"/>
        </w:rPr>
        <w:fldChar w:fldCharType="begin"/>
      </w:r>
      <w:r w:rsidRPr="008D1918" w:rsidR="00FE43D8">
        <w:rPr>
          <w:lang w:val="en-AU"/>
        </w:rPr>
        <w:instrText xml:space="preserve"> REF _Ref227133620 \h </w:instrText>
      </w:r>
      <w:r w:rsidR="008D1918">
        <w:rPr>
          <w:lang w:val="en-AU"/>
        </w:rPr>
        <w:instrText xml:space="preserve"> \* MERGEFORMAT </w:instrText>
      </w:r>
      <w:r w:rsidRPr="008D1918" w:rsidR="00FE43D8">
        <w:rPr>
          <w:lang w:val="en-AU"/>
        </w:rPr>
      </w:r>
      <w:r w:rsidRPr="008D1918" w:rsidR="00FE43D8">
        <w:rPr>
          <w:lang w:val="en-AU"/>
        </w:rPr>
        <w:fldChar w:fldCharType="separate"/>
      </w:r>
      <w:r w:rsidRPr="008D1918" w:rsidR="008F56A2">
        <w:t xml:space="preserve">Figure </w:t>
      </w:r>
      <w:r w:rsidR="008F56A2">
        <w:rPr>
          <w:noProof/>
        </w:rPr>
        <w:t>53</w:t>
      </w:r>
      <w:r w:rsidRPr="008D1918" w:rsidR="00FE43D8">
        <w:rPr>
          <w:lang w:val="en-AU"/>
        </w:rPr>
        <w:fldChar w:fldCharType="end"/>
      </w:r>
      <w:r w:rsidRPr="008D1918">
        <w:rPr>
          <w:lang w:val="en-AU"/>
        </w:rPr>
        <w:t>). In remote areas the pattern was more even. The S</w:t>
      </w:r>
      <w:r w:rsidRPr="008D1918" w:rsidR="00476700">
        <w:rPr>
          <w:lang w:val="en-AU"/>
        </w:rPr>
        <w:t>C</w:t>
      </w:r>
      <w:r w:rsidRPr="008D1918">
        <w:rPr>
          <w:lang w:val="en-AU"/>
        </w:rPr>
        <w:t>CP market is expanding in all geographic settings with no evidence of supply contraction in thin markets.</w:t>
      </w:r>
    </w:p>
    <w:p w:rsidRPr="008D1918" w:rsidR="00601AFC" w:rsidP="00B930AF" w:rsidRDefault="00B930AF" w14:paraId="717F10BC" w14:textId="6DD11AE2">
      <w:pPr>
        <w:pStyle w:val="Caption"/>
      </w:pPr>
      <w:bookmarkStart w:name="_Ref223697358" w:id="2084"/>
      <w:r w:rsidRPr="008D1918">
        <w:t xml:space="preserve">Table </w:t>
      </w:r>
      <w:r>
        <w:fldChar w:fldCharType="begin"/>
      </w:r>
      <w:r>
        <w:instrText>SEQ Table \* ARABIC</w:instrText>
      </w:r>
      <w:r>
        <w:fldChar w:fldCharType="separate"/>
      </w:r>
      <w:r w:rsidR="008F56A2">
        <w:rPr>
          <w:noProof/>
        </w:rPr>
        <w:t>50</w:t>
      </w:r>
      <w:r>
        <w:fldChar w:fldCharType="end"/>
      </w:r>
      <w:bookmarkEnd w:id="2084"/>
      <w:r w:rsidRPr="008D1918" w:rsidR="00601AFC">
        <w:t>: S</w:t>
      </w:r>
      <w:r w:rsidRPr="008D1918" w:rsidR="00476700">
        <w:t>C</w:t>
      </w:r>
      <w:r w:rsidRPr="008D1918" w:rsidR="00601AFC">
        <w:t xml:space="preserve">CP supports </w:t>
      </w:r>
      <w:r w:rsidRPr="008D1918" w:rsidR="001E0469">
        <w:t>S</w:t>
      </w:r>
      <w:r w:rsidRPr="008D1918" w:rsidR="00601AFC">
        <w:t>cheme statistics – non-remote locations, January 2023 to December 2025</w:t>
      </w:r>
    </w:p>
    <w:tbl>
      <w:tblPr>
        <w:tblStyle w:val="GridTable4-Accent121"/>
        <w:tblW w:w="0" w:type="auto"/>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588"/>
        <w:gridCol w:w="1191"/>
        <w:gridCol w:w="1191"/>
        <w:gridCol w:w="1191"/>
        <w:gridCol w:w="1191"/>
        <w:gridCol w:w="1191"/>
        <w:gridCol w:w="1191"/>
      </w:tblGrid>
      <w:tr w:rsidRPr="008D1918" w:rsidR="00A238C6" w:rsidTr="00B930AF" w14:paraId="2A38B090" w14:textId="77777777">
        <w:trPr>
          <w:cnfStyle w:val="100000000000" w:firstRow="1" w:lastRow="0" w:firstColumn="0" w:lastColumn="0" w:oddVBand="0" w:evenVBand="0" w:oddHBand="0" w:evenHBand="0" w:firstRowFirstColumn="0" w:firstRowLastColumn="0" w:lastRowFirstColumn="0" w:lastRowLastColumn="0"/>
          <w:trHeight w:val="567"/>
        </w:trPr>
        <w:tc>
          <w:tcPr>
            <w:tcW w:w="1588" w:type="dxa"/>
            <w:vAlign w:val="center"/>
          </w:tcPr>
          <w:p w:rsidRPr="008D1918" w:rsidR="00CB0153" w:rsidP="00B930AF" w:rsidRDefault="00CB0153" w14:paraId="31185C8D" w14:textId="286E9E8C">
            <w:pPr>
              <w:spacing w:before="60" w:after="60"/>
              <w:rPr>
                <w:rFonts w:cs="Calibri"/>
                <w:sz w:val="20"/>
                <w:szCs w:val="20"/>
                <w:lang w:val="en-AU" w:eastAsia="en-AU"/>
              </w:rPr>
            </w:pPr>
            <w:r w:rsidRPr="008D1918">
              <w:rPr>
                <w:rFonts w:cs="Cordia New"/>
                <w:sz w:val="20"/>
                <w:szCs w:val="20"/>
                <w:lang w:val="en-AU"/>
              </w:rPr>
              <w:t>Remoteness</w:t>
            </w:r>
          </w:p>
        </w:tc>
        <w:tc>
          <w:tcPr>
            <w:tcW w:w="1191" w:type="dxa"/>
            <w:vAlign w:val="center"/>
          </w:tcPr>
          <w:p w:rsidRPr="008D1918" w:rsidR="00CB0153" w:rsidP="00B930AF" w:rsidRDefault="00CB0153" w14:paraId="0EA355AF" w14:textId="77777777">
            <w:pPr>
              <w:spacing w:before="60" w:after="0"/>
              <w:jc w:val="right"/>
              <w:rPr>
                <w:rFonts w:cs="Cordia New"/>
                <w:sz w:val="20"/>
                <w:szCs w:val="20"/>
                <w:lang w:val="en-AU"/>
              </w:rPr>
            </w:pPr>
            <w:r w:rsidRPr="008D1918">
              <w:rPr>
                <w:rFonts w:cs="Cordia New"/>
                <w:sz w:val="20"/>
                <w:szCs w:val="20"/>
                <w:lang w:val="en-AU"/>
              </w:rPr>
              <w:t>January – June</w:t>
            </w:r>
          </w:p>
          <w:p w:rsidRPr="008D1918" w:rsidR="00CB0153" w:rsidP="00B930AF" w:rsidRDefault="00CB0153" w14:paraId="2B1AC07D" w14:textId="77777777">
            <w:pPr>
              <w:spacing w:before="0" w:after="60"/>
              <w:jc w:val="right"/>
              <w:rPr>
                <w:rFonts w:cs="Calibri"/>
                <w:sz w:val="20"/>
                <w:szCs w:val="20"/>
                <w:lang w:val="en-AU" w:eastAsia="en-AU"/>
              </w:rPr>
            </w:pPr>
            <w:r w:rsidRPr="008D1918">
              <w:rPr>
                <w:rFonts w:cs="Cordia New"/>
                <w:sz w:val="20"/>
                <w:szCs w:val="20"/>
                <w:lang w:val="en-AU"/>
              </w:rPr>
              <w:t>2023</w:t>
            </w:r>
          </w:p>
        </w:tc>
        <w:tc>
          <w:tcPr>
            <w:tcW w:w="1191" w:type="dxa"/>
            <w:vAlign w:val="center"/>
          </w:tcPr>
          <w:p w:rsidRPr="008D1918" w:rsidR="00CB0153" w:rsidP="00B930AF" w:rsidRDefault="00CB0153" w14:paraId="3C5751CE" w14:textId="77777777">
            <w:pPr>
              <w:spacing w:before="60" w:after="60"/>
              <w:jc w:val="right"/>
              <w:rPr>
                <w:rFonts w:cs="Calibri"/>
                <w:sz w:val="20"/>
                <w:szCs w:val="20"/>
                <w:lang w:val="en-AU" w:eastAsia="en-AU"/>
              </w:rPr>
            </w:pPr>
            <w:r w:rsidRPr="008D1918">
              <w:rPr>
                <w:rFonts w:cs="Cordia New"/>
                <w:sz w:val="20"/>
                <w:szCs w:val="20"/>
                <w:lang w:val="en-AU"/>
              </w:rPr>
              <w:t>July – December 2023</w:t>
            </w:r>
          </w:p>
        </w:tc>
        <w:tc>
          <w:tcPr>
            <w:tcW w:w="1191" w:type="dxa"/>
            <w:vAlign w:val="center"/>
          </w:tcPr>
          <w:p w:rsidRPr="008D1918" w:rsidR="00CB0153" w:rsidP="00B930AF" w:rsidRDefault="00CB0153" w14:paraId="7CEA0FDE" w14:textId="77777777">
            <w:pPr>
              <w:spacing w:before="60" w:after="0"/>
              <w:jc w:val="right"/>
              <w:rPr>
                <w:rFonts w:cs="Cordia New"/>
                <w:sz w:val="20"/>
                <w:szCs w:val="20"/>
                <w:lang w:val="en-AU"/>
              </w:rPr>
            </w:pPr>
            <w:r w:rsidRPr="008D1918">
              <w:rPr>
                <w:rFonts w:cs="Cordia New"/>
                <w:sz w:val="20"/>
                <w:szCs w:val="20"/>
                <w:lang w:val="en-AU"/>
              </w:rPr>
              <w:t>January – June</w:t>
            </w:r>
          </w:p>
          <w:p w:rsidRPr="008D1918" w:rsidR="00CB0153" w:rsidP="00B930AF" w:rsidRDefault="00CB0153" w14:paraId="3A6FB527" w14:textId="77777777">
            <w:pPr>
              <w:spacing w:before="0" w:after="60"/>
              <w:jc w:val="right"/>
              <w:rPr>
                <w:rFonts w:cs="Calibri"/>
                <w:sz w:val="20"/>
                <w:szCs w:val="20"/>
                <w:lang w:val="en-AU" w:eastAsia="en-AU"/>
              </w:rPr>
            </w:pPr>
            <w:r w:rsidRPr="008D1918">
              <w:rPr>
                <w:rFonts w:cs="Cordia New"/>
                <w:sz w:val="20"/>
                <w:szCs w:val="20"/>
                <w:lang w:val="en-AU"/>
              </w:rPr>
              <w:t>2024</w:t>
            </w:r>
          </w:p>
        </w:tc>
        <w:tc>
          <w:tcPr>
            <w:tcW w:w="1191" w:type="dxa"/>
            <w:vAlign w:val="center"/>
          </w:tcPr>
          <w:p w:rsidRPr="008D1918" w:rsidR="00CB0153" w:rsidP="00B930AF" w:rsidRDefault="00CB0153" w14:paraId="6A857C98" w14:textId="77777777">
            <w:pPr>
              <w:spacing w:before="60" w:after="60"/>
              <w:jc w:val="right"/>
              <w:rPr>
                <w:rFonts w:cs="Calibri"/>
                <w:sz w:val="20"/>
                <w:szCs w:val="20"/>
                <w:lang w:val="en-AU" w:eastAsia="en-AU"/>
              </w:rPr>
            </w:pPr>
            <w:r w:rsidRPr="008D1918">
              <w:rPr>
                <w:rFonts w:cs="Cordia New"/>
                <w:sz w:val="20"/>
                <w:szCs w:val="20"/>
                <w:lang w:val="en-AU"/>
              </w:rPr>
              <w:t>July – December 2024</w:t>
            </w:r>
          </w:p>
        </w:tc>
        <w:tc>
          <w:tcPr>
            <w:tcW w:w="1191" w:type="dxa"/>
            <w:vAlign w:val="center"/>
          </w:tcPr>
          <w:p w:rsidRPr="008D1918" w:rsidR="00CB0153" w:rsidP="00B930AF" w:rsidRDefault="00CB0153" w14:paraId="1E09D4D9" w14:textId="77777777">
            <w:pPr>
              <w:spacing w:before="60" w:after="0"/>
              <w:jc w:val="right"/>
              <w:rPr>
                <w:rFonts w:cs="Cordia New"/>
                <w:sz w:val="20"/>
                <w:szCs w:val="20"/>
                <w:lang w:val="en-AU"/>
              </w:rPr>
            </w:pPr>
            <w:r w:rsidRPr="008D1918">
              <w:rPr>
                <w:rFonts w:cs="Cordia New"/>
                <w:sz w:val="20"/>
                <w:szCs w:val="20"/>
                <w:lang w:val="en-AU"/>
              </w:rPr>
              <w:t>January – June</w:t>
            </w:r>
          </w:p>
          <w:p w:rsidRPr="008D1918" w:rsidR="00CB0153" w:rsidP="00B930AF" w:rsidRDefault="00CB0153" w14:paraId="7A374572" w14:textId="77777777">
            <w:pPr>
              <w:spacing w:before="0" w:after="60"/>
              <w:jc w:val="right"/>
              <w:rPr>
                <w:rFonts w:cs="Calibri"/>
                <w:sz w:val="20"/>
                <w:szCs w:val="20"/>
                <w:lang w:val="en-AU" w:eastAsia="en-AU"/>
              </w:rPr>
            </w:pPr>
            <w:r w:rsidRPr="008D1918">
              <w:rPr>
                <w:rFonts w:cs="Cordia New"/>
                <w:sz w:val="20"/>
                <w:szCs w:val="20"/>
                <w:lang w:val="en-AU"/>
              </w:rPr>
              <w:t>2025</w:t>
            </w:r>
          </w:p>
        </w:tc>
        <w:tc>
          <w:tcPr>
            <w:tcW w:w="1191" w:type="dxa"/>
            <w:vAlign w:val="center"/>
          </w:tcPr>
          <w:p w:rsidRPr="008D1918" w:rsidR="00CB0153" w:rsidP="00B930AF" w:rsidRDefault="00CB0153" w14:paraId="35702498" w14:textId="77777777">
            <w:pPr>
              <w:spacing w:before="60" w:after="60"/>
              <w:jc w:val="right"/>
              <w:rPr>
                <w:rFonts w:cs="Calibri"/>
                <w:sz w:val="20"/>
                <w:szCs w:val="20"/>
                <w:lang w:val="en-AU" w:eastAsia="en-AU"/>
              </w:rPr>
            </w:pPr>
            <w:r w:rsidRPr="008D1918">
              <w:rPr>
                <w:rFonts w:cs="Cordia New"/>
                <w:sz w:val="20"/>
                <w:szCs w:val="20"/>
                <w:lang w:val="en-AU"/>
              </w:rPr>
              <w:t>July – December 2025</w:t>
            </w:r>
          </w:p>
        </w:tc>
      </w:tr>
      <w:tr w:rsidRPr="008D1918" w:rsidR="00A238C6" w:rsidTr="00CB0153" w14:paraId="3E77506D" w14:textId="77777777">
        <w:trPr>
          <w:cnfStyle w:val="000000100000" w:firstRow="0" w:lastRow="0" w:firstColumn="0" w:lastColumn="0" w:oddVBand="0" w:evenVBand="0" w:oddHBand="1" w:evenHBand="0" w:firstRowFirstColumn="0" w:firstRowLastColumn="0" w:lastRowFirstColumn="0" w:lastRowLastColumn="0"/>
          <w:trHeight w:val="397"/>
        </w:trPr>
        <w:tc>
          <w:tcPr>
            <w:tcW w:w="1588" w:type="dxa"/>
            <w:vAlign w:val="center"/>
          </w:tcPr>
          <w:p w:rsidRPr="008D1918" w:rsidR="00CB0153" w:rsidP="00CB0153" w:rsidRDefault="00CB0153" w14:paraId="5BDA59E1" w14:textId="77777777">
            <w:pPr>
              <w:spacing w:before="60" w:after="60"/>
              <w:rPr>
                <w:rFonts w:cs="Calibri"/>
                <w:sz w:val="20"/>
                <w:szCs w:val="20"/>
                <w:lang w:val="en-AU" w:eastAsia="en-AU"/>
              </w:rPr>
            </w:pPr>
            <w:r w:rsidRPr="008D1918">
              <w:rPr>
                <w:rFonts w:cs="Cordia New"/>
                <w:sz w:val="20"/>
                <w:szCs w:val="20"/>
                <w:lang w:val="en-AU"/>
              </w:rPr>
              <w:t>Registered</w:t>
            </w:r>
          </w:p>
        </w:tc>
        <w:tc>
          <w:tcPr>
            <w:tcW w:w="1191" w:type="dxa"/>
            <w:vAlign w:val="center"/>
          </w:tcPr>
          <w:p w:rsidRPr="008D1918" w:rsidR="00CB0153" w:rsidP="00B930AF" w:rsidRDefault="00CB0153" w14:paraId="62B6F736" w14:textId="4829437D">
            <w:pPr>
              <w:spacing w:before="60" w:after="60"/>
              <w:ind w:right="124"/>
              <w:jc w:val="right"/>
              <w:rPr>
                <w:rFonts w:cs="Calibri"/>
                <w:color w:val="000000"/>
                <w:sz w:val="20"/>
                <w:szCs w:val="20"/>
                <w:lang w:val="en-AU" w:eastAsia="en-AU"/>
              </w:rPr>
            </w:pPr>
            <w:r w:rsidRPr="008D1918">
              <w:rPr>
                <w:sz w:val="20"/>
                <w:szCs w:val="20"/>
                <w:lang w:val="en-AU"/>
              </w:rPr>
              <w:t>6,468</w:t>
            </w:r>
          </w:p>
        </w:tc>
        <w:tc>
          <w:tcPr>
            <w:tcW w:w="1191" w:type="dxa"/>
            <w:vAlign w:val="center"/>
          </w:tcPr>
          <w:p w:rsidRPr="008D1918" w:rsidR="00CB0153" w:rsidP="00B930AF" w:rsidRDefault="00CB0153" w14:paraId="2036B0BB" w14:textId="43D1AAAB">
            <w:pPr>
              <w:spacing w:before="60" w:after="60"/>
              <w:ind w:right="124"/>
              <w:jc w:val="right"/>
              <w:rPr>
                <w:rFonts w:cs="Calibri"/>
                <w:color w:val="000000"/>
                <w:sz w:val="20"/>
                <w:szCs w:val="20"/>
                <w:lang w:val="en-AU" w:eastAsia="en-AU"/>
              </w:rPr>
            </w:pPr>
            <w:r w:rsidRPr="008D1918">
              <w:rPr>
                <w:sz w:val="20"/>
                <w:szCs w:val="20"/>
                <w:lang w:val="en-AU"/>
              </w:rPr>
              <w:t>6,541</w:t>
            </w:r>
          </w:p>
        </w:tc>
        <w:tc>
          <w:tcPr>
            <w:tcW w:w="1191" w:type="dxa"/>
            <w:vAlign w:val="center"/>
          </w:tcPr>
          <w:p w:rsidRPr="008D1918" w:rsidR="00CB0153" w:rsidP="00B930AF" w:rsidRDefault="00CB0153" w14:paraId="6D26AECD" w14:textId="0F5051E3">
            <w:pPr>
              <w:spacing w:before="60" w:after="60"/>
              <w:ind w:right="124"/>
              <w:jc w:val="right"/>
              <w:rPr>
                <w:rFonts w:cs="Calibri"/>
                <w:color w:val="000000"/>
                <w:sz w:val="20"/>
                <w:szCs w:val="20"/>
                <w:lang w:val="en-AU" w:eastAsia="en-AU"/>
              </w:rPr>
            </w:pPr>
            <w:r w:rsidRPr="008D1918">
              <w:rPr>
                <w:sz w:val="20"/>
                <w:szCs w:val="20"/>
                <w:lang w:val="en-AU"/>
              </w:rPr>
              <w:t>7,286</w:t>
            </w:r>
          </w:p>
        </w:tc>
        <w:tc>
          <w:tcPr>
            <w:tcW w:w="1191" w:type="dxa"/>
            <w:vAlign w:val="center"/>
          </w:tcPr>
          <w:p w:rsidRPr="008D1918" w:rsidR="00CB0153" w:rsidP="00B930AF" w:rsidRDefault="00CB0153" w14:paraId="000CE982" w14:textId="2A8F0A77">
            <w:pPr>
              <w:spacing w:before="60" w:after="60"/>
              <w:ind w:right="124"/>
              <w:jc w:val="right"/>
              <w:rPr>
                <w:rFonts w:cs="Calibri"/>
                <w:color w:val="000000"/>
                <w:sz w:val="20"/>
                <w:szCs w:val="20"/>
                <w:lang w:val="en-AU" w:eastAsia="en-AU"/>
              </w:rPr>
            </w:pPr>
            <w:r w:rsidRPr="008D1918">
              <w:rPr>
                <w:sz w:val="20"/>
                <w:szCs w:val="20"/>
                <w:lang w:val="en-AU"/>
              </w:rPr>
              <w:t>8,260</w:t>
            </w:r>
          </w:p>
        </w:tc>
        <w:tc>
          <w:tcPr>
            <w:tcW w:w="1191" w:type="dxa"/>
            <w:vAlign w:val="center"/>
          </w:tcPr>
          <w:p w:rsidRPr="008D1918" w:rsidR="00CB0153" w:rsidP="00B930AF" w:rsidRDefault="00CB0153" w14:paraId="0A66DD99" w14:textId="7DE5B0F3">
            <w:pPr>
              <w:spacing w:before="60" w:after="60"/>
              <w:ind w:right="124"/>
              <w:jc w:val="right"/>
              <w:rPr>
                <w:rFonts w:cs="Calibri"/>
                <w:sz w:val="20"/>
                <w:szCs w:val="20"/>
                <w:lang w:val="en-AU"/>
              </w:rPr>
            </w:pPr>
            <w:r w:rsidRPr="008D1918">
              <w:rPr>
                <w:sz w:val="20"/>
                <w:szCs w:val="20"/>
                <w:lang w:val="en-AU"/>
              </w:rPr>
              <w:t>8,923</w:t>
            </w:r>
          </w:p>
        </w:tc>
        <w:tc>
          <w:tcPr>
            <w:tcW w:w="1191" w:type="dxa"/>
            <w:vAlign w:val="center"/>
          </w:tcPr>
          <w:p w:rsidRPr="008D1918" w:rsidR="00CB0153" w:rsidP="00B930AF" w:rsidRDefault="00CB0153" w14:paraId="274FE0FF" w14:textId="0CC88170">
            <w:pPr>
              <w:spacing w:before="60" w:after="60"/>
              <w:ind w:right="124"/>
              <w:jc w:val="right"/>
              <w:rPr>
                <w:rFonts w:cs="Calibri"/>
                <w:sz w:val="20"/>
                <w:szCs w:val="20"/>
                <w:lang w:val="en-AU"/>
              </w:rPr>
            </w:pPr>
            <w:r w:rsidRPr="008D1918">
              <w:rPr>
                <w:sz w:val="20"/>
                <w:szCs w:val="20"/>
                <w:lang w:val="en-AU"/>
              </w:rPr>
              <w:t>10,284</w:t>
            </w:r>
          </w:p>
        </w:tc>
      </w:tr>
      <w:tr w:rsidRPr="008D1918" w:rsidR="00CB0153" w:rsidTr="00CB0153" w14:paraId="695ED42E" w14:textId="77777777">
        <w:trPr>
          <w:trHeight w:val="397"/>
        </w:trPr>
        <w:tc>
          <w:tcPr>
            <w:tcW w:w="1588" w:type="dxa"/>
            <w:vAlign w:val="center"/>
          </w:tcPr>
          <w:p w:rsidRPr="008D1918" w:rsidR="00CB0153" w:rsidP="00CB0153" w:rsidRDefault="00CB0153" w14:paraId="0255394C" w14:textId="77777777">
            <w:pPr>
              <w:spacing w:before="60" w:after="60"/>
              <w:rPr>
                <w:rFonts w:cs="Calibri"/>
                <w:sz w:val="20"/>
                <w:szCs w:val="20"/>
                <w:lang w:val="en-AU" w:eastAsia="en-AU"/>
              </w:rPr>
            </w:pPr>
            <w:r w:rsidRPr="008D1918">
              <w:rPr>
                <w:rFonts w:cs="Cordia New"/>
                <w:sz w:val="20"/>
                <w:szCs w:val="20"/>
                <w:lang w:val="en-AU"/>
              </w:rPr>
              <w:t>Unregistered</w:t>
            </w:r>
          </w:p>
        </w:tc>
        <w:tc>
          <w:tcPr>
            <w:tcW w:w="1191" w:type="dxa"/>
            <w:vAlign w:val="center"/>
          </w:tcPr>
          <w:p w:rsidRPr="008D1918" w:rsidR="00CB0153" w:rsidP="00B930AF" w:rsidRDefault="00CB0153" w14:paraId="1A83C7F7" w14:textId="22BF0A3F">
            <w:pPr>
              <w:spacing w:before="60" w:after="60"/>
              <w:ind w:right="124"/>
              <w:jc w:val="right"/>
              <w:rPr>
                <w:rFonts w:cs="Calibri"/>
                <w:color w:val="000000"/>
                <w:sz w:val="20"/>
                <w:szCs w:val="20"/>
                <w:lang w:val="en-AU" w:eastAsia="en-AU"/>
              </w:rPr>
            </w:pPr>
            <w:r w:rsidRPr="008D1918">
              <w:rPr>
                <w:sz w:val="20"/>
                <w:szCs w:val="20"/>
                <w:lang w:val="en-AU"/>
              </w:rPr>
              <w:t>63,713</w:t>
            </w:r>
          </w:p>
        </w:tc>
        <w:tc>
          <w:tcPr>
            <w:tcW w:w="1191" w:type="dxa"/>
            <w:vAlign w:val="center"/>
          </w:tcPr>
          <w:p w:rsidRPr="008D1918" w:rsidR="00CB0153" w:rsidP="00B930AF" w:rsidRDefault="00CB0153" w14:paraId="4C9B20C7" w14:textId="04ECFA4F">
            <w:pPr>
              <w:spacing w:before="60" w:after="60"/>
              <w:ind w:right="124"/>
              <w:jc w:val="right"/>
              <w:rPr>
                <w:rFonts w:cs="Calibri"/>
                <w:color w:val="000000"/>
                <w:sz w:val="20"/>
                <w:szCs w:val="20"/>
                <w:lang w:val="en-AU" w:eastAsia="en-AU"/>
              </w:rPr>
            </w:pPr>
            <w:r w:rsidRPr="008D1918">
              <w:rPr>
                <w:sz w:val="20"/>
                <w:szCs w:val="20"/>
                <w:lang w:val="en-AU"/>
              </w:rPr>
              <w:t>71,000</w:t>
            </w:r>
          </w:p>
        </w:tc>
        <w:tc>
          <w:tcPr>
            <w:tcW w:w="1191" w:type="dxa"/>
            <w:vAlign w:val="center"/>
          </w:tcPr>
          <w:p w:rsidRPr="008D1918" w:rsidR="00CB0153" w:rsidP="00B930AF" w:rsidRDefault="00CB0153" w14:paraId="76455F29" w14:textId="6E1F32E8">
            <w:pPr>
              <w:spacing w:before="60" w:after="60"/>
              <w:ind w:right="124"/>
              <w:jc w:val="right"/>
              <w:rPr>
                <w:rFonts w:cs="Calibri"/>
                <w:color w:val="000000"/>
                <w:sz w:val="20"/>
                <w:szCs w:val="20"/>
                <w:lang w:val="en-AU" w:eastAsia="en-AU"/>
              </w:rPr>
            </w:pPr>
            <w:r w:rsidRPr="008D1918">
              <w:rPr>
                <w:sz w:val="20"/>
                <w:szCs w:val="20"/>
                <w:lang w:val="en-AU"/>
              </w:rPr>
              <w:t>76,914</w:t>
            </w:r>
          </w:p>
        </w:tc>
        <w:tc>
          <w:tcPr>
            <w:tcW w:w="1191" w:type="dxa"/>
            <w:vAlign w:val="center"/>
          </w:tcPr>
          <w:p w:rsidRPr="008D1918" w:rsidR="00CB0153" w:rsidP="00B930AF" w:rsidRDefault="00CB0153" w14:paraId="5E60A52C" w14:textId="5EFCBC96">
            <w:pPr>
              <w:spacing w:before="60" w:after="60"/>
              <w:ind w:right="124"/>
              <w:jc w:val="right"/>
              <w:rPr>
                <w:rFonts w:cs="Calibri"/>
                <w:color w:val="000000"/>
                <w:sz w:val="20"/>
                <w:szCs w:val="20"/>
                <w:lang w:val="en-AU" w:eastAsia="en-AU"/>
              </w:rPr>
            </w:pPr>
            <w:r w:rsidRPr="008D1918">
              <w:rPr>
                <w:sz w:val="20"/>
                <w:szCs w:val="20"/>
                <w:lang w:val="en-AU"/>
              </w:rPr>
              <w:t>81,204</w:t>
            </w:r>
          </w:p>
        </w:tc>
        <w:tc>
          <w:tcPr>
            <w:tcW w:w="1191" w:type="dxa"/>
            <w:vAlign w:val="center"/>
          </w:tcPr>
          <w:p w:rsidRPr="008D1918" w:rsidR="00CB0153" w:rsidP="00B930AF" w:rsidRDefault="00CB0153" w14:paraId="3CAD7DCC" w14:textId="29B3143A">
            <w:pPr>
              <w:spacing w:before="60" w:after="60"/>
              <w:ind w:right="124"/>
              <w:jc w:val="right"/>
              <w:rPr>
                <w:rFonts w:cs="Calibri"/>
                <w:sz w:val="20"/>
                <w:szCs w:val="20"/>
                <w:lang w:val="en-AU"/>
              </w:rPr>
            </w:pPr>
            <w:r w:rsidRPr="008D1918">
              <w:rPr>
                <w:sz w:val="20"/>
                <w:szCs w:val="20"/>
                <w:lang w:val="en-AU"/>
              </w:rPr>
              <w:t>84,216</w:t>
            </w:r>
          </w:p>
        </w:tc>
        <w:tc>
          <w:tcPr>
            <w:tcW w:w="1191" w:type="dxa"/>
            <w:vAlign w:val="center"/>
          </w:tcPr>
          <w:p w:rsidRPr="008D1918" w:rsidR="00CB0153" w:rsidP="00B930AF" w:rsidRDefault="00CB0153" w14:paraId="66BFDBC4" w14:textId="013A10B6">
            <w:pPr>
              <w:spacing w:before="60" w:after="60"/>
              <w:ind w:right="124"/>
              <w:jc w:val="right"/>
              <w:rPr>
                <w:rFonts w:cs="Calibri"/>
                <w:sz w:val="20"/>
                <w:szCs w:val="20"/>
                <w:lang w:val="en-AU"/>
              </w:rPr>
            </w:pPr>
            <w:r w:rsidRPr="008D1918">
              <w:rPr>
                <w:sz w:val="20"/>
                <w:szCs w:val="20"/>
                <w:lang w:val="en-AU"/>
              </w:rPr>
              <w:t>88,810</w:t>
            </w:r>
          </w:p>
        </w:tc>
      </w:tr>
      <w:tr w:rsidRPr="008D1918" w:rsidR="00A238C6" w:rsidTr="00CB0153" w14:paraId="460B29E7" w14:textId="77777777">
        <w:trPr>
          <w:cnfStyle w:val="000000100000" w:firstRow="0" w:lastRow="0" w:firstColumn="0" w:lastColumn="0" w:oddVBand="0" w:evenVBand="0" w:oddHBand="1" w:evenHBand="0" w:firstRowFirstColumn="0" w:firstRowLastColumn="0" w:lastRowFirstColumn="0" w:lastRowLastColumn="0"/>
          <w:trHeight w:val="397"/>
        </w:trPr>
        <w:tc>
          <w:tcPr>
            <w:tcW w:w="1588" w:type="dxa"/>
            <w:vAlign w:val="center"/>
          </w:tcPr>
          <w:p w:rsidRPr="008D1918" w:rsidR="00CB0153" w:rsidP="00CB0153" w:rsidRDefault="00CB0153" w14:paraId="75FECAB7" w14:textId="082C2E18">
            <w:pPr>
              <w:spacing w:before="60" w:after="60"/>
              <w:rPr>
                <w:rFonts w:cs="Calibri"/>
                <w:b/>
                <w:bCs/>
                <w:sz w:val="20"/>
                <w:szCs w:val="20"/>
                <w:lang w:val="en-AU" w:eastAsia="en-AU"/>
              </w:rPr>
            </w:pPr>
            <w:r w:rsidRPr="008D1918">
              <w:rPr>
                <w:rFonts w:cs="Cordia New"/>
                <w:b/>
                <w:bCs/>
                <w:sz w:val="20"/>
                <w:szCs w:val="20"/>
                <w:lang w:val="en-AU"/>
              </w:rPr>
              <w:t xml:space="preserve">All </w:t>
            </w:r>
            <w:r w:rsidRPr="008D1918" w:rsidR="00B930AF">
              <w:rPr>
                <w:rFonts w:cs="Cordia New"/>
                <w:b/>
                <w:bCs/>
                <w:sz w:val="20"/>
                <w:szCs w:val="20"/>
                <w:lang w:val="en-AU"/>
              </w:rPr>
              <w:t>p</w:t>
            </w:r>
            <w:r w:rsidRPr="008D1918">
              <w:rPr>
                <w:rFonts w:cs="Cordia New"/>
                <w:b/>
                <w:bCs/>
                <w:sz w:val="20"/>
                <w:szCs w:val="20"/>
                <w:lang w:val="en-AU"/>
              </w:rPr>
              <w:t>roviders</w:t>
            </w:r>
          </w:p>
        </w:tc>
        <w:tc>
          <w:tcPr>
            <w:tcW w:w="1191" w:type="dxa"/>
            <w:vAlign w:val="center"/>
          </w:tcPr>
          <w:p w:rsidRPr="008D1918" w:rsidR="00CB0153" w:rsidP="00B930AF" w:rsidRDefault="00CB0153" w14:paraId="4AB3BECC" w14:textId="2D5BAE81">
            <w:pPr>
              <w:spacing w:before="60" w:after="60"/>
              <w:ind w:right="124"/>
              <w:jc w:val="right"/>
              <w:rPr>
                <w:rFonts w:cs="Calibri"/>
                <w:b/>
                <w:bCs/>
                <w:sz w:val="20"/>
                <w:szCs w:val="20"/>
                <w:lang w:val="en-AU"/>
              </w:rPr>
            </w:pPr>
            <w:r w:rsidRPr="008D1918">
              <w:rPr>
                <w:b/>
                <w:sz w:val="20"/>
                <w:szCs w:val="20"/>
                <w:lang w:val="en-AU"/>
              </w:rPr>
              <w:t>69,851</w:t>
            </w:r>
          </w:p>
        </w:tc>
        <w:tc>
          <w:tcPr>
            <w:tcW w:w="1191" w:type="dxa"/>
            <w:vAlign w:val="center"/>
          </w:tcPr>
          <w:p w:rsidRPr="008D1918" w:rsidR="00CB0153" w:rsidP="00B930AF" w:rsidRDefault="00CB0153" w14:paraId="6CAB7CBC" w14:textId="58456FD8">
            <w:pPr>
              <w:spacing w:before="60" w:after="60"/>
              <w:ind w:right="124"/>
              <w:jc w:val="right"/>
              <w:rPr>
                <w:rFonts w:cs="Calibri"/>
                <w:b/>
                <w:bCs/>
                <w:sz w:val="20"/>
                <w:szCs w:val="20"/>
                <w:lang w:val="en-AU"/>
              </w:rPr>
            </w:pPr>
            <w:r w:rsidRPr="008D1918">
              <w:rPr>
                <w:b/>
                <w:sz w:val="20"/>
                <w:szCs w:val="20"/>
                <w:lang w:val="en-AU"/>
              </w:rPr>
              <w:t>77,120</w:t>
            </w:r>
          </w:p>
        </w:tc>
        <w:tc>
          <w:tcPr>
            <w:tcW w:w="1191" w:type="dxa"/>
            <w:vAlign w:val="center"/>
          </w:tcPr>
          <w:p w:rsidRPr="008D1918" w:rsidR="00CB0153" w:rsidP="00B930AF" w:rsidRDefault="00CB0153" w14:paraId="09DD3654" w14:textId="177067AE">
            <w:pPr>
              <w:spacing w:before="60" w:after="60"/>
              <w:ind w:right="124"/>
              <w:jc w:val="right"/>
              <w:rPr>
                <w:rFonts w:cs="Calibri"/>
                <w:b/>
                <w:bCs/>
                <w:sz w:val="20"/>
                <w:szCs w:val="20"/>
                <w:lang w:val="en-AU"/>
              </w:rPr>
            </w:pPr>
            <w:r w:rsidRPr="008D1918">
              <w:rPr>
                <w:b/>
                <w:sz w:val="20"/>
                <w:szCs w:val="20"/>
                <w:lang w:val="en-AU"/>
              </w:rPr>
              <w:t>83,472</w:t>
            </w:r>
          </w:p>
        </w:tc>
        <w:tc>
          <w:tcPr>
            <w:tcW w:w="1191" w:type="dxa"/>
            <w:vAlign w:val="center"/>
          </w:tcPr>
          <w:p w:rsidRPr="008D1918" w:rsidR="00CB0153" w:rsidP="00B930AF" w:rsidRDefault="00CB0153" w14:paraId="0679FC13" w14:textId="77B8E9EA">
            <w:pPr>
              <w:spacing w:before="60" w:after="60"/>
              <w:ind w:right="124"/>
              <w:jc w:val="right"/>
              <w:rPr>
                <w:rFonts w:cs="Calibri"/>
                <w:b/>
                <w:bCs/>
                <w:sz w:val="20"/>
                <w:szCs w:val="20"/>
                <w:lang w:val="en-AU"/>
              </w:rPr>
            </w:pPr>
            <w:r w:rsidRPr="008D1918">
              <w:rPr>
                <w:b/>
                <w:sz w:val="20"/>
                <w:szCs w:val="20"/>
                <w:lang w:val="en-AU"/>
              </w:rPr>
              <w:t>88,875</w:t>
            </w:r>
          </w:p>
        </w:tc>
        <w:tc>
          <w:tcPr>
            <w:tcW w:w="1191" w:type="dxa"/>
            <w:vAlign w:val="center"/>
          </w:tcPr>
          <w:p w:rsidRPr="008D1918" w:rsidR="00CB0153" w:rsidP="00B930AF" w:rsidRDefault="00CB0153" w14:paraId="10C82A4A" w14:textId="781FD48D">
            <w:pPr>
              <w:spacing w:before="60" w:after="60"/>
              <w:ind w:right="124"/>
              <w:jc w:val="right"/>
              <w:rPr>
                <w:rFonts w:cs="Calibri"/>
                <w:b/>
                <w:bCs/>
                <w:sz w:val="20"/>
                <w:szCs w:val="20"/>
                <w:lang w:val="en-AU"/>
              </w:rPr>
            </w:pPr>
            <w:r w:rsidRPr="008D1918">
              <w:rPr>
                <w:b/>
                <w:sz w:val="20"/>
                <w:szCs w:val="20"/>
                <w:lang w:val="en-AU"/>
              </w:rPr>
              <w:t>92,481</w:t>
            </w:r>
          </w:p>
        </w:tc>
        <w:tc>
          <w:tcPr>
            <w:tcW w:w="1191" w:type="dxa"/>
            <w:vAlign w:val="center"/>
          </w:tcPr>
          <w:p w:rsidRPr="008D1918" w:rsidR="00CB0153" w:rsidP="00B930AF" w:rsidRDefault="00CB0153" w14:paraId="6A0B1400" w14:textId="04A56FDE">
            <w:pPr>
              <w:spacing w:before="60" w:after="60"/>
              <w:ind w:right="124"/>
              <w:jc w:val="right"/>
              <w:rPr>
                <w:rFonts w:cs="Calibri"/>
                <w:b/>
                <w:bCs/>
                <w:sz w:val="20"/>
                <w:szCs w:val="20"/>
                <w:lang w:val="en-AU"/>
              </w:rPr>
            </w:pPr>
            <w:r w:rsidRPr="008D1918">
              <w:rPr>
                <w:b/>
                <w:sz w:val="20"/>
                <w:szCs w:val="20"/>
                <w:lang w:val="en-AU"/>
              </w:rPr>
              <w:t>98,169</w:t>
            </w:r>
          </w:p>
        </w:tc>
      </w:tr>
    </w:tbl>
    <w:p w:rsidRPr="008D1918" w:rsidR="00601AFC" w:rsidP="00F35F8A" w:rsidRDefault="00601AFC" w14:paraId="5AFA937E" w14:textId="77777777">
      <w:pPr>
        <w:spacing w:before="120" w:after="3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601AFC" w:rsidP="00B930AF" w:rsidRDefault="00B930AF" w14:paraId="59F93B43" w14:textId="7E01B4D8">
      <w:pPr>
        <w:pStyle w:val="Caption"/>
      </w:pPr>
      <w:bookmarkStart w:name="_Ref223697387" w:id="2085"/>
      <w:r w:rsidRPr="008D1918">
        <w:t xml:space="preserve">Table </w:t>
      </w:r>
      <w:r>
        <w:fldChar w:fldCharType="begin"/>
      </w:r>
      <w:r>
        <w:instrText>SEQ Table \* ARABIC</w:instrText>
      </w:r>
      <w:r>
        <w:fldChar w:fldCharType="separate"/>
      </w:r>
      <w:r w:rsidR="008F56A2">
        <w:rPr>
          <w:noProof/>
        </w:rPr>
        <w:t>51</w:t>
      </w:r>
      <w:r>
        <w:fldChar w:fldCharType="end"/>
      </w:r>
      <w:bookmarkEnd w:id="2085"/>
      <w:r w:rsidRPr="008D1918" w:rsidR="00601AFC">
        <w:t>: S</w:t>
      </w:r>
      <w:r w:rsidRPr="008D1918" w:rsidR="00476700">
        <w:t>C</w:t>
      </w:r>
      <w:r w:rsidRPr="008D1918" w:rsidR="00601AFC">
        <w:t xml:space="preserve">CP supports </w:t>
      </w:r>
      <w:r w:rsidRPr="008D1918" w:rsidR="001E0469">
        <w:t>S</w:t>
      </w:r>
      <w:r w:rsidRPr="008D1918" w:rsidR="00601AFC">
        <w:t>cheme statistics – remote locations, January 2023 to December 2025</w:t>
      </w:r>
    </w:p>
    <w:tbl>
      <w:tblPr>
        <w:tblStyle w:val="GridTable4-Accent121"/>
        <w:tblW w:w="0" w:type="auto"/>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588"/>
        <w:gridCol w:w="1191"/>
        <w:gridCol w:w="1191"/>
        <w:gridCol w:w="1191"/>
        <w:gridCol w:w="1191"/>
        <w:gridCol w:w="1191"/>
        <w:gridCol w:w="1191"/>
      </w:tblGrid>
      <w:tr w:rsidRPr="008D1918" w:rsidR="00A238C6" w:rsidTr="00B930AF" w14:paraId="012253D7" w14:textId="77777777">
        <w:trPr>
          <w:cnfStyle w:val="100000000000" w:firstRow="1" w:lastRow="0" w:firstColumn="0" w:lastColumn="0" w:oddVBand="0" w:evenVBand="0" w:oddHBand="0" w:evenHBand="0" w:firstRowFirstColumn="0" w:firstRowLastColumn="0" w:lastRowFirstColumn="0" w:lastRowLastColumn="0"/>
          <w:trHeight w:val="567"/>
        </w:trPr>
        <w:tc>
          <w:tcPr>
            <w:tcW w:w="1588" w:type="dxa"/>
            <w:vAlign w:val="center"/>
          </w:tcPr>
          <w:p w:rsidRPr="008D1918" w:rsidR="00601AFC" w:rsidP="001D163B" w:rsidRDefault="00796AA7" w14:paraId="059FB92D" w14:textId="1DDA304C">
            <w:pPr>
              <w:keepNext/>
              <w:spacing w:before="60" w:after="60"/>
              <w:rPr>
                <w:rFonts w:cs="Calibri"/>
                <w:sz w:val="20"/>
                <w:szCs w:val="20"/>
                <w:lang w:val="en-AU" w:eastAsia="en-AU"/>
              </w:rPr>
            </w:pPr>
            <w:r w:rsidRPr="008D1918">
              <w:rPr>
                <w:rFonts w:cs="Cordia New"/>
                <w:sz w:val="20"/>
                <w:szCs w:val="20"/>
                <w:lang w:val="en-AU"/>
              </w:rPr>
              <w:t>Remoteness</w:t>
            </w:r>
          </w:p>
        </w:tc>
        <w:tc>
          <w:tcPr>
            <w:tcW w:w="1191" w:type="dxa"/>
            <w:vAlign w:val="center"/>
          </w:tcPr>
          <w:p w:rsidRPr="008D1918" w:rsidR="00601AFC" w:rsidP="001D163B" w:rsidRDefault="00601AFC" w14:paraId="5B8FA360" w14:textId="77777777">
            <w:pPr>
              <w:keepNext/>
              <w:spacing w:before="60" w:after="0"/>
              <w:jc w:val="right"/>
              <w:rPr>
                <w:rFonts w:cs="Cordia New"/>
                <w:sz w:val="20"/>
                <w:szCs w:val="20"/>
                <w:lang w:val="en-AU"/>
              </w:rPr>
            </w:pPr>
            <w:r w:rsidRPr="008D1918">
              <w:rPr>
                <w:rFonts w:cs="Cordia New"/>
                <w:sz w:val="20"/>
                <w:szCs w:val="20"/>
                <w:lang w:val="en-AU"/>
              </w:rPr>
              <w:t>January – June</w:t>
            </w:r>
          </w:p>
          <w:p w:rsidRPr="008D1918" w:rsidR="00601AFC" w:rsidP="001D163B" w:rsidRDefault="00601AFC" w14:paraId="307B8446" w14:textId="77777777">
            <w:pPr>
              <w:keepNext/>
              <w:spacing w:before="0" w:after="60"/>
              <w:jc w:val="right"/>
              <w:rPr>
                <w:rFonts w:cs="Calibri"/>
                <w:sz w:val="20"/>
                <w:szCs w:val="20"/>
                <w:lang w:val="en-AU" w:eastAsia="en-AU"/>
              </w:rPr>
            </w:pPr>
            <w:r w:rsidRPr="008D1918">
              <w:rPr>
                <w:rFonts w:cs="Cordia New"/>
                <w:sz w:val="20"/>
                <w:szCs w:val="20"/>
                <w:lang w:val="en-AU"/>
              </w:rPr>
              <w:t>2023</w:t>
            </w:r>
          </w:p>
        </w:tc>
        <w:tc>
          <w:tcPr>
            <w:tcW w:w="1191" w:type="dxa"/>
            <w:vAlign w:val="center"/>
          </w:tcPr>
          <w:p w:rsidRPr="008D1918" w:rsidR="00601AFC" w:rsidP="001D163B" w:rsidRDefault="00601AFC" w14:paraId="0D8E4893" w14:textId="77777777">
            <w:pPr>
              <w:keepNext/>
              <w:spacing w:before="60" w:after="60"/>
              <w:jc w:val="right"/>
              <w:rPr>
                <w:rFonts w:cs="Calibri"/>
                <w:sz w:val="20"/>
                <w:szCs w:val="20"/>
                <w:lang w:val="en-AU" w:eastAsia="en-AU"/>
              </w:rPr>
            </w:pPr>
            <w:r w:rsidRPr="008D1918">
              <w:rPr>
                <w:rFonts w:cs="Cordia New"/>
                <w:sz w:val="20"/>
                <w:szCs w:val="20"/>
                <w:lang w:val="en-AU"/>
              </w:rPr>
              <w:t>July – December 2023</w:t>
            </w:r>
          </w:p>
        </w:tc>
        <w:tc>
          <w:tcPr>
            <w:tcW w:w="1191" w:type="dxa"/>
            <w:vAlign w:val="center"/>
          </w:tcPr>
          <w:p w:rsidRPr="008D1918" w:rsidR="00601AFC" w:rsidP="001D163B" w:rsidRDefault="00601AFC" w14:paraId="2682EC65" w14:textId="77777777">
            <w:pPr>
              <w:keepNext/>
              <w:spacing w:before="60" w:after="0"/>
              <w:jc w:val="right"/>
              <w:rPr>
                <w:rFonts w:cs="Cordia New"/>
                <w:sz w:val="20"/>
                <w:szCs w:val="20"/>
                <w:lang w:val="en-AU"/>
              </w:rPr>
            </w:pPr>
            <w:r w:rsidRPr="008D1918">
              <w:rPr>
                <w:rFonts w:cs="Cordia New"/>
                <w:sz w:val="20"/>
                <w:szCs w:val="20"/>
                <w:lang w:val="en-AU"/>
              </w:rPr>
              <w:t>January – June</w:t>
            </w:r>
          </w:p>
          <w:p w:rsidRPr="008D1918" w:rsidR="00601AFC" w:rsidP="001D163B" w:rsidRDefault="00601AFC" w14:paraId="07B3B2FD" w14:textId="77777777">
            <w:pPr>
              <w:keepNext/>
              <w:spacing w:before="0" w:after="60"/>
              <w:jc w:val="right"/>
              <w:rPr>
                <w:rFonts w:cs="Calibri"/>
                <w:sz w:val="20"/>
                <w:szCs w:val="20"/>
                <w:lang w:val="en-AU" w:eastAsia="en-AU"/>
              </w:rPr>
            </w:pPr>
            <w:r w:rsidRPr="008D1918">
              <w:rPr>
                <w:rFonts w:cs="Cordia New"/>
                <w:sz w:val="20"/>
                <w:szCs w:val="20"/>
                <w:lang w:val="en-AU"/>
              </w:rPr>
              <w:t>2024</w:t>
            </w:r>
          </w:p>
        </w:tc>
        <w:tc>
          <w:tcPr>
            <w:tcW w:w="1191" w:type="dxa"/>
            <w:vAlign w:val="center"/>
          </w:tcPr>
          <w:p w:rsidRPr="008D1918" w:rsidR="00601AFC" w:rsidP="001D163B" w:rsidRDefault="00601AFC" w14:paraId="13E654A7" w14:textId="77777777">
            <w:pPr>
              <w:keepNext/>
              <w:spacing w:before="60" w:after="60"/>
              <w:jc w:val="right"/>
              <w:rPr>
                <w:rFonts w:cs="Calibri"/>
                <w:sz w:val="20"/>
                <w:szCs w:val="20"/>
                <w:lang w:val="en-AU" w:eastAsia="en-AU"/>
              </w:rPr>
            </w:pPr>
            <w:r w:rsidRPr="008D1918">
              <w:rPr>
                <w:rFonts w:cs="Cordia New"/>
                <w:sz w:val="20"/>
                <w:szCs w:val="20"/>
                <w:lang w:val="en-AU"/>
              </w:rPr>
              <w:t>July – December 2024</w:t>
            </w:r>
          </w:p>
        </w:tc>
        <w:tc>
          <w:tcPr>
            <w:tcW w:w="1191" w:type="dxa"/>
            <w:vAlign w:val="center"/>
          </w:tcPr>
          <w:p w:rsidRPr="008D1918" w:rsidR="00601AFC" w:rsidP="001D163B" w:rsidRDefault="00601AFC" w14:paraId="064A3BC0" w14:textId="77777777">
            <w:pPr>
              <w:keepNext/>
              <w:spacing w:before="60" w:after="0"/>
              <w:jc w:val="right"/>
              <w:rPr>
                <w:rFonts w:cs="Cordia New"/>
                <w:sz w:val="20"/>
                <w:szCs w:val="20"/>
                <w:lang w:val="en-AU"/>
              </w:rPr>
            </w:pPr>
            <w:r w:rsidRPr="008D1918">
              <w:rPr>
                <w:rFonts w:cs="Cordia New"/>
                <w:sz w:val="20"/>
                <w:szCs w:val="20"/>
                <w:lang w:val="en-AU"/>
              </w:rPr>
              <w:t>January – June</w:t>
            </w:r>
          </w:p>
          <w:p w:rsidRPr="008D1918" w:rsidR="00601AFC" w:rsidP="001D163B" w:rsidRDefault="00601AFC" w14:paraId="68E2E740" w14:textId="77777777">
            <w:pPr>
              <w:keepNext/>
              <w:spacing w:before="0" w:after="60"/>
              <w:jc w:val="right"/>
              <w:rPr>
                <w:rFonts w:cs="Calibri"/>
                <w:sz w:val="20"/>
                <w:szCs w:val="20"/>
                <w:lang w:val="en-AU" w:eastAsia="en-AU"/>
              </w:rPr>
            </w:pPr>
            <w:r w:rsidRPr="008D1918">
              <w:rPr>
                <w:rFonts w:cs="Cordia New"/>
                <w:sz w:val="20"/>
                <w:szCs w:val="20"/>
                <w:lang w:val="en-AU"/>
              </w:rPr>
              <w:t>2025</w:t>
            </w:r>
          </w:p>
        </w:tc>
        <w:tc>
          <w:tcPr>
            <w:tcW w:w="1191" w:type="dxa"/>
            <w:vAlign w:val="center"/>
          </w:tcPr>
          <w:p w:rsidRPr="008D1918" w:rsidR="00601AFC" w:rsidP="001D163B" w:rsidRDefault="00601AFC" w14:paraId="63CE6C6C" w14:textId="77777777">
            <w:pPr>
              <w:keepNext/>
              <w:spacing w:before="60" w:after="60"/>
              <w:jc w:val="right"/>
              <w:rPr>
                <w:rFonts w:cs="Calibri"/>
                <w:sz w:val="20"/>
                <w:szCs w:val="20"/>
                <w:lang w:val="en-AU" w:eastAsia="en-AU"/>
              </w:rPr>
            </w:pPr>
            <w:r w:rsidRPr="008D1918">
              <w:rPr>
                <w:rFonts w:cs="Cordia New"/>
                <w:sz w:val="20"/>
                <w:szCs w:val="20"/>
                <w:lang w:val="en-AU"/>
              </w:rPr>
              <w:t>July – December 2025</w:t>
            </w:r>
          </w:p>
        </w:tc>
      </w:tr>
      <w:tr w:rsidRPr="008D1918" w:rsidR="00173A73" w:rsidTr="00796AA7" w14:paraId="0B999D5F" w14:textId="77777777">
        <w:trPr>
          <w:cnfStyle w:val="000000100000" w:firstRow="0" w:lastRow="0" w:firstColumn="0" w:lastColumn="0" w:oddVBand="0" w:evenVBand="0" w:oddHBand="1" w:evenHBand="0" w:firstRowFirstColumn="0" w:firstRowLastColumn="0" w:lastRowFirstColumn="0" w:lastRowLastColumn="0"/>
          <w:trHeight w:val="397"/>
        </w:trPr>
        <w:tc>
          <w:tcPr>
            <w:tcW w:w="1588" w:type="dxa"/>
          </w:tcPr>
          <w:p w:rsidRPr="008D1918" w:rsidR="00601AFC" w:rsidP="001D163B" w:rsidRDefault="00601AFC" w14:paraId="1CF70219" w14:textId="77777777">
            <w:pPr>
              <w:keepNext/>
              <w:spacing w:before="60" w:after="60"/>
              <w:rPr>
                <w:rFonts w:cs="Calibri"/>
                <w:sz w:val="20"/>
                <w:szCs w:val="20"/>
                <w:lang w:val="en-AU" w:eastAsia="en-AU"/>
              </w:rPr>
            </w:pPr>
            <w:r w:rsidRPr="008D1918">
              <w:rPr>
                <w:rFonts w:cs="Cordia New"/>
                <w:sz w:val="20"/>
                <w:szCs w:val="20"/>
                <w:lang w:val="en-AU"/>
              </w:rPr>
              <w:t>Registered</w:t>
            </w:r>
          </w:p>
        </w:tc>
        <w:tc>
          <w:tcPr>
            <w:tcW w:w="1191" w:type="dxa"/>
          </w:tcPr>
          <w:p w:rsidRPr="008D1918" w:rsidR="00601AFC" w:rsidP="001D163B" w:rsidRDefault="00601AFC" w14:paraId="4B184C41" w14:textId="77777777">
            <w:pPr>
              <w:keepNext/>
              <w:spacing w:before="60" w:after="60"/>
              <w:ind w:right="124"/>
              <w:jc w:val="right"/>
              <w:rPr>
                <w:rFonts w:cs="Calibri"/>
                <w:color w:val="000000"/>
                <w:sz w:val="20"/>
                <w:szCs w:val="20"/>
                <w:lang w:val="en-AU" w:eastAsia="en-AU"/>
              </w:rPr>
            </w:pPr>
            <w:r w:rsidRPr="008D1918">
              <w:rPr>
                <w:sz w:val="20"/>
                <w:szCs w:val="20"/>
                <w:lang w:val="en-AU"/>
              </w:rPr>
              <w:t>271</w:t>
            </w:r>
          </w:p>
        </w:tc>
        <w:tc>
          <w:tcPr>
            <w:tcW w:w="1191" w:type="dxa"/>
          </w:tcPr>
          <w:p w:rsidRPr="008D1918" w:rsidR="00601AFC" w:rsidP="001D163B" w:rsidRDefault="00601AFC" w14:paraId="7E32306A" w14:textId="77777777">
            <w:pPr>
              <w:keepNext/>
              <w:spacing w:before="60" w:after="60"/>
              <w:ind w:right="124"/>
              <w:jc w:val="right"/>
              <w:rPr>
                <w:rFonts w:cs="Calibri"/>
                <w:color w:val="000000"/>
                <w:sz w:val="20"/>
                <w:szCs w:val="20"/>
                <w:lang w:val="en-AU" w:eastAsia="en-AU"/>
              </w:rPr>
            </w:pPr>
            <w:r w:rsidRPr="008D1918">
              <w:rPr>
                <w:sz w:val="20"/>
                <w:szCs w:val="20"/>
                <w:lang w:val="en-AU"/>
              </w:rPr>
              <w:t>269</w:t>
            </w:r>
          </w:p>
        </w:tc>
        <w:tc>
          <w:tcPr>
            <w:tcW w:w="1191" w:type="dxa"/>
          </w:tcPr>
          <w:p w:rsidRPr="008D1918" w:rsidR="00601AFC" w:rsidP="001D163B" w:rsidRDefault="00601AFC" w14:paraId="66785016" w14:textId="77777777">
            <w:pPr>
              <w:keepNext/>
              <w:spacing w:before="60" w:after="60"/>
              <w:ind w:right="124"/>
              <w:jc w:val="right"/>
              <w:rPr>
                <w:rFonts w:cs="Calibri"/>
                <w:color w:val="000000"/>
                <w:sz w:val="20"/>
                <w:szCs w:val="20"/>
                <w:lang w:val="en-AU" w:eastAsia="en-AU"/>
              </w:rPr>
            </w:pPr>
            <w:r w:rsidRPr="008D1918">
              <w:rPr>
                <w:sz w:val="20"/>
                <w:szCs w:val="20"/>
                <w:lang w:val="en-AU"/>
              </w:rPr>
              <w:t>356</w:t>
            </w:r>
          </w:p>
        </w:tc>
        <w:tc>
          <w:tcPr>
            <w:tcW w:w="1191" w:type="dxa"/>
          </w:tcPr>
          <w:p w:rsidRPr="008D1918" w:rsidR="00601AFC" w:rsidP="001D163B" w:rsidRDefault="00601AFC" w14:paraId="30A54651" w14:textId="77777777">
            <w:pPr>
              <w:keepNext/>
              <w:spacing w:before="60" w:after="60"/>
              <w:ind w:right="124"/>
              <w:jc w:val="right"/>
              <w:rPr>
                <w:rFonts w:cs="Calibri"/>
                <w:color w:val="000000"/>
                <w:sz w:val="20"/>
                <w:szCs w:val="20"/>
                <w:lang w:val="en-AU" w:eastAsia="en-AU"/>
              </w:rPr>
            </w:pPr>
            <w:r w:rsidRPr="008D1918">
              <w:rPr>
                <w:sz w:val="20"/>
                <w:szCs w:val="20"/>
                <w:lang w:val="en-AU"/>
              </w:rPr>
              <w:t>374</w:t>
            </w:r>
          </w:p>
        </w:tc>
        <w:tc>
          <w:tcPr>
            <w:tcW w:w="1191" w:type="dxa"/>
          </w:tcPr>
          <w:p w:rsidRPr="008D1918" w:rsidR="00601AFC" w:rsidP="001D163B" w:rsidRDefault="00601AFC" w14:paraId="4F876199" w14:textId="77777777">
            <w:pPr>
              <w:keepNext/>
              <w:spacing w:before="60" w:after="60"/>
              <w:ind w:right="124"/>
              <w:jc w:val="right"/>
              <w:rPr>
                <w:rFonts w:cs="Calibri"/>
                <w:sz w:val="20"/>
                <w:szCs w:val="20"/>
                <w:lang w:val="en-AU"/>
              </w:rPr>
            </w:pPr>
            <w:r w:rsidRPr="008D1918">
              <w:rPr>
                <w:sz w:val="20"/>
                <w:szCs w:val="20"/>
                <w:lang w:val="en-AU"/>
              </w:rPr>
              <w:t>329</w:t>
            </w:r>
          </w:p>
        </w:tc>
        <w:tc>
          <w:tcPr>
            <w:tcW w:w="1191" w:type="dxa"/>
          </w:tcPr>
          <w:p w:rsidRPr="008D1918" w:rsidR="00601AFC" w:rsidP="001D163B" w:rsidRDefault="00601AFC" w14:paraId="17B81210" w14:textId="77777777">
            <w:pPr>
              <w:keepNext/>
              <w:spacing w:before="60" w:after="60"/>
              <w:ind w:right="124"/>
              <w:jc w:val="right"/>
              <w:rPr>
                <w:rFonts w:cs="Calibri"/>
                <w:sz w:val="20"/>
                <w:szCs w:val="20"/>
                <w:lang w:val="en-AU"/>
              </w:rPr>
            </w:pPr>
            <w:r w:rsidRPr="008D1918">
              <w:rPr>
                <w:sz w:val="20"/>
                <w:szCs w:val="20"/>
                <w:lang w:val="en-AU"/>
              </w:rPr>
              <w:t>388</w:t>
            </w:r>
          </w:p>
        </w:tc>
      </w:tr>
      <w:tr w:rsidRPr="008D1918" w:rsidR="00601AFC" w:rsidTr="00796AA7" w14:paraId="117FFC03" w14:textId="77777777">
        <w:trPr>
          <w:trHeight w:val="397"/>
        </w:trPr>
        <w:tc>
          <w:tcPr>
            <w:tcW w:w="1588" w:type="dxa"/>
          </w:tcPr>
          <w:p w:rsidRPr="008D1918" w:rsidR="00601AFC" w:rsidP="001D163B" w:rsidRDefault="00601AFC" w14:paraId="1F3709C6" w14:textId="77777777">
            <w:pPr>
              <w:keepNext/>
              <w:spacing w:before="60" w:after="60"/>
              <w:rPr>
                <w:rFonts w:cs="Calibri"/>
                <w:sz w:val="20"/>
                <w:szCs w:val="20"/>
                <w:lang w:val="en-AU" w:eastAsia="en-AU"/>
              </w:rPr>
            </w:pPr>
            <w:r w:rsidRPr="008D1918">
              <w:rPr>
                <w:rFonts w:cs="Cordia New"/>
                <w:sz w:val="20"/>
                <w:szCs w:val="20"/>
                <w:lang w:val="en-AU"/>
              </w:rPr>
              <w:t>Unregistered</w:t>
            </w:r>
          </w:p>
        </w:tc>
        <w:tc>
          <w:tcPr>
            <w:tcW w:w="1191" w:type="dxa"/>
          </w:tcPr>
          <w:p w:rsidRPr="008D1918" w:rsidR="00601AFC" w:rsidP="001D163B" w:rsidRDefault="00601AFC" w14:paraId="1D7EB69E" w14:textId="77777777">
            <w:pPr>
              <w:keepNext/>
              <w:spacing w:before="60" w:after="60"/>
              <w:ind w:right="124"/>
              <w:jc w:val="right"/>
              <w:rPr>
                <w:rFonts w:cs="Calibri"/>
                <w:color w:val="000000"/>
                <w:sz w:val="20"/>
                <w:szCs w:val="20"/>
                <w:lang w:val="en-AU" w:eastAsia="en-AU"/>
              </w:rPr>
            </w:pPr>
            <w:r w:rsidRPr="008D1918">
              <w:rPr>
                <w:sz w:val="20"/>
                <w:szCs w:val="20"/>
                <w:lang w:val="en-AU"/>
              </w:rPr>
              <w:t>763</w:t>
            </w:r>
          </w:p>
        </w:tc>
        <w:tc>
          <w:tcPr>
            <w:tcW w:w="1191" w:type="dxa"/>
          </w:tcPr>
          <w:p w:rsidRPr="008D1918" w:rsidR="00601AFC" w:rsidP="001D163B" w:rsidRDefault="00601AFC" w14:paraId="21307C07" w14:textId="77777777">
            <w:pPr>
              <w:keepNext/>
              <w:spacing w:before="60" w:after="60"/>
              <w:ind w:right="124"/>
              <w:jc w:val="right"/>
              <w:rPr>
                <w:rFonts w:cs="Calibri"/>
                <w:color w:val="000000"/>
                <w:sz w:val="20"/>
                <w:szCs w:val="20"/>
                <w:lang w:val="en-AU" w:eastAsia="en-AU"/>
              </w:rPr>
            </w:pPr>
            <w:r w:rsidRPr="008D1918">
              <w:rPr>
                <w:sz w:val="20"/>
                <w:szCs w:val="20"/>
                <w:lang w:val="en-AU"/>
              </w:rPr>
              <w:t>891</w:t>
            </w:r>
          </w:p>
        </w:tc>
        <w:tc>
          <w:tcPr>
            <w:tcW w:w="1191" w:type="dxa"/>
          </w:tcPr>
          <w:p w:rsidRPr="008D1918" w:rsidR="00601AFC" w:rsidP="001D163B" w:rsidRDefault="00601AFC" w14:paraId="5C12EDF6" w14:textId="77777777">
            <w:pPr>
              <w:keepNext/>
              <w:spacing w:before="60" w:after="60"/>
              <w:ind w:right="124"/>
              <w:jc w:val="right"/>
              <w:rPr>
                <w:rFonts w:cs="Calibri"/>
                <w:color w:val="000000"/>
                <w:sz w:val="20"/>
                <w:szCs w:val="20"/>
                <w:lang w:val="en-AU" w:eastAsia="en-AU"/>
              </w:rPr>
            </w:pPr>
            <w:r w:rsidRPr="008D1918">
              <w:rPr>
                <w:sz w:val="20"/>
                <w:szCs w:val="20"/>
                <w:lang w:val="en-AU"/>
              </w:rPr>
              <w:t>1,354</w:t>
            </w:r>
          </w:p>
        </w:tc>
        <w:tc>
          <w:tcPr>
            <w:tcW w:w="1191" w:type="dxa"/>
          </w:tcPr>
          <w:p w:rsidRPr="008D1918" w:rsidR="00601AFC" w:rsidP="001D163B" w:rsidRDefault="00601AFC" w14:paraId="5D3FD2E7" w14:textId="77777777">
            <w:pPr>
              <w:keepNext/>
              <w:spacing w:before="60" w:after="60"/>
              <w:ind w:right="124"/>
              <w:jc w:val="right"/>
              <w:rPr>
                <w:rFonts w:cs="Calibri"/>
                <w:color w:val="000000"/>
                <w:sz w:val="20"/>
                <w:szCs w:val="20"/>
                <w:lang w:val="en-AU" w:eastAsia="en-AU"/>
              </w:rPr>
            </w:pPr>
            <w:r w:rsidRPr="008D1918">
              <w:rPr>
                <w:rFonts w:cs="Cordia New"/>
                <w:sz w:val="20"/>
                <w:szCs w:val="20"/>
                <w:lang w:val="en-AU"/>
              </w:rPr>
              <w:t>1,</w:t>
            </w:r>
            <w:r w:rsidRPr="008D1918">
              <w:rPr>
                <w:sz w:val="20"/>
                <w:szCs w:val="20"/>
                <w:lang w:val="en-AU"/>
              </w:rPr>
              <w:t>334</w:t>
            </w:r>
          </w:p>
        </w:tc>
        <w:tc>
          <w:tcPr>
            <w:tcW w:w="1191" w:type="dxa"/>
          </w:tcPr>
          <w:p w:rsidRPr="008D1918" w:rsidR="00601AFC" w:rsidP="001D163B" w:rsidRDefault="00601AFC" w14:paraId="748ACE44" w14:textId="77777777">
            <w:pPr>
              <w:keepNext/>
              <w:spacing w:before="60" w:after="60"/>
              <w:ind w:right="124"/>
              <w:jc w:val="right"/>
              <w:rPr>
                <w:rFonts w:cs="Calibri"/>
                <w:sz w:val="20"/>
                <w:szCs w:val="20"/>
                <w:lang w:val="en-AU"/>
              </w:rPr>
            </w:pPr>
            <w:r w:rsidRPr="008D1918">
              <w:rPr>
                <w:rFonts w:cs="Cordia New"/>
                <w:sz w:val="20"/>
                <w:szCs w:val="20"/>
                <w:lang w:val="en-AU"/>
              </w:rPr>
              <w:t>1,</w:t>
            </w:r>
            <w:r w:rsidRPr="008D1918">
              <w:rPr>
                <w:sz w:val="20"/>
                <w:szCs w:val="20"/>
                <w:lang w:val="en-AU"/>
              </w:rPr>
              <w:t>019</w:t>
            </w:r>
          </w:p>
        </w:tc>
        <w:tc>
          <w:tcPr>
            <w:tcW w:w="1191" w:type="dxa"/>
          </w:tcPr>
          <w:p w:rsidRPr="008D1918" w:rsidR="00601AFC" w:rsidP="001D163B" w:rsidRDefault="00601AFC" w14:paraId="0C180B8E" w14:textId="77777777">
            <w:pPr>
              <w:keepNext/>
              <w:spacing w:before="60" w:after="60"/>
              <w:ind w:right="124"/>
              <w:jc w:val="right"/>
              <w:rPr>
                <w:rFonts w:cs="Calibri"/>
                <w:sz w:val="20"/>
                <w:szCs w:val="20"/>
                <w:lang w:val="en-AU"/>
              </w:rPr>
            </w:pPr>
            <w:r w:rsidRPr="008D1918">
              <w:rPr>
                <w:rFonts w:cs="Cordia New"/>
                <w:sz w:val="20"/>
                <w:szCs w:val="20"/>
                <w:lang w:val="en-AU"/>
              </w:rPr>
              <w:t>1,</w:t>
            </w:r>
            <w:r w:rsidRPr="008D1918">
              <w:rPr>
                <w:sz w:val="20"/>
                <w:szCs w:val="20"/>
                <w:lang w:val="en-AU"/>
              </w:rPr>
              <w:t>122</w:t>
            </w:r>
          </w:p>
        </w:tc>
      </w:tr>
      <w:tr w:rsidRPr="008D1918" w:rsidR="00173A73" w:rsidTr="00796AA7" w14:paraId="0BEA2224" w14:textId="77777777">
        <w:trPr>
          <w:cnfStyle w:val="000000100000" w:firstRow="0" w:lastRow="0" w:firstColumn="0" w:lastColumn="0" w:oddVBand="0" w:evenVBand="0" w:oddHBand="1" w:evenHBand="0" w:firstRowFirstColumn="0" w:firstRowLastColumn="0" w:lastRowFirstColumn="0" w:lastRowLastColumn="0"/>
          <w:trHeight w:val="397"/>
        </w:trPr>
        <w:tc>
          <w:tcPr>
            <w:tcW w:w="1588" w:type="dxa"/>
          </w:tcPr>
          <w:p w:rsidRPr="008D1918" w:rsidR="00601AFC" w:rsidRDefault="00601AFC" w14:paraId="75F3C61E" w14:textId="7F20A549">
            <w:pPr>
              <w:spacing w:before="60" w:after="60"/>
              <w:rPr>
                <w:rFonts w:cs="Calibri"/>
                <w:b/>
                <w:bCs/>
                <w:sz w:val="20"/>
                <w:szCs w:val="20"/>
                <w:lang w:val="en-AU" w:eastAsia="en-AU"/>
              </w:rPr>
            </w:pPr>
            <w:r w:rsidRPr="008D1918">
              <w:rPr>
                <w:rFonts w:cs="Cordia New"/>
                <w:b/>
                <w:bCs/>
                <w:sz w:val="20"/>
                <w:szCs w:val="20"/>
                <w:lang w:val="en-AU"/>
              </w:rPr>
              <w:t xml:space="preserve">All </w:t>
            </w:r>
            <w:r w:rsidRPr="008D1918" w:rsidR="00B930AF">
              <w:rPr>
                <w:rFonts w:cs="Cordia New"/>
                <w:b/>
                <w:bCs/>
                <w:sz w:val="20"/>
                <w:szCs w:val="20"/>
                <w:lang w:val="en-AU"/>
              </w:rPr>
              <w:t>p</w:t>
            </w:r>
            <w:r w:rsidRPr="008D1918">
              <w:rPr>
                <w:rFonts w:cs="Cordia New"/>
                <w:b/>
                <w:bCs/>
                <w:sz w:val="20"/>
                <w:szCs w:val="20"/>
                <w:lang w:val="en-AU"/>
              </w:rPr>
              <w:t>roviders</w:t>
            </w:r>
          </w:p>
        </w:tc>
        <w:tc>
          <w:tcPr>
            <w:tcW w:w="1191" w:type="dxa"/>
          </w:tcPr>
          <w:p w:rsidRPr="008D1918" w:rsidR="00601AFC" w:rsidP="00B930AF" w:rsidRDefault="00601AFC" w14:paraId="24047498" w14:textId="77777777">
            <w:pPr>
              <w:spacing w:before="60" w:after="60"/>
              <w:ind w:right="124"/>
              <w:jc w:val="right"/>
              <w:rPr>
                <w:rFonts w:cs="Calibri"/>
                <w:b/>
                <w:bCs/>
                <w:sz w:val="20"/>
                <w:szCs w:val="20"/>
                <w:lang w:val="en-AU"/>
              </w:rPr>
            </w:pPr>
            <w:r w:rsidRPr="008D1918">
              <w:rPr>
                <w:rFonts w:cs="Cordia New"/>
                <w:b/>
                <w:bCs/>
                <w:sz w:val="20"/>
                <w:szCs w:val="20"/>
                <w:lang w:val="en-AU"/>
              </w:rPr>
              <w:t>1,</w:t>
            </w:r>
            <w:r w:rsidRPr="008D1918">
              <w:rPr>
                <w:b/>
                <w:bCs/>
                <w:sz w:val="20"/>
                <w:szCs w:val="20"/>
                <w:lang w:val="en-AU"/>
              </w:rPr>
              <w:t>026</w:t>
            </w:r>
          </w:p>
        </w:tc>
        <w:tc>
          <w:tcPr>
            <w:tcW w:w="1191" w:type="dxa"/>
          </w:tcPr>
          <w:p w:rsidRPr="008D1918" w:rsidR="00601AFC" w:rsidP="00B930AF" w:rsidRDefault="00601AFC" w14:paraId="59F9C342" w14:textId="77777777">
            <w:pPr>
              <w:spacing w:before="60" w:after="60"/>
              <w:ind w:right="124"/>
              <w:jc w:val="right"/>
              <w:rPr>
                <w:rFonts w:cs="Calibri"/>
                <w:b/>
                <w:bCs/>
                <w:sz w:val="20"/>
                <w:szCs w:val="20"/>
                <w:lang w:val="en-AU"/>
              </w:rPr>
            </w:pPr>
            <w:r w:rsidRPr="008D1918">
              <w:rPr>
                <w:rFonts w:cs="Cordia New"/>
                <w:b/>
                <w:bCs/>
                <w:sz w:val="20"/>
                <w:szCs w:val="20"/>
                <w:lang w:val="en-AU"/>
              </w:rPr>
              <w:t>1,</w:t>
            </w:r>
            <w:r w:rsidRPr="008D1918">
              <w:rPr>
                <w:b/>
                <w:bCs/>
                <w:sz w:val="20"/>
                <w:szCs w:val="20"/>
                <w:lang w:val="en-AU"/>
              </w:rPr>
              <w:t>153</w:t>
            </w:r>
          </w:p>
        </w:tc>
        <w:tc>
          <w:tcPr>
            <w:tcW w:w="1191" w:type="dxa"/>
          </w:tcPr>
          <w:p w:rsidRPr="008D1918" w:rsidR="00601AFC" w:rsidP="00B930AF" w:rsidRDefault="00601AFC" w14:paraId="5DC4A539" w14:textId="77777777">
            <w:pPr>
              <w:spacing w:before="60" w:after="60"/>
              <w:ind w:right="124"/>
              <w:jc w:val="right"/>
              <w:rPr>
                <w:rFonts w:cs="Calibri"/>
                <w:b/>
                <w:bCs/>
                <w:sz w:val="20"/>
                <w:szCs w:val="20"/>
                <w:lang w:val="en-AU"/>
              </w:rPr>
            </w:pPr>
            <w:r w:rsidRPr="008D1918">
              <w:rPr>
                <w:b/>
                <w:bCs/>
                <w:sz w:val="20"/>
                <w:szCs w:val="20"/>
                <w:lang w:val="en-AU"/>
              </w:rPr>
              <w:t>1,694</w:t>
            </w:r>
          </w:p>
        </w:tc>
        <w:tc>
          <w:tcPr>
            <w:tcW w:w="1191" w:type="dxa"/>
          </w:tcPr>
          <w:p w:rsidRPr="008D1918" w:rsidR="00601AFC" w:rsidP="00B930AF" w:rsidRDefault="00601AFC" w14:paraId="5C036B46" w14:textId="77777777">
            <w:pPr>
              <w:spacing w:before="60" w:after="60"/>
              <w:ind w:right="124"/>
              <w:jc w:val="right"/>
              <w:rPr>
                <w:rFonts w:cs="Calibri"/>
                <w:b/>
                <w:bCs/>
                <w:sz w:val="20"/>
                <w:szCs w:val="20"/>
                <w:lang w:val="en-AU"/>
              </w:rPr>
            </w:pPr>
            <w:r w:rsidRPr="008D1918">
              <w:rPr>
                <w:b/>
                <w:bCs/>
                <w:sz w:val="20"/>
                <w:szCs w:val="20"/>
                <w:lang w:val="en-AU"/>
              </w:rPr>
              <w:t>1,689</w:t>
            </w:r>
          </w:p>
        </w:tc>
        <w:tc>
          <w:tcPr>
            <w:tcW w:w="1191" w:type="dxa"/>
          </w:tcPr>
          <w:p w:rsidRPr="008D1918" w:rsidR="00601AFC" w:rsidP="00B930AF" w:rsidRDefault="00601AFC" w14:paraId="0A374808" w14:textId="77777777">
            <w:pPr>
              <w:spacing w:before="60" w:after="60"/>
              <w:ind w:right="124"/>
              <w:jc w:val="right"/>
              <w:rPr>
                <w:rFonts w:cs="Calibri"/>
                <w:b/>
                <w:bCs/>
                <w:sz w:val="20"/>
                <w:szCs w:val="20"/>
                <w:lang w:val="en-AU"/>
              </w:rPr>
            </w:pPr>
            <w:r w:rsidRPr="008D1918">
              <w:rPr>
                <w:rFonts w:cs="Cordia New"/>
                <w:b/>
                <w:bCs/>
                <w:sz w:val="20"/>
                <w:szCs w:val="20"/>
                <w:lang w:val="en-AU"/>
              </w:rPr>
              <w:t>1,</w:t>
            </w:r>
            <w:r w:rsidRPr="008D1918">
              <w:rPr>
                <w:b/>
                <w:bCs/>
                <w:sz w:val="20"/>
                <w:szCs w:val="20"/>
                <w:lang w:val="en-AU"/>
              </w:rPr>
              <w:t>342</w:t>
            </w:r>
          </w:p>
        </w:tc>
        <w:tc>
          <w:tcPr>
            <w:tcW w:w="1191" w:type="dxa"/>
          </w:tcPr>
          <w:p w:rsidRPr="008D1918" w:rsidR="00601AFC" w:rsidP="00B930AF" w:rsidRDefault="00601AFC" w14:paraId="05D30818" w14:textId="77777777">
            <w:pPr>
              <w:spacing w:before="60" w:after="60"/>
              <w:ind w:right="124"/>
              <w:jc w:val="right"/>
              <w:rPr>
                <w:rFonts w:cs="Calibri"/>
                <w:b/>
                <w:bCs/>
                <w:sz w:val="20"/>
                <w:szCs w:val="20"/>
                <w:lang w:val="en-AU"/>
              </w:rPr>
            </w:pPr>
            <w:r w:rsidRPr="008D1918">
              <w:rPr>
                <w:b/>
                <w:bCs/>
                <w:sz w:val="20"/>
                <w:szCs w:val="20"/>
                <w:lang w:val="en-AU"/>
              </w:rPr>
              <w:t>1,490</w:t>
            </w:r>
          </w:p>
        </w:tc>
      </w:tr>
    </w:tbl>
    <w:p w:rsidRPr="008D1918" w:rsidR="00601AFC" w:rsidP="00F35F8A" w:rsidRDefault="00601AFC" w14:paraId="302C7301" w14:textId="77777777">
      <w:pPr>
        <w:spacing w:before="120" w:after="3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601AFC" w:rsidP="00B930AF" w:rsidRDefault="00B930AF" w14:paraId="3444C27C" w14:textId="4E9739B2">
      <w:pPr>
        <w:pStyle w:val="Caption"/>
      </w:pPr>
      <w:bookmarkStart w:name="_Ref223697409" w:id="2086"/>
      <w:r w:rsidRPr="008D1918">
        <w:t xml:space="preserve">Table </w:t>
      </w:r>
      <w:r>
        <w:fldChar w:fldCharType="begin"/>
      </w:r>
      <w:r>
        <w:instrText>SEQ Table \* ARABIC</w:instrText>
      </w:r>
      <w:r>
        <w:fldChar w:fldCharType="separate"/>
      </w:r>
      <w:r w:rsidR="008F56A2">
        <w:rPr>
          <w:noProof/>
        </w:rPr>
        <w:t>52</w:t>
      </w:r>
      <w:r>
        <w:fldChar w:fldCharType="end"/>
      </w:r>
      <w:bookmarkEnd w:id="2086"/>
      <w:r w:rsidRPr="008D1918" w:rsidR="00601AFC">
        <w:t>: SC</w:t>
      </w:r>
      <w:r w:rsidRPr="008D1918" w:rsidR="00476700">
        <w:t>C</w:t>
      </w:r>
      <w:r w:rsidRPr="008D1918" w:rsidR="00601AFC">
        <w:t xml:space="preserve">P supports </w:t>
      </w:r>
      <w:r w:rsidRPr="008D1918" w:rsidR="001E0469">
        <w:t>S</w:t>
      </w:r>
      <w:r w:rsidRPr="008D1918" w:rsidR="00601AFC">
        <w:t>cheme statistics – very</w:t>
      </w:r>
      <w:r w:rsidRPr="008D1918" w:rsidR="00935CAE">
        <w:t xml:space="preserve"> </w:t>
      </w:r>
      <w:r w:rsidRPr="008D1918" w:rsidR="00601AFC">
        <w:t>remote locations, January 2023 to December 2025</w:t>
      </w:r>
    </w:p>
    <w:tbl>
      <w:tblPr>
        <w:tblStyle w:val="GridTable4-Accent121"/>
        <w:tblW w:w="0" w:type="auto"/>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588"/>
        <w:gridCol w:w="1191"/>
        <w:gridCol w:w="1191"/>
        <w:gridCol w:w="1191"/>
        <w:gridCol w:w="1191"/>
        <w:gridCol w:w="1191"/>
        <w:gridCol w:w="1191"/>
      </w:tblGrid>
      <w:tr w:rsidRPr="008D1918" w:rsidR="00A238C6" w:rsidTr="00B930AF" w14:paraId="4B776A8F" w14:textId="77777777">
        <w:trPr>
          <w:cnfStyle w:val="100000000000" w:firstRow="1" w:lastRow="0" w:firstColumn="0" w:lastColumn="0" w:oddVBand="0" w:evenVBand="0" w:oddHBand="0" w:evenHBand="0" w:firstRowFirstColumn="0" w:firstRowLastColumn="0" w:lastRowFirstColumn="0" w:lastRowLastColumn="0"/>
          <w:trHeight w:val="567"/>
        </w:trPr>
        <w:tc>
          <w:tcPr>
            <w:tcW w:w="1588" w:type="dxa"/>
            <w:vAlign w:val="center"/>
          </w:tcPr>
          <w:p w:rsidRPr="008D1918" w:rsidR="00601AFC" w:rsidP="00B930AF" w:rsidRDefault="00796AA7" w14:paraId="275E4998" w14:textId="646881C5">
            <w:pPr>
              <w:spacing w:before="60" w:after="60"/>
              <w:rPr>
                <w:rFonts w:cs="Calibri"/>
                <w:sz w:val="20"/>
                <w:szCs w:val="20"/>
                <w:lang w:val="en-AU" w:eastAsia="en-AU"/>
              </w:rPr>
            </w:pPr>
            <w:r w:rsidRPr="008D1918">
              <w:rPr>
                <w:rFonts w:cs="Cordia New"/>
                <w:sz w:val="20"/>
                <w:szCs w:val="20"/>
                <w:lang w:val="en-AU"/>
              </w:rPr>
              <w:t>Remoteness</w:t>
            </w:r>
          </w:p>
        </w:tc>
        <w:tc>
          <w:tcPr>
            <w:tcW w:w="1191" w:type="dxa"/>
            <w:vAlign w:val="center"/>
          </w:tcPr>
          <w:p w:rsidRPr="008D1918" w:rsidR="00601AFC" w:rsidP="00B930AF" w:rsidRDefault="00601AFC" w14:paraId="673A02D7" w14:textId="77777777">
            <w:pPr>
              <w:spacing w:before="60" w:after="0"/>
              <w:jc w:val="right"/>
              <w:rPr>
                <w:rFonts w:cs="Cordia New"/>
                <w:sz w:val="20"/>
                <w:szCs w:val="20"/>
                <w:lang w:val="en-AU"/>
              </w:rPr>
            </w:pPr>
            <w:r w:rsidRPr="008D1918">
              <w:rPr>
                <w:rFonts w:cs="Cordia New"/>
                <w:sz w:val="20"/>
                <w:szCs w:val="20"/>
                <w:lang w:val="en-AU"/>
              </w:rPr>
              <w:t>January – June</w:t>
            </w:r>
          </w:p>
          <w:p w:rsidRPr="008D1918" w:rsidR="00601AFC" w:rsidP="00B930AF" w:rsidRDefault="00601AFC" w14:paraId="378BDBE8" w14:textId="77777777">
            <w:pPr>
              <w:spacing w:before="0" w:after="60"/>
              <w:jc w:val="right"/>
              <w:rPr>
                <w:rFonts w:cs="Calibri"/>
                <w:sz w:val="20"/>
                <w:szCs w:val="20"/>
                <w:lang w:val="en-AU" w:eastAsia="en-AU"/>
              </w:rPr>
            </w:pPr>
            <w:r w:rsidRPr="008D1918">
              <w:rPr>
                <w:rFonts w:cs="Cordia New"/>
                <w:sz w:val="20"/>
                <w:szCs w:val="20"/>
                <w:lang w:val="en-AU"/>
              </w:rPr>
              <w:t>2023</w:t>
            </w:r>
          </w:p>
        </w:tc>
        <w:tc>
          <w:tcPr>
            <w:tcW w:w="1191" w:type="dxa"/>
            <w:vAlign w:val="center"/>
          </w:tcPr>
          <w:p w:rsidRPr="008D1918" w:rsidR="00601AFC" w:rsidP="00B930AF" w:rsidRDefault="00601AFC" w14:paraId="0B80190B" w14:textId="77777777">
            <w:pPr>
              <w:spacing w:before="60" w:after="60"/>
              <w:jc w:val="right"/>
              <w:rPr>
                <w:rFonts w:cs="Calibri"/>
                <w:sz w:val="20"/>
                <w:szCs w:val="20"/>
                <w:lang w:val="en-AU" w:eastAsia="en-AU"/>
              </w:rPr>
            </w:pPr>
            <w:r w:rsidRPr="008D1918">
              <w:rPr>
                <w:rFonts w:cs="Cordia New"/>
                <w:sz w:val="20"/>
                <w:szCs w:val="20"/>
                <w:lang w:val="en-AU"/>
              </w:rPr>
              <w:t>July – December 2023</w:t>
            </w:r>
          </w:p>
        </w:tc>
        <w:tc>
          <w:tcPr>
            <w:tcW w:w="1191" w:type="dxa"/>
            <w:vAlign w:val="center"/>
          </w:tcPr>
          <w:p w:rsidRPr="008D1918" w:rsidR="00601AFC" w:rsidP="00B930AF" w:rsidRDefault="00601AFC" w14:paraId="4C4D7298" w14:textId="77777777">
            <w:pPr>
              <w:spacing w:before="60" w:after="0"/>
              <w:jc w:val="right"/>
              <w:rPr>
                <w:rFonts w:cs="Cordia New"/>
                <w:sz w:val="20"/>
                <w:szCs w:val="20"/>
                <w:lang w:val="en-AU"/>
              </w:rPr>
            </w:pPr>
            <w:r w:rsidRPr="008D1918">
              <w:rPr>
                <w:rFonts w:cs="Cordia New"/>
                <w:sz w:val="20"/>
                <w:szCs w:val="20"/>
                <w:lang w:val="en-AU"/>
              </w:rPr>
              <w:t>January – June</w:t>
            </w:r>
          </w:p>
          <w:p w:rsidRPr="008D1918" w:rsidR="00601AFC" w:rsidP="00B930AF" w:rsidRDefault="00601AFC" w14:paraId="52320284" w14:textId="77777777">
            <w:pPr>
              <w:spacing w:before="0" w:after="60"/>
              <w:jc w:val="right"/>
              <w:rPr>
                <w:rFonts w:cs="Calibri"/>
                <w:sz w:val="20"/>
                <w:szCs w:val="20"/>
                <w:lang w:val="en-AU" w:eastAsia="en-AU"/>
              </w:rPr>
            </w:pPr>
            <w:r w:rsidRPr="008D1918">
              <w:rPr>
                <w:rFonts w:cs="Cordia New"/>
                <w:sz w:val="20"/>
                <w:szCs w:val="20"/>
                <w:lang w:val="en-AU"/>
              </w:rPr>
              <w:t>2024</w:t>
            </w:r>
          </w:p>
        </w:tc>
        <w:tc>
          <w:tcPr>
            <w:tcW w:w="1191" w:type="dxa"/>
            <w:vAlign w:val="center"/>
          </w:tcPr>
          <w:p w:rsidRPr="008D1918" w:rsidR="00601AFC" w:rsidP="00B930AF" w:rsidRDefault="00601AFC" w14:paraId="63975EDD" w14:textId="77777777">
            <w:pPr>
              <w:spacing w:before="60" w:after="60"/>
              <w:jc w:val="right"/>
              <w:rPr>
                <w:rFonts w:cs="Calibri"/>
                <w:sz w:val="20"/>
                <w:szCs w:val="20"/>
                <w:lang w:val="en-AU" w:eastAsia="en-AU"/>
              </w:rPr>
            </w:pPr>
            <w:r w:rsidRPr="008D1918">
              <w:rPr>
                <w:rFonts w:cs="Cordia New"/>
                <w:sz w:val="20"/>
                <w:szCs w:val="20"/>
                <w:lang w:val="en-AU"/>
              </w:rPr>
              <w:t>July – December 2024</w:t>
            </w:r>
          </w:p>
        </w:tc>
        <w:tc>
          <w:tcPr>
            <w:tcW w:w="1191" w:type="dxa"/>
            <w:vAlign w:val="center"/>
          </w:tcPr>
          <w:p w:rsidRPr="008D1918" w:rsidR="00601AFC" w:rsidP="00B930AF" w:rsidRDefault="00601AFC" w14:paraId="411F271E" w14:textId="77777777">
            <w:pPr>
              <w:spacing w:before="60" w:after="0"/>
              <w:jc w:val="right"/>
              <w:rPr>
                <w:rFonts w:cs="Cordia New"/>
                <w:sz w:val="20"/>
                <w:szCs w:val="20"/>
                <w:lang w:val="en-AU"/>
              </w:rPr>
            </w:pPr>
            <w:r w:rsidRPr="008D1918">
              <w:rPr>
                <w:rFonts w:cs="Cordia New"/>
                <w:sz w:val="20"/>
                <w:szCs w:val="20"/>
                <w:lang w:val="en-AU"/>
              </w:rPr>
              <w:t>January – June</w:t>
            </w:r>
          </w:p>
          <w:p w:rsidRPr="008D1918" w:rsidR="00601AFC" w:rsidP="00B930AF" w:rsidRDefault="00601AFC" w14:paraId="632C73C7" w14:textId="77777777">
            <w:pPr>
              <w:spacing w:before="0" w:after="60"/>
              <w:jc w:val="right"/>
              <w:rPr>
                <w:rFonts w:cs="Calibri"/>
                <w:sz w:val="20"/>
                <w:szCs w:val="20"/>
                <w:lang w:val="en-AU" w:eastAsia="en-AU"/>
              </w:rPr>
            </w:pPr>
            <w:r w:rsidRPr="008D1918">
              <w:rPr>
                <w:rFonts w:cs="Cordia New"/>
                <w:sz w:val="20"/>
                <w:szCs w:val="20"/>
                <w:lang w:val="en-AU"/>
              </w:rPr>
              <w:t>2025</w:t>
            </w:r>
          </w:p>
        </w:tc>
        <w:tc>
          <w:tcPr>
            <w:tcW w:w="1191" w:type="dxa"/>
            <w:vAlign w:val="center"/>
          </w:tcPr>
          <w:p w:rsidRPr="008D1918" w:rsidR="00601AFC" w:rsidP="00B930AF" w:rsidRDefault="00601AFC" w14:paraId="3B6276E1" w14:textId="77777777">
            <w:pPr>
              <w:spacing w:before="60" w:after="60"/>
              <w:jc w:val="right"/>
              <w:rPr>
                <w:rFonts w:cs="Calibri"/>
                <w:sz w:val="20"/>
                <w:szCs w:val="20"/>
                <w:lang w:val="en-AU" w:eastAsia="en-AU"/>
              </w:rPr>
            </w:pPr>
            <w:r w:rsidRPr="008D1918">
              <w:rPr>
                <w:rFonts w:cs="Cordia New"/>
                <w:sz w:val="20"/>
                <w:szCs w:val="20"/>
                <w:lang w:val="en-AU"/>
              </w:rPr>
              <w:t>July – December 2025</w:t>
            </w:r>
          </w:p>
        </w:tc>
      </w:tr>
      <w:tr w:rsidRPr="008D1918" w:rsidR="00173A73" w:rsidTr="00796AA7" w14:paraId="0070AC0D" w14:textId="77777777">
        <w:trPr>
          <w:cnfStyle w:val="000000100000" w:firstRow="0" w:lastRow="0" w:firstColumn="0" w:lastColumn="0" w:oddVBand="0" w:evenVBand="0" w:oddHBand="1" w:evenHBand="0" w:firstRowFirstColumn="0" w:firstRowLastColumn="0" w:lastRowFirstColumn="0" w:lastRowLastColumn="0"/>
          <w:trHeight w:val="397"/>
        </w:trPr>
        <w:tc>
          <w:tcPr>
            <w:tcW w:w="1588" w:type="dxa"/>
          </w:tcPr>
          <w:p w:rsidRPr="008D1918" w:rsidR="00601AFC" w:rsidRDefault="00601AFC" w14:paraId="3F3FBB1A" w14:textId="77777777">
            <w:pPr>
              <w:spacing w:before="60" w:after="60"/>
              <w:rPr>
                <w:rFonts w:cs="Calibri"/>
                <w:sz w:val="20"/>
                <w:szCs w:val="20"/>
                <w:lang w:val="en-AU" w:eastAsia="en-AU"/>
              </w:rPr>
            </w:pPr>
            <w:r w:rsidRPr="008D1918">
              <w:rPr>
                <w:rFonts w:cs="Cordia New"/>
                <w:sz w:val="20"/>
                <w:szCs w:val="20"/>
                <w:lang w:val="en-AU"/>
              </w:rPr>
              <w:t>Registered</w:t>
            </w:r>
          </w:p>
        </w:tc>
        <w:tc>
          <w:tcPr>
            <w:tcW w:w="1191" w:type="dxa"/>
          </w:tcPr>
          <w:p w:rsidRPr="008D1918" w:rsidR="00601AFC" w:rsidP="00B930AF" w:rsidRDefault="00601AFC" w14:paraId="0AF9B568" w14:textId="77777777">
            <w:pPr>
              <w:spacing w:before="60" w:after="60"/>
              <w:ind w:right="124"/>
              <w:jc w:val="right"/>
              <w:rPr>
                <w:rFonts w:cs="Calibri"/>
                <w:color w:val="000000"/>
                <w:sz w:val="20"/>
                <w:szCs w:val="20"/>
                <w:lang w:val="en-AU" w:eastAsia="en-AU"/>
              </w:rPr>
            </w:pPr>
            <w:r w:rsidRPr="008D1918">
              <w:rPr>
                <w:sz w:val="20"/>
                <w:szCs w:val="20"/>
                <w:lang w:val="en-AU"/>
              </w:rPr>
              <w:t>152</w:t>
            </w:r>
          </w:p>
        </w:tc>
        <w:tc>
          <w:tcPr>
            <w:tcW w:w="1191" w:type="dxa"/>
          </w:tcPr>
          <w:p w:rsidRPr="008D1918" w:rsidR="00601AFC" w:rsidP="00B930AF" w:rsidRDefault="00601AFC" w14:paraId="28B10BE8" w14:textId="77777777">
            <w:pPr>
              <w:spacing w:before="60" w:after="60"/>
              <w:ind w:right="124"/>
              <w:jc w:val="right"/>
              <w:rPr>
                <w:rFonts w:cs="Calibri"/>
                <w:color w:val="000000"/>
                <w:sz w:val="20"/>
                <w:szCs w:val="20"/>
                <w:lang w:val="en-AU" w:eastAsia="en-AU"/>
              </w:rPr>
            </w:pPr>
            <w:r w:rsidRPr="008D1918">
              <w:rPr>
                <w:sz w:val="20"/>
                <w:szCs w:val="20"/>
                <w:lang w:val="en-AU"/>
              </w:rPr>
              <w:t>173</w:t>
            </w:r>
          </w:p>
        </w:tc>
        <w:tc>
          <w:tcPr>
            <w:tcW w:w="1191" w:type="dxa"/>
          </w:tcPr>
          <w:p w:rsidRPr="008D1918" w:rsidR="00601AFC" w:rsidP="00B930AF" w:rsidRDefault="00601AFC" w14:paraId="2B2294CE" w14:textId="77777777">
            <w:pPr>
              <w:spacing w:before="60" w:after="60"/>
              <w:ind w:right="124"/>
              <w:jc w:val="right"/>
              <w:rPr>
                <w:rFonts w:cs="Calibri"/>
                <w:color w:val="000000"/>
                <w:sz w:val="20"/>
                <w:szCs w:val="20"/>
                <w:lang w:val="en-AU" w:eastAsia="en-AU"/>
              </w:rPr>
            </w:pPr>
            <w:r w:rsidRPr="008D1918">
              <w:rPr>
                <w:sz w:val="20"/>
                <w:szCs w:val="20"/>
                <w:lang w:val="en-AU"/>
              </w:rPr>
              <w:t>192</w:t>
            </w:r>
          </w:p>
        </w:tc>
        <w:tc>
          <w:tcPr>
            <w:tcW w:w="1191" w:type="dxa"/>
          </w:tcPr>
          <w:p w:rsidRPr="008D1918" w:rsidR="00601AFC" w:rsidP="00B930AF" w:rsidRDefault="00601AFC" w14:paraId="68B36E49" w14:textId="77777777">
            <w:pPr>
              <w:spacing w:before="60" w:after="60"/>
              <w:ind w:right="124"/>
              <w:jc w:val="right"/>
              <w:rPr>
                <w:rFonts w:cs="Calibri"/>
                <w:color w:val="000000"/>
                <w:sz w:val="20"/>
                <w:szCs w:val="20"/>
                <w:lang w:val="en-AU" w:eastAsia="en-AU"/>
              </w:rPr>
            </w:pPr>
            <w:r w:rsidRPr="008D1918">
              <w:rPr>
                <w:sz w:val="20"/>
                <w:szCs w:val="20"/>
                <w:lang w:val="en-AU"/>
              </w:rPr>
              <w:t>191</w:t>
            </w:r>
          </w:p>
        </w:tc>
        <w:tc>
          <w:tcPr>
            <w:tcW w:w="1191" w:type="dxa"/>
          </w:tcPr>
          <w:p w:rsidRPr="008D1918" w:rsidR="00601AFC" w:rsidP="00B930AF" w:rsidRDefault="00601AFC" w14:paraId="469AE35A" w14:textId="77777777">
            <w:pPr>
              <w:spacing w:before="60" w:after="60"/>
              <w:ind w:right="124"/>
              <w:jc w:val="right"/>
              <w:rPr>
                <w:rFonts w:cs="Calibri"/>
                <w:sz w:val="20"/>
                <w:szCs w:val="20"/>
                <w:lang w:val="en-AU"/>
              </w:rPr>
            </w:pPr>
            <w:r w:rsidRPr="008D1918">
              <w:rPr>
                <w:sz w:val="20"/>
                <w:szCs w:val="20"/>
                <w:lang w:val="en-AU"/>
              </w:rPr>
              <w:t>204</w:t>
            </w:r>
          </w:p>
        </w:tc>
        <w:tc>
          <w:tcPr>
            <w:tcW w:w="1191" w:type="dxa"/>
          </w:tcPr>
          <w:p w:rsidRPr="008D1918" w:rsidR="00601AFC" w:rsidP="00B930AF" w:rsidRDefault="00601AFC" w14:paraId="3F10BEB3" w14:textId="77777777">
            <w:pPr>
              <w:spacing w:before="60" w:after="60"/>
              <w:ind w:right="124"/>
              <w:jc w:val="right"/>
              <w:rPr>
                <w:rFonts w:cs="Calibri"/>
                <w:sz w:val="20"/>
                <w:szCs w:val="20"/>
                <w:lang w:val="en-AU"/>
              </w:rPr>
            </w:pPr>
            <w:r w:rsidRPr="008D1918">
              <w:rPr>
                <w:sz w:val="20"/>
                <w:szCs w:val="20"/>
                <w:lang w:val="en-AU"/>
              </w:rPr>
              <w:t>240</w:t>
            </w:r>
          </w:p>
        </w:tc>
      </w:tr>
      <w:tr w:rsidRPr="008D1918" w:rsidR="00601AFC" w:rsidTr="00796AA7" w14:paraId="4823F966" w14:textId="77777777">
        <w:trPr>
          <w:trHeight w:val="397"/>
        </w:trPr>
        <w:tc>
          <w:tcPr>
            <w:tcW w:w="1588" w:type="dxa"/>
          </w:tcPr>
          <w:p w:rsidRPr="008D1918" w:rsidR="00601AFC" w:rsidRDefault="00601AFC" w14:paraId="7D852C16" w14:textId="77777777">
            <w:pPr>
              <w:spacing w:before="60" w:after="60"/>
              <w:rPr>
                <w:rFonts w:cs="Calibri"/>
                <w:sz w:val="20"/>
                <w:szCs w:val="20"/>
                <w:lang w:val="en-AU" w:eastAsia="en-AU"/>
              </w:rPr>
            </w:pPr>
            <w:r w:rsidRPr="008D1918">
              <w:rPr>
                <w:rFonts w:cs="Cordia New"/>
                <w:sz w:val="20"/>
                <w:szCs w:val="20"/>
                <w:lang w:val="en-AU"/>
              </w:rPr>
              <w:t>Unregistered</w:t>
            </w:r>
          </w:p>
        </w:tc>
        <w:tc>
          <w:tcPr>
            <w:tcW w:w="1191" w:type="dxa"/>
          </w:tcPr>
          <w:p w:rsidRPr="008D1918" w:rsidR="00601AFC" w:rsidP="00B930AF" w:rsidRDefault="00601AFC" w14:paraId="78F93F20" w14:textId="77777777">
            <w:pPr>
              <w:spacing w:before="60" w:after="60"/>
              <w:ind w:right="124"/>
              <w:jc w:val="right"/>
              <w:rPr>
                <w:rFonts w:cs="Calibri"/>
                <w:color w:val="000000"/>
                <w:sz w:val="20"/>
                <w:szCs w:val="20"/>
                <w:lang w:val="en-AU" w:eastAsia="en-AU"/>
              </w:rPr>
            </w:pPr>
            <w:r w:rsidRPr="008D1918">
              <w:rPr>
                <w:sz w:val="20"/>
                <w:szCs w:val="20"/>
                <w:lang w:val="en-AU"/>
              </w:rPr>
              <w:t>369</w:t>
            </w:r>
          </w:p>
        </w:tc>
        <w:tc>
          <w:tcPr>
            <w:tcW w:w="1191" w:type="dxa"/>
          </w:tcPr>
          <w:p w:rsidRPr="008D1918" w:rsidR="00601AFC" w:rsidP="00B930AF" w:rsidRDefault="00601AFC" w14:paraId="0CF7B307" w14:textId="77777777">
            <w:pPr>
              <w:spacing w:before="60" w:after="60"/>
              <w:ind w:right="124"/>
              <w:jc w:val="right"/>
              <w:rPr>
                <w:rFonts w:cs="Calibri"/>
                <w:color w:val="000000"/>
                <w:sz w:val="20"/>
                <w:szCs w:val="20"/>
                <w:lang w:val="en-AU" w:eastAsia="en-AU"/>
              </w:rPr>
            </w:pPr>
            <w:r w:rsidRPr="008D1918">
              <w:rPr>
                <w:sz w:val="20"/>
                <w:szCs w:val="20"/>
                <w:lang w:val="en-AU"/>
              </w:rPr>
              <w:t>409</w:t>
            </w:r>
          </w:p>
        </w:tc>
        <w:tc>
          <w:tcPr>
            <w:tcW w:w="1191" w:type="dxa"/>
          </w:tcPr>
          <w:p w:rsidRPr="008D1918" w:rsidR="00601AFC" w:rsidP="00B930AF" w:rsidRDefault="00601AFC" w14:paraId="159BC586" w14:textId="77777777">
            <w:pPr>
              <w:spacing w:before="60" w:after="60"/>
              <w:ind w:right="124"/>
              <w:jc w:val="right"/>
              <w:rPr>
                <w:rFonts w:cs="Calibri"/>
                <w:color w:val="000000"/>
                <w:sz w:val="20"/>
                <w:szCs w:val="20"/>
                <w:lang w:val="en-AU" w:eastAsia="en-AU"/>
              </w:rPr>
            </w:pPr>
            <w:r w:rsidRPr="008D1918">
              <w:rPr>
                <w:sz w:val="20"/>
                <w:szCs w:val="20"/>
                <w:lang w:val="en-AU"/>
              </w:rPr>
              <w:t>446</w:t>
            </w:r>
          </w:p>
        </w:tc>
        <w:tc>
          <w:tcPr>
            <w:tcW w:w="1191" w:type="dxa"/>
          </w:tcPr>
          <w:p w:rsidRPr="008D1918" w:rsidR="00601AFC" w:rsidP="00B930AF" w:rsidRDefault="00601AFC" w14:paraId="13F55F14" w14:textId="77777777">
            <w:pPr>
              <w:spacing w:before="60" w:after="60"/>
              <w:ind w:right="124"/>
              <w:jc w:val="right"/>
              <w:rPr>
                <w:rFonts w:cs="Calibri"/>
                <w:color w:val="000000"/>
                <w:sz w:val="20"/>
                <w:szCs w:val="20"/>
                <w:lang w:val="en-AU" w:eastAsia="en-AU"/>
              </w:rPr>
            </w:pPr>
            <w:r w:rsidRPr="008D1918">
              <w:rPr>
                <w:sz w:val="20"/>
                <w:szCs w:val="20"/>
                <w:lang w:val="en-AU"/>
              </w:rPr>
              <w:t>508</w:t>
            </w:r>
          </w:p>
        </w:tc>
        <w:tc>
          <w:tcPr>
            <w:tcW w:w="1191" w:type="dxa"/>
          </w:tcPr>
          <w:p w:rsidRPr="008D1918" w:rsidR="00601AFC" w:rsidP="00B930AF" w:rsidRDefault="00601AFC" w14:paraId="474D3AFC" w14:textId="77777777">
            <w:pPr>
              <w:spacing w:before="60" w:after="60"/>
              <w:ind w:right="124"/>
              <w:jc w:val="right"/>
              <w:rPr>
                <w:rFonts w:cs="Calibri"/>
                <w:sz w:val="20"/>
                <w:szCs w:val="20"/>
                <w:lang w:val="en-AU"/>
              </w:rPr>
            </w:pPr>
            <w:r w:rsidRPr="008D1918">
              <w:rPr>
                <w:sz w:val="20"/>
                <w:szCs w:val="20"/>
                <w:lang w:val="en-AU"/>
              </w:rPr>
              <w:t>455</w:t>
            </w:r>
          </w:p>
        </w:tc>
        <w:tc>
          <w:tcPr>
            <w:tcW w:w="1191" w:type="dxa"/>
          </w:tcPr>
          <w:p w:rsidRPr="008D1918" w:rsidR="00601AFC" w:rsidP="00B930AF" w:rsidRDefault="00601AFC" w14:paraId="78DCC2A4" w14:textId="77777777">
            <w:pPr>
              <w:spacing w:before="60" w:after="60"/>
              <w:ind w:right="124"/>
              <w:jc w:val="right"/>
              <w:rPr>
                <w:rFonts w:cs="Calibri"/>
                <w:sz w:val="20"/>
                <w:szCs w:val="20"/>
                <w:lang w:val="en-AU"/>
              </w:rPr>
            </w:pPr>
            <w:r w:rsidRPr="008D1918">
              <w:rPr>
                <w:sz w:val="20"/>
                <w:szCs w:val="20"/>
                <w:lang w:val="en-AU"/>
              </w:rPr>
              <w:t>514</w:t>
            </w:r>
          </w:p>
        </w:tc>
      </w:tr>
      <w:tr w:rsidRPr="008D1918" w:rsidR="00173A73" w:rsidTr="00796AA7" w14:paraId="233BB31F" w14:textId="77777777">
        <w:trPr>
          <w:cnfStyle w:val="000000100000" w:firstRow="0" w:lastRow="0" w:firstColumn="0" w:lastColumn="0" w:oddVBand="0" w:evenVBand="0" w:oddHBand="1" w:evenHBand="0" w:firstRowFirstColumn="0" w:firstRowLastColumn="0" w:lastRowFirstColumn="0" w:lastRowLastColumn="0"/>
          <w:trHeight w:val="397"/>
        </w:trPr>
        <w:tc>
          <w:tcPr>
            <w:tcW w:w="1588" w:type="dxa"/>
          </w:tcPr>
          <w:p w:rsidRPr="008D1918" w:rsidR="00601AFC" w:rsidRDefault="00601AFC" w14:paraId="2723A695" w14:textId="5E4A6D0F">
            <w:pPr>
              <w:spacing w:before="60" w:after="60"/>
              <w:rPr>
                <w:rFonts w:cs="Calibri"/>
                <w:b/>
                <w:bCs/>
                <w:sz w:val="20"/>
                <w:szCs w:val="20"/>
                <w:lang w:val="en-AU" w:eastAsia="en-AU"/>
              </w:rPr>
            </w:pPr>
            <w:r w:rsidRPr="008D1918">
              <w:rPr>
                <w:rFonts w:cs="Cordia New"/>
                <w:b/>
                <w:bCs/>
                <w:sz w:val="20"/>
                <w:szCs w:val="20"/>
                <w:lang w:val="en-AU"/>
              </w:rPr>
              <w:t xml:space="preserve">All </w:t>
            </w:r>
            <w:r w:rsidRPr="008D1918" w:rsidR="00B930AF">
              <w:rPr>
                <w:rFonts w:cs="Cordia New"/>
                <w:b/>
                <w:bCs/>
                <w:sz w:val="20"/>
                <w:szCs w:val="20"/>
                <w:lang w:val="en-AU"/>
              </w:rPr>
              <w:t>p</w:t>
            </w:r>
            <w:r w:rsidRPr="008D1918">
              <w:rPr>
                <w:rFonts w:cs="Cordia New"/>
                <w:b/>
                <w:bCs/>
                <w:sz w:val="20"/>
                <w:szCs w:val="20"/>
                <w:lang w:val="en-AU"/>
              </w:rPr>
              <w:t>roviders</w:t>
            </w:r>
          </w:p>
        </w:tc>
        <w:tc>
          <w:tcPr>
            <w:tcW w:w="1191" w:type="dxa"/>
          </w:tcPr>
          <w:p w:rsidRPr="008D1918" w:rsidR="00601AFC" w:rsidP="00B930AF" w:rsidRDefault="00601AFC" w14:paraId="1DBA6485" w14:textId="77777777">
            <w:pPr>
              <w:spacing w:before="60" w:after="60"/>
              <w:ind w:right="124"/>
              <w:jc w:val="right"/>
              <w:rPr>
                <w:rFonts w:cs="Calibri"/>
                <w:b/>
                <w:bCs/>
                <w:sz w:val="20"/>
                <w:szCs w:val="20"/>
                <w:lang w:val="en-AU"/>
              </w:rPr>
            </w:pPr>
            <w:r w:rsidRPr="008D1918">
              <w:rPr>
                <w:b/>
                <w:bCs/>
                <w:sz w:val="20"/>
                <w:szCs w:val="20"/>
                <w:lang w:val="en-AU"/>
              </w:rPr>
              <w:t>517</w:t>
            </w:r>
          </w:p>
        </w:tc>
        <w:tc>
          <w:tcPr>
            <w:tcW w:w="1191" w:type="dxa"/>
          </w:tcPr>
          <w:p w:rsidRPr="008D1918" w:rsidR="00601AFC" w:rsidP="00B930AF" w:rsidRDefault="00601AFC" w14:paraId="12AEF33F" w14:textId="77777777">
            <w:pPr>
              <w:spacing w:before="60" w:after="60"/>
              <w:ind w:right="124"/>
              <w:jc w:val="right"/>
              <w:rPr>
                <w:rFonts w:cs="Calibri"/>
                <w:b/>
                <w:bCs/>
                <w:sz w:val="20"/>
                <w:szCs w:val="20"/>
                <w:lang w:val="en-AU"/>
              </w:rPr>
            </w:pPr>
            <w:r w:rsidRPr="008D1918">
              <w:rPr>
                <w:b/>
                <w:bCs/>
                <w:sz w:val="20"/>
                <w:szCs w:val="20"/>
                <w:lang w:val="en-AU"/>
              </w:rPr>
              <w:t>576</w:t>
            </w:r>
          </w:p>
        </w:tc>
        <w:tc>
          <w:tcPr>
            <w:tcW w:w="1191" w:type="dxa"/>
          </w:tcPr>
          <w:p w:rsidRPr="008D1918" w:rsidR="00601AFC" w:rsidP="00B930AF" w:rsidRDefault="00601AFC" w14:paraId="5CB682D0" w14:textId="77777777">
            <w:pPr>
              <w:spacing w:before="60" w:after="60"/>
              <w:ind w:right="124"/>
              <w:jc w:val="right"/>
              <w:rPr>
                <w:rFonts w:cs="Calibri"/>
                <w:b/>
                <w:bCs/>
                <w:sz w:val="20"/>
                <w:szCs w:val="20"/>
                <w:lang w:val="en-AU"/>
              </w:rPr>
            </w:pPr>
            <w:r w:rsidRPr="008D1918">
              <w:rPr>
                <w:b/>
                <w:bCs/>
                <w:sz w:val="20"/>
                <w:szCs w:val="20"/>
                <w:lang w:val="en-AU"/>
              </w:rPr>
              <w:t>634</w:t>
            </w:r>
          </w:p>
        </w:tc>
        <w:tc>
          <w:tcPr>
            <w:tcW w:w="1191" w:type="dxa"/>
          </w:tcPr>
          <w:p w:rsidRPr="008D1918" w:rsidR="00601AFC" w:rsidP="00B930AF" w:rsidRDefault="00601AFC" w14:paraId="60C557FA" w14:textId="77777777">
            <w:pPr>
              <w:spacing w:before="60" w:after="60"/>
              <w:ind w:right="124"/>
              <w:jc w:val="right"/>
              <w:rPr>
                <w:rFonts w:cs="Calibri"/>
                <w:b/>
                <w:bCs/>
                <w:sz w:val="20"/>
                <w:szCs w:val="20"/>
                <w:lang w:val="en-AU"/>
              </w:rPr>
            </w:pPr>
            <w:r w:rsidRPr="008D1918">
              <w:rPr>
                <w:b/>
                <w:bCs/>
                <w:sz w:val="20"/>
                <w:szCs w:val="20"/>
                <w:lang w:val="en-AU"/>
              </w:rPr>
              <w:t>692</w:t>
            </w:r>
          </w:p>
        </w:tc>
        <w:tc>
          <w:tcPr>
            <w:tcW w:w="1191" w:type="dxa"/>
          </w:tcPr>
          <w:p w:rsidRPr="008D1918" w:rsidR="00601AFC" w:rsidP="00B930AF" w:rsidRDefault="00601AFC" w14:paraId="0DCCF9AD" w14:textId="77777777">
            <w:pPr>
              <w:spacing w:before="60" w:after="60"/>
              <w:ind w:right="124"/>
              <w:jc w:val="right"/>
              <w:rPr>
                <w:rFonts w:cs="Calibri"/>
                <w:b/>
                <w:bCs/>
                <w:sz w:val="20"/>
                <w:szCs w:val="20"/>
                <w:lang w:val="en-AU"/>
              </w:rPr>
            </w:pPr>
            <w:r w:rsidRPr="008D1918">
              <w:rPr>
                <w:b/>
                <w:bCs/>
                <w:sz w:val="20"/>
                <w:szCs w:val="20"/>
                <w:lang w:val="en-AU"/>
              </w:rPr>
              <w:t>650</w:t>
            </w:r>
          </w:p>
        </w:tc>
        <w:tc>
          <w:tcPr>
            <w:tcW w:w="1191" w:type="dxa"/>
          </w:tcPr>
          <w:p w:rsidRPr="008D1918" w:rsidR="00601AFC" w:rsidP="00B930AF" w:rsidRDefault="00601AFC" w14:paraId="0B930BE3" w14:textId="77777777">
            <w:pPr>
              <w:spacing w:before="60" w:after="60"/>
              <w:ind w:right="124"/>
              <w:jc w:val="right"/>
              <w:rPr>
                <w:rFonts w:cs="Calibri"/>
                <w:b/>
                <w:bCs/>
                <w:sz w:val="20"/>
                <w:szCs w:val="20"/>
                <w:lang w:val="en-AU"/>
              </w:rPr>
            </w:pPr>
            <w:r w:rsidRPr="008D1918">
              <w:rPr>
                <w:b/>
                <w:bCs/>
                <w:sz w:val="20"/>
                <w:szCs w:val="20"/>
                <w:lang w:val="en-AU"/>
              </w:rPr>
              <w:t>743</w:t>
            </w:r>
          </w:p>
        </w:tc>
      </w:tr>
    </w:tbl>
    <w:p w:rsidRPr="008D1918" w:rsidR="00601AFC" w:rsidRDefault="00601AFC" w14:paraId="445373D1" w14:textId="77777777">
      <w:pPr>
        <w:spacing w:before="120" w:after="6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601AFC" w:rsidP="00933118" w:rsidRDefault="00601AFC" w14:paraId="508F04AC" w14:textId="2A7093EF">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 xml:space="preserve">Note: The totals for registered and unregistered providers may not match the overall active provider count due to </w:t>
      </w:r>
      <w:r w:rsidRPr="008D1918" w:rsidR="00FD4ECE">
        <w:rPr>
          <w:rFonts w:cs="Calibri" w:eastAsiaTheme="minorEastAsia"/>
          <w:sz w:val="20"/>
          <w:szCs w:val="20"/>
          <w:lang w:val="en-AU"/>
        </w:rPr>
        <w:t xml:space="preserve">2 </w:t>
      </w:r>
      <w:r w:rsidRPr="008D1918">
        <w:rPr>
          <w:rFonts w:cs="Calibri" w:eastAsiaTheme="minorEastAsia"/>
          <w:sz w:val="20"/>
          <w:szCs w:val="20"/>
          <w:lang w:val="en-AU"/>
        </w:rPr>
        <w:t>factors: 1) Some providers offer both registered and unregistered supports within the same period, 2) A small fraction of providers with unspecified registration status are included in the total count but excluded from the detailed tabulation in the table.</w:t>
      </w:r>
    </w:p>
    <w:p w:rsidRPr="008D1918" w:rsidR="00601AFC" w:rsidP="001E1137" w:rsidRDefault="001E1137" w14:paraId="0744B8A3" w14:textId="15BE63DB">
      <w:pPr>
        <w:pStyle w:val="Caption"/>
        <w:rPr>
          <w:rFonts w:eastAsia="DengXian" w:cs="Cordia New"/>
          <w:i w:val="0"/>
          <w:color w:val="6B2876" w:themeColor="accent5"/>
        </w:rPr>
      </w:pPr>
      <w:bookmarkStart w:name="_Ref227133620" w:id="2087"/>
      <w:r w:rsidRPr="008D1918">
        <w:t xml:space="preserve">Figure </w:t>
      </w:r>
      <w:r>
        <w:fldChar w:fldCharType="begin"/>
      </w:r>
      <w:r>
        <w:instrText>SEQ Figure \* ARABIC</w:instrText>
      </w:r>
      <w:r>
        <w:fldChar w:fldCharType="separate"/>
      </w:r>
      <w:r w:rsidR="008F56A2">
        <w:rPr>
          <w:noProof/>
        </w:rPr>
        <w:t>53</w:t>
      </w:r>
      <w:r>
        <w:fldChar w:fldCharType="end"/>
      </w:r>
      <w:bookmarkEnd w:id="2087"/>
      <w:r w:rsidRPr="008D1918" w:rsidR="00601AFC">
        <w:rPr>
          <w:rFonts w:eastAsia="DengXian" w:cs="Cordia New"/>
          <w:color w:val="6B2876" w:themeColor="accent5"/>
        </w:rPr>
        <w:t>: Top 10 providers’ market share by remoteness for SC</w:t>
      </w:r>
      <w:r w:rsidRPr="008D1918" w:rsidR="00476700">
        <w:rPr>
          <w:rFonts w:eastAsia="DengXian" w:cs="Cordia New"/>
          <w:color w:val="6B2876" w:themeColor="accent5"/>
        </w:rPr>
        <w:t>C</w:t>
      </w:r>
      <w:r w:rsidRPr="008D1918" w:rsidR="00601AFC">
        <w:rPr>
          <w:rFonts w:eastAsia="DengXian" w:cs="Cordia New"/>
          <w:color w:val="6B2876" w:themeColor="accent5"/>
        </w:rPr>
        <w:t>P supports, January 2023 to December 2025</w:t>
      </w:r>
    </w:p>
    <w:p w:rsidRPr="008D1918" w:rsidR="00601AFC" w:rsidP="00F35F8A" w:rsidRDefault="00601AFC" w14:paraId="726BF9E3" w14:textId="77777777">
      <w:pPr>
        <w:spacing w:before="120" w:after="360"/>
        <w:jc w:val="center"/>
        <w:rPr>
          <w:lang w:val="en-AU"/>
        </w:rPr>
      </w:pPr>
      <w:r w:rsidRPr="008D1918">
        <w:rPr>
          <w:noProof/>
          <w:lang w:val="en-AU"/>
        </w:rPr>
        <w:drawing>
          <wp:inline distT="0" distB="0" distL="0" distR="0" wp14:anchorId="744B238A" wp14:editId="09D6ED13">
            <wp:extent cx="5677200" cy="3294000"/>
            <wp:effectExtent l="0" t="0" r="0" b="1905"/>
            <wp:docPr id="674957218" name="Picture 20" descr="Figure 53: A line graph showing the top 10 providers' market share by remoteness for SCP supports in 6-month intervals from January 2023 to December 2025. &#10;In July to December 2025 the non-remote percentage was 5.5%, the remote percentage was 18%, and the very remote percentage was 32%.&#10;Source: NDIA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57218" name="Picture 20" descr="Figure 53: A line graph showing the top 10 providers' market share by remoteness for SCP supports in 6-month intervals from January 2023 to December 2025. &#10;In July to December 2025 the non-remote percentage was 5.5%, the remote percentage was 18%, and the very remote percentage was 32%.&#10;Source: NDIA internal data."/>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77200" cy="3294000"/>
                    </a:xfrm>
                    <a:prstGeom prst="rect">
                      <a:avLst/>
                    </a:prstGeom>
                    <a:noFill/>
                  </pic:spPr>
                </pic:pic>
              </a:graphicData>
            </a:graphic>
          </wp:inline>
        </w:drawing>
      </w:r>
    </w:p>
    <w:p w:rsidRPr="008D1918" w:rsidR="00601AFC" w:rsidRDefault="00601AFC" w14:paraId="48AB1B3F" w14:textId="3C365222">
      <w:pPr>
        <w:rPr>
          <w:lang w:val="en-AU"/>
        </w:rPr>
      </w:pPr>
      <w:r w:rsidRPr="008D1918">
        <w:rPr>
          <w:lang w:val="en-AU"/>
        </w:rPr>
        <w:t>Provider continuity data highlights different patterns of stability between registered and unregistered providers. Forty-one per</w:t>
      </w:r>
      <w:r w:rsidRPr="008D1918" w:rsidR="005979D4">
        <w:rPr>
          <w:lang w:val="en-AU"/>
        </w:rPr>
        <w:t xml:space="preserve"> </w:t>
      </w:r>
      <w:r w:rsidRPr="008D1918">
        <w:rPr>
          <w:lang w:val="en-AU"/>
        </w:rPr>
        <w:t xml:space="preserve">cent of registered providers were active across all </w:t>
      </w:r>
      <w:r w:rsidRPr="008D1918" w:rsidR="00AF498E">
        <w:rPr>
          <w:lang w:val="en-AU"/>
        </w:rPr>
        <w:t xml:space="preserve">6 </w:t>
      </w:r>
      <w:r w:rsidRPr="008D1918">
        <w:rPr>
          <w:lang w:val="en-AU"/>
        </w:rPr>
        <w:t xml:space="preserve">half year periods from January 2023 to December 2025, accounting for 91% of payments to registered providers. Among unregistered providers, only 15% were active across all </w:t>
      </w:r>
      <w:r w:rsidRPr="008D1918" w:rsidR="00AF498E">
        <w:rPr>
          <w:lang w:val="en-AU"/>
        </w:rPr>
        <w:t xml:space="preserve">6 </w:t>
      </w:r>
      <w:r w:rsidRPr="008D1918">
        <w:rPr>
          <w:lang w:val="en-AU"/>
        </w:rPr>
        <w:t xml:space="preserve">periods, with 34% active for </w:t>
      </w:r>
      <w:r w:rsidRPr="008D1918" w:rsidR="00797A3C">
        <w:rPr>
          <w:lang w:val="en-AU"/>
        </w:rPr>
        <w:t xml:space="preserve">just </w:t>
      </w:r>
      <w:r w:rsidRPr="008D1918">
        <w:rPr>
          <w:lang w:val="en-AU"/>
        </w:rPr>
        <w:t>a single period (</w:t>
      </w:r>
      <w:r w:rsidRPr="008D1918" w:rsidR="005E313B">
        <w:rPr>
          <w:lang w:val="en-AU"/>
        </w:rPr>
        <w:fldChar w:fldCharType="begin"/>
      </w:r>
      <w:r w:rsidRPr="008D1918" w:rsidR="005E313B">
        <w:rPr>
          <w:lang w:val="en-AU"/>
        </w:rPr>
        <w:instrText xml:space="preserve"> REF _Ref223683584 \h </w:instrText>
      </w:r>
      <w:r w:rsidRPr="008D1918" w:rsidR="00762DF8">
        <w:rPr>
          <w:lang w:val="en-AU"/>
        </w:rPr>
        <w:instrText xml:space="preserve"> \* MERGEFORMAT </w:instrText>
      </w:r>
      <w:r w:rsidRPr="008D1918" w:rsidR="005E313B">
        <w:rPr>
          <w:lang w:val="en-AU"/>
        </w:rPr>
      </w:r>
      <w:r w:rsidRPr="008D1918" w:rsidR="005E313B">
        <w:rPr>
          <w:lang w:val="en-AU"/>
        </w:rPr>
        <w:fldChar w:fldCharType="separate"/>
      </w:r>
      <w:r w:rsidRPr="008F56A2" w:rsidR="008F56A2">
        <w:rPr>
          <w:lang w:val="en-AU"/>
        </w:rPr>
        <w:t>Figure</w:t>
      </w:r>
      <w:r w:rsidRPr="008D1918" w:rsidR="008F56A2">
        <w:t xml:space="preserve"> </w:t>
      </w:r>
      <w:r w:rsidR="008F56A2">
        <w:rPr>
          <w:noProof/>
        </w:rPr>
        <w:t>54</w:t>
      </w:r>
      <w:r w:rsidRPr="008D1918" w:rsidR="005E313B">
        <w:rPr>
          <w:lang w:val="en-AU"/>
        </w:rPr>
        <w:fldChar w:fldCharType="end"/>
      </w:r>
      <w:r w:rsidRPr="008D1918">
        <w:rPr>
          <w:lang w:val="en-AU"/>
        </w:rPr>
        <w:t>). The unregistered market has substantially higher provider turnover than the registered provider market, consistent with a delivery model where individuals move in an</w:t>
      </w:r>
      <w:r w:rsidRPr="008D1918" w:rsidR="00091DAB">
        <w:rPr>
          <w:lang w:val="en-AU"/>
        </w:rPr>
        <w:t>d</w:t>
      </w:r>
      <w:r w:rsidRPr="008D1918">
        <w:rPr>
          <w:lang w:val="en-AU"/>
        </w:rPr>
        <w:t xml:space="preserve"> out of the market rather than operating as sustained businesses. </w:t>
      </w:r>
    </w:p>
    <w:p w:rsidRPr="008D1918" w:rsidR="004668F7" w:rsidRDefault="004668F7" w14:paraId="56DA09DA" w14:textId="20D9619E">
      <w:pPr>
        <w:rPr>
          <w:lang w:val="en-AU"/>
        </w:rPr>
      </w:pPr>
      <w:r w:rsidRPr="008D1918">
        <w:rPr>
          <w:lang w:val="en-AU"/>
        </w:rPr>
        <w:t>Despite this turnover provider entry consistently exceeds exit. Inactive registered providers accounted for 0.3% of total payments across the period, while new active registered providers contributed 1.2% (</w:t>
      </w:r>
      <w:r w:rsidRPr="008D1918" w:rsidR="005E313B">
        <w:rPr>
          <w:lang w:val="en-AU"/>
        </w:rPr>
        <w:fldChar w:fldCharType="begin"/>
      </w:r>
      <w:r w:rsidRPr="008D1918" w:rsidR="005E313B">
        <w:rPr>
          <w:lang w:val="en-AU"/>
        </w:rPr>
        <w:instrText xml:space="preserve"> REF _Ref223683615 \h </w:instrText>
      </w:r>
      <w:r w:rsidRPr="008D1918" w:rsidR="00762DF8">
        <w:rPr>
          <w:lang w:val="en-AU"/>
        </w:rPr>
        <w:instrText xml:space="preserve"> \* MERGEFORMAT </w:instrText>
      </w:r>
      <w:r w:rsidRPr="008D1918" w:rsidR="005E313B">
        <w:rPr>
          <w:lang w:val="en-AU"/>
        </w:rPr>
      </w:r>
      <w:r w:rsidRPr="008D1918" w:rsidR="005E313B">
        <w:rPr>
          <w:lang w:val="en-AU"/>
        </w:rPr>
        <w:fldChar w:fldCharType="separate"/>
      </w:r>
      <w:r w:rsidRPr="008F56A2" w:rsidR="008F56A2">
        <w:rPr>
          <w:lang w:val="en-AU"/>
        </w:rPr>
        <w:t>Figure</w:t>
      </w:r>
      <w:r w:rsidRPr="008D1918" w:rsidR="008F56A2">
        <w:t xml:space="preserve"> </w:t>
      </w:r>
      <w:r w:rsidR="008F56A2">
        <w:rPr>
          <w:noProof/>
        </w:rPr>
        <w:t>55</w:t>
      </w:r>
      <w:r w:rsidRPr="008D1918" w:rsidR="005E313B">
        <w:rPr>
          <w:lang w:val="en-AU"/>
        </w:rPr>
        <w:fldChar w:fldCharType="end"/>
      </w:r>
      <w:r w:rsidRPr="008D1918">
        <w:rPr>
          <w:lang w:val="en-AU"/>
        </w:rPr>
        <w:t>).</w:t>
      </w:r>
    </w:p>
    <w:p w:rsidRPr="008D1918" w:rsidR="00601AFC" w:rsidP="005E313B" w:rsidRDefault="005E313B" w14:paraId="6741220A" w14:textId="046A392C">
      <w:pPr>
        <w:pStyle w:val="Caption"/>
        <w:rPr>
          <w:rFonts w:eastAsia="DengXian" w:cs="Cordia New"/>
          <w:i w:val="0"/>
          <w:color w:val="6B2876" w:themeColor="accent5"/>
        </w:rPr>
      </w:pPr>
      <w:bookmarkStart w:name="_Ref223683584" w:id="2088"/>
      <w:r w:rsidRPr="008D1918">
        <w:t xml:space="preserve">Figure </w:t>
      </w:r>
      <w:r>
        <w:fldChar w:fldCharType="begin"/>
      </w:r>
      <w:r>
        <w:instrText>SEQ Figure \* ARABIC</w:instrText>
      </w:r>
      <w:r>
        <w:fldChar w:fldCharType="separate"/>
      </w:r>
      <w:r w:rsidR="008F56A2">
        <w:rPr>
          <w:noProof/>
        </w:rPr>
        <w:t>54</w:t>
      </w:r>
      <w:r>
        <w:fldChar w:fldCharType="end"/>
      </w:r>
      <w:bookmarkEnd w:id="2088"/>
      <w:r w:rsidRPr="008D1918" w:rsidR="00601AFC">
        <w:rPr>
          <w:rFonts w:eastAsia="DengXian" w:cs="Cordia New"/>
          <w:i w:val="0"/>
          <w:noProof/>
          <w:color w:val="6B2876" w:themeColor="accent5"/>
        </w:rPr>
        <mc:AlternateContent>
          <mc:Choice Requires="wps">
            <w:drawing>
              <wp:anchor distT="45720" distB="45720" distL="114300" distR="114300" simplePos="0" relativeHeight="251658240" behindDoc="1" locked="0" layoutInCell="1" allowOverlap="1" wp14:anchorId="574510ED" wp14:editId="10E4FD96">
                <wp:simplePos x="0" y="0"/>
                <wp:positionH relativeFrom="margin">
                  <wp:align>left</wp:align>
                </wp:positionH>
                <wp:positionV relativeFrom="paragraph">
                  <wp:posOffset>530860</wp:posOffset>
                </wp:positionV>
                <wp:extent cx="5734050" cy="2665095"/>
                <wp:effectExtent l="0" t="0" r="0" b="1905"/>
                <wp:wrapTight wrapText="bothSides">
                  <wp:wrapPolygon edited="0">
                    <wp:start x="0" y="0"/>
                    <wp:lineTo x="0" y="21461"/>
                    <wp:lineTo x="21528" y="21461"/>
                    <wp:lineTo x="21528" y="0"/>
                    <wp:lineTo x="0" y="0"/>
                  </wp:wrapPolygon>
                </wp:wrapTight>
                <wp:docPr id="217" name="Text Box 2" descr="Figure 54: Provider continuity for SCP supports by registration status and percentage of total payments, January 2023 to December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665562"/>
                        </a:xfrm>
                        <a:prstGeom prst="rect">
                          <a:avLst/>
                        </a:prstGeom>
                        <a:solidFill>
                          <a:srgbClr val="FFFFFF"/>
                        </a:solidFill>
                        <a:ln w="9525">
                          <a:noFill/>
                          <a:miter lim="800000"/>
                          <a:headEnd/>
                          <a:tailEnd/>
                        </a:ln>
                      </wps:spPr>
                      <wps:txbx>
                        <w:txbxContent>
                          <w:p w:rsidR="00601AFC" w:rsidRDefault="0071194E" w14:paraId="2ADD342E" w14:textId="4FAD17E5">
                            <w:pPr>
                              <w:pStyle w:val="Sourcefortableorfigure"/>
                            </w:pPr>
                            <w:r>
                              <w:rPr>
                                <w:rFonts w:eastAsia="DengXian" w:cs="Cordia New"/>
                                <w:i/>
                                <w:noProof/>
                                <w:color w:val="6B2876" w:themeColor="accent5"/>
                              </w:rPr>
                              <w:drawing>
                                <wp:inline distT="0" distB="0" distL="0" distR="0" wp14:anchorId="373C1734" wp14:editId="619D1EFA">
                                  <wp:extent cx="2592000" cy="2019600"/>
                                  <wp:effectExtent l="0" t="0" r="0" b="0"/>
                                  <wp:docPr id="1382493030" name="Picture 21" descr="Figure 54: Two column and dot graphs showing Provider continuity for SCP supports by registration status and percentage of total payments, January 2023 to December 2025.&#10;This figure presents two charts showing provider continuity by registration status. The first chart shows that registered SCP providers active for more than three years account for around 90% of total payments to registered provi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93030" name="Picture 21" descr="Figure 54: Two column and dot graphs showing Provider continuity for SCP supports by registration status and percentage of total payments, January 2023 to December 2025.&#10;This figure presents two charts showing provider continuity by registration status. The first chart shows that registered SCP providers active for more than three years account for around 90% of total payments to registered providers.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92000" cy="2019600"/>
                                          </a:xfrm>
                                          <a:prstGeom prst="rect">
                                            <a:avLst/>
                                          </a:prstGeom>
                                          <a:noFill/>
                                        </pic:spPr>
                                      </pic:pic>
                                    </a:graphicData>
                                  </a:graphic>
                                </wp:inline>
                              </w:drawing>
                            </w:r>
                            <w:r w:rsidR="00601AFC">
                              <w:t xml:space="preserve">       </w:t>
                            </w:r>
                            <w:r w:rsidR="00601AFC">
                              <w:rPr>
                                <w:noProof/>
                              </w:rPr>
                              <w:drawing>
                                <wp:inline distT="0" distB="0" distL="0" distR="0" wp14:anchorId="66C2D71D" wp14:editId="76E8E9AE">
                                  <wp:extent cx="2595600" cy="2019600"/>
                                  <wp:effectExtent l="0" t="0" r="0" b="0"/>
                                  <wp:docPr id="1628183353" name="Picture 6" descr="The second chart shows that unregistered SCP providers active for more than three years account for around 70% of total payments to unregistered providers..&#10;Source: NDIS Internal administrative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83353" name="Picture 6" descr="The second chart shows that unregistered SCP providers active for more than three years account for around 70% of total payments to unregistered providers..&#10;Source: NDIS Internal administrative data.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95600" cy="2019600"/>
                                          </a:xfrm>
                                          <a:prstGeom prst="rect">
                                            <a:avLst/>
                                          </a:prstGeom>
                                          <a:noFill/>
                                        </pic:spPr>
                                      </pic:pic>
                                    </a:graphicData>
                                  </a:graphic>
                                </wp:inline>
                              </w:drawing>
                            </w:r>
                          </w:p>
                          <w:p w:rsidR="007A55CB" w:rsidP="007A55CB" w:rsidRDefault="00601AFC" w14:paraId="6766F473" w14:textId="1E6BE397">
                            <w:pPr>
                              <w:pStyle w:val="Sourcefortableorfigure"/>
                              <w:spacing w:after="360"/>
                            </w:pPr>
                            <w:r w:rsidRPr="00566FE3">
                              <w:rPr>
                                <w:sz w:val="16"/>
                                <w:szCs w:val="16"/>
                              </w:rPr>
                              <w:t>Source: NDIS internal administrative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29754D7">
              <v:shape id="_x0000_s1029" style="position:absolute;margin-left:0;margin-top:41.8pt;width:451.5pt;height:209.8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lt="Figure 54: Provider continuity for SCP supports by registration status and percentage of total payments, January 2023 to December 202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" w14:anchorId="574510ED">
                <v:textbox>
                  <w:txbxContent>
                    <w:p w:rsidR="00601AFC" w:rsidRDefault="0071194E" w14:paraId="4C2940DF" w14:textId="4FAD17E5">
                      <w:pPr>
                        <w:pStyle w:val="Sourcefortableorfigure"/>
                      </w:pPr>
                      <w:r>
                        <w:rPr>
                          <w:rFonts w:eastAsia="DengXian" w:cs="Cordia New"/>
                          <w:i/>
                          <w:noProof/>
                          <w:color w:val="6B2876" w:themeColor="accent5"/>
                        </w:rPr>
                        <w:drawing>
                          <wp:inline distT="0" distB="0" distL="0" distR="0" wp14:anchorId="38488A02" wp14:editId="619D1EFA">
                            <wp:extent cx="2592000" cy="2019600"/>
                            <wp:effectExtent l="0" t="0" r="0" b="0"/>
                            <wp:docPr id="673021508" name="Picture 21" descr="Figure 54: Two column and dot graphs showing Provider continuity for SCP supports by registration status and percentage of total payments, January 2023 to December 2025.&#10;This figure presents two charts showing provider continuity by registration status. The first chart shows that registered SCP providers active for more than three years account for around 90% of total payments to registered provi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93030" name="Picture 21" descr="Figure 54: Two column and dot graphs showing Provider continuity for SCP supports by registration status and percentage of total payments, January 2023 to December 2025.&#10;This figure presents two charts showing provider continuity by registration status. The first chart shows that registered SCP providers active for more than three years account for around 90% of total payments to registered providers.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92000" cy="2019600"/>
                                    </a:xfrm>
                                    <a:prstGeom prst="rect">
                                      <a:avLst/>
                                    </a:prstGeom>
                                    <a:noFill/>
                                  </pic:spPr>
                                </pic:pic>
                              </a:graphicData>
                            </a:graphic>
                          </wp:inline>
                        </w:drawing>
                      </w:r>
                      <w:r w:rsidR="00601AFC">
                        <w:t xml:space="preserve">       </w:t>
                      </w:r>
                      <w:r w:rsidR="00601AFC">
                        <w:rPr>
                          <w:noProof/>
                        </w:rPr>
                        <w:drawing>
                          <wp:inline distT="0" distB="0" distL="0" distR="0" wp14:anchorId="7095C1D9" wp14:editId="76E8E9AE">
                            <wp:extent cx="2595600" cy="2019600"/>
                            <wp:effectExtent l="0" t="0" r="0" b="0"/>
                            <wp:docPr id="1542801008" name="Picture 6" descr="The second chart shows that unregistered SCP providers active for more than three years account for around 70% of total payments to unregistered providers..&#10;Source: NDIS Internal administrative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83353" name="Picture 6" descr="The second chart shows that unregistered SCP providers active for more than three years account for around 70% of total payments to unregistered providers..&#10;Source: NDIS Internal administrative data.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95600" cy="2019600"/>
                                    </a:xfrm>
                                    <a:prstGeom prst="rect">
                                      <a:avLst/>
                                    </a:prstGeom>
                                    <a:noFill/>
                                  </pic:spPr>
                                </pic:pic>
                              </a:graphicData>
                            </a:graphic>
                          </wp:inline>
                        </w:drawing>
                      </w:r>
                    </w:p>
                    <w:p w:rsidR="007A55CB" w:rsidP="007A55CB" w:rsidRDefault="00601AFC" w14:paraId="468B0331" w14:textId="1E6BE397">
                      <w:pPr>
                        <w:pStyle w:val="Sourcefortableorfigure"/>
                        <w:spacing w:after="360"/>
                      </w:pPr>
                      <w:r w:rsidRPr="00566FE3">
                        <w:rPr>
                          <w:sz w:val="16"/>
                          <w:szCs w:val="16"/>
                        </w:rPr>
                        <w:t>Source: NDIS internal administrative data</w:t>
                      </w:r>
                    </w:p>
                  </w:txbxContent>
                </v:textbox>
                <w10:wrap type="tight" anchorx="margin"/>
              </v:shape>
            </w:pict>
          </mc:Fallback>
        </mc:AlternateContent>
      </w:r>
      <w:r w:rsidRPr="008D1918" w:rsidR="00601AFC">
        <w:rPr>
          <w:rFonts w:eastAsia="DengXian" w:cs="Cordia New"/>
          <w:color w:val="6B2876" w:themeColor="accent5"/>
        </w:rPr>
        <w:t>: Provider continuity for SC</w:t>
      </w:r>
      <w:r w:rsidRPr="008D1918" w:rsidR="00476700">
        <w:rPr>
          <w:rFonts w:eastAsia="DengXian" w:cs="Cordia New"/>
          <w:color w:val="6B2876" w:themeColor="accent5"/>
        </w:rPr>
        <w:t>C</w:t>
      </w:r>
      <w:r w:rsidRPr="008D1918" w:rsidR="00601AFC">
        <w:rPr>
          <w:rFonts w:eastAsia="DengXian" w:cs="Cordia New"/>
          <w:color w:val="6B2876" w:themeColor="accent5"/>
        </w:rPr>
        <w:t>P supports by registration status and percentage of total payments, January 2023 to December</w:t>
      </w:r>
      <w:r w:rsidRPr="008D1918" w:rsidR="00601AFC">
        <w:rPr>
          <w:rFonts w:eastAsia="DengXian" w:cs="Cordia New"/>
          <w:color w:val="6B2876"/>
        </w:rPr>
        <w:t xml:space="preserve"> </w:t>
      </w:r>
      <w:r w:rsidRPr="008D1918" w:rsidR="00601AFC">
        <w:rPr>
          <w:rFonts w:eastAsia="DengXian" w:cs="Cordia New"/>
          <w:color w:val="6B2876" w:themeColor="accent5"/>
        </w:rPr>
        <w:t>2025</w:t>
      </w:r>
    </w:p>
    <w:p w:rsidRPr="008D1918" w:rsidR="00601AFC" w:rsidP="005E313B" w:rsidRDefault="005E313B" w14:paraId="10F0D2BE" w14:textId="189FAC61">
      <w:pPr>
        <w:pStyle w:val="Caption"/>
        <w:rPr>
          <w:rFonts w:eastAsia="DengXian" w:cs="Cordia New"/>
          <w:i w:val="0"/>
          <w:color w:val="6B2876" w:themeColor="accent5"/>
        </w:rPr>
      </w:pPr>
      <w:bookmarkStart w:name="_Ref223683615" w:id="2089"/>
      <w:r w:rsidRPr="008D1918">
        <w:t xml:space="preserve">Figure </w:t>
      </w:r>
      <w:r>
        <w:fldChar w:fldCharType="begin"/>
      </w:r>
      <w:r>
        <w:instrText>SEQ Figure \* ARABIC</w:instrText>
      </w:r>
      <w:r>
        <w:fldChar w:fldCharType="separate"/>
      </w:r>
      <w:r w:rsidR="008F56A2">
        <w:rPr>
          <w:noProof/>
        </w:rPr>
        <w:t>55</w:t>
      </w:r>
      <w:r>
        <w:fldChar w:fldCharType="end"/>
      </w:r>
      <w:bookmarkEnd w:id="2089"/>
      <w:r w:rsidRPr="008D1918" w:rsidR="00601AFC">
        <w:rPr>
          <w:rFonts w:eastAsia="DengXian" w:cs="Cordia New"/>
          <w:color w:val="6B2876" w:themeColor="accent5"/>
        </w:rPr>
        <w:t>: SC</w:t>
      </w:r>
      <w:r w:rsidRPr="008D1918" w:rsidR="00476700">
        <w:rPr>
          <w:rFonts w:eastAsia="DengXian" w:cs="Cordia New"/>
          <w:color w:val="6B2876" w:themeColor="accent5"/>
        </w:rPr>
        <w:t>C</w:t>
      </w:r>
      <w:r w:rsidRPr="008D1918" w:rsidR="00601AFC">
        <w:rPr>
          <w:rFonts w:eastAsia="DengXian" w:cs="Cordia New"/>
          <w:color w:val="6B2876" w:themeColor="accent5"/>
        </w:rPr>
        <w:t>P registered provider activity movements, January 2023 to December 2025</w:t>
      </w:r>
    </w:p>
    <w:p w:rsidRPr="008D1918" w:rsidR="00601AFC" w:rsidRDefault="31E00284" w14:paraId="01D18783" w14:textId="405A2C60">
      <w:pPr>
        <w:spacing w:before="120" w:after="120" w:line="276" w:lineRule="auto"/>
        <w:jc w:val="center"/>
        <w:rPr>
          <w:lang w:val="en-AU"/>
        </w:rPr>
      </w:pPr>
      <w:r w:rsidRPr="008D1918">
        <w:rPr>
          <w:noProof/>
          <w:lang w:val="en-AU"/>
        </w:rPr>
        <w:drawing>
          <wp:inline distT="0" distB="0" distL="0" distR="0" wp14:anchorId="1AA5D852" wp14:editId="0029E55C">
            <wp:extent cx="5680800" cy="3290400"/>
            <wp:effectExtent l="0" t="0" r="0" b="5715"/>
            <wp:docPr id="1636115552" name="Picture 22" descr="Figure 55: A bar graph shows SCP-registered provider activity from January 2023 to December 2025 in 6-month intervals. It compares inactivity as a percentage of prior total half-year payments against new activity as a percentage of total half-year payments. The data has small up and down changes, with an overall increase of 0.1% for both categories across the overall time period.&#10;Source: NDIA internal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15552" name="Picture 22" descr="Figure 55: A bar graph shows SCP-registered provider activity from January 2023 to December 2025 in 6-month intervals. It compares inactivity as a percentage of prior total half-year payments against new activity as a percentage of total half-year payments. The data has small up and down changes, with an overall increase of 0.1% for both categories across the overall time period.&#10;Source: NDIA internal data.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354F83" w:rsidP="00933118" w:rsidRDefault="00601AFC" w14:paraId="5E4860D0" w14:textId="0ED1DEDB">
      <w:pPr>
        <w:spacing w:before="120" w:after="360" w:line="240" w:lineRule="atLeast"/>
        <w:rPr>
          <w:rFonts w:cs="Calibri" w:eastAsiaTheme="minorEastAsia"/>
          <w:sz w:val="20"/>
          <w:szCs w:val="20"/>
          <w:lang w:val="en-AU"/>
        </w:rPr>
      </w:pPr>
      <w:r w:rsidRPr="008D1918">
        <w:rPr>
          <w:rFonts w:cs="Calibri" w:eastAsiaTheme="minorEastAsia"/>
          <w:sz w:val="20"/>
          <w:szCs w:val="20"/>
          <w:lang w:val="en-AU"/>
        </w:rPr>
        <w:t xml:space="preserve">Note: ‘New Activity’ within a half-year period is identified when providers who were inactive in the previous half-year begin to receive payments. ‘Inactivity’ is noted when providers received payments in one half-year </w:t>
      </w:r>
      <w:r w:rsidRPr="008D1918" w:rsidR="00A2506F">
        <w:rPr>
          <w:rFonts w:cs="Calibri" w:eastAsiaTheme="minorEastAsia"/>
          <w:sz w:val="20"/>
          <w:szCs w:val="20"/>
          <w:lang w:val="en-AU"/>
        </w:rPr>
        <w:t xml:space="preserve">but </w:t>
      </w:r>
      <w:r w:rsidRPr="008D1918">
        <w:rPr>
          <w:rFonts w:cs="Calibri" w:eastAsiaTheme="minorEastAsia"/>
          <w:sz w:val="20"/>
          <w:szCs w:val="20"/>
          <w:lang w:val="en-AU"/>
        </w:rPr>
        <w:t>not in the subsequent one. These fluctuations are measured as a percentage of the total payments made within that half-year, or the previous one, in the case of inactivity.</w:t>
      </w:r>
    </w:p>
    <w:p w:rsidRPr="008D1918" w:rsidR="00354F83" w:rsidRDefault="00354F83" w14:paraId="245F397F" w14:textId="77777777">
      <w:pPr>
        <w:spacing w:after="0" w:line="240" w:lineRule="auto"/>
        <w:rPr>
          <w:rFonts w:cs="Calibri" w:eastAsiaTheme="minorEastAsia"/>
          <w:sz w:val="20"/>
          <w:szCs w:val="20"/>
          <w:lang w:val="en-AU"/>
        </w:rPr>
      </w:pPr>
      <w:r w:rsidRPr="008D1918">
        <w:rPr>
          <w:rFonts w:cs="Calibri" w:eastAsiaTheme="minorEastAsia"/>
          <w:sz w:val="20"/>
          <w:szCs w:val="20"/>
          <w:lang w:val="en-AU"/>
        </w:rPr>
        <w:br w:type="page"/>
      </w:r>
    </w:p>
    <w:p w:rsidRPr="008D1918" w:rsidR="00601AFC" w:rsidP="00041468" w:rsidRDefault="00601AFC" w14:paraId="1C03C122" w14:textId="77777777">
      <w:pPr>
        <w:pStyle w:val="StyleStyle112pt"/>
      </w:pPr>
      <w:bookmarkStart w:name="_Toc223428542" w:id="2090"/>
      <w:bookmarkStart w:name="_Toc223446010" w:id="2091"/>
      <w:bookmarkStart w:name="_Toc223539769" w:id="2092"/>
      <w:bookmarkStart w:name="_Toc223539982" w:id="2093"/>
      <w:bookmarkStart w:name="_Toc223540450" w:id="2094"/>
      <w:bookmarkStart w:name="_Toc223540666" w:id="2095"/>
      <w:bookmarkStart w:name="_Toc223542206" w:id="2096"/>
      <w:bookmarkStart w:name="_Toc223604392" w:id="2097"/>
      <w:bookmarkStart w:name="_Toc223604603" w:id="2098"/>
      <w:bookmarkStart w:name="_Toc223604844" w:id="2099"/>
      <w:bookmarkStart w:name="_Toc223618689" w:id="2100"/>
      <w:bookmarkStart w:name="_Toc223702918" w:id="2101"/>
      <w:bookmarkStart w:name="_Toc227318805" w:id="2102"/>
      <w:bookmarkStart w:name="_Toc227337173" w:id="2103"/>
      <w:r w:rsidRPr="008D1918">
        <w:t>Consultation</w:t>
      </w:r>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p>
    <w:p w:rsidRPr="008D1918" w:rsidR="00601AFC" w:rsidP="00354F83" w:rsidRDefault="00601AFC" w14:paraId="5714FE41" w14:textId="64B0CACD">
      <w:pPr>
        <w:pStyle w:val="LittleH5"/>
      </w:pPr>
      <w:bookmarkStart w:name="_Toc223428543" w:id="2104"/>
      <w:bookmarkStart w:name="_Toc223446011" w:id="2105"/>
      <w:bookmarkStart w:name="_Toc223604845" w:id="2106"/>
      <w:r w:rsidRPr="008D1918">
        <w:t xml:space="preserve">Provider </w:t>
      </w:r>
      <w:r w:rsidRPr="008D1918" w:rsidR="00C3593F">
        <w:t>s</w:t>
      </w:r>
      <w:r w:rsidRPr="008D1918">
        <w:t>urvey</w:t>
      </w:r>
      <w:bookmarkEnd w:id="2104"/>
      <w:bookmarkEnd w:id="2105"/>
      <w:bookmarkEnd w:id="2106"/>
      <w:r w:rsidRPr="008D1918">
        <w:t xml:space="preserve"> </w:t>
      </w:r>
    </w:p>
    <w:p w:rsidRPr="008D1918" w:rsidR="00601AFC" w:rsidRDefault="00601AFC" w14:paraId="5B6AF9B3" w14:textId="4E82A837">
      <w:pPr>
        <w:rPr>
          <w:lang w:val="en-AU"/>
        </w:rPr>
      </w:pPr>
      <w:r w:rsidRPr="008D1918">
        <w:rPr>
          <w:lang w:val="en-AU"/>
        </w:rPr>
        <w:t>The provider survey included questions focused specifically on SC</w:t>
      </w:r>
      <w:r w:rsidRPr="008D1918" w:rsidR="00476700">
        <w:rPr>
          <w:lang w:val="en-AU"/>
        </w:rPr>
        <w:t>C</w:t>
      </w:r>
      <w:r w:rsidRPr="008D1918">
        <w:rPr>
          <w:lang w:val="en-AU"/>
        </w:rPr>
        <w:t xml:space="preserve">P supports. Responses reveal </w:t>
      </w:r>
      <w:r w:rsidRPr="008D1918" w:rsidR="00FD4ECE">
        <w:rPr>
          <w:lang w:val="en-AU"/>
        </w:rPr>
        <w:t xml:space="preserve">2 </w:t>
      </w:r>
      <w:r w:rsidRPr="008D1918">
        <w:rPr>
          <w:lang w:val="en-AU"/>
        </w:rPr>
        <w:t xml:space="preserve">distinct approaches to quality assurance corresponding to the </w:t>
      </w:r>
      <w:r w:rsidR="0010684F">
        <w:rPr>
          <w:lang w:val="en-AU"/>
        </w:rPr>
        <w:br/>
      </w:r>
      <w:r w:rsidRPr="008D1918" w:rsidR="00FD4ECE">
        <w:rPr>
          <w:lang w:val="en-AU"/>
        </w:rPr>
        <w:t xml:space="preserve">2 </w:t>
      </w:r>
      <w:r w:rsidRPr="008D1918">
        <w:rPr>
          <w:lang w:val="en-AU"/>
        </w:rPr>
        <w:t>delivery models described above.</w:t>
      </w:r>
    </w:p>
    <w:p w:rsidRPr="008D1918" w:rsidR="00601AFC" w:rsidRDefault="00601AFC" w14:paraId="31FA2C0F" w14:textId="6E0EC99A">
      <w:pPr>
        <w:rPr>
          <w:lang w:val="en-AU"/>
        </w:rPr>
      </w:pPr>
      <w:r w:rsidRPr="008D1918">
        <w:rPr>
          <w:lang w:val="en-AU"/>
        </w:rPr>
        <w:t>Organisational providers predominantly assure quality through formal systems. Among registered and larger providers, 92% reported structured induction and training arrangements, 81% reported formal supervision, 99% maintained written safety policies and 96% conducted regular practice reviews. Sole traders more commonly assure quality through personal capability and direct participant relationships: 77% reported holding formal qualifications and 80% monitored participant feedback</w:t>
      </w:r>
      <w:r w:rsidRPr="008D1918" w:rsidR="00346C72">
        <w:rPr>
          <w:lang w:val="en-AU"/>
        </w:rPr>
        <w:t>. O</w:t>
      </w:r>
      <w:r w:rsidRPr="008D1918">
        <w:rPr>
          <w:lang w:val="en-AU"/>
        </w:rPr>
        <w:t>nly 18% reported supervision arrangements and 77% reported written policies. The distinction matters for pricing because formal systems impose verifiable, ongoing costs that relational delivery models do not.</w:t>
      </w:r>
    </w:p>
    <w:p w:rsidRPr="008D1918" w:rsidR="00601AFC" w:rsidRDefault="00601AFC" w14:paraId="657901BB" w14:textId="057C1A34">
      <w:pPr>
        <w:rPr>
          <w:lang w:val="en-AU"/>
        </w:rPr>
      </w:pPr>
      <w:r w:rsidRPr="008D1918">
        <w:rPr>
          <w:lang w:val="en-AU"/>
        </w:rPr>
        <w:t>Sixty-nine per cent of SC</w:t>
      </w:r>
      <w:r w:rsidRPr="008D1918" w:rsidR="00476700">
        <w:rPr>
          <w:lang w:val="en-AU"/>
        </w:rPr>
        <w:t>C</w:t>
      </w:r>
      <w:r w:rsidRPr="008D1918">
        <w:rPr>
          <w:lang w:val="en-AU"/>
        </w:rPr>
        <w:t xml:space="preserve">P provider respondents supported registration-based pricing differentiation. Support was strongest among large and medium-sized providers (90%) compared with 20% among sole traders. This distribution reflects commercial interests </w:t>
      </w:r>
      <w:r w:rsidRPr="008D1918" w:rsidR="00466B15">
        <w:rPr>
          <w:lang w:val="en-AU"/>
        </w:rPr>
        <w:t>and</w:t>
      </w:r>
      <w:r w:rsidRPr="008D1918">
        <w:rPr>
          <w:lang w:val="en-AU"/>
        </w:rPr>
        <w:t xml:space="preserve"> policy views. However, among smaller registered providers (those with 1–19 staff), 52% supported differentiation</w:t>
      </w:r>
      <w:r w:rsidRPr="008D1918" w:rsidR="00E611B4">
        <w:rPr>
          <w:lang w:val="en-AU"/>
        </w:rPr>
        <w:t>. This suggests r</w:t>
      </w:r>
      <w:r w:rsidRPr="008D1918">
        <w:rPr>
          <w:lang w:val="en-AU"/>
        </w:rPr>
        <w:t>egistration-related costs rather than size alone drive views on pricing.</w:t>
      </w:r>
    </w:p>
    <w:p w:rsidRPr="008D1918" w:rsidR="00601AFC" w:rsidRDefault="00601AFC" w14:paraId="6E444B4E" w14:textId="19345C8B">
      <w:pPr>
        <w:rPr>
          <w:lang w:val="en-AU"/>
        </w:rPr>
      </w:pPr>
      <w:r w:rsidRPr="008D1918">
        <w:rPr>
          <w:lang w:val="en-AU"/>
        </w:rPr>
        <w:t>Support for differentiation was stronger among providers servicing remote and very remote areas (79%) than non-remote areas (67%)</w:t>
      </w:r>
      <w:r w:rsidRPr="008D1918" w:rsidR="00D52FB8">
        <w:rPr>
          <w:lang w:val="en-AU"/>
        </w:rPr>
        <w:t xml:space="preserve">. This is </w:t>
      </w:r>
      <w:r w:rsidRPr="008D1918">
        <w:rPr>
          <w:lang w:val="en-AU"/>
        </w:rPr>
        <w:t>the inverse of what would be expected if providers in thin markets were concerned about supply disruption.</w:t>
      </w:r>
    </w:p>
    <w:p w:rsidRPr="008D1918" w:rsidR="00601AFC" w:rsidRDefault="003F6DD5" w14:paraId="4D09F083" w14:textId="153AAA83">
      <w:pPr>
        <w:rPr>
          <w:lang w:val="en-AU"/>
        </w:rPr>
      </w:pPr>
      <w:r w:rsidRPr="008D1918">
        <w:rPr>
          <w:lang w:val="en-AU"/>
        </w:rPr>
        <w:t>A</w:t>
      </w:r>
      <w:r w:rsidRPr="008D1918" w:rsidR="00601AFC">
        <w:rPr>
          <w:lang w:val="en-AU"/>
        </w:rPr>
        <w:t>mong respondents who expressed a view, 50% indicated the differential should be greater than 15%, and a further 32% indicated 10–15%. Written submissions from registered organisations estimated registration-related costs at more than 10% of operating expenses before accounting for broader organisational costs such as supervision, human resources, rostering and premises.</w:t>
      </w:r>
    </w:p>
    <w:p w:rsidRPr="008D1918" w:rsidR="00601AFC" w:rsidRDefault="00601AFC" w14:paraId="115CB120" w14:textId="1A47E13D">
      <w:pPr>
        <w:rPr>
          <w:lang w:val="en-AU"/>
        </w:rPr>
      </w:pPr>
      <w:r w:rsidRPr="008D1918">
        <w:rPr>
          <w:lang w:val="en-AU"/>
        </w:rPr>
        <w:t>Providers expressed a general preference for complexity-based differentiation, with participant complexity the most frequently cited basis across all support types (745</w:t>
      </w:r>
      <w:r w:rsidRPr="008D1918" w:rsidR="00697442">
        <w:rPr>
          <w:lang w:val="en-AU"/>
        </w:rPr>
        <w:t> </w:t>
      </w:r>
      <w:r w:rsidRPr="008D1918">
        <w:rPr>
          <w:lang w:val="en-AU"/>
        </w:rPr>
        <w:t>respondents), ahead of registration (426 respondents). The discussion section below addresses why registration is nonetheless the preferred mechanism at this time.</w:t>
      </w:r>
    </w:p>
    <w:p w:rsidRPr="008D1918" w:rsidR="00601AFC" w:rsidRDefault="00601AFC" w14:paraId="2C03E2CE" w14:textId="31A49033">
      <w:pPr>
        <w:rPr>
          <w:lang w:val="en-AU"/>
        </w:rPr>
      </w:pPr>
      <w:r w:rsidRPr="008D1918">
        <w:rPr>
          <w:lang w:val="en-AU"/>
        </w:rPr>
        <w:t>On provider exit</w:t>
      </w:r>
      <w:r w:rsidR="000A2CCF">
        <w:rPr>
          <w:lang w:val="en-AU"/>
        </w:rPr>
        <w:t>s</w:t>
      </w:r>
      <w:r w:rsidRPr="008D1918">
        <w:rPr>
          <w:lang w:val="en-AU"/>
        </w:rPr>
        <w:t xml:space="preserve">, 58% indicated they would maintain their current registration status, 12% reported they would seek registration, 1% indicated they would deregister, and 28% said their response would depend on the size of the differential. Among sole traders, 52% indicated their response would depend on the differential, and 9% </w:t>
      </w:r>
      <w:r w:rsidRPr="008D1918">
        <w:rPr>
          <w:lang w:val="en-AU"/>
        </w:rPr>
        <w:t xml:space="preserve">reported they would seek registration. These responses are consistent with a </w:t>
      </w:r>
      <w:r w:rsidR="00506AF9">
        <w:rPr>
          <w:lang w:val="en-AU"/>
        </w:rPr>
        <w:br/>
      </w:r>
      <w:r w:rsidRPr="008D1918">
        <w:rPr>
          <w:lang w:val="en-AU"/>
        </w:rPr>
        <w:t>price-sensitive group that would assess viability and adjust, not one that would exit the market at scale.</w:t>
      </w:r>
    </w:p>
    <w:p w:rsidRPr="008D1918" w:rsidR="00601AFC" w:rsidP="00354F83" w:rsidRDefault="00601AFC" w14:paraId="2C20CBEF" w14:textId="06AC3005">
      <w:pPr>
        <w:pStyle w:val="LittleH5"/>
      </w:pPr>
      <w:bookmarkStart w:name="_Toc223428544" w:id="2107"/>
      <w:bookmarkStart w:name="_Toc223446012" w:id="2108"/>
      <w:bookmarkStart w:name="_Toc223604846" w:id="2109"/>
      <w:r w:rsidRPr="008D1918">
        <w:t xml:space="preserve">Participant </w:t>
      </w:r>
      <w:r w:rsidRPr="008D1918" w:rsidR="0084141A">
        <w:t>s</w:t>
      </w:r>
      <w:r w:rsidRPr="008D1918">
        <w:t>urvey</w:t>
      </w:r>
      <w:bookmarkEnd w:id="2107"/>
      <w:bookmarkEnd w:id="2108"/>
      <w:bookmarkEnd w:id="2109"/>
      <w:r w:rsidRPr="008D1918">
        <w:t xml:space="preserve"> </w:t>
      </w:r>
    </w:p>
    <w:p w:rsidRPr="008D1918" w:rsidR="00601AFC" w:rsidRDefault="000C044E" w14:paraId="013C542A" w14:textId="100FCFFF">
      <w:pPr>
        <w:rPr>
          <w:lang w:val="en-AU"/>
        </w:rPr>
      </w:pPr>
      <w:r w:rsidRPr="008D1918">
        <w:rPr>
          <w:lang w:val="en-AU"/>
        </w:rPr>
        <w:t>T</w:t>
      </w:r>
      <w:r w:rsidRPr="008D1918" w:rsidR="00601AFC">
        <w:rPr>
          <w:lang w:val="en-AU"/>
        </w:rPr>
        <w:t xml:space="preserve">rust, personal connection and flexibility were the most frequently cited factors </w:t>
      </w:r>
      <w:r w:rsidRPr="008D1918">
        <w:rPr>
          <w:lang w:val="en-AU"/>
        </w:rPr>
        <w:t xml:space="preserve">that influence </w:t>
      </w:r>
      <w:r w:rsidRPr="008D1918" w:rsidR="00601AFC">
        <w:rPr>
          <w:lang w:val="en-AU"/>
        </w:rPr>
        <w:t>provider choice</w:t>
      </w:r>
      <w:r w:rsidRPr="008D1918" w:rsidR="00FB7FCC">
        <w:rPr>
          <w:lang w:val="en-AU"/>
        </w:rPr>
        <w:t xml:space="preserve"> for </w:t>
      </w:r>
      <w:r w:rsidRPr="008D1918" w:rsidR="00F37CAB">
        <w:rPr>
          <w:lang w:val="en-AU"/>
        </w:rPr>
        <w:t>participants</w:t>
      </w:r>
      <w:r w:rsidRPr="008D1918" w:rsidR="00601AFC">
        <w:rPr>
          <w:lang w:val="en-AU"/>
        </w:rPr>
        <w:t>. Registration ranked lowest among factors affecting initial provider selection. Many participants using unregistered providers described those relationships as more personalised or responsive than their experience with registered organisations.</w:t>
      </w:r>
    </w:p>
    <w:p w:rsidRPr="008D1918" w:rsidR="00601AFC" w:rsidRDefault="00601AFC" w14:paraId="0275758D" w14:textId="77777777">
      <w:pPr>
        <w:rPr>
          <w:lang w:val="en-AU"/>
        </w:rPr>
      </w:pPr>
      <w:r w:rsidRPr="008D1918">
        <w:rPr>
          <w:lang w:val="en-AU"/>
        </w:rPr>
        <w:t>Participants are not indifferent to quality. Forty per cent indicated formal quality systems were very important to them, with a further 37% indicating they were somewhat important. But participants assess quality primarily through direct experience and ongoing relationships, not through the regulatory signal registration is designed to convey. Participants using registered providers most commonly cited safety standards, qualifications and supervision as reasons for their choice; participants using unregistered providers most commonly cited flexibility, familiarity and ease of booking.</w:t>
      </w:r>
    </w:p>
    <w:p w:rsidRPr="008D1918" w:rsidR="00601AFC" w:rsidRDefault="00601AFC" w14:paraId="6F2B4EBB" w14:textId="77777777">
      <w:pPr>
        <w:rPr>
          <w:lang w:val="en-AU"/>
        </w:rPr>
      </w:pPr>
      <w:r w:rsidRPr="008D1918">
        <w:rPr>
          <w:lang w:val="en-AU"/>
        </w:rPr>
        <w:t>When asked whether they would pay more for stronger quality systems, 61% said it would depend on the amount, 20% said yes, and 19% said no. These responses indicate conditional willingness to pay, not resistance to differentiation.</w:t>
      </w:r>
    </w:p>
    <w:p w:rsidRPr="008D1918" w:rsidR="00601AFC" w:rsidRDefault="00601AFC" w14:paraId="6B783D39" w14:textId="77777777">
      <w:pPr>
        <w:rPr>
          <w:lang w:val="en-AU"/>
        </w:rPr>
      </w:pPr>
      <w:r w:rsidRPr="008D1918">
        <w:rPr>
          <w:lang w:val="en-AU"/>
        </w:rPr>
        <w:t>Critically, the pricing change is more likely to affect provider economics than participant choice. Among the 217 respondents using unregistered providers, 53% indicated a pricing differential would not change their provider choice, and only 4% said they would switch to a registered provider for quality reasons. These responses were consistent across locations.</w:t>
      </w:r>
    </w:p>
    <w:p w:rsidRPr="008D1918" w:rsidR="00601AFC" w:rsidP="00BD0457" w:rsidRDefault="00601AFC" w14:paraId="7ED1AAC4" w14:textId="77777777">
      <w:pPr>
        <w:pStyle w:val="Heading31"/>
        <w:ind w:left="1077" w:hanging="720"/>
      </w:pPr>
      <w:bookmarkStart w:name="_Toc227131396" w:id="2110"/>
      <w:bookmarkStart w:name="_Toc227131397" w:id="2111"/>
      <w:bookmarkStart w:name="_Toc227131398" w:id="2112"/>
      <w:bookmarkStart w:name="_Toc227131399" w:id="2113"/>
      <w:bookmarkStart w:name="_Toc227131400" w:id="2114"/>
      <w:bookmarkStart w:name="_Toc223539770" w:id="2115"/>
      <w:bookmarkStart w:name="_Toc223539983" w:id="2116"/>
      <w:bookmarkStart w:name="_Toc223540451" w:id="2117"/>
      <w:bookmarkStart w:name="_Toc223540667" w:id="2118"/>
      <w:bookmarkStart w:name="_Toc223542207" w:id="2119"/>
      <w:bookmarkStart w:name="_Toc223604393" w:id="2120"/>
      <w:bookmarkStart w:name="_Toc223604604" w:id="2121"/>
      <w:bookmarkStart w:name="_Toc227337174" w:id="2122"/>
      <w:bookmarkEnd w:id="2110"/>
      <w:bookmarkEnd w:id="2111"/>
      <w:bookmarkEnd w:id="2112"/>
      <w:bookmarkEnd w:id="2113"/>
      <w:bookmarkEnd w:id="2114"/>
      <w:r w:rsidRPr="008D1918">
        <w:t>Discussion</w:t>
      </w:r>
      <w:bookmarkEnd w:id="2115"/>
      <w:bookmarkEnd w:id="2116"/>
      <w:bookmarkEnd w:id="2117"/>
      <w:bookmarkEnd w:id="2118"/>
      <w:bookmarkEnd w:id="2119"/>
      <w:bookmarkEnd w:id="2120"/>
      <w:bookmarkEnd w:id="2121"/>
      <w:bookmarkEnd w:id="2122"/>
    </w:p>
    <w:p w:rsidRPr="008D1918" w:rsidR="00601AFC" w:rsidRDefault="007C5A02" w14:paraId="74993D19" w14:textId="3E152376">
      <w:pPr>
        <w:rPr>
          <w:lang w:val="en-AU"/>
        </w:rPr>
      </w:pPr>
      <w:r w:rsidRPr="008D1918">
        <w:rPr>
          <w:lang w:val="en-AU"/>
        </w:rPr>
        <w:t xml:space="preserve">The SCCP market contains </w:t>
      </w:r>
      <w:r w:rsidRPr="008D1918" w:rsidR="007A2D67">
        <w:rPr>
          <w:lang w:val="en-AU"/>
        </w:rPr>
        <w:t>2</w:t>
      </w:r>
      <w:r w:rsidRPr="008D1918">
        <w:rPr>
          <w:lang w:val="en-AU"/>
        </w:rPr>
        <w:t xml:space="preserve"> structurally distinct </w:t>
      </w:r>
      <w:r w:rsidRPr="008D1918" w:rsidR="000656C4">
        <w:rPr>
          <w:lang w:val="en-AU"/>
        </w:rPr>
        <w:t>delivery models operating under materially different regulatory and governance conditions, served by a single price</w:t>
      </w:r>
      <w:r w:rsidRPr="008D1918" w:rsidR="00174A74">
        <w:rPr>
          <w:lang w:val="en-AU"/>
        </w:rPr>
        <w:t>. The 15-fold difference in average revenue between registered</w:t>
      </w:r>
      <w:r w:rsidRPr="008D1918" w:rsidR="0054657B">
        <w:rPr>
          <w:lang w:val="en-AU"/>
        </w:rPr>
        <w:t xml:space="preserve"> ($328,900) and unregistered ($22,900) providers reflects the structural reality, an organisational model</w:t>
      </w:r>
      <w:r w:rsidRPr="008D1918" w:rsidR="00705165">
        <w:rPr>
          <w:lang w:val="en-AU"/>
        </w:rPr>
        <w:t xml:space="preserve"> with formal governance, employed workforces and compliance systems </w:t>
      </w:r>
      <w:r w:rsidRPr="008D1918" w:rsidR="00451D25">
        <w:rPr>
          <w:lang w:val="en-AU"/>
        </w:rPr>
        <w:t xml:space="preserve">operating alongside a relational model of predominantly sole traders </w:t>
      </w:r>
      <w:r w:rsidRPr="008D1918" w:rsidR="000A2B6C">
        <w:rPr>
          <w:lang w:val="en-AU"/>
        </w:rPr>
        <w:t xml:space="preserve">with minimal overheads and no registration obligations. A price calibrated to the cost structure of one model and applied uniformly to both creates a persistent misalignment between the pricing architecture and the regulatory framework it is designed to support. </w:t>
      </w:r>
    </w:p>
    <w:p w:rsidRPr="008D1918" w:rsidR="000A2B6C" w:rsidRDefault="000A2B6C" w14:paraId="485AAFBB" w14:textId="4BFE47CC">
      <w:pPr>
        <w:rPr>
          <w:lang w:val="en-AU"/>
        </w:rPr>
      </w:pPr>
      <w:r w:rsidRPr="008D1918">
        <w:rPr>
          <w:lang w:val="en-AU"/>
        </w:rPr>
        <w:t xml:space="preserve">This discussion addresses </w:t>
      </w:r>
      <w:r w:rsidRPr="008D1918" w:rsidR="00DF52CC">
        <w:rPr>
          <w:lang w:val="en-AU"/>
        </w:rPr>
        <w:t>3</w:t>
      </w:r>
      <w:r w:rsidRPr="008D1918">
        <w:rPr>
          <w:lang w:val="en-AU"/>
        </w:rPr>
        <w:t xml:space="preserve"> analytically distinc</w:t>
      </w:r>
      <w:r w:rsidRPr="008D1918" w:rsidR="00E96FBD">
        <w:rPr>
          <w:lang w:val="en-AU"/>
        </w:rPr>
        <w:t>t</w:t>
      </w:r>
      <w:r w:rsidRPr="008D1918">
        <w:rPr>
          <w:lang w:val="en-AU"/>
        </w:rPr>
        <w:t xml:space="preserve"> questions that should be kept separate. First, whether the evidence supports differentiating </w:t>
      </w:r>
      <w:r w:rsidRPr="008D1918" w:rsidR="00CF740A">
        <w:rPr>
          <w:lang w:val="en-AU"/>
        </w:rPr>
        <w:t>prices</w:t>
      </w:r>
      <w:r w:rsidRPr="008D1918">
        <w:rPr>
          <w:lang w:val="en-AU"/>
        </w:rPr>
        <w:t xml:space="preserve"> based on </w:t>
      </w:r>
      <w:r w:rsidRPr="008D1918">
        <w:rPr>
          <w:lang w:val="en-AU"/>
        </w:rPr>
        <w:t xml:space="preserve">provider registration. Second, what </w:t>
      </w:r>
      <w:r w:rsidRPr="008D1918" w:rsidR="00BE2B76">
        <w:rPr>
          <w:lang w:val="en-AU"/>
        </w:rPr>
        <w:t>amount</w:t>
      </w:r>
      <w:r w:rsidRPr="008D1918">
        <w:rPr>
          <w:lang w:val="en-AU"/>
        </w:rPr>
        <w:t xml:space="preserve"> of differential is appropriate given available data. Third, what the appropriate pricing trajectory is given the proposal to cease indexation for unregistered providers</w:t>
      </w:r>
      <w:r w:rsidRPr="008D1918" w:rsidR="00365E18">
        <w:rPr>
          <w:lang w:val="en-AU"/>
        </w:rPr>
        <w:t xml:space="preserve">. The consultation and market data inform all </w:t>
      </w:r>
      <w:r w:rsidRPr="008D1918" w:rsidR="002E6309">
        <w:rPr>
          <w:lang w:val="en-AU"/>
        </w:rPr>
        <w:t>3</w:t>
      </w:r>
      <w:r w:rsidRPr="008D1918" w:rsidR="00365E18">
        <w:rPr>
          <w:lang w:val="en-AU"/>
        </w:rPr>
        <w:t xml:space="preserve"> questions.</w:t>
      </w:r>
    </w:p>
    <w:p w:rsidRPr="008D1918" w:rsidR="00601AFC" w:rsidP="00041468" w:rsidRDefault="00601AFC" w14:paraId="35C9D82D" w14:textId="77777777">
      <w:pPr>
        <w:pStyle w:val="StyleStyle112pt"/>
      </w:pPr>
      <w:bookmarkStart w:name="_Toc223428546" w:id="2123"/>
      <w:bookmarkStart w:name="_Toc223446014" w:id="2124"/>
      <w:bookmarkStart w:name="_Toc223539771" w:id="2125"/>
      <w:bookmarkStart w:name="_Toc223539984" w:id="2126"/>
      <w:bookmarkStart w:name="_Toc223540452" w:id="2127"/>
      <w:bookmarkStart w:name="_Toc223540668" w:id="2128"/>
      <w:bookmarkStart w:name="_Toc223542208" w:id="2129"/>
      <w:bookmarkStart w:name="_Toc223604394" w:id="2130"/>
      <w:bookmarkStart w:name="_Toc223604605" w:id="2131"/>
      <w:bookmarkStart w:name="_Toc223604848" w:id="2132"/>
      <w:bookmarkStart w:name="_Toc223618691" w:id="2133"/>
      <w:bookmarkStart w:name="_Toc223702920" w:id="2134"/>
      <w:bookmarkStart w:name="_Toc227318807" w:id="2135"/>
      <w:bookmarkStart w:name="_Toc227337175" w:id="2136"/>
      <w:r w:rsidRPr="008D1918">
        <w:t>Why differentiate</w:t>
      </w:r>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r w:rsidRPr="008D1918">
        <w:t xml:space="preserve"> </w:t>
      </w:r>
    </w:p>
    <w:p w:rsidRPr="008D1918" w:rsidR="00385123" w:rsidP="00385123" w:rsidRDefault="00385123" w14:paraId="75FAEF65" w14:textId="2BB9CF79">
      <w:pPr>
        <w:rPr>
          <w:lang w:val="en-AU"/>
        </w:rPr>
      </w:pPr>
      <w:r w:rsidRPr="008D1918">
        <w:rPr>
          <w:lang w:val="en-AU"/>
        </w:rPr>
        <w:t>The case for differentiation does not rest on a precise quantification of the cost difference</w:t>
      </w:r>
      <w:r w:rsidRPr="008D1918" w:rsidR="00882513">
        <w:rPr>
          <w:lang w:val="en-AU"/>
        </w:rPr>
        <w:t>, as</w:t>
      </w:r>
      <w:r w:rsidRPr="008D1918">
        <w:rPr>
          <w:lang w:val="en-AU"/>
        </w:rPr>
        <w:t xml:space="preserve"> the Agency does not have cost data sufficient for that calculation. It rests on the structural observation that the Scheme imposes different regulatory obligations on different providers, that these obligations give rise to ongoing costs, and a pricing framework which does not recognise this distinction is misaligned with the regulatory framework it is designed to support. The differential is a policy judgment, not a cost-recovery calculation.</w:t>
      </w:r>
    </w:p>
    <w:p w:rsidRPr="008D1918" w:rsidR="00EC4EDB" w:rsidP="00B20363" w:rsidRDefault="00EC4EDB" w14:paraId="5F089E82" w14:textId="2858EE67">
      <w:pPr>
        <w:rPr>
          <w:lang w:val="en-AU"/>
        </w:rPr>
      </w:pPr>
      <w:r w:rsidRPr="008D1918">
        <w:rPr>
          <w:lang w:val="en-AU"/>
        </w:rPr>
        <w:t>The claiming-behaviour data provides the most direct evidence consistent with a structural cost difference. The 10-15 percentage point gap between registered (73-79</w:t>
      </w:r>
      <w:r w:rsidRPr="008D1918" w:rsidR="001E4164">
        <w:rPr>
          <w:lang w:val="en-AU"/>
        </w:rPr>
        <w:t>%</w:t>
      </w:r>
      <w:r w:rsidRPr="008D1918">
        <w:rPr>
          <w:lang w:val="en-AU"/>
        </w:rPr>
        <w:t xml:space="preserve"> at the</w:t>
      </w:r>
      <w:r w:rsidRPr="008D1918" w:rsidR="00C675FD">
        <w:rPr>
          <w:lang w:val="en-AU"/>
        </w:rPr>
        <w:t xml:space="preserve"> published</w:t>
      </w:r>
      <w:r w:rsidRPr="008D1918">
        <w:rPr>
          <w:lang w:val="en-AU"/>
        </w:rPr>
        <w:t xml:space="preserve"> price) and unregistered (61-67</w:t>
      </w:r>
      <w:r w:rsidRPr="008D1918" w:rsidR="001E4164">
        <w:rPr>
          <w:lang w:val="en-AU"/>
        </w:rPr>
        <w:t>%</w:t>
      </w:r>
      <w:r w:rsidRPr="008D1918">
        <w:rPr>
          <w:lang w:val="en-AU"/>
        </w:rPr>
        <w:t xml:space="preserve">) </w:t>
      </w:r>
      <w:r w:rsidRPr="008D1918" w:rsidR="001F5AE2">
        <w:rPr>
          <w:lang w:val="en-AU"/>
        </w:rPr>
        <w:t xml:space="preserve">provider </w:t>
      </w:r>
      <w:r w:rsidRPr="008D1918">
        <w:rPr>
          <w:lang w:val="en-AU"/>
        </w:rPr>
        <w:t xml:space="preserve">claiming has been stable across </w:t>
      </w:r>
      <w:r w:rsidRPr="008D1918" w:rsidR="00A21A27">
        <w:rPr>
          <w:lang w:val="en-AU"/>
        </w:rPr>
        <w:t>3</w:t>
      </w:r>
      <w:r w:rsidRPr="008D1918">
        <w:rPr>
          <w:lang w:val="en-AU"/>
        </w:rPr>
        <w:t xml:space="preserve"> years, all geographic areas and all time periods. This stability indicates the gap reflects persistent structural differences rather than short-term behavioural variation</w:t>
      </w:r>
      <w:r w:rsidRPr="008D1918" w:rsidR="001F5AE2">
        <w:rPr>
          <w:lang w:val="en-AU"/>
        </w:rPr>
        <w:t>s</w:t>
      </w:r>
      <w:r w:rsidRPr="008D1918">
        <w:rPr>
          <w:lang w:val="en-AU"/>
        </w:rPr>
        <w:t>. Among unregistered providers supporting a single participant, 25</w:t>
      </w:r>
      <w:r w:rsidRPr="008D1918" w:rsidR="001E4164">
        <w:rPr>
          <w:lang w:val="en-AU"/>
        </w:rPr>
        <w:t>%</w:t>
      </w:r>
      <w:r w:rsidRPr="008D1918">
        <w:rPr>
          <w:lang w:val="en-AU"/>
        </w:rPr>
        <w:t xml:space="preserve"> already claim at less than 80</w:t>
      </w:r>
      <w:r w:rsidRPr="008D1918" w:rsidR="001E4164">
        <w:rPr>
          <w:lang w:val="en-AU"/>
        </w:rPr>
        <w:t>%</w:t>
      </w:r>
      <w:r w:rsidRPr="008D1918">
        <w:rPr>
          <w:lang w:val="en-AU"/>
        </w:rPr>
        <w:t xml:space="preserve"> of the current price. This headroom is consistent with a price on the basis of registered</w:t>
      </w:r>
      <w:r w:rsidRPr="008D1918" w:rsidR="001F5AE2">
        <w:rPr>
          <w:lang w:val="en-AU"/>
        </w:rPr>
        <w:t xml:space="preserve"> </w:t>
      </w:r>
      <w:r w:rsidRPr="008D1918">
        <w:rPr>
          <w:lang w:val="en-AU"/>
        </w:rPr>
        <w:t>provider cost structure</w:t>
      </w:r>
      <w:r w:rsidRPr="008D1918" w:rsidR="00204A8B">
        <w:rPr>
          <w:lang w:val="en-AU"/>
        </w:rPr>
        <w:t xml:space="preserve">s being applied to providers with a structurally </w:t>
      </w:r>
      <w:r w:rsidRPr="008D1918" w:rsidR="00152862">
        <w:rPr>
          <w:lang w:val="en-AU"/>
        </w:rPr>
        <w:t xml:space="preserve">lower cost base. Claiming behaviour does not prove a specific cost differential, but it is the best available signal in the absence of direct cost data, and it consistently points in the same direction. </w:t>
      </w:r>
    </w:p>
    <w:p w:rsidRPr="008D1918" w:rsidR="00152862" w:rsidP="00B20363" w:rsidRDefault="00152862" w14:paraId="5B66801C" w14:textId="0933EF56">
      <w:pPr>
        <w:rPr>
          <w:lang w:val="en-AU"/>
        </w:rPr>
      </w:pPr>
      <w:r w:rsidRPr="008D1918">
        <w:rPr>
          <w:lang w:val="en-AU"/>
        </w:rPr>
        <w:t xml:space="preserve">Consultation evidence is consistent with this structural reading but should not be treated as determining the appropriate price level. Provider survey responses confirm </w:t>
      </w:r>
      <w:r w:rsidRPr="008D1918" w:rsidR="00101714">
        <w:rPr>
          <w:lang w:val="en-AU"/>
        </w:rPr>
        <w:t xml:space="preserve">registered providers operate formal quality systems, supervision arrangements and compliance infrastructure that impose ongoing costs. Participant survey responses confirm participants distinguish between delivery models in practice, even if they do not select </w:t>
      </w:r>
      <w:r w:rsidRPr="008D1918" w:rsidR="00832E2D">
        <w:rPr>
          <w:lang w:val="en-AU"/>
        </w:rPr>
        <w:t>providers based</w:t>
      </w:r>
      <w:r w:rsidRPr="008D1918" w:rsidR="00101714">
        <w:rPr>
          <w:lang w:val="en-AU"/>
        </w:rPr>
        <w:t xml:space="preserve"> on registration status as such. These responses identify the nature of the cost and quality difference; they do not specify the price at which it should be recognised. That remains a policy judgement informed by</w:t>
      </w:r>
      <w:r w:rsidRPr="008D1918" w:rsidR="00F34121">
        <w:rPr>
          <w:lang w:val="en-AU"/>
        </w:rPr>
        <w:t>,</w:t>
      </w:r>
      <w:r w:rsidRPr="008D1918" w:rsidR="00101714">
        <w:rPr>
          <w:lang w:val="en-AU"/>
        </w:rPr>
        <w:t xml:space="preserve"> but not delivered from</w:t>
      </w:r>
      <w:r w:rsidRPr="008D1918" w:rsidR="00F34121">
        <w:rPr>
          <w:lang w:val="en-AU"/>
        </w:rPr>
        <w:t>,</w:t>
      </w:r>
      <w:r w:rsidRPr="008D1918" w:rsidR="00101714">
        <w:rPr>
          <w:lang w:val="en-AU"/>
        </w:rPr>
        <w:t xml:space="preserve"> consultation. </w:t>
      </w:r>
    </w:p>
    <w:p w:rsidRPr="008D1918" w:rsidR="00CF740A" w:rsidP="00CF740A" w:rsidRDefault="00CF740A" w14:paraId="5B44F09D" w14:textId="14320D52">
      <w:pPr>
        <w:rPr>
          <w:lang w:val="en-AU"/>
        </w:rPr>
      </w:pPr>
      <w:r w:rsidRPr="008D1918">
        <w:rPr>
          <w:lang w:val="en-AU"/>
        </w:rPr>
        <w:t>Provider consultation indicated a preference for complexity-based differentiation (745 respondents) ahead of registration (426 respondents). The Agency is of the view that registration would be the more appropriate mechanism for SCCP, for 3 reasons. First, registration is observable at the point of claim, a binary attribute already recorded for every transaction. Second, complexity-based differentiation is already embedded in SCCP pricing through high-intensity, group delivery and centre-based price</w:t>
      </w:r>
      <w:r w:rsidRPr="008D1918" w:rsidR="00C675FD">
        <w:rPr>
          <w:lang w:val="en-AU"/>
        </w:rPr>
        <w:t>s</w:t>
      </w:r>
      <w:r w:rsidRPr="008D1918">
        <w:rPr>
          <w:lang w:val="en-AU"/>
        </w:rPr>
        <w:t xml:space="preserve">. Third, registration reflects enduring provider-level obligations that apply </w:t>
      </w:r>
      <w:r w:rsidRPr="008D1918">
        <w:rPr>
          <w:lang w:val="en-AU"/>
        </w:rPr>
        <w:t>regardless of participant mix, providing a clearer pricing signal than participant-level complexity assessment. Complexity-based pricing may be considered in future reviews as outcomes data improves.</w:t>
      </w:r>
    </w:p>
    <w:p w:rsidRPr="008D1918" w:rsidR="005164D6" w:rsidP="005A2053" w:rsidRDefault="005164D6" w14:paraId="13B81EE5" w14:textId="1D6B7094">
      <w:pPr>
        <w:rPr>
          <w:lang w:val="en-AU"/>
        </w:rPr>
      </w:pPr>
      <w:r w:rsidRPr="008D1918">
        <w:rPr>
          <w:lang w:val="en-AU"/>
        </w:rPr>
        <w:t xml:space="preserve">The rationale for applying differentiation to SCCP specifically, and the framework for its potential extension to other support categories, is set out in Chapter 5. </w:t>
      </w:r>
      <w:r w:rsidRPr="008D1918" w:rsidR="00742529">
        <w:rPr>
          <w:lang w:val="en-AU"/>
        </w:rPr>
        <w:t xml:space="preserve">That chapter also </w:t>
      </w:r>
      <w:r w:rsidRPr="008D1918">
        <w:rPr>
          <w:lang w:val="en-AU"/>
        </w:rPr>
        <w:t xml:space="preserve">addresses the question of whether and how registration-based pricing should operate across the Scheme. The SCCP-specific analysis </w:t>
      </w:r>
      <w:r w:rsidRPr="008D1918" w:rsidR="00291CF6">
        <w:rPr>
          <w:lang w:val="en-AU"/>
        </w:rPr>
        <w:t xml:space="preserve">in this chapter provides the market evidence and proposed implementation detail for this category. Chapter 5 provides the policy framework within which that sits. </w:t>
      </w:r>
    </w:p>
    <w:p w:rsidRPr="008D1918" w:rsidR="00601AFC" w:rsidP="00041468" w:rsidRDefault="00601AFC" w14:paraId="306F8559" w14:textId="6C648265">
      <w:pPr>
        <w:pStyle w:val="StyleStyle112pt"/>
      </w:pPr>
      <w:bookmarkStart w:name="_Toc223428548" w:id="2137"/>
      <w:bookmarkStart w:name="_Toc223446016" w:id="2138"/>
      <w:bookmarkStart w:name="_Toc223539773" w:id="2139"/>
      <w:bookmarkStart w:name="_Toc223539986" w:id="2140"/>
      <w:bookmarkStart w:name="_Toc223540454" w:id="2141"/>
      <w:bookmarkStart w:name="_Toc223540670" w:id="2142"/>
      <w:bookmarkStart w:name="_Toc223542210" w:id="2143"/>
      <w:bookmarkStart w:name="_Toc223604396" w:id="2144"/>
      <w:bookmarkStart w:name="_Toc223604607" w:id="2145"/>
      <w:bookmarkStart w:name="_Toc223604850" w:id="2146"/>
      <w:bookmarkStart w:name="_Toc223618693" w:id="2147"/>
      <w:bookmarkStart w:name="_Toc223702922" w:id="2148"/>
      <w:bookmarkStart w:name="_Toc227318808" w:id="2149"/>
      <w:bookmarkStart w:name="_Toc227337176" w:id="2150"/>
      <w:r w:rsidRPr="008D1918">
        <w:t xml:space="preserve">The </w:t>
      </w:r>
      <w:bookmarkEnd w:id="2137"/>
      <w:bookmarkEnd w:id="2138"/>
      <w:bookmarkEnd w:id="2139"/>
      <w:bookmarkEnd w:id="2140"/>
      <w:bookmarkEnd w:id="2141"/>
      <w:bookmarkEnd w:id="2142"/>
      <w:bookmarkEnd w:id="2143"/>
      <w:bookmarkEnd w:id="2144"/>
      <w:bookmarkEnd w:id="2145"/>
      <w:bookmarkEnd w:id="2146"/>
      <w:bookmarkEnd w:id="2147"/>
      <w:bookmarkEnd w:id="2148"/>
      <w:r w:rsidRPr="008D1918" w:rsidR="00B76D02">
        <w:t xml:space="preserve">size </w:t>
      </w:r>
      <w:r w:rsidRPr="008D1918" w:rsidR="005E2965">
        <w:t xml:space="preserve">of </w:t>
      </w:r>
      <w:r w:rsidRPr="008D1918" w:rsidR="00B76D02">
        <w:t xml:space="preserve">the </w:t>
      </w:r>
      <w:r w:rsidRPr="008D1918" w:rsidR="005E2965">
        <w:t>differential</w:t>
      </w:r>
      <w:bookmarkEnd w:id="2149"/>
      <w:bookmarkEnd w:id="2150"/>
    </w:p>
    <w:p w:rsidRPr="008D1918" w:rsidR="00CF740A" w:rsidP="005A2053" w:rsidRDefault="00CF740A" w14:paraId="5234E9CD" w14:textId="3E000AF1">
      <w:pPr>
        <w:rPr>
          <w:lang w:val="en-AU"/>
        </w:rPr>
      </w:pPr>
      <w:r w:rsidRPr="008D1918">
        <w:rPr>
          <w:lang w:val="en-AU"/>
        </w:rPr>
        <w:t xml:space="preserve"> A 10% reduction in the price for unregistered providers is recommended to maintain the integrity </w:t>
      </w:r>
      <w:r w:rsidRPr="008D1918" w:rsidR="007C52DD">
        <w:rPr>
          <w:lang w:val="en-AU"/>
        </w:rPr>
        <w:t>of registered</w:t>
      </w:r>
      <w:r w:rsidR="00D25DF0">
        <w:rPr>
          <w:lang w:val="en-AU"/>
        </w:rPr>
        <w:t xml:space="preserve"> </w:t>
      </w:r>
      <w:r w:rsidRPr="008D1918">
        <w:rPr>
          <w:lang w:val="en-AU"/>
        </w:rPr>
        <w:t>provider operating requirements. Prices for registered providers should continue to be indexed through the DSW Cost Model.</w:t>
      </w:r>
    </w:p>
    <w:p w:rsidRPr="008D1918" w:rsidR="000E00A2" w:rsidP="00041468" w:rsidRDefault="00DA76CC" w14:paraId="352185D6" w14:textId="4655DC6E">
      <w:pPr>
        <w:pStyle w:val="StyleStyle112pt"/>
      </w:pPr>
      <w:bookmarkStart w:name="_Toc227318809" w:id="2151"/>
      <w:bookmarkStart w:name="_Toc227337177" w:id="2152"/>
      <w:r w:rsidRPr="008D1918">
        <w:t xml:space="preserve">Cost </w:t>
      </w:r>
      <w:r w:rsidRPr="008D1918" w:rsidR="001E4164">
        <w:t>s</w:t>
      </w:r>
      <w:r w:rsidRPr="008D1918">
        <w:t xml:space="preserve">tructure </w:t>
      </w:r>
      <w:r w:rsidRPr="008D1918" w:rsidR="001E4164">
        <w:t>a</w:t>
      </w:r>
      <w:r w:rsidRPr="008D1918">
        <w:t>nalysis</w:t>
      </w:r>
      <w:bookmarkEnd w:id="2151"/>
      <w:bookmarkEnd w:id="2152"/>
      <w:r w:rsidRPr="008D1918">
        <w:t xml:space="preserve"> </w:t>
      </w:r>
    </w:p>
    <w:p w:rsidRPr="008D1918" w:rsidR="00CF740A" w:rsidP="00CF740A" w:rsidRDefault="00CF740A" w14:paraId="7F6D0E96" w14:textId="31D67B62">
      <w:pPr>
        <w:rPr>
          <w:lang w:val="en-AU"/>
        </w:rPr>
      </w:pPr>
      <w:r w:rsidRPr="008D1918">
        <w:rPr>
          <w:lang w:val="en-AU"/>
        </w:rPr>
        <w:t xml:space="preserve">The DSW Cost Model builds the recommended </w:t>
      </w:r>
      <w:r w:rsidRPr="00CC1AFD" w:rsidR="00CC1AFD">
        <w:rPr>
          <w:lang w:val="en-AU"/>
        </w:rPr>
        <w:t>maximum</w:t>
      </w:r>
      <w:r w:rsidRPr="008D1918">
        <w:rPr>
          <w:lang w:val="en-AU"/>
        </w:rPr>
        <w:t xml:space="preserve"> price from base pay through direct on-costs (leave, superannuation, allowances), then operational overheads (21.65%), then corporate overheads (12%), Direct on-costs apply equally to both delivery models, with sole traders funding their own entitlements on the same basis as employed workers. The structural cost difference arises in the overhead layers. </w:t>
      </w:r>
    </w:p>
    <w:p w:rsidRPr="008D1918" w:rsidR="002A4FEE" w:rsidP="006F4848" w:rsidRDefault="002A4FEE" w14:paraId="3BBAB4D0" w14:textId="39D15107">
      <w:pPr>
        <w:rPr>
          <w:lang w:val="en-AU"/>
        </w:rPr>
      </w:pPr>
      <w:r w:rsidRPr="008D1918">
        <w:rPr>
          <w:lang w:val="en-AU"/>
        </w:rPr>
        <w:t xml:space="preserve">Operational overheads cover supervision, quality and safeguarding infrastructure, workforce rostering and </w:t>
      </w:r>
      <w:r w:rsidRPr="008D1918" w:rsidR="00A21A27">
        <w:rPr>
          <w:lang w:val="en-AU"/>
        </w:rPr>
        <w:t>human resources (</w:t>
      </w:r>
      <w:r w:rsidRPr="008D1918">
        <w:rPr>
          <w:lang w:val="en-AU"/>
        </w:rPr>
        <w:t>HR</w:t>
      </w:r>
      <w:r w:rsidRPr="008D1918" w:rsidR="00A21A27">
        <w:rPr>
          <w:lang w:val="en-AU"/>
        </w:rPr>
        <w:t>)</w:t>
      </w:r>
      <w:r w:rsidRPr="008D1918">
        <w:rPr>
          <w:lang w:val="en-AU"/>
        </w:rPr>
        <w:t xml:space="preserve"> management, workers’ compensation, and utilisation</w:t>
      </w:r>
      <w:r w:rsidRPr="008D1918" w:rsidR="00533F70">
        <w:rPr>
          <w:lang w:val="en-AU"/>
        </w:rPr>
        <w:t xml:space="preserve">. The first three are registration specific: registered providers must maintain </w:t>
      </w:r>
      <w:r w:rsidRPr="008D1918" w:rsidR="00C12D63">
        <w:rPr>
          <w:lang w:val="en-AU"/>
        </w:rPr>
        <w:t>supervisory</w:t>
      </w:r>
      <w:r w:rsidRPr="008D1918" w:rsidR="00533F70">
        <w:rPr>
          <w:lang w:val="en-AU"/>
        </w:rPr>
        <w:t xml:space="preserve"> and governance </w:t>
      </w:r>
      <w:r w:rsidRPr="008D1918" w:rsidR="004424FD">
        <w:rPr>
          <w:lang w:val="en-AU"/>
        </w:rPr>
        <w:t xml:space="preserve">infrastructure that sole traders do not need because they are the worker. Corporate overheads cover HR, legal, marketing and enterprise </w:t>
      </w:r>
      <w:r w:rsidRPr="008D1918" w:rsidR="00071144">
        <w:rPr>
          <w:lang w:val="en-AU"/>
        </w:rPr>
        <w:t xml:space="preserve">technology, functions that are largely absent from the sole trader model. In addition, registered providers bear NDIS Commission audit fees, registration levies and worker screening administration costs that do not appear in the model at all. </w:t>
      </w:r>
    </w:p>
    <w:p w:rsidRPr="008D1918" w:rsidR="00FC3900" w:rsidP="006F4848" w:rsidRDefault="00FC3900" w14:paraId="44FCB161" w14:textId="250C1050">
      <w:pPr>
        <w:rPr>
          <w:lang w:val="en-AU"/>
        </w:rPr>
      </w:pPr>
      <w:r w:rsidRPr="008D1918">
        <w:rPr>
          <w:lang w:val="en-AU"/>
        </w:rPr>
        <w:t xml:space="preserve">Taken together, the registration-specific </w:t>
      </w:r>
      <w:r w:rsidRPr="008D1918" w:rsidR="00C12D63">
        <w:rPr>
          <w:lang w:val="en-AU"/>
        </w:rPr>
        <w:t>component</w:t>
      </w:r>
      <w:r w:rsidRPr="008D1918" w:rsidR="005E2965">
        <w:rPr>
          <w:lang w:val="en-AU"/>
        </w:rPr>
        <w:t>s</w:t>
      </w:r>
      <w:r w:rsidRPr="008D1918">
        <w:rPr>
          <w:lang w:val="en-AU"/>
        </w:rPr>
        <w:t xml:space="preserve"> are conservatively estimated at 17-25</w:t>
      </w:r>
      <w:r w:rsidRPr="008D1918" w:rsidR="001E4164">
        <w:rPr>
          <w:lang w:val="en-AU"/>
        </w:rPr>
        <w:t>%</w:t>
      </w:r>
      <w:r w:rsidRPr="008D1918">
        <w:rPr>
          <w:lang w:val="en-AU"/>
        </w:rPr>
        <w:t xml:space="preserve"> of the current DSW Level 1 weekday daytime price. The proposed 10</w:t>
      </w:r>
      <w:r w:rsidRPr="008D1918" w:rsidR="001E4164">
        <w:rPr>
          <w:lang w:val="en-AU"/>
        </w:rPr>
        <w:t>%</w:t>
      </w:r>
      <w:r w:rsidRPr="008D1918">
        <w:rPr>
          <w:lang w:val="en-AU"/>
        </w:rPr>
        <w:t xml:space="preserve"> differential sits at the lower end of this range</w:t>
      </w:r>
      <w:r w:rsidRPr="008D1918" w:rsidR="00B65D41">
        <w:rPr>
          <w:lang w:val="en-AU"/>
        </w:rPr>
        <w:t>. I</w:t>
      </w:r>
      <w:r w:rsidRPr="008D1918">
        <w:rPr>
          <w:lang w:val="en-AU"/>
        </w:rPr>
        <w:t>t is a conservative first step, no</w:t>
      </w:r>
      <w:r w:rsidRPr="008D1918" w:rsidR="001E4164">
        <w:rPr>
          <w:lang w:val="en-AU"/>
        </w:rPr>
        <w:t>t</w:t>
      </w:r>
      <w:r w:rsidRPr="008D1918">
        <w:rPr>
          <w:lang w:val="en-AU"/>
        </w:rPr>
        <w:t xml:space="preserve"> an upper bound on the structural difference. </w:t>
      </w:r>
    </w:p>
    <w:p w:rsidRPr="008D1918" w:rsidR="00FC3900" w:rsidP="006F4848" w:rsidRDefault="00FC3900" w14:paraId="22BD55D3" w14:textId="3B7FB9CF">
      <w:pPr>
        <w:rPr>
          <w:lang w:val="en-AU"/>
        </w:rPr>
      </w:pPr>
      <w:r w:rsidRPr="008D1918">
        <w:rPr>
          <w:lang w:val="en-AU"/>
        </w:rPr>
        <w:t xml:space="preserve">The cost </w:t>
      </w:r>
      <w:r w:rsidRPr="008D1918" w:rsidR="00C12D63">
        <w:rPr>
          <w:lang w:val="en-AU"/>
        </w:rPr>
        <w:t>components</w:t>
      </w:r>
      <w:r w:rsidRPr="008D1918">
        <w:rPr>
          <w:lang w:val="en-AU"/>
        </w:rPr>
        <w:t xml:space="preserve"> identified above are not unique to SCCP. They arise wherever registered providers deliver DSW-related supports through an employed workforce. What is specific to SCCP at this point is the readiness to act, the structural split between delivery models is clearest here, the market data is most </w:t>
      </w:r>
      <w:r w:rsidRPr="008D1918" w:rsidR="001378C8">
        <w:rPr>
          <w:lang w:val="en-AU"/>
        </w:rPr>
        <w:t xml:space="preserve">mature, and </w:t>
      </w:r>
      <w:r w:rsidRPr="008D1918" w:rsidR="001378C8">
        <w:rPr>
          <w:lang w:val="en-AU"/>
        </w:rPr>
        <w:t xml:space="preserve">provider numbers are growing with no supply contraction signals. These conditions are not equally </w:t>
      </w:r>
      <w:r w:rsidRPr="008D1918" w:rsidR="00C12D63">
        <w:rPr>
          <w:lang w:val="en-AU"/>
        </w:rPr>
        <w:t>present in other DSW-related support markets. Chapter 5 sets out the framework for extending differentiation as those condition</w:t>
      </w:r>
      <w:r w:rsidRPr="008D1918" w:rsidR="009D2DF1">
        <w:rPr>
          <w:lang w:val="en-AU"/>
        </w:rPr>
        <w:t>s</w:t>
      </w:r>
      <w:r w:rsidRPr="008D1918" w:rsidR="00C12D63">
        <w:rPr>
          <w:lang w:val="en-AU"/>
        </w:rPr>
        <w:t xml:space="preserve"> develop. </w:t>
      </w:r>
    </w:p>
    <w:p w:rsidRPr="008D1918" w:rsidR="00E259BC" w:rsidP="00041468" w:rsidRDefault="00524B33" w14:paraId="615951F3" w14:textId="0691E477">
      <w:pPr>
        <w:pStyle w:val="StyleStyle112pt"/>
      </w:pPr>
      <w:bookmarkStart w:name="_Toc227131405" w:id="2153"/>
      <w:bookmarkStart w:name="_Toc227131406" w:id="2154"/>
      <w:bookmarkStart w:name="_Toc227131407" w:id="2155"/>
      <w:bookmarkStart w:name="_Toc227318810" w:id="2156"/>
      <w:bookmarkStart w:name="_Toc227337178" w:id="2157"/>
      <w:bookmarkEnd w:id="2153"/>
      <w:bookmarkEnd w:id="2154"/>
      <w:bookmarkEnd w:id="2155"/>
      <w:r w:rsidRPr="008D1918">
        <w:t>Participant access and choice</w:t>
      </w:r>
      <w:bookmarkEnd w:id="2156"/>
      <w:bookmarkEnd w:id="2157"/>
      <w:r w:rsidRPr="008D1918">
        <w:t xml:space="preserve"> </w:t>
      </w:r>
    </w:p>
    <w:p w:rsidRPr="008D1918" w:rsidR="00E259BC" w:rsidP="00E259BC" w:rsidRDefault="00E259BC" w14:paraId="1F21F390" w14:textId="1A66DD8E">
      <w:pPr>
        <w:rPr>
          <w:lang w:val="en-AU"/>
        </w:rPr>
      </w:pPr>
      <w:r w:rsidRPr="008D1918">
        <w:rPr>
          <w:lang w:val="en-AU"/>
        </w:rPr>
        <w:t>As established in Chapter 4, participants assess providers through experience, trust and relationships</w:t>
      </w:r>
      <w:r w:rsidRPr="008D1918" w:rsidR="00E11837">
        <w:rPr>
          <w:lang w:val="en-AU"/>
        </w:rPr>
        <w:t>,</w:t>
      </w:r>
      <w:r w:rsidRPr="008D1918">
        <w:rPr>
          <w:lang w:val="en-AU"/>
        </w:rPr>
        <w:t xml:space="preserve"> not registration status. </w:t>
      </w:r>
      <w:r w:rsidRPr="008D1918" w:rsidR="00601AFC">
        <w:rPr>
          <w:lang w:val="en-AU"/>
        </w:rPr>
        <w:t xml:space="preserve">Registration-based pricing </w:t>
      </w:r>
      <w:r w:rsidRPr="008D1918">
        <w:rPr>
          <w:lang w:val="en-AU"/>
        </w:rPr>
        <w:t>reflects the cost of the institutional assurance model, not a judgment about the relative quality of registered and unregistered supports.</w:t>
      </w:r>
      <w:r w:rsidRPr="008D1918" w:rsidR="00113CFF">
        <w:rPr>
          <w:lang w:val="en-AU"/>
        </w:rPr>
        <w:t xml:space="preserve"> The primary risk to participant access is provider exit, not participants switching </w:t>
      </w:r>
      <w:r w:rsidRPr="008D1918" w:rsidR="00A46FCE">
        <w:rPr>
          <w:lang w:val="en-AU"/>
        </w:rPr>
        <w:t>providers</w:t>
      </w:r>
      <w:r w:rsidRPr="008D1918" w:rsidR="005F4F77">
        <w:rPr>
          <w:lang w:val="en-AU"/>
        </w:rPr>
        <w:t xml:space="preserve"> on the basis of registration</w:t>
      </w:r>
      <w:r w:rsidRPr="008D1918" w:rsidR="00A46FCE">
        <w:rPr>
          <w:lang w:val="en-AU"/>
        </w:rPr>
        <w:t>. Among the 217 survey respondents using unregistered providers, 53</w:t>
      </w:r>
      <w:r w:rsidRPr="008D1918" w:rsidR="003F38BF">
        <w:rPr>
          <w:lang w:val="en-AU"/>
        </w:rPr>
        <w:t>%</w:t>
      </w:r>
      <w:r w:rsidRPr="008D1918" w:rsidR="00A46FCE">
        <w:rPr>
          <w:lang w:val="en-AU"/>
        </w:rPr>
        <w:t xml:space="preserve"> indicated a pricing differential would not change their provider choice and on</w:t>
      </w:r>
      <w:r w:rsidRPr="008D1918" w:rsidR="003F38BF">
        <w:rPr>
          <w:lang w:val="en-AU"/>
        </w:rPr>
        <w:t>ly</w:t>
      </w:r>
      <w:r w:rsidRPr="008D1918" w:rsidR="00A46FCE">
        <w:rPr>
          <w:lang w:val="en-AU"/>
        </w:rPr>
        <w:t xml:space="preserve"> 4</w:t>
      </w:r>
      <w:r w:rsidRPr="008D1918" w:rsidR="003F38BF">
        <w:rPr>
          <w:lang w:val="en-AU"/>
        </w:rPr>
        <w:t>%</w:t>
      </w:r>
      <w:r w:rsidRPr="008D1918" w:rsidR="00A46FCE">
        <w:rPr>
          <w:lang w:val="en-AU"/>
        </w:rPr>
        <w:t xml:space="preserve"> said they would switch to a registered provider. </w:t>
      </w:r>
    </w:p>
    <w:p w:rsidRPr="008D1918" w:rsidR="00A46FCE" w:rsidP="00E259BC" w:rsidRDefault="00CF740A" w14:paraId="3A0BD958" w14:textId="05513E77">
      <w:pPr>
        <w:rPr>
          <w:lang w:val="en-AU"/>
        </w:rPr>
      </w:pPr>
      <w:r w:rsidRPr="008D1918">
        <w:rPr>
          <w:lang w:val="en-AU"/>
        </w:rPr>
        <w:t>On provider exit intent, 58% of unregistered providers indicated they would maintain their current registration status, 12% would seek registration and 1% would deregister. The most analytically significant response was the 28% who said their response would depend on the size of the differential. Among sole traders, the dominant form of unregistered providers, this uncertainty was higher at 52%. At present, this group cannot be characterised as likely to exit or likely to continue, their response is genuinely uncertain at the proposed 10% reduction. The Agency does not treat this uncertainty as a reason to defer the policy decision, but it does treat it as the primary reason for the monitoring obligations set out below. The stable unregistered cohort, providers who have delivered continuously across all 6 periods (</w:t>
      </w:r>
      <w:r w:rsidRPr="008D1918">
        <w:rPr>
          <w:lang w:val="en-AU"/>
        </w:rPr>
        <w:fldChar w:fldCharType="begin"/>
      </w:r>
      <w:r w:rsidRPr="008D1918">
        <w:rPr>
          <w:lang w:val="en-AU"/>
        </w:rPr>
        <w:instrText xml:space="preserve"> REF _Ref223683584 \h </w:instrText>
      </w:r>
      <w:r w:rsidR="008D1918">
        <w:rPr>
          <w:lang w:val="en-AU"/>
        </w:rPr>
        <w:instrText xml:space="preserve"> \* MERGEFORMAT </w:instrText>
      </w:r>
      <w:r w:rsidRPr="008D1918">
        <w:rPr>
          <w:lang w:val="en-AU"/>
        </w:rPr>
      </w:r>
      <w:r w:rsidRPr="008D1918">
        <w:rPr>
          <w:lang w:val="en-AU"/>
        </w:rPr>
        <w:fldChar w:fldCharType="separate"/>
      </w:r>
      <w:r w:rsidRPr="008D1918" w:rsidR="008F56A2">
        <w:t xml:space="preserve">Figure </w:t>
      </w:r>
      <w:r w:rsidR="008F56A2">
        <w:rPr>
          <w:noProof/>
        </w:rPr>
        <w:t>54</w:t>
      </w:r>
      <w:r w:rsidRPr="008D1918">
        <w:rPr>
          <w:lang w:val="en-AU"/>
        </w:rPr>
        <w:fldChar w:fldCharType="end"/>
      </w:r>
      <w:r w:rsidRPr="008D1918">
        <w:rPr>
          <w:lang w:val="en-AU"/>
        </w:rPr>
        <w:t>) and account for 67% of unregistered provider payments, is the group where continuity matters. Exit</w:t>
      </w:r>
      <w:r w:rsidR="00BF42FD">
        <w:rPr>
          <w:lang w:val="en-AU"/>
        </w:rPr>
        <w:t>s</w:t>
      </w:r>
      <w:r w:rsidRPr="008D1918">
        <w:rPr>
          <w:lang w:val="en-AU"/>
        </w:rPr>
        <w:t xml:space="preserve"> concentrated among the less active, single-period providers would have no materially different impact on participant access than exit among this core cohort. Monitoring indicators are therefore calibrated to distinguish between these groups. </w:t>
      </w:r>
    </w:p>
    <w:p w:rsidRPr="008D1918" w:rsidR="00256693" w:rsidP="00041468" w:rsidRDefault="00256693" w14:paraId="21FFEA7C" w14:textId="7BFFF8A5">
      <w:pPr>
        <w:pStyle w:val="StyleStyle112pt"/>
      </w:pPr>
      <w:bookmarkStart w:name="_Toc227318811" w:id="2158"/>
      <w:bookmarkStart w:name="_Toc227337179" w:id="2159"/>
      <w:r w:rsidRPr="008D1918">
        <w:t xml:space="preserve">Pricing </w:t>
      </w:r>
      <w:r w:rsidRPr="008D1918" w:rsidR="005F4F77">
        <w:t>t</w:t>
      </w:r>
      <w:r w:rsidRPr="008D1918">
        <w:t xml:space="preserve">rajectory and </w:t>
      </w:r>
      <w:r w:rsidRPr="008D1918" w:rsidR="005F4F77">
        <w:t>i</w:t>
      </w:r>
      <w:r w:rsidRPr="008D1918">
        <w:t>ndexation</w:t>
      </w:r>
      <w:bookmarkEnd w:id="2158"/>
      <w:bookmarkEnd w:id="2159"/>
    </w:p>
    <w:p w:rsidRPr="008D1918" w:rsidR="00CF740A" w:rsidP="00CF740A" w:rsidRDefault="00CF740A" w14:paraId="6133D31A" w14:textId="37096254">
      <w:pPr>
        <w:rPr>
          <w:lang w:val="en-AU"/>
        </w:rPr>
      </w:pPr>
      <w:r w:rsidRPr="008D1918">
        <w:rPr>
          <w:lang w:val="en-AU"/>
        </w:rPr>
        <w:t xml:space="preserve">The proposal to cease indexation for unregistered providers is a separate and distinct policy recommendation to the 10% initial differential. It should be assessed on its own terms. Ceasing indexation would mean that every year the </w:t>
      </w:r>
      <w:r w:rsidRPr="00CC1AFD" w:rsidR="00CC1AFD">
        <w:rPr>
          <w:lang w:val="en-AU"/>
        </w:rPr>
        <w:t>maximum</w:t>
      </w:r>
      <w:r w:rsidRPr="008D1918">
        <w:rPr>
          <w:lang w:val="en-AU"/>
        </w:rPr>
        <w:t xml:space="preserve"> recommended registered price increases through the DSW Cost Model, the effective differential would widen by the value of that year’s indexation increase, compounding indefinitely unless the Agency intervenes. </w:t>
      </w:r>
    </w:p>
    <w:p w:rsidRPr="008D1918" w:rsidR="00CF740A" w:rsidP="00E259BC" w:rsidRDefault="00CF740A" w14:paraId="74D3175A" w14:textId="071AC578">
      <w:pPr>
        <w:rPr>
          <w:lang w:val="en-AU"/>
        </w:rPr>
      </w:pPr>
      <w:r w:rsidRPr="008D1918">
        <w:rPr>
          <w:lang w:val="en-AU"/>
        </w:rPr>
        <w:t xml:space="preserve">The rationale for the compounding mechanism is that it would progressively strengthen the pricing signal associated with registration without requiring active review at each APR. This is a legitimate policy design choice. However, it would be necessary to ensure the upper </w:t>
      </w:r>
      <w:r w:rsidR="000A2615">
        <w:rPr>
          <w:lang w:val="en-AU"/>
        </w:rPr>
        <w:t>price</w:t>
      </w:r>
      <w:r w:rsidRPr="008D1918" w:rsidR="000A2615">
        <w:rPr>
          <w:lang w:val="en-AU"/>
        </w:rPr>
        <w:t xml:space="preserve"> </w:t>
      </w:r>
      <w:r w:rsidRPr="008D1918">
        <w:rPr>
          <w:lang w:val="en-AU"/>
        </w:rPr>
        <w:t xml:space="preserve">of the differential remains appropriate. A </w:t>
      </w:r>
      <w:r w:rsidRPr="008D1918">
        <w:rPr>
          <w:lang w:val="en-AU"/>
        </w:rPr>
        <w:t xml:space="preserve">trajectory that is appropriate at 16-19% (projected by 2028–29) may not remain appropriate at 25% to 30%. The differential and trajectory would be assessed at each subsequent APR, with the 2026–27 review providing the first monitoring </w:t>
      </w:r>
      <w:r w:rsidR="00BD7091">
        <w:rPr>
          <w:lang w:val="en-AU"/>
        </w:rPr>
        <w:t xml:space="preserve">of </w:t>
      </w:r>
      <w:r w:rsidRPr="008D1918">
        <w:rPr>
          <w:lang w:val="en-AU"/>
        </w:rPr>
        <w:t xml:space="preserve">data against which the compounding approach could be evaluated. </w:t>
      </w:r>
    </w:p>
    <w:p w:rsidRPr="008D1918" w:rsidR="009B62CC" w:rsidP="00041468" w:rsidRDefault="0091313E" w14:paraId="2C4E8A52" w14:textId="4B730566">
      <w:pPr>
        <w:pStyle w:val="StyleStyle112pt"/>
      </w:pPr>
      <w:bookmarkStart w:name="_Toc227131410" w:id="2160"/>
      <w:bookmarkStart w:name="_Toc227318812" w:id="2161"/>
      <w:bookmarkStart w:name="_Toc227337180" w:id="2162"/>
      <w:bookmarkEnd w:id="2160"/>
      <w:r w:rsidRPr="008D1918">
        <w:t>Expected effects and monitoring framework</w:t>
      </w:r>
      <w:bookmarkEnd w:id="2161"/>
      <w:bookmarkEnd w:id="2162"/>
    </w:p>
    <w:p w:rsidRPr="008D1918" w:rsidR="00802899" w:rsidP="001D7D52" w:rsidRDefault="008C5436" w14:paraId="179EC3A3" w14:textId="7AC129D8">
      <w:pPr>
        <w:rPr>
          <w:lang w:val="en-AU"/>
        </w:rPr>
      </w:pPr>
      <w:r w:rsidRPr="008D1918">
        <w:rPr>
          <w:lang w:val="en-AU"/>
        </w:rPr>
        <w:t>A pricing adjustment carries risk when the market is fragile</w:t>
      </w:r>
      <w:r w:rsidRPr="008D1918" w:rsidR="00012FE9">
        <w:rPr>
          <w:lang w:val="en-AU"/>
        </w:rPr>
        <w:t xml:space="preserve">, supply is </w:t>
      </w:r>
      <w:r w:rsidRPr="008D1918" w:rsidR="00F60EA5">
        <w:rPr>
          <w:lang w:val="en-AU"/>
        </w:rPr>
        <w:t>constrained</w:t>
      </w:r>
      <w:r w:rsidRPr="008D1918" w:rsidR="00012FE9">
        <w:rPr>
          <w:lang w:val="en-AU"/>
        </w:rPr>
        <w:t xml:space="preserve"> or concentration is high. The market data set out in this chapter does not indicate the presence of these characteristics at the aggregate level. Provider numbers are growing, market concentration is low and declining, and entry consistently e</w:t>
      </w:r>
      <w:r w:rsidRPr="008D1918" w:rsidR="00F60EA5">
        <w:rPr>
          <w:lang w:val="en-AU"/>
        </w:rPr>
        <w:t>x</w:t>
      </w:r>
      <w:r w:rsidRPr="008D1918" w:rsidR="00846665">
        <w:rPr>
          <w:lang w:val="en-AU"/>
        </w:rPr>
        <w:t>c</w:t>
      </w:r>
      <w:r w:rsidRPr="008D1918" w:rsidR="00F60EA5">
        <w:rPr>
          <w:lang w:val="en-AU"/>
        </w:rPr>
        <w:t>eeds</w:t>
      </w:r>
      <w:r w:rsidRPr="008D1918" w:rsidR="00012FE9">
        <w:rPr>
          <w:lang w:val="en-AU"/>
        </w:rPr>
        <w:t xml:space="preserve"> exit. This does not eliminate </w:t>
      </w:r>
      <w:r w:rsidRPr="008D1918" w:rsidR="00802899">
        <w:rPr>
          <w:lang w:val="en-AU"/>
        </w:rPr>
        <w:t xml:space="preserve">localised risk, particularly in remote and very remote areas, but it means the aggregate market conditions support implementation of a </w:t>
      </w:r>
      <w:r w:rsidRPr="008D1918" w:rsidR="00B15B62">
        <w:rPr>
          <w:lang w:val="en-AU"/>
        </w:rPr>
        <w:t>first-generation</w:t>
      </w:r>
      <w:r w:rsidRPr="008D1918" w:rsidR="00802899">
        <w:rPr>
          <w:lang w:val="en-AU"/>
        </w:rPr>
        <w:t xml:space="preserve"> differential. </w:t>
      </w:r>
    </w:p>
    <w:p w:rsidRPr="008D1918" w:rsidR="001D7D52" w:rsidP="001D7D52" w:rsidRDefault="001D7D52" w14:paraId="79F42524" w14:textId="72480002">
      <w:pPr>
        <w:rPr>
          <w:lang w:val="en-AU"/>
        </w:rPr>
      </w:pPr>
      <w:r w:rsidRPr="008D1918">
        <w:rPr>
          <w:lang w:val="en-AU"/>
        </w:rPr>
        <w:t>The Agency will monitor the impact through the following indicators, with particular attention to the first 12 months and to remote and very remote areas</w:t>
      </w:r>
      <w:r w:rsidRPr="008D1918" w:rsidR="00AF13DB">
        <w:rPr>
          <w:lang w:val="en-AU"/>
        </w:rPr>
        <w:t xml:space="preserve">. Monitoring will distinguish between </w:t>
      </w:r>
      <w:r w:rsidRPr="008D1918" w:rsidR="00F12E4C">
        <w:rPr>
          <w:lang w:val="en-AU"/>
        </w:rPr>
        <w:t>exit</w:t>
      </w:r>
      <w:r w:rsidR="00161E68">
        <w:rPr>
          <w:lang w:val="en-AU"/>
        </w:rPr>
        <w:t>s</w:t>
      </w:r>
      <w:r w:rsidRPr="008D1918" w:rsidR="00F12E4C">
        <w:rPr>
          <w:lang w:val="en-AU"/>
        </w:rPr>
        <w:t xml:space="preserve"> among continuously active providers (the stable core cohort) and exit</w:t>
      </w:r>
      <w:r w:rsidR="00161E68">
        <w:rPr>
          <w:lang w:val="en-AU"/>
        </w:rPr>
        <w:t>s</w:t>
      </w:r>
      <w:r w:rsidRPr="008D1918" w:rsidR="00F12E4C">
        <w:rPr>
          <w:lang w:val="en-AU"/>
        </w:rPr>
        <w:t xml:space="preserve"> among less active, single-period providers, as the access implications of these two patterns differ materially.</w:t>
      </w:r>
    </w:p>
    <w:p w:rsidRPr="008D1918" w:rsidR="001D7D52" w:rsidP="009F6459" w:rsidRDefault="001D7D52" w14:paraId="2641DF6C" w14:textId="7E1402D2">
      <w:pPr>
        <w:numPr>
          <w:ilvl w:val="0"/>
          <w:numId w:val="10"/>
        </w:numPr>
        <w:rPr>
          <w:lang w:val="en-AU"/>
        </w:rPr>
      </w:pPr>
      <w:r w:rsidRPr="008D1918">
        <w:rPr>
          <w:lang w:val="en-AU"/>
        </w:rPr>
        <w:t>Change in active unregistered SC</w:t>
      </w:r>
      <w:r w:rsidRPr="008D1918" w:rsidR="00476700">
        <w:rPr>
          <w:lang w:val="en-AU"/>
        </w:rPr>
        <w:t>C</w:t>
      </w:r>
      <w:r w:rsidRPr="008D1918">
        <w:rPr>
          <w:lang w:val="en-AU"/>
        </w:rPr>
        <w:t>P provider numbers, overall and by remoteness</w:t>
      </w:r>
      <w:r w:rsidRPr="008D1918" w:rsidR="00785D53">
        <w:rPr>
          <w:lang w:val="en-AU"/>
        </w:rPr>
        <w:t>.</w:t>
      </w:r>
    </w:p>
    <w:p w:rsidRPr="008D1918" w:rsidR="001D7D52" w:rsidP="009F6459" w:rsidRDefault="001D7D52" w14:paraId="48250A20" w14:textId="60BD2DEB">
      <w:pPr>
        <w:numPr>
          <w:ilvl w:val="0"/>
          <w:numId w:val="10"/>
        </w:numPr>
        <w:rPr>
          <w:lang w:val="en-AU"/>
        </w:rPr>
      </w:pPr>
      <w:r w:rsidRPr="008D1918">
        <w:rPr>
          <w:lang w:val="en-AU"/>
        </w:rPr>
        <w:t>Change in active registered S</w:t>
      </w:r>
      <w:r w:rsidRPr="008D1918" w:rsidR="00476700">
        <w:rPr>
          <w:lang w:val="en-AU"/>
        </w:rPr>
        <w:t>C</w:t>
      </w:r>
      <w:r w:rsidRPr="008D1918">
        <w:rPr>
          <w:lang w:val="en-AU"/>
        </w:rPr>
        <w:t>CP provider numbers</w:t>
      </w:r>
      <w:r w:rsidRPr="008D1918" w:rsidR="00785D53">
        <w:rPr>
          <w:lang w:val="en-AU"/>
        </w:rPr>
        <w:t>.</w:t>
      </w:r>
    </w:p>
    <w:p w:rsidRPr="008D1918" w:rsidR="001D7D52" w:rsidP="009F6459" w:rsidRDefault="001D7D52" w14:paraId="500249F0" w14:textId="5497857C">
      <w:pPr>
        <w:numPr>
          <w:ilvl w:val="0"/>
          <w:numId w:val="10"/>
        </w:numPr>
        <w:rPr>
          <w:lang w:val="en-AU"/>
        </w:rPr>
      </w:pPr>
      <w:r w:rsidRPr="008D1918">
        <w:rPr>
          <w:lang w:val="en-AU"/>
        </w:rPr>
        <w:t>Change in participant access, measured by participant numbers, plan utilisation and plan management type</w:t>
      </w:r>
      <w:r w:rsidRPr="008D1918" w:rsidR="00785D53">
        <w:rPr>
          <w:lang w:val="en-AU"/>
        </w:rPr>
        <w:t>.</w:t>
      </w:r>
    </w:p>
    <w:p w:rsidRPr="008D1918" w:rsidR="001D7D52" w:rsidP="009F6459" w:rsidRDefault="001D7D52" w14:paraId="02DB4DA3" w14:textId="173A2313">
      <w:pPr>
        <w:numPr>
          <w:ilvl w:val="0"/>
          <w:numId w:val="10"/>
        </w:numPr>
        <w:rPr>
          <w:lang w:val="en-AU"/>
        </w:rPr>
      </w:pPr>
      <w:r w:rsidRPr="008D1918">
        <w:rPr>
          <w:lang w:val="en-AU"/>
        </w:rPr>
        <w:t>Claiming behaviour, including convergence at the new unregistered price</w:t>
      </w:r>
      <w:r w:rsidRPr="008D1918" w:rsidR="00785D53">
        <w:rPr>
          <w:lang w:val="en-AU"/>
        </w:rPr>
        <w:t>.</w:t>
      </w:r>
    </w:p>
    <w:p w:rsidRPr="008D1918" w:rsidR="001D7D52" w:rsidP="009F6459" w:rsidRDefault="001D7D52" w14:paraId="323E2AB3" w14:textId="22895F7A">
      <w:pPr>
        <w:numPr>
          <w:ilvl w:val="0"/>
          <w:numId w:val="10"/>
        </w:numPr>
        <w:rPr>
          <w:lang w:val="en-AU"/>
        </w:rPr>
      </w:pPr>
      <w:r w:rsidRPr="008D1918">
        <w:rPr>
          <w:lang w:val="en-AU"/>
        </w:rPr>
        <w:t>Provider exit and entry rates, with attention to concentration among single-participant sole traders</w:t>
      </w:r>
      <w:r w:rsidRPr="008D1918" w:rsidR="00785D53">
        <w:rPr>
          <w:lang w:val="en-AU"/>
        </w:rPr>
        <w:t>.</w:t>
      </w:r>
    </w:p>
    <w:p w:rsidRPr="008D1918" w:rsidR="006C44AD" w:rsidP="006C44AD" w:rsidRDefault="006C44AD" w14:paraId="6B8D859B" w14:textId="37A412F1">
      <w:pPr>
        <w:rPr>
          <w:lang w:val="en-AU"/>
        </w:rPr>
      </w:pPr>
      <w:r w:rsidRPr="008D1918">
        <w:rPr>
          <w:lang w:val="en-AU"/>
        </w:rPr>
        <w:t>The Agency will reassess the differential if monitoring data indicates a decline in unregistered provider numbers exceeding 10</w:t>
      </w:r>
      <w:r w:rsidRPr="008D1918" w:rsidR="00BD1EE4">
        <w:rPr>
          <w:lang w:val="en-AU"/>
        </w:rPr>
        <w:t>%</w:t>
      </w:r>
      <w:r w:rsidRPr="008D1918">
        <w:rPr>
          <w:lang w:val="en-AU"/>
        </w:rPr>
        <w:t xml:space="preserve"> over </w:t>
      </w:r>
      <w:r w:rsidRPr="008D1918" w:rsidR="001D7D52">
        <w:rPr>
          <w:lang w:val="en-AU"/>
        </w:rPr>
        <w:t>12 months</w:t>
      </w:r>
      <w:r w:rsidRPr="008D1918">
        <w:rPr>
          <w:lang w:val="en-AU"/>
        </w:rPr>
        <w:t xml:space="preserve"> in any remoteness category; a decline in SC</w:t>
      </w:r>
      <w:r w:rsidRPr="008D1918" w:rsidR="00476700">
        <w:rPr>
          <w:lang w:val="en-AU"/>
        </w:rPr>
        <w:t>C</w:t>
      </w:r>
      <w:r w:rsidRPr="008D1918">
        <w:rPr>
          <w:lang w:val="en-AU"/>
        </w:rPr>
        <w:t>P plan utilisation in thin markets; or evidence that participant access has been materially reduced</w:t>
      </w:r>
      <w:r w:rsidRPr="008D1918" w:rsidR="001D7D52">
        <w:rPr>
          <w:lang w:val="en-AU"/>
        </w:rPr>
        <w:t>.</w:t>
      </w:r>
    </w:p>
    <w:p w:rsidRPr="008D1918" w:rsidR="001D7D52" w:rsidP="00041468" w:rsidRDefault="001D7D52" w14:paraId="63E9BD2E" w14:textId="1DF95EF6">
      <w:pPr>
        <w:pStyle w:val="StyleStyle112pt"/>
      </w:pPr>
      <w:bookmarkStart w:name="_Toc227318813" w:id="2163"/>
      <w:bookmarkStart w:name="_Toc227337181" w:id="2164"/>
      <w:r w:rsidRPr="008D1918">
        <w:t>Interaction with broader reforms</w:t>
      </w:r>
      <w:bookmarkEnd w:id="2163"/>
      <w:bookmarkEnd w:id="2164"/>
      <w:r w:rsidRPr="008D1918">
        <w:t xml:space="preserve"> </w:t>
      </w:r>
    </w:p>
    <w:p w:rsidRPr="008D1918" w:rsidR="00D434E6" w:rsidP="00D434E6" w:rsidRDefault="00D434E6" w14:paraId="1AA850E8" w14:textId="2C777FE5">
      <w:pPr>
        <w:spacing w:after="180" w:line="276" w:lineRule="auto"/>
        <w:rPr>
          <w:lang w:val="en-AU"/>
        </w:rPr>
      </w:pPr>
      <w:r w:rsidRPr="008D1918">
        <w:rPr>
          <w:rFonts w:eastAsia="Arial" w:cs="Arial"/>
          <w:color w:val="000000"/>
          <w:lang w:val="en-AU"/>
        </w:rPr>
        <w:t>The S</w:t>
      </w:r>
      <w:r w:rsidRPr="008D1918" w:rsidR="00476700">
        <w:rPr>
          <w:rFonts w:eastAsia="Arial" w:cs="Arial"/>
          <w:color w:val="000000"/>
          <w:lang w:val="en-AU"/>
        </w:rPr>
        <w:t>C</w:t>
      </w:r>
      <w:r w:rsidRPr="008D1918">
        <w:rPr>
          <w:rFonts w:eastAsia="Arial" w:cs="Arial"/>
          <w:color w:val="000000"/>
          <w:lang w:val="en-AU"/>
        </w:rPr>
        <w:t>CP market provides an appropriate starting point for registration-based pricing</w:t>
      </w:r>
      <w:r w:rsidRPr="008D1918" w:rsidR="003452A4">
        <w:rPr>
          <w:rFonts w:eastAsia="Arial" w:cs="Arial"/>
          <w:color w:val="000000"/>
          <w:lang w:val="en-AU"/>
        </w:rPr>
        <w:t>. It has</w:t>
      </w:r>
      <w:r w:rsidRPr="008D1918">
        <w:rPr>
          <w:rFonts w:eastAsia="Arial" w:cs="Arial"/>
          <w:color w:val="000000"/>
          <w:lang w:val="en-AU"/>
        </w:rPr>
        <w:t xml:space="preserve"> the largest volume of unregistered providers, the clearest structural split between delivery models, and the most detailed market data for monitoring. This approach is consistent with the broader registration reform agenda and is intended to </w:t>
      </w:r>
      <w:r w:rsidRPr="008D1918">
        <w:rPr>
          <w:rFonts w:eastAsia="Arial" w:cs="Arial"/>
          <w:color w:val="000000"/>
          <w:lang w:val="en-AU"/>
        </w:rPr>
        <w:t>reinforce the incentive structure that a graduated, risk-proportionate framework creates</w:t>
      </w:r>
      <w:r w:rsidRPr="008D1918">
        <w:rPr>
          <w:rFonts w:eastAsia="Arial" w:cs="Arial"/>
          <w:color w:val="000000"/>
          <w:sz w:val="22"/>
          <w:szCs w:val="22"/>
          <w:lang w:val="en-AU"/>
        </w:rPr>
        <w:t>.</w:t>
      </w:r>
    </w:p>
    <w:p w:rsidRPr="008D1918" w:rsidR="00601AFC" w:rsidP="00BD0457" w:rsidRDefault="00601AFC" w14:paraId="2D8325E1" w14:textId="77777777">
      <w:pPr>
        <w:pStyle w:val="Heading31"/>
        <w:ind w:left="1077" w:hanging="720"/>
      </w:pPr>
      <w:bookmarkStart w:name="_Toc223539776" w:id="2165"/>
      <w:bookmarkStart w:name="_Toc223539989" w:id="2166"/>
      <w:bookmarkStart w:name="_Toc223540457" w:id="2167"/>
      <w:bookmarkStart w:name="_Toc223540673" w:id="2168"/>
      <w:bookmarkStart w:name="_Toc223542213" w:id="2169"/>
      <w:bookmarkStart w:name="_Toc223604399" w:id="2170"/>
      <w:bookmarkStart w:name="_Toc223604610" w:id="2171"/>
      <w:bookmarkStart w:name="_Toc227337182" w:id="2172"/>
      <w:r w:rsidRPr="008D1918">
        <w:t>Recommendations</w:t>
      </w:r>
      <w:bookmarkEnd w:id="2165"/>
      <w:bookmarkEnd w:id="2166"/>
      <w:bookmarkEnd w:id="2167"/>
      <w:bookmarkEnd w:id="2168"/>
      <w:bookmarkEnd w:id="2169"/>
      <w:bookmarkEnd w:id="2170"/>
      <w:bookmarkEnd w:id="2171"/>
      <w:bookmarkEnd w:id="2172"/>
    </w:p>
    <w:p w:rsidRPr="008D1918" w:rsidR="00CF740A" w:rsidP="00CF740A" w:rsidRDefault="00CF740A" w14:paraId="5B82E484" w14:textId="51F9B1A0">
      <w:pPr>
        <w:rPr>
          <w:rFonts w:eastAsia="Segoe UI"/>
          <w:lang w:val="en-AU"/>
        </w:rPr>
      </w:pPr>
      <w:r w:rsidRPr="008D1918">
        <w:rPr>
          <w:rFonts w:eastAsia="Segoe UI"/>
          <w:lang w:val="en-AU"/>
        </w:rPr>
        <w:t>Differentiated prices should apply based on provider registration status for SCCP supports.</w:t>
      </w:r>
    </w:p>
    <w:p w:rsidRPr="008D1918" w:rsidR="00CF740A" w:rsidP="00CF740A" w:rsidRDefault="00CF740A" w14:paraId="47858DC5" w14:textId="1F51ADD1">
      <w:pPr>
        <w:rPr>
          <w:rFonts w:eastAsia="Segoe UI"/>
          <w:lang w:val="en-AU"/>
        </w:rPr>
      </w:pPr>
      <w:r w:rsidRPr="008D1918">
        <w:rPr>
          <w:rFonts w:eastAsia="Segoe UI"/>
          <w:lang w:val="en-AU"/>
        </w:rPr>
        <w:t xml:space="preserve">Current prices for registered providers should continue to apply. The price for unregistered providers should be </w:t>
      </w:r>
      <w:r w:rsidRPr="000E2A8E" w:rsidR="00112275">
        <w:rPr>
          <w:rFonts w:eastAsia="Segoe UI"/>
          <w:lang w:val="en-AU"/>
        </w:rPr>
        <w:t>reduced by 10% on 1 January 2027</w:t>
      </w:r>
      <w:r w:rsidRPr="000E2A8E">
        <w:rPr>
          <w:rFonts w:eastAsia="Segoe UI"/>
          <w:lang w:val="en-AU"/>
        </w:rPr>
        <w:t>.</w:t>
      </w:r>
      <w:r w:rsidRPr="008D1918">
        <w:rPr>
          <w:rFonts w:eastAsia="Segoe UI"/>
          <w:lang w:val="en-AU"/>
        </w:rPr>
        <w:t xml:space="preserve"> The differential should apply across the relevant standard and high-intensity support items, including associated claiming for non-face-to-face support provision, provider travel, short notice cancellations and activity-based transport.</w:t>
      </w:r>
    </w:p>
    <w:p w:rsidRPr="008D1918" w:rsidR="008B2E0D" w:rsidP="008B2E0D" w:rsidRDefault="00CF740A" w14:paraId="33954FD9" w14:textId="66ACE61E">
      <w:pPr>
        <w:rPr>
          <w:rFonts w:eastAsia="Segoe UI"/>
          <w:lang w:val="en-AU"/>
        </w:rPr>
      </w:pPr>
      <w:r w:rsidRPr="008D1918">
        <w:rPr>
          <w:rFonts w:eastAsia="Segoe UI"/>
          <w:lang w:val="en-AU"/>
        </w:rPr>
        <w:t>The NDIA should monitor the impact through the 2026–27 APR, including effects on provider participation, participant access, claiming behaviour and registration rates, and adjust settings if evidence warrants.</w:t>
      </w:r>
    </w:p>
    <w:p w:rsidRPr="008D1918" w:rsidR="006965E4" w:rsidP="007A12F2" w:rsidRDefault="006965E4" w14:paraId="797F7D79" w14:textId="77777777">
      <w:pPr>
        <w:pStyle w:val="RecommendationH4"/>
      </w:pPr>
      <w:r w:rsidRPr="008D1918">
        <w:t>Recommendation 16:</w:t>
      </w:r>
    </w:p>
    <w:p w:rsidRPr="008D1918" w:rsidR="00C675FD" w:rsidP="00C675FD" w:rsidRDefault="00C675FD" w14:paraId="7279D8BA" w14:textId="77777777">
      <w:pPr>
        <w:pStyle w:val="Normalrecommendationtext"/>
      </w:pPr>
      <w:r w:rsidRPr="008D1918">
        <w:t xml:space="preserve">The prices for Social, Community and Civic Participation supports delivered by unregistered providers, including high intensity supports should be reduced by 10% from 1 January 2027. Indexation of these supports should be ceased. </w:t>
      </w:r>
    </w:p>
    <w:p w:rsidRPr="008D1918" w:rsidR="006965E4" w:rsidP="001D163B" w:rsidRDefault="00C675FD" w14:paraId="2AFD80F9" w14:textId="17D8D257">
      <w:pPr>
        <w:pStyle w:val="Normalrecommendationtext"/>
        <w:spacing w:line="288" w:lineRule="auto"/>
      </w:pPr>
      <w:r w:rsidRPr="008D1918">
        <w:t>The prices and indexation for Social, Community and Civic Participation supports delivered by registered providers should be maintained.</w:t>
      </w:r>
    </w:p>
    <w:p w:rsidRPr="008D1918" w:rsidR="00601B61" w:rsidRDefault="00601B61" w14:paraId="19A0ED8A" w14:textId="77777777">
      <w:pPr>
        <w:spacing w:after="0" w:line="240" w:lineRule="auto"/>
        <w:rPr>
          <w:b/>
          <w:bCs/>
          <w:color w:val="6B2976"/>
          <w:sz w:val="40"/>
          <w:szCs w:val="40"/>
          <w:shd w:val="clear" w:color="auto" w:fill="FFFFFF"/>
          <w:lang w:val="en-AU"/>
        </w:rPr>
      </w:pPr>
      <w:bookmarkStart w:name="_Toc223539777" w:id="2173"/>
      <w:bookmarkStart w:name="_Toc223539990" w:id="2174"/>
      <w:bookmarkStart w:name="_Toc223540458" w:id="2175"/>
      <w:bookmarkStart w:name="_Toc223540674" w:id="2176"/>
      <w:bookmarkStart w:name="_Toc223542214" w:id="2177"/>
      <w:r w:rsidRPr="008D1918">
        <w:rPr>
          <w:lang w:val="en-AU"/>
        </w:rPr>
        <w:br w:type="page"/>
      </w:r>
    </w:p>
    <w:p w:rsidRPr="008D1918" w:rsidR="02EFBE86" w:rsidP="00AF4A3B" w:rsidRDefault="02EFBE86" w14:paraId="3FC00107" w14:textId="0458DF82">
      <w:pPr>
        <w:pStyle w:val="Heading21"/>
        <w:ind w:left="1077" w:hanging="720"/>
      </w:pPr>
      <w:bookmarkStart w:name="_Toc223604400" w:id="2178"/>
      <w:bookmarkStart w:name="_Toc223604611" w:id="2179"/>
      <w:bookmarkStart w:name="_Toc227337183" w:id="2180"/>
      <w:r w:rsidRPr="008D1918">
        <w:t>Isolated towns</w:t>
      </w:r>
      <w:bookmarkEnd w:id="2173"/>
      <w:bookmarkEnd w:id="2174"/>
      <w:bookmarkEnd w:id="2175"/>
      <w:bookmarkEnd w:id="2176"/>
      <w:bookmarkEnd w:id="2177"/>
      <w:bookmarkEnd w:id="2178"/>
      <w:bookmarkEnd w:id="2179"/>
      <w:bookmarkEnd w:id="2180"/>
    </w:p>
    <w:p w:rsidRPr="008D1918" w:rsidR="02EFBE86" w:rsidP="02EFBE86" w:rsidRDefault="02EFBE86" w14:paraId="3E4A9E89" w14:textId="562A758F">
      <w:pPr>
        <w:pStyle w:val="Heading31"/>
        <w:ind w:left="1077" w:hanging="720"/>
        <w:rPr>
          <w:rFonts w:eastAsia="Arial"/>
        </w:rPr>
      </w:pPr>
      <w:bookmarkStart w:name="_Toc223539778" w:id="2181"/>
      <w:bookmarkStart w:name="_Toc223539991" w:id="2182"/>
      <w:bookmarkStart w:name="_Toc223540459" w:id="2183"/>
      <w:bookmarkStart w:name="_Toc223540675" w:id="2184"/>
      <w:bookmarkStart w:name="_Toc223542215" w:id="2185"/>
      <w:bookmarkStart w:name="_Toc223604401" w:id="2186"/>
      <w:bookmarkStart w:name="_Toc223604612" w:id="2187"/>
      <w:bookmarkStart w:name="_Toc227337184" w:id="2188"/>
      <w:r w:rsidRPr="008D1918">
        <w:rPr>
          <w:rFonts w:eastAsia="Arial"/>
        </w:rPr>
        <w:t>Context</w:t>
      </w:r>
      <w:bookmarkEnd w:id="2181"/>
      <w:bookmarkEnd w:id="2182"/>
      <w:bookmarkEnd w:id="2183"/>
      <w:bookmarkEnd w:id="2184"/>
      <w:bookmarkEnd w:id="2185"/>
      <w:bookmarkEnd w:id="2186"/>
      <w:bookmarkEnd w:id="2187"/>
      <w:bookmarkEnd w:id="2188"/>
    </w:p>
    <w:p w:rsidRPr="008D1918" w:rsidR="02EFBE86" w:rsidP="00845A04" w:rsidRDefault="02EFBE86" w14:paraId="60E73944" w14:textId="3F3A4840">
      <w:pPr>
        <w:rPr>
          <w:rFonts w:eastAsia="Arial" w:cs="Arial"/>
          <w:color w:val="000000" w:themeColor="accent6"/>
          <w:lang w:val="en-AU"/>
        </w:rPr>
      </w:pPr>
      <w:r w:rsidRPr="008D1918">
        <w:rPr>
          <w:rFonts w:eastAsia="Arial" w:cs="Arial"/>
          <w:color w:val="000000" w:themeColor="accent6"/>
          <w:lang w:val="en-AU"/>
        </w:rPr>
        <w:t>The NDIA</w:t>
      </w:r>
      <w:r w:rsidRPr="008D1918" w:rsidR="00347644">
        <w:rPr>
          <w:rFonts w:eastAsia="Arial" w:cs="Arial"/>
          <w:color w:val="000000" w:themeColor="accent6"/>
          <w:lang w:val="en-AU"/>
        </w:rPr>
        <w:t>, in its analysis and recommendations,</w:t>
      </w:r>
      <w:r w:rsidRPr="008D1918">
        <w:rPr>
          <w:rFonts w:eastAsia="Arial" w:cs="Arial"/>
          <w:color w:val="000000" w:themeColor="accent6"/>
          <w:lang w:val="en-AU"/>
        </w:rPr>
        <w:t xml:space="preserve"> applies different pricing arrangements depending on whether support is delivered in a regional, remote or very remote area. Remoteness is determined using the Modified Monash Model</w:t>
      </w:r>
      <w:r w:rsidRPr="008D1918" w:rsidR="0077589D">
        <w:rPr>
          <w:rFonts w:eastAsia="Arial" w:cs="Arial"/>
          <w:color w:val="000000" w:themeColor="accent6"/>
          <w:lang w:val="en-AU"/>
        </w:rPr>
        <w:t xml:space="preserve"> (MMM)</w:t>
      </w:r>
      <w:r w:rsidRPr="008D1918">
        <w:rPr>
          <w:rFonts w:eastAsia="Arial" w:cs="Arial"/>
          <w:color w:val="000000" w:themeColor="accent6"/>
          <w:lang w:val="en-AU"/>
        </w:rPr>
        <w:t>, which classifies areas from major cities (</w:t>
      </w:r>
      <w:r w:rsidRPr="008D1918" w:rsidR="0077589D">
        <w:rPr>
          <w:rFonts w:eastAsia="Arial" w:cs="Arial"/>
          <w:color w:val="000000" w:themeColor="accent6"/>
          <w:lang w:val="en-AU"/>
        </w:rPr>
        <w:t>Modified Monash category (</w:t>
      </w:r>
      <w:r w:rsidRPr="008D1918">
        <w:rPr>
          <w:rFonts w:eastAsia="Arial" w:cs="Arial"/>
          <w:color w:val="000000" w:themeColor="accent6"/>
          <w:lang w:val="en-AU"/>
        </w:rPr>
        <w:t>MM</w:t>
      </w:r>
      <w:r w:rsidRPr="008D1918" w:rsidR="0077589D">
        <w:rPr>
          <w:rFonts w:eastAsia="Arial" w:cs="Arial"/>
          <w:color w:val="000000" w:themeColor="accent6"/>
          <w:lang w:val="en-AU"/>
        </w:rPr>
        <w:t>)</w:t>
      </w:r>
      <w:r w:rsidRPr="008D1918" w:rsidR="00665E69">
        <w:rPr>
          <w:rFonts w:eastAsia="Arial" w:cs="Arial"/>
          <w:color w:val="000000" w:themeColor="accent6"/>
          <w:lang w:val="en-AU"/>
        </w:rPr>
        <w:t> </w:t>
      </w:r>
      <w:r w:rsidRPr="008D1918">
        <w:rPr>
          <w:rFonts w:eastAsia="Arial" w:cs="Arial"/>
          <w:color w:val="000000" w:themeColor="accent6"/>
          <w:lang w:val="en-AU"/>
        </w:rPr>
        <w:t>1) through to very remote (MM</w:t>
      </w:r>
      <w:r w:rsidRPr="008D1918" w:rsidR="00665E69">
        <w:rPr>
          <w:rFonts w:eastAsia="Arial" w:cs="Arial"/>
          <w:color w:val="000000" w:themeColor="accent6"/>
          <w:lang w:val="en-AU"/>
        </w:rPr>
        <w:t> </w:t>
      </w:r>
      <w:r w:rsidRPr="008D1918">
        <w:rPr>
          <w:rFonts w:eastAsia="Arial" w:cs="Arial"/>
          <w:color w:val="000000" w:themeColor="accent6"/>
          <w:lang w:val="en-AU"/>
        </w:rPr>
        <w:t xml:space="preserve">7). </w:t>
      </w:r>
      <w:r w:rsidRPr="008D1918" w:rsidR="00D839AC">
        <w:rPr>
          <w:rFonts w:eastAsia="Arial" w:cs="Arial"/>
          <w:color w:val="000000" w:themeColor="accent6"/>
          <w:lang w:val="en-AU"/>
        </w:rPr>
        <w:t xml:space="preserve">The </w:t>
      </w:r>
      <w:r w:rsidRPr="008D1918">
        <w:rPr>
          <w:rFonts w:eastAsia="Arial" w:cs="Arial"/>
          <w:color w:val="000000" w:themeColor="accent6"/>
          <w:lang w:val="en-AU"/>
        </w:rPr>
        <w:t>M</w:t>
      </w:r>
      <w:r w:rsidRPr="008D1918" w:rsidR="00E43DDB">
        <w:rPr>
          <w:rFonts w:eastAsia="Arial" w:cs="Arial"/>
          <w:color w:val="000000" w:themeColor="accent6"/>
          <w:lang w:val="en-AU"/>
        </w:rPr>
        <w:t>M</w:t>
      </w:r>
      <w:r w:rsidRPr="008D1918">
        <w:rPr>
          <w:rFonts w:eastAsia="Arial" w:cs="Arial"/>
          <w:color w:val="000000" w:themeColor="accent6"/>
          <w:lang w:val="en-AU"/>
        </w:rPr>
        <w:t>M classification directly affects applicable price</w:t>
      </w:r>
      <w:r w:rsidRPr="008D1918" w:rsidR="00636F63">
        <w:rPr>
          <w:rFonts w:eastAsia="Arial" w:cs="Arial"/>
          <w:color w:val="000000" w:themeColor="accent6"/>
          <w:lang w:val="en-AU"/>
        </w:rPr>
        <w:t>s</w:t>
      </w:r>
      <w:r w:rsidRPr="008D1918">
        <w:rPr>
          <w:rFonts w:eastAsia="Arial" w:cs="Arial"/>
          <w:color w:val="000000" w:themeColor="accent6"/>
          <w:lang w:val="en-AU"/>
        </w:rPr>
        <w:t>, provider travel claiming arrangements, and the level of funding available to participants within their plans. Remote (M</w:t>
      </w:r>
      <w:r w:rsidRPr="008D1918" w:rsidR="00E43DDB">
        <w:rPr>
          <w:rFonts w:eastAsia="Arial" w:cs="Arial"/>
          <w:color w:val="000000" w:themeColor="accent6"/>
          <w:lang w:val="en-AU"/>
        </w:rPr>
        <w:t>M</w:t>
      </w:r>
      <w:r w:rsidRPr="008D1918" w:rsidR="00665E69">
        <w:rPr>
          <w:rFonts w:eastAsia="Arial" w:cs="Arial"/>
          <w:color w:val="000000" w:themeColor="accent6"/>
          <w:lang w:val="en-AU"/>
        </w:rPr>
        <w:t> </w:t>
      </w:r>
      <w:r w:rsidRPr="008D1918">
        <w:rPr>
          <w:rFonts w:eastAsia="Arial" w:cs="Arial"/>
          <w:color w:val="000000" w:themeColor="accent6"/>
          <w:lang w:val="en-AU"/>
        </w:rPr>
        <w:t>6) and very remote (M</w:t>
      </w:r>
      <w:r w:rsidRPr="008D1918" w:rsidR="00E43DDB">
        <w:rPr>
          <w:rFonts w:eastAsia="Arial" w:cs="Arial"/>
          <w:color w:val="000000" w:themeColor="accent6"/>
          <w:lang w:val="en-AU"/>
        </w:rPr>
        <w:t>M</w:t>
      </w:r>
      <w:r w:rsidRPr="008D1918" w:rsidR="00665E69">
        <w:rPr>
          <w:rFonts w:eastAsia="Arial" w:cs="Arial"/>
          <w:color w:val="000000" w:themeColor="accent6"/>
          <w:lang w:val="en-AU"/>
        </w:rPr>
        <w:t> </w:t>
      </w:r>
      <w:r w:rsidRPr="008D1918">
        <w:rPr>
          <w:rFonts w:eastAsia="Arial" w:cs="Arial"/>
          <w:color w:val="000000" w:themeColor="accent6"/>
          <w:lang w:val="en-AU"/>
        </w:rPr>
        <w:t>7) locations receive a 40% and 50% price loading respectively, with the ability to negotiate travel claims.</w:t>
      </w:r>
    </w:p>
    <w:p w:rsidRPr="008D1918" w:rsidR="02EFBE86" w:rsidP="00845A04" w:rsidRDefault="02EFBE86" w14:paraId="02956FE1" w14:textId="28FE6FB8">
      <w:pPr>
        <w:rPr>
          <w:rFonts w:eastAsia="Arial" w:cs="Arial"/>
          <w:color w:val="000000" w:themeColor="accent6"/>
          <w:lang w:val="en-AU"/>
        </w:rPr>
      </w:pPr>
      <w:r w:rsidRPr="008D1918">
        <w:rPr>
          <w:rFonts w:eastAsia="Arial"/>
          <w:lang w:val="en-AU"/>
        </w:rPr>
        <w:t xml:space="preserve">Following the release of the </w:t>
      </w:r>
      <w:hyperlink r:id="rId76">
        <w:r w:rsidRPr="008D1918">
          <w:rPr>
            <w:rStyle w:val="Hyperlink"/>
            <w:rFonts w:eastAsia="Arial"/>
            <w:lang w:val="en-AU"/>
          </w:rPr>
          <w:t>Western Australia Market Review</w:t>
        </w:r>
      </w:hyperlink>
      <w:r w:rsidRPr="008D1918">
        <w:rPr>
          <w:rFonts w:eastAsia="Arial"/>
          <w:lang w:val="en-AU"/>
        </w:rPr>
        <w:t xml:space="preserve"> in 2019, the NDIA implemented recommendations to modify the </w:t>
      </w:r>
      <w:r w:rsidRPr="008D1918" w:rsidR="0077589D">
        <w:rPr>
          <w:rFonts w:eastAsia="Arial"/>
          <w:lang w:val="en-AU"/>
        </w:rPr>
        <w:t xml:space="preserve">MM </w:t>
      </w:r>
      <w:r w:rsidRPr="008D1918" w:rsidR="00EB6F45">
        <w:rPr>
          <w:rFonts w:eastAsia="Arial"/>
          <w:lang w:val="en-AU"/>
        </w:rPr>
        <w:t xml:space="preserve">categories </w:t>
      </w:r>
      <w:r w:rsidRPr="008D1918">
        <w:rPr>
          <w:rFonts w:eastAsia="Arial"/>
          <w:lang w:val="en-AU"/>
        </w:rPr>
        <w:t xml:space="preserve">of some locations for planning and pricing purposes. These changes were formalised </w:t>
      </w:r>
      <w:r w:rsidRPr="008D1918" w:rsidR="00636F63">
        <w:rPr>
          <w:rFonts w:eastAsia="Arial"/>
          <w:lang w:val="en-AU"/>
        </w:rPr>
        <w:t>NDIS pricing guidance</w:t>
      </w:r>
      <w:r w:rsidRPr="008D1918">
        <w:rPr>
          <w:rFonts w:eastAsia="Arial"/>
          <w:lang w:val="en-AU"/>
        </w:rPr>
        <w:t xml:space="preserve"> as the Isolated Towns Modification</w:t>
      </w:r>
      <w:r w:rsidRPr="008D1918" w:rsidR="001A0245">
        <w:rPr>
          <w:rFonts w:eastAsia="Arial"/>
          <w:lang w:val="en-AU"/>
        </w:rPr>
        <w:t xml:space="preserve"> (ITM)</w:t>
      </w:r>
      <w:r w:rsidRPr="008D1918">
        <w:rPr>
          <w:rFonts w:eastAsia="Arial"/>
          <w:lang w:val="en-AU"/>
        </w:rPr>
        <w:t xml:space="preserve">. The primary purpose of the </w:t>
      </w:r>
      <w:r w:rsidRPr="008D1918" w:rsidR="001A0245">
        <w:rPr>
          <w:rFonts w:eastAsia="Arial"/>
          <w:lang w:val="en-AU"/>
        </w:rPr>
        <w:t>ITM</w:t>
      </w:r>
      <w:r w:rsidRPr="008D1918">
        <w:rPr>
          <w:rFonts w:eastAsia="Arial"/>
          <w:lang w:val="en-AU"/>
        </w:rPr>
        <w:t xml:space="preserve"> was to improve consistency and equity in pricing outcomes for locations that experience service delivery conditions similar to remote or very remote areas, despite not meeting the standard MM thresholds.</w:t>
      </w:r>
    </w:p>
    <w:p w:rsidRPr="008D1918" w:rsidR="02EFBE86" w:rsidP="00845A04" w:rsidRDefault="02EFBE86" w14:paraId="241F164F" w14:textId="18823D8F">
      <w:pPr>
        <w:rPr>
          <w:rFonts w:eastAsia="Arial" w:cs="Arial"/>
          <w:color w:val="000000" w:themeColor="accent6"/>
          <w:lang w:val="en-AU"/>
        </w:rPr>
      </w:pPr>
      <w:r w:rsidRPr="008D1918">
        <w:rPr>
          <w:rFonts w:eastAsia="Arial" w:cs="Arial"/>
          <w:color w:val="000000" w:themeColor="accent6"/>
          <w:lang w:val="en-AU"/>
        </w:rPr>
        <w:t xml:space="preserve">Under the initial </w:t>
      </w:r>
      <w:r w:rsidRPr="008D1918" w:rsidR="001A0245">
        <w:rPr>
          <w:rFonts w:eastAsia="Arial"/>
          <w:lang w:val="en-AU"/>
        </w:rPr>
        <w:t>ITM</w:t>
      </w:r>
      <w:r w:rsidRPr="008D1918">
        <w:rPr>
          <w:rFonts w:eastAsia="Arial" w:cs="Arial"/>
          <w:color w:val="000000" w:themeColor="accent6"/>
          <w:lang w:val="en-AU"/>
        </w:rPr>
        <w:t xml:space="preserve"> framework, an isolated town was defined as a location surrounded by remote or very remote areas. The NDIA deemed such locations 'enclaves' and reclassified them as either remote (M</w:t>
      </w:r>
      <w:r w:rsidRPr="008D1918" w:rsidR="00E43DDB">
        <w:rPr>
          <w:rFonts w:eastAsia="Arial" w:cs="Arial"/>
          <w:color w:val="000000" w:themeColor="accent6"/>
          <w:lang w:val="en-AU"/>
        </w:rPr>
        <w:t>M</w:t>
      </w:r>
      <w:r w:rsidRPr="008D1918">
        <w:rPr>
          <w:rFonts w:eastAsia="Arial" w:cs="Arial"/>
          <w:color w:val="000000" w:themeColor="accent6"/>
          <w:lang w:val="en-AU"/>
        </w:rPr>
        <w:t xml:space="preserve"> 6) or very remote (</w:t>
      </w:r>
      <w:r w:rsidRPr="008D1918" w:rsidR="00E43DDB">
        <w:rPr>
          <w:rFonts w:eastAsia="Arial" w:cs="Arial"/>
          <w:color w:val="000000" w:themeColor="accent6"/>
          <w:lang w:val="en-AU"/>
        </w:rPr>
        <w:t>MM</w:t>
      </w:r>
      <w:r w:rsidRPr="008D1918" w:rsidR="00545194">
        <w:rPr>
          <w:rFonts w:eastAsia="Arial" w:cs="Arial"/>
          <w:color w:val="000000" w:themeColor="accent6"/>
          <w:lang w:val="en-AU"/>
        </w:rPr>
        <w:t> </w:t>
      </w:r>
      <w:r w:rsidRPr="008D1918">
        <w:rPr>
          <w:rFonts w:eastAsia="Arial" w:cs="Arial"/>
          <w:color w:val="000000" w:themeColor="accent6"/>
          <w:lang w:val="en-AU"/>
        </w:rPr>
        <w:t xml:space="preserve">7). This enabled providers delivering services to participants in these areas to negotiate travel and receive the respective loading. </w:t>
      </w:r>
    </w:p>
    <w:p w:rsidRPr="008D1918" w:rsidR="02EFBE86" w:rsidP="00845A04" w:rsidRDefault="02EFBE86" w14:paraId="6CEA1B64" w14:textId="29DFBB17">
      <w:pPr>
        <w:rPr>
          <w:rFonts w:eastAsia="Arial" w:cs="Arial"/>
          <w:color w:val="000000" w:themeColor="accent6"/>
          <w:lang w:val="en-AU"/>
        </w:rPr>
      </w:pPr>
      <w:r w:rsidRPr="008D1918">
        <w:rPr>
          <w:rFonts w:eastAsia="Arial" w:cs="Arial"/>
          <w:color w:val="000000" w:themeColor="accent6"/>
          <w:lang w:val="en-AU"/>
        </w:rPr>
        <w:t>The ITM was extended in 2021 to include locations (Geraldton, Western Australia, and Cardwell, Far North Queensland) where travel to a major city (</w:t>
      </w:r>
      <w:r w:rsidRPr="008D1918" w:rsidR="00E43DDB">
        <w:rPr>
          <w:rFonts w:eastAsia="Arial" w:cs="Arial"/>
          <w:color w:val="000000" w:themeColor="accent6"/>
          <w:lang w:val="en-AU"/>
        </w:rPr>
        <w:t>MM</w:t>
      </w:r>
      <w:r w:rsidRPr="008D1918">
        <w:rPr>
          <w:rFonts w:eastAsia="Arial" w:cs="Arial"/>
          <w:color w:val="000000" w:themeColor="accent6"/>
          <w:lang w:val="en-AU"/>
        </w:rPr>
        <w:t xml:space="preserve"> 1) or other city of more than 50,000 people (</w:t>
      </w:r>
      <w:r w:rsidRPr="008D1918" w:rsidR="00E43DDB">
        <w:rPr>
          <w:rFonts w:eastAsia="Arial" w:cs="Arial"/>
          <w:color w:val="000000" w:themeColor="accent6"/>
          <w:lang w:val="en-AU"/>
        </w:rPr>
        <w:t>MM</w:t>
      </w:r>
      <w:r w:rsidRPr="008D1918">
        <w:rPr>
          <w:rFonts w:eastAsia="Arial" w:cs="Arial"/>
          <w:color w:val="000000" w:themeColor="accent6"/>
          <w:lang w:val="en-AU"/>
        </w:rPr>
        <w:t xml:space="preserve"> 2) required crossing a remote area.</w:t>
      </w:r>
    </w:p>
    <w:p w:rsidRPr="008D1918" w:rsidR="02EFBE86" w:rsidP="00845A04" w:rsidRDefault="02EFBE86" w14:paraId="10714416" w14:textId="0505FE6E">
      <w:pPr>
        <w:rPr>
          <w:rFonts w:eastAsia="Arial" w:cs="Arial"/>
          <w:color w:val="000000" w:themeColor="accent6"/>
          <w:lang w:val="en-AU"/>
        </w:rPr>
      </w:pPr>
      <w:r w:rsidRPr="008D1918">
        <w:rPr>
          <w:rFonts w:eastAsia="Arial" w:cs="Arial"/>
          <w:color w:val="000000" w:themeColor="accent6"/>
          <w:lang w:val="en-AU"/>
        </w:rPr>
        <w:t>In 2025</w:t>
      </w:r>
      <w:r w:rsidRPr="008D1918" w:rsidR="00A108F9">
        <w:rPr>
          <w:rFonts w:eastAsia="Arial" w:cs="Arial"/>
          <w:color w:val="000000" w:themeColor="accent6"/>
          <w:lang w:val="en-AU"/>
        </w:rPr>
        <w:t>,</w:t>
      </w:r>
      <w:r w:rsidRPr="008D1918">
        <w:rPr>
          <w:rFonts w:eastAsia="Arial" w:cs="Arial"/>
          <w:color w:val="000000" w:themeColor="accent6"/>
          <w:lang w:val="en-AU"/>
        </w:rPr>
        <w:t xml:space="preserve"> the NDIA released the </w:t>
      </w:r>
      <w:r w:rsidRPr="008D1918" w:rsidR="00186248">
        <w:rPr>
          <w:rFonts w:eastAsia="Arial" w:cs="Arial"/>
          <w:lang w:val="en-AU"/>
        </w:rPr>
        <w:t>3</w:t>
      </w:r>
      <w:r w:rsidRPr="008D1918">
        <w:rPr>
          <w:rFonts w:eastAsia="Arial" w:cs="Arial"/>
          <w:lang w:val="en-AU"/>
        </w:rPr>
        <w:t>-Year Pricing Workplan</w:t>
      </w:r>
      <w:r w:rsidRPr="008D1918">
        <w:rPr>
          <w:rFonts w:eastAsia="Arial" w:cs="Arial"/>
          <w:color w:val="000000" w:themeColor="accent6"/>
          <w:lang w:val="en-AU"/>
        </w:rPr>
        <w:t xml:space="preserve"> outlining the </w:t>
      </w:r>
      <w:r w:rsidRPr="008D1918" w:rsidR="00DC10B5">
        <w:rPr>
          <w:rFonts w:eastAsia="Arial" w:cs="Arial"/>
          <w:color w:val="000000" w:themeColor="accent6"/>
          <w:lang w:val="en-AU"/>
        </w:rPr>
        <w:t>NDIA</w:t>
      </w:r>
      <w:r w:rsidRPr="008D1918">
        <w:rPr>
          <w:rFonts w:eastAsia="Arial" w:cs="Arial"/>
          <w:color w:val="000000" w:themeColor="accent6"/>
          <w:lang w:val="en-AU"/>
        </w:rPr>
        <w:t>’s pricing</w:t>
      </w:r>
      <w:r w:rsidRPr="008D1918" w:rsidR="00A07431">
        <w:rPr>
          <w:rFonts w:eastAsia="Arial" w:cs="Arial"/>
          <w:color w:val="000000" w:themeColor="accent6"/>
          <w:lang w:val="en-AU"/>
        </w:rPr>
        <w:t xml:space="preserve"> </w:t>
      </w:r>
      <w:r w:rsidRPr="008D1918">
        <w:rPr>
          <w:rFonts w:eastAsia="Arial" w:cs="Arial"/>
          <w:color w:val="000000" w:themeColor="accent6"/>
          <w:lang w:val="en-AU"/>
        </w:rPr>
        <w:t xml:space="preserve">improvement program. The first year focuses on immediate actions and evidence building, including a review of the application of the MMM, the </w:t>
      </w:r>
      <w:r w:rsidRPr="008D1918" w:rsidR="001A0245">
        <w:rPr>
          <w:rFonts w:eastAsia="Arial" w:cs="Arial"/>
          <w:color w:val="000000" w:themeColor="accent6"/>
          <w:lang w:val="en-AU"/>
        </w:rPr>
        <w:t xml:space="preserve">ITM </w:t>
      </w:r>
      <w:r w:rsidRPr="008D1918">
        <w:rPr>
          <w:rFonts w:eastAsia="Arial" w:cs="Arial"/>
          <w:color w:val="000000" w:themeColor="accent6"/>
          <w:lang w:val="en-AU"/>
        </w:rPr>
        <w:t xml:space="preserve">and related exception provisions. This </w:t>
      </w:r>
      <w:r w:rsidRPr="008D1918" w:rsidR="00E3282A">
        <w:rPr>
          <w:rFonts w:eastAsia="Arial" w:cs="Arial"/>
          <w:color w:val="000000" w:themeColor="accent6"/>
          <w:lang w:val="en-AU"/>
        </w:rPr>
        <w:t>APR</w:t>
      </w:r>
      <w:r w:rsidRPr="008D1918">
        <w:rPr>
          <w:rFonts w:eastAsia="Arial" w:cs="Arial"/>
          <w:color w:val="000000" w:themeColor="accent6"/>
          <w:lang w:val="en-AU"/>
        </w:rPr>
        <w:t xml:space="preserve"> examined whether current classifications remain appropriate and whether they continue to reflect contemporary service delivery conditions.</w:t>
      </w:r>
    </w:p>
    <w:p w:rsidRPr="008D1918" w:rsidR="02EFBE86" w:rsidP="00845A04" w:rsidRDefault="02EFBE86" w14:paraId="1629DA21" w14:textId="41622B0C">
      <w:pPr>
        <w:rPr>
          <w:rFonts w:eastAsia="Arial" w:cs="Arial"/>
          <w:color w:val="000000" w:themeColor="accent6"/>
          <w:lang w:val="en-AU"/>
        </w:rPr>
      </w:pPr>
      <w:r w:rsidRPr="008D1918">
        <w:rPr>
          <w:rFonts w:eastAsia="Arial" w:cs="Arial"/>
          <w:color w:val="000000" w:themeColor="accent6"/>
          <w:lang w:val="en-AU"/>
        </w:rPr>
        <w:t>This review included:</w:t>
      </w:r>
    </w:p>
    <w:p w:rsidRPr="008D1918" w:rsidR="02EFBE86" w:rsidP="009F6459" w:rsidRDefault="02EFBE86" w14:paraId="505EAECE" w14:textId="51FE68EC">
      <w:pPr>
        <w:pStyle w:val="ListParagraph"/>
        <w:numPr>
          <w:ilvl w:val="0"/>
          <w:numId w:val="23"/>
        </w:numPr>
        <w:ind w:left="714" w:hanging="357"/>
        <w:contextualSpacing w:val="0"/>
        <w:rPr>
          <w:rFonts w:eastAsia="Arial" w:cs="Arial"/>
          <w:color w:val="000000" w:themeColor="accent6"/>
          <w:lang w:val="en-AU"/>
        </w:rPr>
      </w:pPr>
      <w:r w:rsidRPr="008D1918">
        <w:rPr>
          <w:rFonts w:eastAsia="Arial" w:cs="Arial"/>
          <w:color w:val="000000" w:themeColor="accent6"/>
          <w:lang w:val="en-AU"/>
        </w:rPr>
        <w:t xml:space="preserve">Data analysis of provider availability, participant plan utilisation and market depth across rural and remote communities. </w:t>
      </w:r>
    </w:p>
    <w:p w:rsidRPr="008D1918" w:rsidR="02EFBE86" w:rsidP="009F6459" w:rsidRDefault="02EFBE86" w14:paraId="0255C58F" w14:textId="206CB4EE">
      <w:pPr>
        <w:pStyle w:val="ListParagraph"/>
        <w:numPr>
          <w:ilvl w:val="0"/>
          <w:numId w:val="23"/>
        </w:numPr>
        <w:ind w:left="714" w:hanging="357"/>
        <w:contextualSpacing w:val="0"/>
        <w:rPr>
          <w:rFonts w:eastAsia="Arial" w:cs="Arial"/>
          <w:color w:val="000000" w:themeColor="accent6"/>
          <w:lang w:val="en-AU"/>
        </w:rPr>
      </w:pPr>
      <w:r w:rsidRPr="008D1918">
        <w:rPr>
          <w:rFonts w:eastAsia="Arial" w:cs="Arial"/>
          <w:color w:val="000000" w:themeColor="accent6"/>
          <w:lang w:val="en-AU"/>
        </w:rPr>
        <w:t xml:space="preserve">Review of the </w:t>
      </w:r>
      <w:r w:rsidRPr="008D1918" w:rsidR="001A0245">
        <w:rPr>
          <w:rFonts w:eastAsia="Arial"/>
          <w:lang w:val="en-AU"/>
        </w:rPr>
        <w:t>ITM</w:t>
      </w:r>
      <w:r w:rsidRPr="008D1918">
        <w:rPr>
          <w:rFonts w:eastAsia="Arial" w:cs="Arial"/>
          <w:color w:val="000000" w:themeColor="accent6"/>
          <w:lang w:val="en-AU"/>
        </w:rPr>
        <w:t xml:space="preserve"> Policy </w:t>
      </w:r>
      <w:r w:rsidRPr="008D1918" w:rsidR="00463874">
        <w:rPr>
          <w:rFonts w:eastAsia="Arial" w:cs="Arial"/>
          <w:color w:val="000000" w:themeColor="accent6"/>
          <w:lang w:val="en-AU"/>
        </w:rPr>
        <w:t xml:space="preserve">to assess </w:t>
      </w:r>
      <w:r w:rsidRPr="008D1918">
        <w:rPr>
          <w:rFonts w:eastAsia="Arial" w:cs="Arial"/>
          <w:color w:val="000000" w:themeColor="accent6"/>
          <w:lang w:val="en-AU"/>
        </w:rPr>
        <w:t xml:space="preserve">whether the current list and criteria remain appropriate and identify areas where the policy may need updating to reflect contemporary service conditions. </w:t>
      </w:r>
    </w:p>
    <w:p w:rsidRPr="008D1918" w:rsidR="02EFBE86" w:rsidP="009F6459" w:rsidRDefault="02EFBE86" w14:paraId="670CEF3D" w14:textId="0565C098">
      <w:pPr>
        <w:pStyle w:val="ListParagraph"/>
        <w:numPr>
          <w:ilvl w:val="0"/>
          <w:numId w:val="23"/>
        </w:numPr>
        <w:ind w:left="714" w:hanging="357"/>
        <w:contextualSpacing w:val="0"/>
        <w:rPr>
          <w:rFonts w:eastAsia="Arial" w:cs="Arial"/>
          <w:color w:val="000000" w:themeColor="accent6"/>
          <w:lang w:val="en-AU"/>
        </w:rPr>
      </w:pPr>
      <w:r w:rsidRPr="008D1918">
        <w:rPr>
          <w:rFonts w:eastAsia="Arial" w:cs="Arial"/>
          <w:color w:val="000000" w:themeColor="accent6"/>
          <w:lang w:val="en-AU"/>
        </w:rPr>
        <w:t xml:space="preserve">Engagement and consultation with jurisdictions, </w:t>
      </w:r>
      <w:r w:rsidRPr="008D1918" w:rsidR="00415589">
        <w:rPr>
          <w:rFonts w:eastAsia="Arial" w:cs="Arial"/>
          <w:color w:val="000000" w:themeColor="accent6"/>
          <w:lang w:val="en-AU"/>
        </w:rPr>
        <w:t>Peak and Disability</w:t>
      </w:r>
      <w:r w:rsidRPr="008D1918" w:rsidR="006824F3">
        <w:rPr>
          <w:rFonts w:eastAsia="Arial" w:cs="Arial"/>
          <w:color w:val="000000" w:themeColor="accent6"/>
          <w:lang w:val="en-AU"/>
        </w:rPr>
        <w:t xml:space="preserve"> Representative and Carer Organisations</w:t>
      </w:r>
      <w:r w:rsidRPr="008D1918">
        <w:rPr>
          <w:rFonts w:eastAsia="Arial" w:cs="Arial"/>
          <w:color w:val="000000" w:themeColor="accent6"/>
          <w:lang w:val="en-AU"/>
        </w:rPr>
        <w:t xml:space="preserve"> and participant representatives to test whether current classifications and pricing arrangements adequately reflect access challenges in rural and remote areas.</w:t>
      </w:r>
    </w:p>
    <w:p w:rsidRPr="008D1918" w:rsidR="02EFBE86" w:rsidP="009F6459" w:rsidRDefault="02EFBE86" w14:paraId="73CD48CE" w14:textId="19B784E1">
      <w:pPr>
        <w:pStyle w:val="ListParagraph"/>
        <w:numPr>
          <w:ilvl w:val="0"/>
          <w:numId w:val="23"/>
        </w:numPr>
        <w:ind w:left="714" w:hanging="357"/>
        <w:contextualSpacing w:val="0"/>
        <w:rPr>
          <w:rFonts w:eastAsia="Arial" w:cs="Arial"/>
          <w:color w:val="000000" w:themeColor="accent6"/>
          <w:lang w:val="en-AU"/>
        </w:rPr>
      </w:pPr>
      <w:r w:rsidRPr="008D1918">
        <w:rPr>
          <w:rFonts w:eastAsia="Arial" w:cs="Arial"/>
          <w:color w:val="000000" w:themeColor="accent6"/>
          <w:lang w:val="en-AU"/>
        </w:rPr>
        <w:t>Comparative analysis of how similar regional frameworks operate in health and aged care systems to identify alignment opportunities.</w:t>
      </w:r>
    </w:p>
    <w:p w:rsidRPr="008D1918" w:rsidR="02EFBE86" w:rsidP="009F6459" w:rsidRDefault="02EFBE86" w14:paraId="2CA3E0FB" w14:textId="54049047">
      <w:pPr>
        <w:pStyle w:val="ListParagraph"/>
        <w:numPr>
          <w:ilvl w:val="0"/>
          <w:numId w:val="23"/>
        </w:numPr>
        <w:ind w:left="714" w:hanging="357"/>
        <w:contextualSpacing w:val="0"/>
        <w:rPr>
          <w:rFonts w:eastAsia="Arial" w:cs="Arial"/>
          <w:color w:val="000000" w:themeColor="accent6"/>
          <w:lang w:val="en-AU"/>
        </w:rPr>
      </w:pPr>
      <w:r w:rsidRPr="008D1918">
        <w:rPr>
          <w:rFonts w:eastAsia="Arial" w:cs="Arial"/>
          <w:color w:val="000000" w:themeColor="accent6"/>
          <w:lang w:val="en-AU"/>
        </w:rPr>
        <w:t xml:space="preserve">Recommendations for refining the </w:t>
      </w:r>
      <w:r w:rsidRPr="008D1918" w:rsidR="001A0245">
        <w:rPr>
          <w:rFonts w:eastAsia="Arial"/>
          <w:lang w:val="en-AU"/>
        </w:rPr>
        <w:t>ITM</w:t>
      </w:r>
      <w:r w:rsidRPr="008D1918">
        <w:rPr>
          <w:rFonts w:eastAsia="Arial" w:cs="Arial"/>
          <w:color w:val="000000" w:themeColor="accent6"/>
          <w:lang w:val="en-AU"/>
        </w:rPr>
        <w:t>, updating exceptions and ensuring transparent criteria for any future adjustments.</w:t>
      </w:r>
    </w:p>
    <w:p w:rsidRPr="008D1918" w:rsidR="02EFBE86" w:rsidP="02EFBE86" w:rsidRDefault="02EFBE86" w14:paraId="76BEE022" w14:textId="590A06F4">
      <w:pPr>
        <w:pStyle w:val="Heading31"/>
        <w:ind w:left="1077" w:hanging="720"/>
        <w:rPr>
          <w:rFonts w:eastAsia="Arial" w:cs="Arial"/>
        </w:rPr>
      </w:pPr>
      <w:bookmarkStart w:name="_Toc223539779" w:id="2189"/>
      <w:bookmarkStart w:name="_Toc223539992" w:id="2190"/>
      <w:bookmarkStart w:name="_Toc223540460" w:id="2191"/>
      <w:bookmarkStart w:name="_Toc223540676" w:id="2192"/>
      <w:bookmarkStart w:name="_Toc223542216" w:id="2193"/>
      <w:bookmarkStart w:name="_Toc223604402" w:id="2194"/>
      <w:bookmarkStart w:name="_Toc223604613" w:id="2195"/>
      <w:bookmarkStart w:name="_Toc227337185" w:id="2196"/>
      <w:r w:rsidRPr="008D1918">
        <w:rPr>
          <w:rFonts w:eastAsia="Arial"/>
        </w:rPr>
        <w:t xml:space="preserve">Stakeholder </w:t>
      </w:r>
      <w:r w:rsidRPr="008D1918">
        <w:t>c</w:t>
      </w:r>
      <w:r w:rsidRPr="008D1918">
        <w:rPr>
          <w:rFonts w:eastAsia="Arial"/>
        </w:rPr>
        <w:t>onsultation</w:t>
      </w:r>
      <w:bookmarkEnd w:id="2189"/>
      <w:bookmarkEnd w:id="2190"/>
      <w:bookmarkEnd w:id="2191"/>
      <w:bookmarkEnd w:id="2192"/>
      <w:bookmarkEnd w:id="2193"/>
      <w:bookmarkEnd w:id="2194"/>
      <w:bookmarkEnd w:id="2195"/>
      <w:bookmarkEnd w:id="2196"/>
    </w:p>
    <w:p w:rsidRPr="008D1918" w:rsidR="02EFBE86" w:rsidP="008549D9" w:rsidRDefault="02EFBE86" w14:paraId="1745ABB7" w14:textId="40EC0BE0">
      <w:pPr>
        <w:rPr>
          <w:rFonts w:eastAsia="Arial" w:cs="Arial"/>
          <w:color w:val="000000" w:themeColor="accent6"/>
          <w:lang w:val="en-AU"/>
        </w:rPr>
      </w:pPr>
      <w:r w:rsidRPr="008D1918">
        <w:rPr>
          <w:rFonts w:eastAsia="Arial" w:cs="Arial"/>
          <w:color w:val="000000" w:themeColor="accent6"/>
          <w:lang w:val="en-AU"/>
        </w:rPr>
        <w:t xml:space="preserve">Consultation was undertaken with a broad range of stakeholders including state and territory governments, and the Agency’s Rural and Remote Advisory Group. The consultation sought to test the feasibility of existing and proposed approaches to the </w:t>
      </w:r>
      <w:r w:rsidRPr="008D1918" w:rsidR="001A0245">
        <w:rPr>
          <w:rFonts w:eastAsia="Arial"/>
          <w:lang w:val="en-AU"/>
        </w:rPr>
        <w:t>ITM</w:t>
      </w:r>
      <w:r w:rsidRPr="008D1918">
        <w:rPr>
          <w:rFonts w:eastAsia="Arial" w:cs="Arial"/>
          <w:color w:val="000000" w:themeColor="accent6"/>
          <w:lang w:val="en-AU"/>
        </w:rPr>
        <w:t>, identify risks and unintended consequences, and inform the development of a nationally consistent and transparent policy framework.</w:t>
      </w:r>
    </w:p>
    <w:p w:rsidRPr="008D1918" w:rsidR="02EFBE86" w:rsidP="008549D9" w:rsidRDefault="02EFBE86" w14:paraId="1334A303" w14:textId="3A9075E7">
      <w:pPr>
        <w:rPr>
          <w:rFonts w:eastAsia="Arial" w:cs="Arial"/>
          <w:color w:val="000000" w:themeColor="accent6"/>
          <w:lang w:val="en-AU"/>
        </w:rPr>
      </w:pPr>
      <w:r w:rsidRPr="008D1918">
        <w:rPr>
          <w:rFonts w:eastAsia="Arial" w:cs="Arial"/>
          <w:color w:val="000000" w:themeColor="accent6"/>
          <w:lang w:val="en-AU"/>
        </w:rPr>
        <w:t xml:space="preserve">The consultation process highlighted several recurring key themes across regions and stakeholder groups. While some themes were specific to geographic or cultural contexts, there was strong consistency around the need for a more transparent, data-driven and nationally consistent approach to addressing challenges in rural and remote areas beyond the remit of the existing </w:t>
      </w:r>
      <w:r w:rsidRPr="008D1918" w:rsidR="001A0245">
        <w:rPr>
          <w:rFonts w:eastAsia="Arial"/>
          <w:lang w:val="en-AU"/>
        </w:rPr>
        <w:t>ITM</w:t>
      </w:r>
      <w:r w:rsidRPr="008D1918">
        <w:rPr>
          <w:rFonts w:eastAsia="Arial" w:cs="Arial"/>
          <w:color w:val="000000" w:themeColor="accent6"/>
          <w:lang w:val="en-AU"/>
        </w:rPr>
        <w:t>.</w:t>
      </w:r>
    </w:p>
    <w:p w:rsidRPr="008D1918" w:rsidR="02EFBE86" w:rsidP="008549D9" w:rsidRDefault="02EFBE86" w14:paraId="4BDC0180" w14:textId="5307FD7A">
      <w:pPr>
        <w:rPr>
          <w:rFonts w:eastAsia="Arial" w:cs="Arial"/>
          <w:color w:val="000000" w:themeColor="accent6"/>
          <w:lang w:val="en-AU"/>
        </w:rPr>
      </w:pPr>
      <w:r w:rsidRPr="008D1918">
        <w:rPr>
          <w:rFonts w:eastAsia="Arial" w:cs="Arial"/>
          <w:color w:val="000000" w:themeColor="accent6"/>
          <w:lang w:val="en-AU"/>
        </w:rPr>
        <w:t xml:space="preserve">Key themes from consultation </w:t>
      </w:r>
      <w:r w:rsidRPr="008D1918" w:rsidR="00E340B1">
        <w:rPr>
          <w:rFonts w:eastAsia="Arial" w:cs="Arial"/>
          <w:color w:val="000000" w:themeColor="accent6"/>
          <w:lang w:val="en-AU"/>
        </w:rPr>
        <w:t>are outlined below.</w:t>
      </w:r>
      <w:r w:rsidRPr="008D1918">
        <w:rPr>
          <w:rFonts w:eastAsia="Arial" w:cs="Arial"/>
          <w:color w:val="000000" w:themeColor="accent6"/>
          <w:lang w:val="en-AU"/>
        </w:rPr>
        <w:t xml:space="preserve"> </w:t>
      </w:r>
    </w:p>
    <w:p w:rsidRPr="008D1918" w:rsidR="02EFBE86" w:rsidP="00041468" w:rsidRDefault="02EFBE86" w14:paraId="6F96BC36" w14:textId="2AF7E0CD">
      <w:pPr>
        <w:pStyle w:val="StyleStyle112pt"/>
        <w:rPr>
          <w:rFonts w:eastAsia="Arial"/>
        </w:rPr>
      </w:pPr>
      <w:bookmarkStart w:name="_Toc223539780" w:id="2197"/>
      <w:bookmarkStart w:name="_Toc223539993" w:id="2198"/>
      <w:bookmarkStart w:name="_Toc223540461" w:id="2199"/>
      <w:bookmarkStart w:name="_Toc223540677" w:id="2200"/>
      <w:bookmarkStart w:name="_Toc223542217" w:id="2201"/>
      <w:bookmarkStart w:name="_Toc223604403" w:id="2202"/>
      <w:bookmarkStart w:name="_Toc223604614" w:id="2203"/>
      <w:bookmarkStart w:name="_Toc223604857" w:id="2204"/>
      <w:bookmarkStart w:name="_Toc223618700" w:id="2205"/>
      <w:bookmarkStart w:name="_Toc223702929" w:id="2206"/>
      <w:bookmarkStart w:name="_Toc227318818" w:id="2207"/>
      <w:bookmarkStart w:name="_Toc227337186" w:id="2208"/>
      <w:r w:rsidRPr="008D1918">
        <w:rPr>
          <w:rFonts w:eastAsia="Arial"/>
        </w:rPr>
        <w:t>Local context</w:t>
      </w:r>
      <w:bookmarkEnd w:id="2197"/>
      <w:bookmarkEnd w:id="2198"/>
      <w:bookmarkEnd w:id="2199"/>
      <w:bookmarkEnd w:id="2200"/>
      <w:bookmarkEnd w:id="2201"/>
      <w:bookmarkEnd w:id="2202"/>
      <w:bookmarkEnd w:id="2203"/>
      <w:bookmarkEnd w:id="2204"/>
      <w:bookmarkEnd w:id="2205"/>
      <w:bookmarkEnd w:id="2206"/>
      <w:bookmarkEnd w:id="2207"/>
      <w:bookmarkEnd w:id="2208"/>
    </w:p>
    <w:p w:rsidRPr="008D1918" w:rsidR="02EFBE86" w:rsidP="008549D9" w:rsidRDefault="02EFBE86" w14:paraId="58FACE4A" w14:textId="01C08B42">
      <w:pPr>
        <w:rPr>
          <w:rFonts w:eastAsia="Arial" w:cs="Arial"/>
          <w:color w:val="000000" w:themeColor="accent6"/>
          <w:lang w:val="en-AU"/>
        </w:rPr>
      </w:pPr>
      <w:r w:rsidRPr="008D1918">
        <w:rPr>
          <w:rFonts w:eastAsia="Arial" w:cs="Arial"/>
          <w:color w:val="000000" w:themeColor="accent6"/>
          <w:lang w:val="en-AU"/>
        </w:rPr>
        <w:t xml:space="preserve">Stakeholders emphasised that </w:t>
      </w:r>
      <w:r w:rsidRPr="008D1918" w:rsidR="00E43DDB">
        <w:rPr>
          <w:rFonts w:eastAsia="Arial" w:cs="Arial"/>
          <w:color w:val="000000" w:themeColor="accent6"/>
          <w:lang w:val="en-AU"/>
        </w:rPr>
        <w:t>MMM</w:t>
      </w:r>
      <w:r w:rsidRPr="008D1918">
        <w:rPr>
          <w:rFonts w:eastAsia="Arial" w:cs="Arial"/>
          <w:color w:val="000000" w:themeColor="accent6"/>
          <w:lang w:val="en-AU"/>
        </w:rPr>
        <w:t xml:space="preserve"> classification and </w:t>
      </w:r>
      <w:r w:rsidRPr="008D1918" w:rsidR="001A0245">
        <w:rPr>
          <w:rFonts w:eastAsia="Arial"/>
          <w:lang w:val="en-AU"/>
        </w:rPr>
        <w:t>ITM</w:t>
      </w:r>
      <w:r w:rsidRPr="008D1918">
        <w:rPr>
          <w:rFonts w:eastAsia="Arial" w:cs="Arial"/>
          <w:color w:val="000000" w:themeColor="accent6"/>
          <w:lang w:val="en-AU"/>
        </w:rPr>
        <w:t xml:space="preserve"> play a critical role in sustaining service delivery for towns with fragile markets or markets that acted like </w:t>
      </w:r>
      <w:r w:rsidRPr="008D1918" w:rsidR="00E43DDB">
        <w:rPr>
          <w:rFonts w:eastAsia="Arial" w:cs="Arial"/>
          <w:color w:val="000000" w:themeColor="accent6"/>
          <w:lang w:val="en-AU"/>
        </w:rPr>
        <w:t>MM</w:t>
      </w:r>
      <w:r w:rsidRPr="008D1918">
        <w:rPr>
          <w:rFonts w:eastAsia="Arial" w:cs="Arial"/>
          <w:color w:val="000000" w:themeColor="accent6"/>
          <w:lang w:val="en-AU"/>
        </w:rPr>
        <w:t xml:space="preserve"> 6 and </w:t>
      </w:r>
      <w:r w:rsidRPr="008D1918" w:rsidR="00E43DDB">
        <w:rPr>
          <w:rFonts w:eastAsia="Arial" w:cs="Arial"/>
          <w:color w:val="000000" w:themeColor="accent6"/>
          <w:lang w:val="en-AU"/>
        </w:rPr>
        <w:t>MM</w:t>
      </w:r>
      <w:r w:rsidRPr="008D1918">
        <w:rPr>
          <w:rFonts w:eastAsia="Arial" w:cs="Arial"/>
          <w:color w:val="000000" w:themeColor="accent6"/>
          <w:lang w:val="en-AU"/>
        </w:rPr>
        <w:t xml:space="preserve"> 7 locations. However, concerns were raised that the current </w:t>
      </w:r>
      <w:r w:rsidRPr="008D1918" w:rsidR="00EA1700">
        <w:rPr>
          <w:rFonts w:eastAsia="Arial" w:cs="Arial"/>
          <w:color w:val="000000" w:themeColor="accent6"/>
          <w:lang w:val="en-AU"/>
        </w:rPr>
        <w:t xml:space="preserve">criteria for inclusion </w:t>
      </w:r>
      <w:r w:rsidRPr="008D1918" w:rsidR="009D7908">
        <w:rPr>
          <w:rFonts w:eastAsia="Arial" w:cs="Arial"/>
          <w:color w:val="000000" w:themeColor="accent6"/>
          <w:lang w:val="en-AU"/>
        </w:rPr>
        <w:t>on the</w:t>
      </w:r>
      <w:r w:rsidRPr="008D1918" w:rsidR="00EA1700">
        <w:rPr>
          <w:rFonts w:eastAsia="Arial" w:cs="Arial"/>
          <w:color w:val="000000" w:themeColor="accent6"/>
          <w:lang w:val="en-AU"/>
        </w:rPr>
        <w:t xml:space="preserve"> ITM </w:t>
      </w:r>
      <w:r w:rsidRPr="008D1918">
        <w:rPr>
          <w:rFonts w:eastAsia="Arial" w:cs="Arial"/>
          <w:color w:val="000000" w:themeColor="accent6"/>
          <w:lang w:val="en-AU"/>
        </w:rPr>
        <w:t>does not adequately capture the operational challenges faced by very small towns or dispersed population clusters.</w:t>
      </w:r>
    </w:p>
    <w:p w:rsidRPr="008D1918" w:rsidR="02EFBE86" w:rsidP="008549D9" w:rsidRDefault="02EFBE86" w14:paraId="21072B10" w14:textId="0A4F5D63">
      <w:pPr>
        <w:rPr>
          <w:rFonts w:eastAsia="Arial" w:cs="Arial"/>
          <w:color w:val="000000" w:themeColor="accent6"/>
          <w:lang w:val="en-AU"/>
        </w:rPr>
      </w:pPr>
      <w:r w:rsidRPr="008D1918">
        <w:rPr>
          <w:rFonts w:eastAsia="Arial" w:cs="Arial"/>
          <w:color w:val="000000" w:themeColor="accent6"/>
          <w:lang w:val="en-AU"/>
        </w:rPr>
        <w:t xml:space="preserve">Feedback suggested the </w:t>
      </w:r>
      <w:r w:rsidRPr="008D1918" w:rsidR="00E43DDB">
        <w:rPr>
          <w:rFonts w:eastAsia="Arial" w:cs="Arial"/>
          <w:color w:val="000000" w:themeColor="accent6"/>
          <w:lang w:val="en-AU"/>
        </w:rPr>
        <w:t>MMM</w:t>
      </w:r>
      <w:r w:rsidRPr="008D1918" w:rsidR="006824E0">
        <w:rPr>
          <w:rFonts w:eastAsia="Arial" w:cs="Arial"/>
          <w:color w:val="000000" w:themeColor="accent6"/>
          <w:lang w:val="en-AU"/>
        </w:rPr>
        <w:t xml:space="preserve"> </w:t>
      </w:r>
      <w:r w:rsidRPr="008D1918" w:rsidR="00FB1CB8">
        <w:rPr>
          <w:rFonts w:eastAsia="Arial" w:cs="Arial"/>
          <w:color w:val="000000" w:themeColor="accent6"/>
          <w:lang w:val="en-AU"/>
        </w:rPr>
        <w:t>classification</w:t>
      </w:r>
      <w:r w:rsidRPr="008D1918">
        <w:rPr>
          <w:rFonts w:eastAsia="Arial" w:cs="Arial"/>
          <w:color w:val="000000" w:themeColor="accent6"/>
          <w:lang w:val="en-AU"/>
        </w:rPr>
        <w:t xml:space="preserve"> and </w:t>
      </w:r>
      <w:r w:rsidRPr="008D1918" w:rsidR="001A0245">
        <w:rPr>
          <w:rFonts w:eastAsia="Arial"/>
          <w:lang w:val="en-AU"/>
        </w:rPr>
        <w:t>ITM</w:t>
      </w:r>
      <w:r w:rsidRPr="008D1918">
        <w:rPr>
          <w:rFonts w:eastAsia="Arial" w:cs="Arial"/>
          <w:color w:val="000000" w:themeColor="accent6"/>
          <w:lang w:val="en-AU"/>
        </w:rPr>
        <w:t xml:space="preserve"> </w:t>
      </w:r>
      <w:r w:rsidRPr="008D1918" w:rsidR="00EA1700">
        <w:rPr>
          <w:rFonts w:eastAsia="Arial" w:cs="Arial"/>
          <w:color w:val="000000" w:themeColor="accent6"/>
          <w:lang w:val="en-AU"/>
        </w:rPr>
        <w:t xml:space="preserve">criteria </w:t>
      </w:r>
      <w:r w:rsidRPr="008D1918">
        <w:rPr>
          <w:rFonts w:eastAsia="Arial" w:cs="Arial"/>
          <w:color w:val="000000" w:themeColor="accent6"/>
          <w:lang w:val="en-AU"/>
        </w:rPr>
        <w:t xml:space="preserve">do not sufficiently account for local context, dynamics and population </w:t>
      </w:r>
      <w:r w:rsidRPr="008D1918" w:rsidR="002C285D">
        <w:rPr>
          <w:rFonts w:eastAsia="Arial" w:cs="Arial"/>
          <w:color w:val="000000" w:themeColor="accent6"/>
          <w:lang w:val="en-AU"/>
        </w:rPr>
        <w:t xml:space="preserve">across </w:t>
      </w:r>
      <w:r w:rsidRPr="008D1918">
        <w:rPr>
          <w:rFonts w:eastAsia="Arial" w:cs="Arial"/>
          <w:color w:val="000000" w:themeColor="accent6"/>
          <w:lang w:val="en-AU"/>
        </w:rPr>
        <w:t xml:space="preserve">metropolitan and regional, rural and remote areas. </w:t>
      </w:r>
    </w:p>
    <w:p w:rsidRPr="008D1918" w:rsidR="02EFBE86" w:rsidP="008549D9" w:rsidRDefault="02EFBE86" w14:paraId="57E2D9A3" w14:textId="24CBEEFE">
      <w:pPr>
        <w:rPr>
          <w:rFonts w:eastAsia="Arial" w:cs="Arial"/>
          <w:color w:val="000000" w:themeColor="accent6"/>
          <w:lang w:val="en-AU"/>
        </w:rPr>
      </w:pPr>
      <w:r w:rsidRPr="008D1918">
        <w:rPr>
          <w:rFonts w:eastAsia="Arial" w:cs="Arial"/>
          <w:color w:val="000000" w:themeColor="accent6"/>
          <w:lang w:val="en-AU"/>
        </w:rPr>
        <w:t>Stakeholders suggested the</w:t>
      </w:r>
      <w:r w:rsidRPr="008D1918" w:rsidR="00C063F5">
        <w:rPr>
          <w:rFonts w:eastAsia="Arial" w:cs="Arial"/>
          <w:color w:val="000000" w:themeColor="accent6"/>
          <w:lang w:val="en-AU"/>
        </w:rPr>
        <w:t xml:space="preserve"> Socio-Economic Indexes for Areas</w:t>
      </w:r>
      <w:r w:rsidRPr="008D1918" w:rsidR="00F86D0B">
        <w:rPr>
          <w:rFonts w:eastAsia="Arial" w:cs="Arial"/>
          <w:color w:val="000000" w:themeColor="accent6"/>
          <w:lang w:val="en-AU"/>
        </w:rPr>
        <w:t xml:space="preserve"> (SEIFA) </w:t>
      </w:r>
      <w:r w:rsidRPr="008D1918">
        <w:rPr>
          <w:rFonts w:eastAsia="Arial" w:cs="Arial"/>
          <w:color w:val="000000" w:themeColor="accent6"/>
          <w:lang w:val="en-AU"/>
        </w:rPr>
        <w:t xml:space="preserve">be investigated as a new </w:t>
      </w:r>
      <w:r w:rsidRPr="008D1918" w:rsidR="001A0245">
        <w:rPr>
          <w:rFonts w:eastAsia="Arial"/>
          <w:lang w:val="en-AU"/>
        </w:rPr>
        <w:t>ITM</w:t>
      </w:r>
      <w:r w:rsidRPr="008D1918">
        <w:rPr>
          <w:rFonts w:eastAsia="Arial" w:cs="Arial"/>
          <w:color w:val="000000" w:themeColor="accent6"/>
          <w:lang w:val="en-AU"/>
        </w:rPr>
        <w:t xml:space="preserve"> criteria, particularly the </w:t>
      </w:r>
      <w:hyperlink w:anchor="index-of-relative-socio-economic-disadvantage-irsd-" r:id="rId77">
        <w:r w:rsidRPr="008D1918">
          <w:rPr>
            <w:rStyle w:val="Hyperlink"/>
            <w:rFonts w:eastAsia="Arial" w:cs="Arial"/>
            <w:lang w:val="en-AU"/>
          </w:rPr>
          <w:t>Index of Relative Socio-Economic Disadvantage (IRSD</w:t>
        </w:r>
        <w:r w:rsidRPr="008D1918" w:rsidR="00525AF4">
          <w:rPr>
            <w:rStyle w:val="Hyperlink"/>
            <w:rFonts w:eastAsia="Arial" w:cs="Arial"/>
            <w:lang w:val="en-AU"/>
          </w:rPr>
          <w:t>)</w:t>
        </w:r>
      </w:hyperlink>
      <w:r w:rsidR="00A3775E">
        <w:t xml:space="preserve"> (</w:t>
      </w:r>
      <w:hyperlink w:history="1" w:anchor="index-of-relative-socio-economic-disadvantage-irsd-" r:id="rId78">
        <w:r w:rsidRPr="00277726" w:rsidR="00A3775E">
          <w:rPr>
            <w:rStyle w:val="Hyperlink"/>
          </w:rPr>
          <w:t>https://www.abs.gov.au/methodologies/socio-economic-</w:t>
        </w:r>
        <w:r w:rsidRPr="00277726" w:rsidR="00A3775E">
          <w:rPr>
            <w:rStyle w:val="Hyperlink"/>
          </w:rPr>
          <w:t>indexes-areas-seifa-australia-methodology/2021#index-of-relative-socio-economic-disadvantage-irsd-</w:t>
        </w:r>
      </w:hyperlink>
      <w:r w:rsidR="00A3775E">
        <w:t xml:space="preserve">) </w:t>
      </w:r>
      <w:r w:rsidRPr="008D1918">
        <w:rPr>
          <w:rFonts w:eastAsia="Arial" w:cs="Arial"/>
          <w:color w:val="000000" w:themeColor="accent6"/>
          <w:lang w:val="en-AU"/>
        </w:rPr>
        <w:t xml:space="preserve"> that examines indicators of disadvantage in a community such as low income, low education, unemployment, and percentage of people with disability.</w:t>
      </w:r>
    </w:p>
    <w:p w:rsidRPr="008D1918" w:rsidR="02EFBE86" w:rsidP="00041468" w:rsidRDefault="02EFBE86" w14:paraId="5864E66F" w14:textId="45B86EB3">
      <w:pPr>
        <w:pStyle w:val="StyleStyle112pt"/>
        <w:rPr>
          <w:rFonts w:eastAsia="Arial"/>
        </w:rPr>
      </w:pPr>
      <w:bookmarkStart w:name="_Toc223539781" w:id="2209"/>
      <w:bookmarkStart w:name="_Toc223539994" w:id="2210"/>
      <w:bookmarkStart w:name="_Toc223540462" w:id="2211"/>
      <w:bookmarkStart w:name="_Toc223540678" w:id="2212"/>
      <w:bookmarkStart w:name="_Toc223542218" w:id="2213"/>
      <w:bookmarkStart w:name="_Toc223604404" w:id="2214"/>
      <w:bookmarkStart w:name="_Toc223604615" w:id="2215"/>
      <w:bookmarkStart w:name="_Toc223604858" w:id="2216"/>
      <w:bookmarkStart w:name="_Toc223618701" w:id="2217"/>
      <w:bookmarkStart w:name="_Toc223702930" w:id="2218"/>
      <w:bookmarkStart w:name="_Toc227318819" w:id="2219"/>
      <w:bookmarkStart w:name="_Toc227337187" w:id="2220"/>
      <w:r w:rsidRPr="008D1918">
        <w:rPr>
          <w:rFonts w:eastAsia="Arial"/>
        </w:rPr>
        <w:t>Distance from a major centre</w:t>
      </w:r>
      <w:bookmarkEnd w:id="2209"/>
      <w:bookmarkEnd w:id="2210"/>
      <w:bookmarkEnd w:id="2211"/>
      <w:bookmarkEnd w:id="2212"/>
      <w:bookmarkEnd w:id="2213"/>
      <w:bookmarkEnd w:id="2214"/>
      <w:bookmarkEnd w:id="2215"/>
      <w:bookmarkEnd w:id="2216"/>
      <w:bookmarkEnd w:id="2217"/>
      <w:bookmarkEnd w:id="2218"/>
      <w:bookmarkEnd w:id="2219"/>
      <w:bookmarkEnd w:id="2220"/>
    </w:p>
    <w:p w:rsidRPr="008D1918" w:rsidR="02EFBE86" w:rsidP="008549D9" w:rsidRDefault="02EFBE86" w14:paraId="2A151FA7" w14:textId="305A0123">
      <w:pPr>
        <w:rPr>
          <w:rFonts w:eastAsia="Arial" w:cs="Arial"/>
          <w:color w:val="000000" w:themeColor="accent6"/>
          <w:lang w:val="en-AU"/>
        </w:rPr>
      </w:pPr>
      <w:r w:rsidRPr="008D1918">
        <w:rPr>
          <w:rFonts w:eastAsia="Arial" w:cs="Arial"/>
          <w:color w:val="000000" w:themeColor="accent6"/>
          <w:lang w:val="en-AU"/>
        </w:rPr>
        <w:t xml:space="preserve">Travel requirements were consistently identified as a key driver of access challenges. The availability of public transport or a reliance on fly-in-fly-out services were important factors, as </w:t>
      </w:r>
      <w:r w:rsidRPr="008D1918" w:rsidR="002E18B9">
        <w:rPr>
          <w:rFonts w:eastAsia="Arial" w:cs="Arial"/>
          <w:color w:val="000000" w:themeColor="accent6"/>
          <w:lang w:val="en-AU"/>
        </w:rPr>
        <w:t>was</w:t>
      </w:r>
      <w:r w:rsidRPr="008D1918">
        <w:rPr>
          <w:rFonts w:eastAsia="Arial" w:cs="Arial"/>
          <w:color w:val="000000" w:themeColor="accent6"/>
          <w:lang w:val="en-AU"/>
        </w:rPr>
        <w:t xml:space="preserve"> the rate </w:t>
      </w:r>
      <w:r w:rsidRPr="008D1918" w:rsidR="00524C4D">
        <w:rPr>
          <w:rFonts w:eastAsia="Arial" w:cs="Arial"/>
          <w:color w:val="000000" w:themeColor="accent6"/>
          <w:lang w:val="en-AU"/>
        </w:rPr>
        <w:t>at</w:t>
      </w:r>
      <w:r w:rsidRPr="008D1918">
        <w:rPr>
          <w:rFonts w:eastAsia="Arial" w:cs="Arial"/>
          <w:color w:val="000000" w:themeColor="accent6"/>
          <w:lang w:val="en-AU"/>
        </w:rPr>
        <w:t xml:space="preserve"> which providers can claim for travel based on the </w:t>
      </w:r>
      <w:r w:rsidRPr="008D1918" w:rsidR="00E43DDB">
        <w:rPr>
          <w:rFonts w:eastAsia="Arial" w:cs="Arial"/>
          <w:color w:val="000000" w:themeColor="accent6"/>
          <w:lang w:val="en-AU"/>
        </w:rPr>
        <w:t>MM</w:t>
      </w:r>
      <w:r w:rsidRPr="008D1918">
        <w:rPr>
          <w:rFonts w:eastAsia="Arial" w:cs="Arial"/>
          <w:color w:val="000000" w:themeColor="accent6"/>
          <w:lang w:val="en-AU"/>
        </w:rPr>
        <w:t xml:space="preserve"> </w:t>
      </w:r>
      <w:r w:rsidRPr="008D1918" w:rsidR="00AF073D">
        <w:rPr>
          <w:rFonts w:eastAsia="Arial" w:cs="Arial"/>
          <w:color w:val="000000" w:themeColor="accent6"/>
          <w:lang w:val="en-AU"/>
        </w:rPr>
        <w:t>category</w:t>
      </w:r>
      <w:r w:rsidRPr="008D1918">
        <w:rPr>
          <w:rFonts w:eastAsia="Arial" w:cs="Arial"/>
          <w:color w:val="000000" w:themeColor="accent6"/>
          <w:lang w:val="en-AU"/>
        </w:rPr>
        <w:t xml:space="preserve"> of a town. Other aspects of travel such as availability of infrastructure, sealed roads, accommodation options for providers, </w:t>
      </w:r>
      <w:r w:rsidRPr="008D1918" w:rsidR="0067687D">
        <w:rPr>
          <w:rFonts w:eastAsia="Arial" w:cs="Arial"/>
          <w:color w:val="000000" w:themeColor="accent6"/>
          <w:lang w:val="en-AU"/>
        </w:rPr>
        <w:t>and</w:t>
      </w:r>
      <w:r w:rsidRPr="008D1918">
        <w:rPr>
          <w:rFonts w:eastAsia="Arial" w:cs="Arial"/>
          <w:color w:val="000000" w:themeColor="accent6"/>
          <w:lang w:val="en-AU"/>
        </w:rPr>
        <w:t xml:space="preserve"> telecommunications and internet availability impact on service delivery were also reported.</w:t>
      </w:r>
    </w:p>
    <w:p w:rsidRPr="008D1918" w:rsidR="02EFBE86" w:rsidP="008549D9" w:rsidRDefault="007206D6" w14:paraId="0ADA07A5" w14:textId="58739836">
      <w:pPr>
        <w:rPr>
          <w:rFonts w:eastAsia="Arial" w:cs="Arial"/>
          <w:color w:val="000000" w:themeColor="accent6"/>
          <w:lang w:val="en-AU"/>
        </w:rPr>
      </w:pPr>
      <w:r w:rsidRPr="008D1918">
        <w:rPr>
          <w:rFonts w:eastAsia="Arial" w:cs="Arial"/>
          <w:color w:val="000000" w:themeColor="accent6"/>
          <w:lang w:val="en-AU"/>
        </w:rPr>
        <w:t>T</w:t>
      </w:r>
      <w:r w:rsidRPr="008D1918" w:rsidR="02EFBE86">
        <w:rPr>
          <w:rFonts w:eastAsia="Arial" w:cs="Arial"/>
          <w:color w:val="000000" w:themeColor="accent6"/>
          <w:lang w:val="en-AU"/>
        </w:rPr>
        <w:t>ravel claiming caps (</w:t>
      </w:r>
      <w:r w:rsidRPr="008D1918" w:rsidR="00010DA0">
        <w:rPr>
          <w:rFonts w:eastAsia="Arial" w:cs="Arial"/>
          <w:color w:val="000000" w:themeColor="accent6"/>
          <w:lang w:val="en-AU"/>
        </w:rPr>
        <w:t>for example,</w:t>
      </w:r>
      <w:r w:rsidRPr="008D1918" w:rsidR="02EFBE86">
        <w:rPr>
          <w:rFonts w:eastAsia="Arial" w:cs="Arial"/>
          <w:color w:val="000000" w:themeColor="accent6"/>
          <w:lang w:val="en-AU"/>
        </w:rPr>
        <w:t xml:space="preserve"> 30 minutes </w:t>
      </w:r>
      <w:r w:rsidRPr="008D1918" w:rsidR="00CA07A1">
        <w:rPr>
          <w:rFonts w:eastAsia="Arial" w:cs="Arial"/>
          <w:color w:val="000000" w:themeColor="accent6"/>
          <w:lang w:val="en-AU"/>
        </w:rPr>
        <w:t xml:space="preserve">for </w:t>
      </w:r>
      <w:r w:rsidRPr="008D1918" w:rsidR="00E43DDB">
        <w:rPr>
          <w:rFonts w:eastAsia="Arial" w:cs="Arial"/>
          <w:color w:val="000000" w:themeColor="accent6"/>
          <w:lang w:val="en-AU"/>
        </w:rPr>
        <w:t>MM</w:t>
      </w:r>
      <w:r w:rsidRPr="008D1918" w:rsidR="02EFBE86">
        <w:rPr>
          <w:rFonts w:eastAsia="Arial" w:cs="Arial"/>
          <w:color w:val="000000" w:themeColor="accent6"/>
          <w:lang w:val="en-AU"/>
        </w:rPr>
        <w:t xml:space="preserve"> 1</w:t>
      </w:r>
      <w:r w:rsidRPr="008D1918" w:rsidR="00070FDC">
        <w:rPr>
          <w:rFonts w:eastAsia="Arial" w:cs="Arial"/>
          <w:color w:val="000000" w:themeColor="accent6"/>
          <w:lang w:val="en-AU"/>
        </w:rPr>
        <w:t>–</w:t>
      </w:r>
      <w:r w:rsidRPr="008D1918" w:rsidR="02EFBE86">
        <w:rPr>
          <w:rFonts w:eastAsia="Arial" w:cs="Arial"/>
          <w:color w:val="000000" w:themeColor="accent6"/>
          <w:lang w:val="en-AU"/>
        </w:rPr>
        <w:t xml:space="preserve">3, 60 minutes </w:t>
      </w:r>
      <w:r w:rsidRPr="008D1918" w:rsidR="00CA07A1">
        <w:rPr>
          <w:rFonts w:eastAsia="Arial" w:cs="Arial"/>
          <w:color w:val="000000" w:themeColor="accent6"/>
          <w:lang w:val="en-AU"/>
        </w:rPr>
        <w:t xml:space="preserve">for </w:t>
      </w:r>
      <w:r w:rsidRPr="008D1918" w:rsidR="00E43DDB">
        <w:rPr>
          <w:rFonts w:eastAsia="Arial" w:cs="Arial"/>
          <w:color w:val="000000" w:themeColor="accent6"/>
          <w:lang w:val="en-AU"/>
        </w:rPr>
        <w:t>MM</w:t>
      </w:r>
      <w:r w:rsidRPr="008D1918" w:rsidR="02EFBE86">
        <w:rPr>
          <w:rFonts w:eastAsia="Arial" w:cs="Arial"/>
          <w:color w:val="000000" w:themeColor="accent6"/>
          <w:lang w:val="en-AU"/>
        </w:rPr>
        <w:t xml:space="preserve"> 4</w:t>
      </w:r>
      <w:r w:rsidRPr="008D1918" w:rsidR="00070FDC">
        <w:rPr>
          <w:rFonts w:eastAsia="Arial" w:cs="Arial"/>
          <w:color w:val="000000" w:themeColor="accent6"/>
          <w:lang w:val="en-AU"/>
        </w:rPr>
        <w:t>–</w:t>
      </w:r>
      <w:r w:rsidRPr="008D1918" w:rsidR="02EFBE86">
        <w:rPr>
          <w:rFonts w:eastAsia="Arial" w:cs="Arial"/>
          <w:color w:val="000000" w:themeColor="accent6"/>
          <w:lang w:val="en-AU"/>
        </w:rPr>
        <w:t xml:space="preserve">5) were consistently cited as a constraint in thin markets, particularly in </w:t>
      </w:r>
      <w:r w:rsidRPr="008D1918" w:rsidR="00E43DDB">
        <w:rPr>
          <w:rFonts w:eastAsia="Arial" w:cs="Arial"/>
          <w:color w:val="000000" w:themeColor="accent6"/>
          <w:lang w:val="en-AU"/>
        </w:rPr>
        <w:t>MM</w:t>
      </w:r>
      <w:r w:rsidRPr="008D1918" w:rsidR="02EFBE86">
        <w:rPr>
          <w:rFonts w:eastAsia="Arial" w:cs="Arial"/>
          <w:color w:val="000000" w:themeColor="accent6"/>
          <w:lang w:val="en-AU"/>
        </w:rPr>
        <w:t xml:space="preserve"> 5 locations, where travel to the nearest </w:t>
      </w:r>
      <w:r w:rsidRPr="008D1918" w:rsidR="00E43DDB">
        <w:rPr>
          <w:rFonts w:eastAsia="Arial" w:cs="Arial"/>
          <w:color w:val="000000" w:themeColor="accent6"/>
          <w:lang w:val="en-AU"/>
        </w:rPr>
        <w:t>MM</w:t>
      </w:r>
      <w:r w:rsidRPr="008D1918" w:rsidR="02EFBE86">
        <w:rPr>
          <w:rFonts w:eastAsia="Arial" w:cs="Arial"/>
          <w:color w:val="000000" w:themeColor="accent6"/>
          <w:lang w:val="en-AU"/>
        </w:rPr>
        <w:t xml:space="preserve"> 1</w:t>
      </w:r>
      <w:r w:rsidRPr="008D1918" w:rsidR="00010DA0">
        <w:rPr>
          <w:rFonts w:eastAsia="Arial" w:cs="Arial"/>
          <w:color w:val="000000" w:themeColor="accent6"/>
          <w:lang w:val="en-AU"/>
        </w:rPr>
        <w:t>–</w:t>
      </w:r>
      <w:r w:rsidRPr="008D1918" w:rsidR="02EFBE86">
        <w:rPr>
          <w:rFonts w:eastAsia="Arial" w:cs="Arial"/>
          <w:color w:val="000000" w:themeColor="accent6"/>
          <w:lang w:val="en-AU"/>
        </w:rPr>
        <w:t>3 centre may exceed 60 minutes.</w:t>
      </w:r>
    </w:p>
    <w:p w:rsidRPr="008D1918" w:rsidR="02EFBE86" w:rsidP="00041468" w:rsidRDefault="02EFBE86" w14:paraId="5EA3465C" w14:textId="40E137C6">
      <w:pPr>
        <w:pStyle w:val="StyleStyle112pt"/>
        <w:rPr>
          <w:rFonts w:eastAsia="Arial"/>
        </w:rPr>
      </w:pPr>
      <w:bookmarkStart w:name="_Toc223539782" w:id="2221"/>
      <w:bookmarkStart w:name="_Toc223539995" w:id="2222"/>
      <w:bookmarkStart w:name="_Toc223540463" w:id="2223"/>
      <w:bookmarkStart w:name="_Toc223540679" w:id="2224"/>
      <w:bookmarkStart w:name="_Toc223542219" w:id="2225"/>
      <w:bookmarkStart w:name="_Toc223604405" w:id="2226"/>
      <w:bookmarkStart w:name="_Toc223604616" w:id="2227"/>
      <w:bookmarkStart w:name="_Toc223604859" w:id="2228"/>
      <w:bookmarkStart w:name="_Toc223618702" w:id="2229"/>
      <w:bookmarkStart w:name="_Toc223702931" w:id="2230"/>
      <w:bookmarkStart w:name="_Toc227318820" w:id="2231"/>
      <w:bookmarkStart w:name="_Toc227337188" w:id="2232"/>
      <w:r w:rsidRPr="008D1918">
        <w:rPr>
          <w:rFonts w:eastAsia="Arial"/>
        </w:rPr>
        <w:t>Provider numbers</w:t>
      </w:r>
      <w:bookmarkEnd w:id="2221"/>
      <w:bookmarkEnd w:id="2222"/>
      <w:bookmarkEnd w:id="2223"/>
      <w:bookmarkEnd w:id="2224"/>
      <w:bookmarkEnd w:id="2225"/>
      <w:bookmarkEnd w:id="2226"/>
      <w:bookmarkEnd w:id="2227"/>
      <w:bookmarkEnd w:id="2228"/>
      <w:bookmarkEnd w:id="2229"/>
      <w:bookmarkEnd w:id="2230"/>
      <w:bookmarkEnd w:id="2231"/>
      <w:bookmarkEnd w:id="2232"/>
    </w:p>
    <w:p w:rsidRPr="008D1918" w:rsidR="02EFBE86" w:rsidP="008549D9" w:rsidRDefault="02EFBE86" w14:paraId="3A19ACF1" w14:textId="0B2B281A">
      <w:pPr>
        <w:rPr>
          <w:rFonts w:eastAsia="Arial" w:cs="Arial"/>
          <w:color w:val="000000" w:themeColor="accent6"/>
          <w:lang w:val="en-AU"/>
        </w:rPr>
      </w:pPr>
      <w:r w:rsidRPr="008D1918">
        <w:rPr>
          <w:rFonts w:eastAsia="Arial" w:cs="Arial"/>
          <w:color w:val="000000" w:themeColor="accent6"/>
          <w:lang w:val="en-AU"/>
        </w:rPr>
        <w:t xml:space="preserve">A consistent concern raised across consultation activities was the challenge to attract and retain workforce based in rural and remote areas. </w:t>
      </w:r>
    </w:p>
    <w:p w:rsidRPr="008D1918" w:rsidR="02EFBE86" w:rsidP="008549D9" w:rsidRDefault="02EFBE86" w14:paraId="7C9CEC3E" w14:textId="15F2FF5D">
      <w:pPr>
        <w:rPr>
          <w:rFonts w:eastAsia="Arial" w:cs="Arial"/>
          <w:color w:val="000000" w:themeColor="accent6"/>
          <w:lang w:val="en-AU"/>
        </w:rPr>
      </w:pPr>
      <w:r w:rsidRPr="008D1918">
        <w:rPr>
          <w:rFonts w:eastAsia="Arial" w:cs="Arial"/>
          <w:color w:val="000000" w:themeColor="accent6"/>
          <w:lang w:val="en-AU"/>
        </w:rPr>
        <w:t xml:space="preserve">Stakeholders indicated data showing the number of providers in a specific region as a proportion of participant numbers is not a meaningful metric of market capacity. It was reported that providers may be travelling into these communities rather than based locally and the frequency of support may be misaligned with true demand. Stakeholders suggested low plan utilisation rates would be a more appropriate metric as an indicator of thin markets. </w:t>
      </w:r>
    </w:p>
    <w:p w:rsidRPr="008D1918" w:rsidR="00463116" w:rsidP="008549D9" w:rsidRDefault="00463116" w14:paraId="3C78DFAB" w14:textId="4B456709">
      <w:pPr>
        <w:rPr>
          <w:rFonts w:eastAsia="Arial" w:cs="Arial"/>
          <w:color w:val="000000" w:themeColor="accent6"/>
          <w:lang w:val="en-AU"/>
        </w:rPr>
      </w:pPr>
      <w:r w:rsidRPr="008D1918">
        <w:rPr>
          <w:rFonts w:eastAsia="Arial" w:cs="Arial"/>
          <w:color w:val="000000" w:themeColor="accent6"/>
          <w:lang w:val="en-AU"/>
        </w:rPr>
        <w:t>This insight directly informs the analytical approach taken in this chapter</w:t>
      </w:r>
      <w:r w:rsidRPr="008D1918" w:rsidR="00796EBE">
        <w:rPr>
          <w:rFonts w:eastAsia="Arial" w:cs="Arial"/>
          <w:color w:val="000000" w:themeColor="accent6"/>
          <w:lang w:val="en-AU"/>
        </w:rPr>
        <w:t>. Plan utilisation</w:t>
      </w:r>
      <w:r w:rsidRPr="008D1918" w:rsidR="007A3724">
        <w:rPr>
          <w:rFonts w:eastAsia="Arial" w:cs="Arial"/>
          <w:color w:val="000000" w:themeColor="accent6"/>
          <w:lang w:val="en-AU"/>
        </w:rPr>
        <w:t>,</w:t>
      </w:r>
      <w:r w:rsidRPr="008D1918" w:rsidR="00796EBE">
        <w:rPr>
          <w:rFonts w:eastAsia="Arial" w:cs="Arial"/>
          <w:color w:val="000000" w:themeColor="accent6"/>
          <w:lang w:val="en-AU"/>
        </w:rPr>
        <w:t xml:space="preserve"> not provider count</w:t>
      </w:r>
      <w:r w:rsidRPr="008D1918" w:rsidR="007A3724">
        <w:rPr>
          <w:rFonts w:eastAsia="Arial" w:cs="Arial"/>
          <w:color w:val="000000" w:themeColor="accent6"/>
          <w:lang w:val="en-AU"/>
        </w:rPr>
        <w:t>,</w:t>
      </w:r>
      <w:r w:rsidRPr="008D1918" w:rsidR="00796EBE">
        <w:rPr>
          <w:rFonts w:eastAsia="Arial" w:cs="Arial"/>
          <w:color w:val="000000" w:themeColor="accent6"/>
          <w:lang w:val="en-AU"/>
        </w:rPr>
        <w:t xml:space="preserve"> is used as the primary metric for identifying market stress.</w:t>
      </w:r>
      <w:r w:rsidRPr="008D1918">
        <w:rPr>
          <w:rFonts w:eastAsia="Arial" w:cs="Arial"/>
          <w:color w:val="000000" w:themeColor="accent6"/>
          <w:lang w:val="en-AU"/>
        </w:rPr>
        <w:t xml:space="preserve"> </w:t>
      </w:r>
    </w:p>
    <w:p w:rsidRPr="008D1918" w:rsidR="02EFBE86" w:rsidP="00041468" w:rsidRDefault="02EFBE86" w14:paraId="074D88AA" w14:textId="1B1FB4C3">
      <w:pPr>
        <w:pStyle w:val="StyleStyle112pt"/>
        <w:rPr>
          <w:rFonts w:eastAsia="Arial"/>
        </w:rPr>
      </w:pPr>
      <w:bookmarkStart w:name="_Toc223539783" w:id="2233"/>
      <w:bookmarkStart w:name="_Toc223539996" w:id="2234"/>
      <w:bookmarkStart w:name="_Toc223540464" w:id="2235"/>
      <w:bookmarkStart w:name="_Toc223540680" w:id="2236"/>
      <w:bookmarkStart w:name="_Toc223542220" w:id="2237"/>
      <w:bookmarkStart w:name="_Toc223604406" w:id="2238"/>
      <w:bookmarkStart w:name="_Toc223604617" w:id="2239"/>
      <w:bookmarkStart w:name="_Toc223604860" w:id="2240"/>
      <w:bookmarkStart w:name="_Toc223618703" w:id="2241"/>
      <w:bookmarkStart w:name="_Toc223702932" w:id="2242"/>
      <w:bookmarkStart w:name="_Toc227318821" w:id="2243"/>
      <w:bookmarkStart w:name="_Toc227337189" w:id="2244"/>
      <w:r w:rsidRPr="008D1918">
        <w:rPr>
          <w:rFonts w:eastAsia="Arial"/>
        </w:rPr>
        <w:t>Market distortion</w:t>
      </w:r>
      <w:bookmarkEnd w:id="2233"/>
      <w:bookmarkEnd w:id="2234"/>
      <w:bookmarkEnd w:id="2235"/>
      <w:bookmarkEnd w:id="2236"/>
      <w:bookmarkEnd w:id="2237"/>
      <w:bookmarkEnd w:id="2238"/>
      <w:bookmarkEnd w:id="2239"/>
      <w:bookmarkEnd w:id="2240"/>
      <w:bookmarkEnd w:id="2241"/>
      <w:bookmarkEnd w:id="2242"/>
      <w:bookmarkEnd w:id="2243"/>
      <w:bookmarkEnd w:id="2244"/>
    </w:p>
    <w:p w:rsidRPr="008D1918" w:rsidR="02EFBE86" w:rsidP="008549D9" w:rsidRDefault="02EFBE86" w14:paraId="2FF102FB" w14:textId="067EFF23">
      <w:pPr>
        <w:rPr>
          <w:rFonts w:eastAsia="Arial" w:cs="Arial"/>
          <w:color w:val="000000" w:themeColor="accent6"/>
          <w:lang w:val="en-AU"/>
        </w:rPr>
      </w:pPr>
      <w:r w:rsidRPr="008D1918">
        <w:rPr>
          <w:rFonts w:eastAsia="Arial" w:cs="Arial"/>
          <w:color w:val="000000" w:themeColor="accent6"/>
          <w:lang w:val="en-AU"/>
        </w:rPr>
        <w:t xml:space="preserve">Some stakeholders warned against the </w:t>
      </w:r>
      <w:r w:rsidRPr="008D1918" w:rsidR="000F3BBE">
        <w:rPr>
          <w:rFonts w:eastAsia="Arial" w:cs="Arial"/>
          <w:color w:val="000000" w:themeColor="accent6"/>
          <w:lang w:val="en-AU"/>
        </w:rPr>
        <w:t>‘</w:t>
      </w:r>
      <w:r w:rsidRPr="008D1918">
        <w:rPr>
          <w:rFonts w:eastAsia="Arial" w:cs="Arial"/>
          <w:color w:val="000000" w:themeColor="accent6"/>
          <w:lang w:val="en-AU"/>
        </w:rPr>
        <w:t>over-classification</w:t>
      </w:r>
      <w:r w:rsidRPr="008D1918" w:rsidR="000F3BBE">
        <w:rPr>
          <w:rFonts w:eastAsia="Arial" w:cs="Arial"/>
          <w:color w:val="000000" w:themeColor="accent6"/>
          <w:lang w:val="en-AU"/>
        </w:rPr>
        <w:t>’</w:t>
      </w:r>
      <w:r w:rsidRPr="008D1918">
        <w:rPr>
          <w:rFonts w:eastAsia="Arial" w:cs="Arial"/>
          <w:color w:val="000000" w:themeColor="accent6"/>
          <w:lang w:val="en-AU"/>
        </w:rPr>
        <w:t xml:space="preserve"> of towns as part of the </w:t>
      </w:r>
      <w:r w:rsidRPr="008D1918" w:rsidR="001A0245">
        <w:rPr>
          <w:rFonts w:eastAsia="Arial"/>
          <w:lang w:val="en-AU"/>
        </w:rPr>
        <w:t>ITM</w:t>
      </w:r>
      <w:r w:rsidRPr="008D1918">
        <w:rPr>
          <w:rFonts w:eastAsia="Arial" w:cs="Arial"/>
          <w:color w:val="000000" w:themeColor="accent6"/>
          <w:lang w:val="en-AU"/>
        </w:rPr>
        <w:t>, as this can potentially create oversupply of providers in certain markets while leaving other towns underserviced.</w:t>
      </w:r>
    </w:p>
    <w:p w:rsidRPr="008D1918" w:rsidR="02EFBE86" w:rsidP="008549D9" w:rsidRDefault="02EFBE86" w14:paraId="010D595C" w14:textId="101B1D5C">
      <w:pPr>
        <w:rPr>
          <w:rFonts w:eastAsia="Arial" w:cs="Arial"/>
          <w:color w:val="000000" w:themeColor="accent6"/>
          <w:lang w:val="en-AU"/>
        </w:rPr>
      </w:pPr>
      <w:r w:rsidRPr="008D1918">
        <w:rPr>
          <w:rFonts w:eastAsia="Arial" w:cs="Arial"/>
          <w:color w:val="000000" w:themeColor="accent6"/>
          <w:lang w:val="en-AU"/>
        </w:rPr>
        <w:t xml:space="preserve">The </w:t>
      </w:r>
      <w:r w:rsidRPr="008D1918" w:rsidR="00F8052E">
        <w:rPr>
          <w:rFonts w:eastAsia="Arial" w:cs="Arial"/>
          <w:color w:val="000000" w:themeColor="accent6"/>
          <w:lang w:val="en-AU"/>
        </w:rPr>
        <w:t>Department of Health, Disability and Ageing (</w:t>
      </w:r>
      <w:r w:rsidRPr="008D1918">
        <w:rPr>
          <w:rFonts w:eastAsia="Arial" w:cs="Arial"/>
          <w:color w:val="000000" w:themeColor="accent6"/>
          <w:lang w:val="en-AU"/>
        </w:rPr>
        <w:t>DHDA</w:t>
      </w:r>
      <w:r w:rsidRPr="008D1918" w:rsidR="00F8052E">
        <w:rPr>
          <w:rFonts w:eastAsia="Arial" w:cs="Arial"/>
          <w:color w:val="000000" w:themeColor="accent6"/>
          <w:lang w:val="en-AU"/>
        </w:rPr>
        <w:t>)</w:t>
      </w:r>
      <w:r w:rsidRPr="008D1918">
        <w:rPr>
          <w:rFonts w:eastAsia="Arial" w:cs="Arial"/>
          <w:color w:val="000000" w:themeColor="accent6"/>
          <w:lang w:val="en-AU"/>
        </w:rPr>
        <w:t xml:space="preserve"> recently undertook a review of the remoteness classification system for aged care. Th</w:t>
      </w:r>
      <w:r w:rsidRPr="008D1918" w:rsidR="00CF7EA3">
        <w:rPr>
          <w:rFonts w:eastAsia="Arial" w:cs="Arial"/>
          <w:color w:val="000000" w:themeColor="accent6"/>
          <w:lang w:val="en-AU"/>
        </w:rPr>
        <w:t>at</w:t>
      </w:r>
      <w:r w:rsidRPr="008D1918">
        <w:rPr>
          <w:rFonts w:eastAsia="Arial" w:cs="Arial"/>
          <w:color w:val="000000" w:themeColor="accent6"/>
          <w:lang w:val="en-AU"/>
        </w:rPr>
        <w:t xml:space="preserve"> review </w:t>
      </w:r>
      <w:r w:rsidRPr="008D1918" w:rsidR="00CF7EA3">
        <w:rPr>
          <w:rFonts w:eastAsia="Arial" w:cs="Arial"/>
          <w:color w:val="000000" w:themeColor="accent6"/>
          <w:lang w:val="en-AU"/>
        </w:rPr>
        <w:t>examined</w:t>
      </w:r>
      <w:r w:rsidRPr="008D1918">
        <w:rPr>
          <w:rFonts w:eastAsia="Arial" w:cs="Arial"/>
          <w:color w:val="000000" w:themeColor="accent6"/>
          <w:lang w:val="en-AU"/>
        </w:rPr>
        <w:t xml:space="preserve"> the application of the </w:t>
      </w:r>
      <w:r w:rsidRPr="008D1918" w:rsidR="00E43DDB">
        <w:rPr>
          <w:rFonts w:eastAsia="Arial" w:cs="Arial"/>
          <w:color w:val="000000" w:themeColor="accent6"/>
          <w:lang w:val="en-AU"/>
        </w:rPr>
        <w:t>MMM</w:t>
      </w:r>
      <w:r w:rsidRPr="008D1918" w:rsidR="006824E0">
        <w:rPr>
          <w:rFonts w:eastAsia="Arial" w:cs="Arial"/>
          <w:color w:val="000000" w:themeColor="accent6"/>
          <w:lang w:val="en-AU"/>
        </w:rPr>
        <w:t xml:space="preserve"> </w:t>
      </w:r>
      <w:r w:rsidRPr="008D1918">
        <w:rPr>
          <w:rFonts w:eastAsia="Arial" w:cs="Arial"/>
          <w:color w:val="000000" w:themeColor="accent6"/>
          <w:lang w:val="en-AU"/>
        </w:rPr>
        <w:t xml:space="preserve">in aged care settings. Feedback received through both NDIA and DHDA consultations identified the need for greater pricing and policy </w:t>
      </w:r>
      <w:r w:rsidRPr="008D1918">
        <w:rPr>
          <w:rFonts w:eastAsia="Arial" w:cs="Arial"/>
          <w:color w:val="000000" w:themeColor="accent6"/>
          <w:lang w:val="en-AU"/>
        </w:rPr>
        <w:t>alignment across the care-economy, with concerns expressed about market distortion.</w:t>
      </w:r>
    </w:p>
    <w:p w:rsidRPr="008D1918" w:rsidR="02EFBE86" w:rsidP="008549D9" w:rsidRDefault="02EFBE86" w14:paraId="152225CB" w14:textId="2D53CC77">
      <w:pPr>
        <w:rPr>
          <w:rFonts w:eastAsia="Arial" w:cs="Arial"/>
          <w:color w:val="000000" w:themeColor="accent6"/>
          <w:lang w:val="en-AU"/>
        </w:rPr>
      </w:pPr>
      <w:r w:rsidRPr="008D1918">
        <w:rPr>
          <w:rFonts w:eastAsia="Arial" w:cs="Arial"/>
          <w:color w:val="000000" w:themeColor="accent6"/>
          <w:lang w:val="en-AU"/>
        </w:rPr>
        <w:t xml:space="preserve">Feedback suggested additional criteria could be added to the existing </w:t>
      </w:r>
      <w:r w:rsidRPr="008D1918" w:rsidR="001A0245">
        <w:rPr>
          <w:rFonts w:eastAsia="Arial"/>
          <w:lang w:val="en-AU"/>
        </w:rPr>
        <w:t>ITM</w:t>
      </w:r>
      <w:r w:rsidRPr="008D1918">
        <w:rPr>
          <w:rFonts w:eastAsia="Arial" w:cs="Arial"/>
          <w:color w:val="000000" w:themeColor="accent6"/>
          <w:lang w:val="en-AU"/>
        </w:rPr>
        <w:t xml:space="preserve"> Policy to reduce the ‘bluntness’ of the current approach and provide a more sensitive understanding of communities where thin markets are likely to exist. </w:t>
      </w:r>
    </w:p>
    <w:p w:rsidRPr="008D1918" w:rsidR="02EFBE86" w:rsidP="02EFBE86" w:rsidRDefault="02EFBE86" w14:paraId="0D279BF0" w14:textId="40EF8F00">
      <w:pPr>
        <w:pStyle w:val="Heading31"/>
        <w:ind w:left="1077" w:hanging="720"/>
        <w:rPr>
          <w:rFonts w:eastAsia="Arial" w:cs="Arial"/>
        </w:rPr>
      </w:pPr>
      <w:bookmarkStart w:name="_Toc223539784" w:id="2245"/>
      <w:bookmarkStart w:name="_Toc223539997" w:id="2246"/>
      <w:bookmarkStart w:name="_Toc223540465" w:id="2247"/>
      <w:bookmarkStart w:name="_Toc223540681" w:id="2248"/>
      <w:bookmarkStart w:name="_Toc223542221" w:id="2249"/>
      <w:bookmarkStart w:name="_Toc223604407" w:id="2250"/>
      <w:bookmarkStart w:name="_Toc223604618" w:id="2251"/>
      <w:bookmarkStart w:name="_Toc227337190" w:id="2252"/>
      <w:r w:rsidRPr="008D1918">
        <w:rPr>
          <w:rFonts w:eastAsia="Arial"/>
        </w:rPr>
        <w:t>Scheme statistics</w:t>
      </w:r>
      <w:bookmarkEnd w:id="2245"/>
      <w:bookmarkEnd w:id="2246"/>
      <w:bookmarkEnd w:id="2247"/>
      <w:bookmarkEnd w:id="2248"/>
      <w:bookmarkEnd w:id="2249"/>
      <w:bookmarkEnd w:id="2250"/>
      <w:bookmarkEnd w:id="2251"/>
      <w:bookmarkEnd w:id="2252"/>
    </w:p>
    <w:p w:rsidRPr="008D1918" w:rsidR="02EFBE86" w:rsidP="008549D9" w:rsidRDefault="02EFBE86" w14:paraId="5F00C927" w14:textId="590A7456">
      <w:pPr>
        <w:rPr>
          <w:rFonts w:eastAsia="Arial" w:cs="Arial"/>
          <w:color w:val="000000" w:themeColor="accent6"/>
          <w:lang w:val="en-AU"/>
        </w:rPr>
      </w:pPr>
      <w:r w:rsidRPr="008D1918">
        <w:rPr>
          <w:rFonts w:eastAsia="Arial" w:cs="Arial"/>
          <w:color w:val="000000" w:themeColor="accent6"/>
          <w:lang w:val="en-AU"/>
        </w:rPr>
        <w:t xml:space="preserve">This section analyses NDIA administrative data to assess market outcomes across MM </w:t>
      </w:r>
      <w:r w:rsidRPr="008D1918" w:rsidR="00E31127">
        <w:rPr>
          <w:rFonts w:eastAsia="Arial" w:cs="Arial"/>
          <w:color w:val="000000" w:themeColor="accent6"/>
          <w:lang w:val="en-AU"/>
        </w:rPr>
        <w:t xml:space="preserve">categories </w:t>
      </w:r>
      <w:r w:rsidRPr="008D1918">
        <w:rPr>
          <w:rFonts w:eastAsia="Arial" w:cs="Arial"/>
          <w:color w:val="000000" w:themeColor="accent6"/>
          <w:lang w:val="en-AU"/>
        </w:rPr>
        <w:t xml:space="preserve">and to evaluate the effectiveness of the current </w:t>
      </w:r>
      <w:r w:rsidRPr="008D1918" w:rsidR="001A0245">
        <w:rPr>
          <w:rFonts w:eastAsia="Arial"/>
          <w:lang w:val="en-AU"/>
        </w:rPr>
        <w:t>ITM</w:t>
      </w:r>
      <w:r w:rsidRPr="008D1918">
        <w:rPr>
          <w:rFonts w:eastAsia="Arial" w:cs="Arial"/>
          <w:color w:val="000000" w:themeColor="accent6"/>
          <w:lang w:val="en-AU"/>
        </w:rPr>
        <w:t>.</w:t>
      </w:r>
    </w:p>
    <w:p w:rsidRPr="008D1918" w:rsidR="00CF7EA3" w:rsidP="008549D9" w:rsidRDefault="00CF7EA3" w14:paraId="21EDD6E9" w14:textId="4E61A475">
      <w:pPr>
        <w:rPr>
          <w:rFonts w:eastAsia="Arial" w:cs="Arial"/>
          <w:color w:val="000000" w:themeColor="accent6"/>
          <w:lang w:val="en-AU"/>
        </w:rPr>
      </w:pPr>
      <w:r w:rsidRPr="008D1918">
        <w:rPr>
          <w:rFonts w:eastAsia="Arial" w:cs="Arial"/>
          <w:color w:val="000000" w:themeColor="accent6"/>
          <w:lang w:val="en-AU"/>
        </w:rPr>
        <w:t xml:space="preserve">The analysis is organised in </w:t>
      </w:r>
      <w:r w:rsidRPr="008D1918" w:rsidR="00FD4ECE">
        <w:rPr>
          <w:rFonts w:eastAsia="Arial" w:cs="Arial"/>
          <w:color w:val="000000" w:themeColor="accent6"/>
          <w:lang w:val="en-AU"/>
        </w:rPr>
        <w:t xml:space="preserve">2 </w:t>
      </w:r>
      <w:r w:rsidRPr="008D1918">
        <w:rPr>
          <w:rFonts w:eastAsia="Arial" w:cs="Arial"/>
          <w:color w:val="000000" w:themeColor="accent6"/>
          <w:lang w:val="en-AU"/>
        </w:rPr>
        <w:t xml:space="preserve">parts. The first examines market conditions across all MM </w:t>
      </w:r>
      <w:r w:rsidRPr="008D1918" w:rsidR="00B176D2">
        <w:rPr>
          <w:rFonts w:eastAsia="Arial" w:cs="Arial"/>
          <w:color w:val="000000" w:themeColor="accent6"/>
          <w:lang w:val="en-AU"/>
        </w:rPr>
        <w:t>categories</w:t>
      </w:r>
      <w:r w:rsidRPr="008D1918">
        <w:rPr>
          <w:rFonts w:eastAsia="Arial" w:cs="Arial"/>
          <w:color w:val="000000" w:themeColor="accent6"/>
          <w:lang w:val="en-AU"/>
        </w:rPr>
        <w:t xml:space="preserve"> to establish a national baseline. The second focusses specifically on existing ITM locations to assess whether current policy settings continue to reflect actual service delivery conditions. </w:t>
      </w:r>
    </w:p>
    <w:p w:rsidRPr="008D1918" w:rsidR="02EFBE86" w:rsidP="00041468" w:rsidRDefault="02EFBE86" w14:paraId="5620C5EE" w14:textId="483FDCF5">
      <w:pPr>
        <w:pStyle w:val="StyleStyle112pt"/>
        <w:rPr>
          <w:rFonts w:eastAsia="Arial" w:cs="Arial"/>
        </w:rPr>
      </w:pPr>
      <w:bookmarkStart w:name="_Toc223542222" w:id="2253"/>
      <w:bookmarkStart w:name="_Toc223604862" w:id="2254"/>
      <w:bookmarkStart w:name="_Toc227318823" w:id="2255"/>
      <w:bookmarkStart w:name="_Toc227337191" w:id="2256"/>
      <w:r w:rsidRPr="008D1918">
        <w:rPr>
          <w:rFonts w:eastAsia="Arial"/>
        </w:rPr>
        <w:t>Statistical areas for analysis</w:t>
      </w:r>
      <w:bookmarkEnd w:id="2253"/>
      <w:bookmarkEnd w:id="2254"/>
      <w:bookmarkEnd w:id="2255"/>
      <w:bookmarkEnd w:id="2256"/>
    </w:p>
    <w:p w:rsidRPr="008D1918" w:rsidR="02EFBE86" w:rsidP="008549D9" w:rsidRDefault="02EFBE86" w14:paraId="157E11F4" w14:textId="7557BC43">
      <w:pPr>
        <w:rPr>
          <w:rFonts w:eastAsia="Arial" w:cs="Arial"/>
          <w:color w:val="000000" w:themeColor="accent6"/>
          <w:lang w:val="en-AU"/>
        </w:rPr>
      </w:pPr>
      <w:r w:rsidRPr="008D1918">
        <w:rPr>
          <w:rFonts w:eastAsia="Arial" w:cs="Arial"/>
          <w:color w:val="000000" w:themeColor="accent6"/>
          <w:lang w:val="en-AU"/>
        </w:rPr>
        <w:t xml:space="preserve">The Australian Bureau of Statistics (ABS) classifies Australia into a hierarchy of statistical areas for the publication and analysis of statistics and data, as defined by the Australian Statistical Geography Standard. </w:t>
      </w:r>
    </w:p>
    <w:p w:rsidRPr="008D1918" w:rsidR="02EFBE86" w:rsidP="008549D9" w:rsidRDefault="02EFBE86" w14:paraId="5C89752D" w14:textId="0788BCD2">
      <w:pPr>
        <w:rPr>
          <w:rFonts w:eastAsia="Arial" w:cs="Arial"/>
          <w:color w:val="000000" w:themeColor="accent6"/>
          <w:lang w:val="en-AU"/>
        </w:rPr>
      </w:pPr>
      <w:r w:rsidRPr="008D1918">
        <w:rPr>
          <w:rFonts w:eastAsia="Arial" w:cs="Arial"/>
          <w:color w:val="000000" w:themeColor="accent6"/>
          <w:lang w:val="en-AU"/>
        </w:rPr>
        <w:t xml:space="preserve">The MMM is a health-focused classification system that uses ABS Statistical Area Level 1 as its primary building block. Because </w:t>
      </w:r>
      <w:r w:rsidRPr="008D1918" w:rsidR="00322981">
        <w:rPr>
          <w:rFonts w:eastAsia="Arial" w:cs="Arial"/>
          <w:color w:val="000000" w:themeColor="accent6"/>
          <w:lang w:val="en-AU"/>
        </w:rPr>
        <w:t>Statistical Areas Level 1</w:t>
      </w:r>
      <w:r w:rsidRPr="008D1918">
        <w:rPr>
          <w:rFonts w:eastAsia="Arial" w:cs="Arial"/>
          <w:color w:val="000000" w:themeColor="accent6"/>
          <w:lang w:val="en-AU"/>
        </w:rPr>
        <w:t xml:space="preserve"> are too small for most data analysis, Statistical Areas Level 2 (SA2s) is the standard level for viewing and reporting this data. SA2s are medium-sized, </w:t>
      </w:r>
      <w:r w:rsidRPr="008D1918" w:rsidR="00F7083C">
        <w:rPr>
          <w:rFonts w:eastAsia="Arial" w:cs="Arial"/>
          <w:color w:val="000000" w:themeColor="accent6"/>
          <w:lang w:val="en-AU"/>
        </w:rPr>
        <w:t>general-purpose</w:t>
      </w:r>
      <w:r w:rsidRPr="008D1918">
        <w:rPr>
          <w:rFonts w:eastAsia="Arial" w:cs="Arial"/>
          <w:color w:val="000000" w:themeColor="accent6"/>
          <w:lang w:val="en-AU"/>
        </w:rPr>
        <w:t xml:space="preserve"> areas built to represent communities that interact together socially and economically. Most SA2s have a population range of 3,000 to 25,000 people.</w:t>
      </w:r>
    </w:p>
    <w:p w:rsidRPr="008D1918" w:rsidR="50B7486F" w:rsidP="008549D9" w:rsidRDefault="02EFBE86" w14:paraId="5423278E" w14:textId="07F556D6">
      <w:pPr>
        <w:rPr>
          <w:rFonts w:eastAsia="Arial" w:cs="Arial"/>
          <w:color w:val="000000" w:themeColor="accent6"/>
          <w:lang w:val="en-AU"/>
        </w:rPr>
      </w:pPr>
      <w:r w:rsidRPr="008D1918">
        <w:rPr>
          <w:rFonts w:eastAsia="Arial" w:cs="Arial"/>
          <w:color w:val="000000" w:themeColor="accent6"/>
          <w:lang w:val="en-AU"/>
        </w:rPr>
        <w:t>Local Government Areas</w:t>
      </w:r>
      <w:r w:rsidRPr="008D1918" w:rsidR="00525D2C">
        <w:rPr>
          <w:rFonts w:eastAsia="Arial" w:cs="Arial"/>
          <w:color w:val="000000" w:themeColor="accent6"/>
          <w:lang w:val="en-AU"/>
        </w:rPr>
        <w:t>’</w:t>
      </w:r>
      <w:r w:rsidRPr="008D1918">
        <w:rPr>
          <w:rFonts w:eastAsia="Arial" w:cs="Arial"/>
          <w:color w:val="000000" w:themeColor="accent6"/>
          <w:lang w:val="en-AU"/>
        </w:rPr>
        <w:t xml:space="preserve"> populations vary more widely than SA2 with boundaries set by </w:t>
      </w:r>
      <w:r w:rsidRPr="008D1918" w:rsidR="00FA4FE8">
        <w:rPr>
          <w:rFonts w:eastAsia="Arial" w:cs="Arial"/>
          <w:color w:val="000000" w:themeColor="accent6"/>
          <w:lang w:val="en-AU"/>
        </w:rPr>
        <w:t>s</w:t>
      </w:r>
      <w:r w:rsidRPr="008D1918">
        <w:rPr>
          <w:rFonts w:eastAsia="Arial" w:cs="Arial"/>
          <w:color w:val="000000" w:themeColor="accent6"/>
          <w:lang w:val="en-AU"/>
        </w:rPr>
        <w:t xml:space="preserve">tate and </w:t>
      </w:r>
      <w:r w:rsidRPr="008D1918" w:rsidR="00FA4FE8">
        <w:rPr>
          <w:rFonts w:eastAsia="Arial" w:cs="Arial"/>
          <w:color w:val="000000" w:themeColor="accent6"/>
          <w:lang w:val="en-AU"/>
        </w:rPr>
        <w:t>t</w:t>
      </w:r>
      <w:r w:rsidRPr="008D1918">
        <w:rPr>
          <w:rFonts w:eastAsia="Arial" w:cs="Arial"/>
          <w:color w:val="000000" w:themeColor="accent6"/>
          <w:lang w:val="en-AU"/>
        </w:rPr>
        <w:t xml:space="preserve">erritory </w:t>
      </w:r>
      <w:r w:rsidRPr="008D1918" w:rsidR="00FA4FE8">
        <w:rPr>
          <w:rFonts w:eastAsia="Arial" w:cs="Arial"/>
          <w:color w:val="000000" w:themeColor="accent6"/>
          <w:lang w:val="en-AU"/>
        </w:rPr>
        <w:t>g</w:t>
      </w:r>
      <w:r w:rsidRPr="008D1918">
        <w:rPr>
          <w:rFonts w:eastAsia="Arial" w:cs="Arial"/>
          <w:color w:val="000000" w:themeColor="accent6"/>
          <w:lang w:val="en-AU"/>
        </w:rPr>
        <w:t>overnments. Populations can vary from under 100 people to more than 1.2 million people.</w:t>
      </w:r>
    </w:p>
    <w:p w:rsidRPr="008D1918" w:rsidR="02EFBE86" w:rsidP="008549D9" w:rsidRDefault="02EFBE86" w14:paraId="37110DF5" w14:textId="69854204">
      <w:pPr>
        <w:rPr>
          <w:rFonts w:eastAsia="Arial" w:cs="Arial"/>
          <w:color w:val="000000" w:themeColor="accent6"/>
          <w:lang w:val="en-AU"/>
        </w:rPr>
      </w:pPr>
      <w:r w:rsidRPr="008D1918">
        <w:rPr>
          <w:rFonts w:eastAsia="Arial" w:cs="Arial"/>
          <w:color w:val="000000" w:themeColor="accent6"/>
          <w:lang w:val="en-AU"/>
        </w:rPr>
        <w:t xml:space="preserve">Suburbs and Localities (SALs) are statistical approximations of the official gazetted suburbs. The ABS designs SA2s to align as closely as possible to SALs. For this review, analysis has been undertaken at either the </w:t>
      </w:r>
      <w:r w:rsidRPr="008D1918" w:rsidR="00322981">
        <w:rPr>
          <w:rFonts w:eastAsia="Arial" w:cs="Arial"/>
          <w:color w:val="000000" w:themeColor="accent6"/>
          <w:lang w:val="en-AU"/>
        </w:rPr>
        <w:t>MMM classification</w:t>
      </w:r>
      <w:r w:rsidRPr="008D1918">
        <w:rPr>
          <w:rFonts w:eastAsia="Arial" w:cs="Arial"/>
          <w:color w:val="000000" w:themeColor="accent6"/>
          <w:lang w:val="en-AU"/>
        </w:rPr>
        <w:t xml:space="preserve"> or SA2 level. Specific to the NDIS context, using the SA2 allows for greater participant numbers of an area</w:t>
      </w:r>
      <w:r w:rsidRPr="008D1918" w:rsidR="00322981">
        <w:rPr>
          <w:rFonts w:eastAsia="Arial" w:cs="Arial"/>
          <w:color w:val="000000" w:themeColor="accent6"/>
          <w:lang w:val="en-AU"/>
        </w:rPr>
        <w:t>,</w:t>
      </w:r>
      <w:r w:rsidRPr="008D1918">
        <w:rPr>
          <w:rFonts w:eastAsia="Arial" w:cs="Arial"/>
          <w:color w:val="000000" w:themeColor="accent6"/>
          <w:lang w:val="en-AU"/>
        </w:rPr>
        <w:t xml:space="preserve"> contributing to more reliable utilisation data. Similarly, other indexes are more reliably calculated at SA2 levels rather than smaller SAL level. </w:t>
      </w:r>
    </w:p>
    <w:p w:rsidRPr="008D1918" w:rsidR="02EFBE86" w:rsidP="00041468" w:rsidRDefault="02EFBE86" w14:paraId="204651E9" w14:textId="6908752A">
      <w:pPr>
        <w:pStyle w:val="StyleStyle112pt"/>
        <w:rPr>
          <w:rFonts w:eastAsia="Arial" w:cs="Arial"/>
        </w:rPr>
      </w:pPr>
      <w:bookmarkStart w:name="_Toc223542223" w:id="2257"/>
      <w:bookmarkStart w:name="_Toc223604863" w:id="2258"/>
      <w:bookmarkStart w:name="_Toc227318824" w:id="2259"/>
      <w:bookmarkStart w:name="_Toc227337192" w:id="2260"/>
      <w:r w:rsidRPr="008D1918">
        <w:rPr>
          <w:rFonts w:eastAsia="Arial"/>
        </w:rPr>
        <w:t xml:space="preserve">NDIA data analysed across </w:t>
      </w:r>
      <w:bookmarkEnd w:id="2257"/>
      <w:bookmarkEnd w:id="2258"/>
      <w:r w:rsidRPr="008D1918" w:rsidR="00A906E0">
        <w:rPr>
          <w:rFonts w:eastAsia="Arial"/>
        </w:rPr>
        <w:t>MMM</w:t>
      </w:r>
      <w:bookmarkEnd w:id="2259"/>
      <w:bookmarkEnd w:id="2260"/>
    </w:p>
    <w:p w:rsidRPr="008D1918" w:rsidR="02EFBE86" w:rsidP="008549D9" w:rsidRDefault="02EFBE86" w14:paraId="072816BB" w14:textId="490016F1">
      <w:pPr>
        <w:rPr>
          <w:rFonts w:eastAsia="Arial" w:cs="Arial"/>
          <w:color w:val="000000" w:themeColor="accent6"/>
          <w:lang w:val="en-AU"/>
        </w:rPr>
      </w:pPr>
      <w:r w:rsidRPr="008D1918">
        <w:rPr>
          <w:rFonts w:eastAsia="Arial" w:cs="Arial"/>
          <w:color w:val="000000" w:themeColor="accent6"/>
          <w:lang w:val="en-AU"/>
        </w:rPr>
        <w:t xml:space="preserve">To understand the landscape of the market across different areas of remoteness, </w:t>
      </w:r>
      <w:r w:rsidRPr="008D1918" w:rsidR="000E196A">
        <w:rPr>
          <w:rFonts w:eastAsia="Arial" w:cs="Arial"/>
          <w:color w:val="000000" w:themeColor="accent6"/>
          <w:lang w:val="en-AU"/>
        </w:rPr>
        <w:t xml:space="preserve">the </w:t>
      </w:r>
      <w:r w:rsidRPr="008D1918">
        <w:rPr>
          <w:rFonts w:eastAsia="Arial" w:cs="Arial"/>
          <w:color w:val="000000" w:themeColor="accent6"/>
          <w:lang w:val="en-AU"/>
        </w:rPr>
        <w:t xml:space="preserve">NDIA examined data over </w:t>
      </w:r>
      <w:r w:rsidRPr="008D1918" w:rsidR="00186248">
        <w:rPr>
          <w:rFonts w:eastAsia="Arial" w:cs="Arial"/>
          <w:color w:val="000000" w:themeColor="accent6"/>
          <w:lang w:val="en-AU"/>
        </w:rPr>
        <w:t xml:space="preserve">3 </w:t>
      </w:r>
      <w:r w:rsidRPr="008D1918">
        <w:rPr>
          <w:rFonts w:eastAsia="Arial" w:cs="Arial"/>
          <w:color w:val="000000" w:themeColor="accent6"/>
          <w:lang w:val="en-AU"/>
        </w:rPr>
        <w:t>financial years, from 1 July 2022 to 30</w:t>
      </w:r>
      <w:r w:rsidRPr="008D1918" w:rsidR="00835613">
        <w:rPr>
          <w:rFonts w:eastAsia="Arial" w:cs="Arial"/>
          <w:color w:val="000000" w:themeColor="accent6"/>
          <w:lang w:val="en-AU"/>
        </w:rPr>
        <w:t> </w:t>
      </w:r>
      <w:r w:rsidRPr="008D1918">
        <w:rPr>
          <w:rFonts w:eastAsia="Arial" w:cs="Arial"/>
          <w:color w:val="000000" w:themeColor="accent6"/>
          <w:lang w:val="en-AU"/>
        </w:rPr>
        <w:t xml:space="preserve">June 2025. </w:t>
      </w:r>
    </w:p>
    <w:p w:rsidRPr="008D1918" w:rsidR="02EFBE86" w:rsidP="008549D9" w:rsidRDefault="02EFBE86" w14:paraId="1E1EF0C7" w14:textId="1CE99CBC">
      <w:pPr>
        <w:rPr>
          <w:rFonts w:eastAsia="Arial" w:cs="Arial"/>
          <w:color w:val="000000" w:themeColor="accent6"/>
          <w:lang w:val="en-AU"/>
        </w:rPr>
      </w:pPr>
      <w:r w:rsidRPr="008D1918">
        <w:rPr>
          <w:rFonts w:eastAsia="Arial" w:cs="Arial"/>
          <w:color w:val="000000" w:themeColor="accent6"/>
          <w:lang w:val="en-AU"/>
        </w:rPr>
        <w:t xml:space="preserve">The majority of active participants (78%) live in </w:t>
      </w:r>
      <w:r w:rsidRPr="008D1918" w:rsidR="004C5D95">
        <w:rPr>
          <w:rFonts w:eastAsia="Arial" w:cs="Arial"/>
          <w:color w:val="000000" w:themeColor="accent6"/>
          <w:lang w:val="en-AU"/>
        </w:rPr>
        <w:t xml:space="preserve">New South Wales </w:t>
      </w:r>
      <w:r w:rsidRPr="008D1918">
        <w:rPr>
          <w:rFonts w:eastAsia="Arial" w:cs="Arial"/>
          <w:color w:val="000000" w:themeColor="accent6"/>
          <w:lang w:val="en-AU"/>
        </w:rPr>
        <w:t xml:space="preserve">(29%), </w:t>
      </w:r>
      <w:r w:rsidRPr="008D1918" w:rsidR="004C5D95">
        <w:rPr>
          <w:rFonts w:eastAsia="Arial" w:cs="Arial"/>
          <w:color w:val="000000" w:themeColor="accent6"/>
          <w:lang w:val="en-AU"/>
        </w:rPr>
        <w:t xml:space="preserve">Queensland </w:t>
      </w:r>
      <w:r w:rsidRPr="008D1918">
        <w:rPr>
          <w:rFonts w:eastAsia="Arial" w:cs="Arial"/>
          <w:color w:val="000000" w:themeColor="accent6"/>
          <w:lang w:val="en-AU"/>
        </w:rPr>
        <w:t>(22%) and Vic</w:t>
      </w:r>
      <w:r w:rsidRPr="008D1918" w:rsidR="004C5D95">
        <w:rPr>
          <w:rFonts w:eastAsia="Arial" w:cs="Arial"/>
          <w:color w:val="000000" w:themeColor="accent6"/>
          <w:lang w:val="en-AU"/>
        </w:rPr>
        <w:t>toria</w:t>
      </w:r>
      <w:r w:rsidRPr="008D1918">
        <w:rPr>
          <w:rFonts w:eastAsia="Arial" w:cs="Arial"/>
          <w:color w:val="000000" w:themeColor="accent6"/>
          <w:lang w:val="en-AU"/>
        </w:rPr>
        <w:t xml:space="preserve"> (27%), followed by 9% each in S</w:t>
      </w:r>
      <w:r w:rsidRPr="008D1918" w:rsidR="004C5D95">
        <w:rPr>
          <w:rFonts w:eastAsia="Arial" w:cs="Arial"/>
          <w:color w:val="000000" w:themeColor="accent6"/>
          <w:lang w:val="en-AU"/>
        </w:rPr>
        <w:t xml:space="preserve">outh </w:t>
      </w:r>
      <w:r w:rsidRPr="008D1918">
        <w:rPr>
          <w:rFonts w:eastAsia="Arial" w:cs="Arial"/>
          <w:color w:val="000000" w:themeColor="accent6"/>
          <w:lang w:val="en-AU"/>
        </w:rPr>
        <w:t>A</w:t>
      </w:r>
      <w:r w:rsidRPr="008D1918" w:rsidR="004C5D95">
        <w:rPr>
          <w:rFonts w:eastAsia="Arial" w:cs="Arial"/>
          <w:color w:val="000000" w:themeColor="accent6"/>
          <w:lang w:val="en-AU"/>
        </w:rPr>
        <w:t>ustralia</w:t>
      </w:r>
      <w:r w:rsidRPr="008D1918">
        <w:rPr>
          <w:rFonts w:eastAsia="Arial" w:cs="Arial"/>
          <w:color w:val="000000" w:themeColor="accent6"/>
          <w:lang w:val="en-AU"/>
        </w:rPr>
        <w:t xml:space="preserve"> and W</w:t>
      </w:r>
      <w:r w:rsidRPr="008D1918" w:rsidR="004C5D95">
        <w:rPr>
          <w:rFonts w:eastAsia="Arial" w:cs="Arial"/>
          <w:color w:val="000000" w:themeColor="accent6"/>
          <w:lang w:val="en-AU"/>
        </w:rPr>
        <w:t xml:space="preserve">estern </w:t>
      </w:r>
      <w:r w:rsidRPr="008D1918">
        <w:rPr>
          <w:rFonts w:eastAsia="Arial" w:cs="Arial"/>
          <w:color w:val="000000" w:themeColor="accent6"/>
          <w:lang w:val="en-AU"/>
        </w:rPr>
        <w:t>A</w:t>
      </w:r>
      <w:r w:rsidRPr="008D1918" w:rsidR="004C5D95">
        <w:rPr>
          <w:rFonts w:eastAsia="Arial" w:cs="Arial"/>
          <w:color w:val="000000" w:themeColor="accent6"/>
          <w:lang w:val="en-AU"/>
        </w:rPr>
        <w:t>ustralia</w:t>
      </w:r>
      <w:r w:rsidRPr="008D1918">
        <w:rPr>
          <w:rFonts w:eastAsia="Arial" w:cs="Arial"/>
          <w:color w:val="000000" w:themeColor="accent6"/>
          <w:lang w:val="en-AU"/>
        </w:rPr>
        <w:t xml:space="preserve">, as shown in </w:t>
      </w:r>
      <w:r w:rsidRPr="008D1918" w:rsidR="005E313B">
        <w:rPr>
          <w:rFonts w:eastAsia="Arial" w:cs="Arial"/>
          <w:color w:val="000000" w:themeColor="accent6"/>
          <w:lang w:val="en-AU"/>
        </w:rPr>
        <w:fldChar w:fldCharType="begin"/>
      </w:r>
      <w:r w:rsidRPr="008D1918" w:rsidR="005E313B">
        <w:rPr>
          <w:rFonts w:eastAsia="Arial" w:cs="Arial"/>
          <w:color w:val="000000" w:themeColor="accent6"/>
          <w:lang w:val="en-AU"/>
        </w:rPr>
        <w:instrText xml:space="preserve"> REF _Ref223683684 \h </w:instrText>
      </w:r>
      <w:r w:rsidRPr="008D1918" w:rsidR="00486803">
        <w:rPr>
          <w:rFonts w:eastAsia="Arial" w:cs="Arial"/>
          <w:color w:val="000000" w:themeColor="accent6"/>
          <w:lang w:val="en-AU"/>
        </w:rPr>
        <w:instrText xml:space="preserve"> \* MERGEFORMAT </w:instrText>
      </w:r>
      <w:r w:rsidRPr="008D1918" w:rsidR="005E313B">
        <w:rPr>
          <w:rFonts w:eastAsia="Arial" w:cs="Arial"/>
          <w:color w:val="000000" w:themeColor="accent6"/>
          <w:lang w:val="en-AU"/>
        </w:rPr>
      </w:r>
      <w:r w:rsidRPr="008D1918" w:rsidR="005E313B">
        <w:rPr>
          <w:rFonts w:eastAsia="Arial" w:cs="Arial"/>
          <w:color w:val="000000" w:themeColor="accent6"/>
          <w:lang w:val="en-AU"/>
        </w:rPr>
        <w:fldChar w:fldCharType="separate"/>
      </w:r>
      <w:r w:rsidRPr="008F56A2" w:rsidR="008F56A2">
        <w:rPr>
          <w:lang w:val="en-AU"/>
        </w:rPr>
        <w:t>Figure</w:t>
      </w:r>
      <w:r w:rsidRPr="008D1918" w:rsidR="008F56A2">
        <w:t xml:space="preserve"> </w:t>
      </w:r>
      <w:r w:rsidR="008F56A2">
        <w:rPr>
          <w:noProof/>
        </w:rPr>
        <w:t>56</w:t>
      </w:r>
      <w:r w:rsidRPr="008D1918" w:rsidR="005E313B">
        <w:rPr>
          <w:rFonts w:eastAsia="Arial" w:cs="Arial"/>
          <w:color w:val="000000" w:themeColor="accent6"/>
          <w:lang w:val="en-AU"/>
        </w:rPr>
        <w:fldChar w:fldCharType="end"/>
      </w:r>
      <w:r w:rsidRPr="008D1918">
        <w:rPr>
          <w:rFonts w:eastAsia="Arial" w:cs="Arial"/>
          <w:color w:val="000000" w:themeColor="accent6"/>
          <w:lang w:val="en-AU"/>
        </w:rPr>
        <w:t xml:space="preserve">. </w:t>
      </w:r>
      <w:r w:rsidRPr="008D1918" w:rsidR="00486803">
        <w:rPr>
          <w:rFonts w:eastAsia="Arial" w:cs="Arial"/>
          <w:color w:val="000000" w:themeColor="accent6"/>
          <w:lang w:val="en-AU"/>
        </w:rPr>
        <w:fldChar w:fldCharType="begin"/>
      </w:r>
      <w:r w:rsidRPr="008D1918" w:rsidR="00486803">
        <w:rPr>
          <w:rFonts w:eastAsia="Arial" w:cs="Arial"/>
          <w:color w:val="000000" w:themeColor="accent6"/>
          <w:lang w:val="en-AU"/>
        </w:rPr>
        <w:instrText xml:space="preserve"> REF _Ref223683732 \h  \* MERGEFORMAT </w:instrText>
      </w:r>
      <w:r w:rsidRPr="008D1918" w:rsidR="00486803">
        <w:rPr>
          <w:rFonts w:eastAsia="Arial" w:cs="Arial"/>
          <w:color w:val="000000" w:themeColor="accent6"/>
          <w:lang w:val="en-AU"/>
        </w:rPr>
      </w:r>
      <w:r w:rsidRPr="008D1918" w:rsidR="00486803">
        <w:rPr>
          <w:rFonts w:eastAsia="Arial" w:cs="Arial"/>
          <w:color w:val="000000" w:themeColor="accent6"/>
          <w:lang w:val="en-AU"/>
        </w:rPr>
        <w:fldChar w:fldCharType="separate"/>
      </w:r>
      <w:r w:rsidRPr="008F56A2" w:rsidR="008F56A2">
        <w:rPr>
          <w:lang w:val="en-AU"/>
        </w:rPr>
        <w:t>Figure</w:t>
      </w:r>
      <w:r w:rsidRPr="008D1918" w:rsidR="008F56A2">
        <w:t xml:space="preserve"> </w:t>
      </w:r>
      <w:r w:rsidR="008F56A2">
        <w:rPr>
          <w:noProof/>
        </w:rPr>
        <w:t>57</w:t>
      </w:r>
      <w:r w:rsidRPr="008D1918" w:rsidR="00486803">
        <w:rPr>
          <w:rFonts w:eastAsia="Arial" w:cs="Arial"/>
          <w:color w:val="000000" w:themeColor="accent6"/>
          <w:lang w:val="en-AU"/>
        </w:rPr>
        <w:fldChar w:fldCharType="end"/>
      </w:r>
      <w:r w:rsidRPr="008D1918">
        <w:rPr>
          <w:rFonts w:eastAsia="Arial" w:cs="Arial"/>
          <w:color w:val="000000" w:themeColor="accent6"/>
          <w:lang w:val="en-AU"/>
        </w:rPr>
        <w:t xml:space="preserve"> shows that overall, 69% of participants live in M</w:t>
      </w:r>
      <w:r w:rsidRPr="008D1918" w:rsidR="00E43DDB">
        <w:rPr>
          <w:rFonts w:eastAsia="Arial" w:cs="Arial"/>
          <w:color w:val="000000" w:themeColor="accent6"/>
          <w:lang w:val="en-AU"/>
        </w:rPr>
        <w:t>M</w:t>
      </w:r>
      <w:r w:rsidRPr="008D1918">
        <w:rPr>
          <w:rFonts w:eastAsia="Arial" w:cs="Arial"/>
          <w:color w:val="000000" w:themeColor="accent6"/>
          <w:lang w:val="en-AU"/>
        </w:rPr>
        <w:t xml:space="preserve"> 1, with 11% living in regional areas (M</w:t>
      </w:r>
      <w:r w:rsidRPr="008D1918" w:rsidR="00E43DDB">
        <w:rPr>
          <w:rFonts w:eastAsia="Arial" w:cs="Arial"/>
          <w:color w:val="000000" w:themeColor="accent6"/>
          <w:lang w:val="en-AU"/>
        </w:rPr>
        <w:t>M</w:t>
      </w:r>
      <w:r w:rsidRPr="008D1918">
        <w:rPr>
          <w:rFonts w:eastAsia="Arial" w:cs="Arial"/>
          <w:color w:val="000000" w:themeColor="accent6"/>
          <w:lang w:val="en-AU"/>
        </w:rPr>
        <w:t xml:space="preserve"> 4</w:t>
      </w:r>
      <w:r w:rsidRPr="008D1918" w:rsidR="00012D9E">
        <w:rPr>
          <w:rFonts w:eastAsia="Arial" w:cs="Arial"/>
          <w:color w:val="000000" w:themeColor="accent6"/>
          <w:lang w:val="en-AU"/>
        </w:rPr>
        <w:t>–</w:t>
      </w:r>
      <w:r w:rsidRPr="008D1918">
        <w:rPr>
          <w:rFonts w:eastAsia="Arial" w:cs="Arial"/>
          <w:color w:val="000000" w:themeColor="accent6"/>
          <w:lang w:val="en-AU"/>
        </w:rPr>
        <w:t>5) and under 2% in remote and very remote areas (M</w:t>
      </w:r>
      <w:r w:rsidRPr="008D1918" w:rsidR="00E43DDB">
        <w:rPr>
          <w:rFonts w:eastAsia="Arial" w:cs="Arial"/>
          <w:color w:val="000000" w:themeColor="accent6"/>
          <w:lang w:val="en-AU"/>
        </w:rPr>
        <w:t>M</w:t>
      </w:r>
      <w:r w:rsidRPr="008D1918">
        <w:rPr>
          <w:rFonts w:eastAsia="Arial" w:cs="Arial"/>
          <w:color w:val="000000" w:themeColor="accent6"/>
          <w:lang w:val="en-AU"/>
        </w:rPr>
        <w:t xml:space="preserve"> 6</w:t>
      </w:r>
      <w:r w:rsidRPr="008D1918" w:rsidR="00012D9E">
        <w:rPr>
          <w:rFonts w:eastAsia="Arial" w:cs="Arial"/>
          <w:color w:val="000000" w:themeColor="accent6"/>
          <w:lang w:val="en-AU"/>
        </w:rPr>
        <w:t>–</w:t>
      </w:r>
      <w:r w:rsidRPr="008D1918">
        <w:rPr>
          <w:rFonts w:eastAsia="Arial" w:cs="Arial"/>
          <w:color w:val="000000" w:themeColor="accent6"/>
          <w:lang w:val="en-AU"/>
        </w:rPr>
        <w:t>7).</w:t>
      </w:r>
    </w:p>
    <w:p w:rsidRPr="008D1918" w:rsidR="1B9EBD19" w:rsidP="005E313B" w:rsidRDefault="005E313B" w14:paraId="09A4CC22" w14:textId="57493B02">
      <w:pPr>
        <w:pStyle w:val="Caption"/>
        <w:rPr>
          <w:rFonts w:eastAsia="Arial" w:cs="Arial"/>
          <w:color w:val="6B2876" w:themeColor="accent5"/>
        </w:rPr>
      </w:pPr>
      <w:bookmarkStart w:name="_Ref223683684" w:id="2261"/>
      <w:r w:rsidRPr="008D1918">
        <w:t xml:space="preserve">Figure </w:t>
      </w:r>
      <w:r>
        <w:fldChar w:fldCharType="begin"/>
      </w:r>
      <w:r>
        <w:instrText>SEQ Figure \* ARABIC</w:instrText>
      </w:r>
      <w:r>
        <w:fldChar w:fldCharType="separate"/>
      </w:r>
      <w:r w:rsidR="008F56A2">
        <w:rPr>
          <w:noProof/>
        </w:rPr>
        <w:t>56</w:t>
      </w:r>
      <w:r>
        <w:fldChar w:fldCharType="end"/>
      </w:r>
      <w:bookmarkEnd w:id="2261"/>
      <w:r w:rsidRPr="008D1918" w:rsidR="1B9EBD19">
        <w:rPr>
          <w:rFonts w:eastAsia="Arial" w:cs="Arial"/>
          <w:color w:val="6B2876" w:themeColor="accent5"/>
        </w:rPr>
        <w:t xml:space="preserve">: Percentage of </w:t>
      </w:r>
      <w:r w:rsidRPr="008D1918" w:rsidR="6DF57EFA">
        <w:rPr>
          <w:rFonts w:eastAsia="Arial" w:cs="Arial"/>
          <w:color w:val="6B2876" w:themeColor="accent5"/>
        </w:rPr>
        <w:t xml:space="preserve">active </w:t>
      </w:r>
      <w:r w:rsidRPr="008D1918" w:rsidR="1B9EBD19">
        <w:rPr>
          <w:rFonts w:eastAsia="Arial" w:cs="Arial"/>
          <w:color w:val="6B2876" w:themeColor="accent5"/>
        </w:rPr>
        <w:t xml:space="preserve">participants by </w:t>
      </w:r>
      <w:r w:rsidRPr="008D1918" w:rsidR="00031B41">
        <w:rPr>
          <w:rFonts w:eastAsia="Arial" w:cs="Arial"/>
          <w:color w:val="6B2876" w:themeColor="accent5"/>
        </w:rPr>
        <w:t>s</w:t>
      </w:r>
      <w:r w:rsidRPr="008D1918" w:rsidR="1B9EBD19">
        <w:rPr>
          <w:rFonts w:eastAsia="Arial" w:cs="Arial"/>
          <w:color w:val="6B2876" w:themeColor="accent5"/>
        </w:rPr>
        <w:t>tate</w:t>
      </w:r>
      <w:r w:rsidRPr="008D1918" w:rsidR="004E0CB9">
        <w:rPr>
          <w:rFonts w:eastAsia="Arial" w:cs="Arial"/>
          <w:color w:val="6B2876" w:themeColor="accent5"/>
        </w:rPr>
        <w:t xml:space="preserve"> and </w:t>
      </w:r>
      <w:r w:rsidRPr="008D1918" w:rsidR="00031B41">
        <w:rPr>
          <w:rFonts w:eastAsia="Arial" w:cs="Arial"/>
          <w:color w:val="6B2876" w:themeColor="accent5"/>
        </w:rPr>
        <w:t>t</w:t>
      </w:r>
      <w:r w:rsidRPr="008D1918" w:rsidR="1B9EBD19">
        <w:rPr>
          <w:rFonts w:eastAsia="Arial" w:cs="Arial"/>
          <w:color w:val="6B2876" w:themeColor="accent5"/>
        </w:rPr>
        <w:t>erritory</w:t>
      </w:r>
      <w:r w:rsidRPr="008D1918" w:rsidR="0C6B430A">
        <w:rPr>
          <w:rFonts w:eastAsia="Arial" w:cs="Arial"/>
          <w:color w:val="6B2876" w:themeColor="accent5"/>
        </w:rPr>
        <w:t>,</w:t>
      </w:r>
      <w:r w:rsidRPr="008D1918" w:rsidR="0091349B">
        <w:rPr>
          <w:rFonts w:eastAsia="Arial" w:cs="Arial"/>
          <w:color w:val="6B2876" w:themeColor="accent5"/>
        </w:rPr>
        <w:t xml:space="preserve"> </w:t>
      </w:r>
      <w:r w:rsidRPr="008D1918" w:rsidR="54DEC6D1">
        <w:rPr>
          <w:rFonts w:eastAsia="Arial" w:cs="Arial"/>
          <w:color w:val="6B2876" w:themeColor="accent5"/>
        </w:rPr>
        <w:t>1 July 2024 to 30 June 2025</w:t>
      </w:r>
    </w:p>
    <w:p w:rsidRPr="008D1918" w:rsidR="004B769A" w:rsidP="001D163B" w:rsidRDefault="002F30CB" w14:paraId="33077389" w14:textId="7ADD3A6F">
      <w:pPr>
        <w:spacing w:before="360" w:after="360"/>
        <w:rPr>
          <w:rFonts w:eastAsia="Arial" w:cs="Arial"/>
          <w:color w:val="6B2876" w:themeColor="accent5"/>
          <w:lang w:val="en-AU"/>
        </w:rPr>
      </w:pPr>
      <w:r w:rsidRPr="008D1918">
        <w:rPr>
          <w:lang w:val="en-AU"/>
        </w:rPr>
        <w:t xml:space="preserve"> </w:t>
      </w:r>
      <w:r w:rsidRPr="008D1918">
        <w:rPr>
          <w:noProof/>
          <w:lang w:val="en-AU"/>
        </w:rPr>
        <w:drawing>
          <wp:inline distT="0" distB="0" distL="0" distR="0" wp14:anchorId="590E8E48" wp14:editId="1563B4DB">
            <wp:extent cx="5512435" cy="3070860"/>
            <wp:effectExtent l="0" t="0" r="0" b="0"/>
            <wp:docPr id="2116556339" name="Picture 1" descr="Figure 56: A bar graph shows the percentage of active participants by state or territory from 1 July 2024 to 30 June 2025. It shows 1% in the Northern Territory, 2% in the ACT, 2% in Tasmania, 9% in Western Australia, 9% in South Australia, 22% in Queensland, 27% in Victoria, 29% in New South Wales. Source: NDIA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556339" name="Picture 1" descr="Figure 56: A bar graph shows the percentage of active participants by state or territory from 1 July 2024 to 30 June 2025. It shows 1% in the Northern Territory, 2% in the ACT, 2% in Tasmania, 9% in Western Australia, 9% in South Australia, 22% in Queensland, 27% in Victoria, 29% in New South Wales. Source: NDIA internal data."/>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12435" cy="3070860"/>
                    </a:xfrm>
                    <a:prstGeom prst="rect">
                      <a:avLst/>
                    </a:prstGeom>
                    <a:noFill/>
                    <a:ln>
                      <a:noFill/>
                    </a:ln>
                  </pic:spPr>
                </pic:pic>
              </a:graphicData>
            </a:graphic>
          </wp:inline>
        </w:drawing>
      </w:r>
    </w:p>
    <w:p w:rsidRPr="008D1918" w:rsidR="1B9EBD19" w:rsidP="00486803" w:rsidRDefault="00486803" w14:paraId="63C6F8CA" w14:textId="58F25135">
      <w:pPr>
        <w:pStyle w:val="Caption"/>
        <w:rPr>
          <w:rFonts w:eastAsia="Arial" w:cs="Arial"/>
          <w:color w:val="6B2876" w:themeColor="accent5"/>
        </w:rPr>
      </w:pPr>
      <w:bookmarkStart w:name="_Ref223683732" w:id="2262"/>
      <w:r w:rsidRPr="008D1918">
        <w:t xml:space="preserve">Figure </w:t>
      </w:r>
      <w:r>
        <w:fldChar w:fldCharType="begin"/>
      </w:r>
      <w:r>
        <w:instrText>SEQ Figure \* ARABIC</w:instrText>
      </w:r>
      <w:r>
        <w:fldChar w:fldCharType="separate"/>
      </w:r>
      <w:r w:rsidR="008F56A2">
        <w:rPr>
          <w:noProof/>
        </w:rPr>
        <w:t>57</w:t>
      </w:r>
      <w:r>
        <w:fldChar w:fldCharType="end"/>
      </w:r>
      <w:bookmarkEnd w:id="2262"/>
      <w:r w:rsidRPr="008D1918" w:rsidR="1B9EBD19">
        <w:rPr>
          <w:rFonts w:eastAsia="Arial" w:cs="Arial"/>
          <w:color w:val="6B2876" w:themeColor="accent5"/>
        </w:rPr>
        <w:t xml:space="preserve">: Percentage of participants by </w:t>
      </w:r>
      <w:r w:rsidRPr="008D1918" w:rsidR="00274497">
        <w:rPr>
          <w:rFonts w:eastAsia="Arial" w:cs="Arial"/>
          <w:color w:val="6B2876" w:themeColor="accent5"/>
        </w:rPr>
        <w:t xml:space="preserve">MM </w:t>
      </w:r>
      <w:r w:rsidRPr="008D1918" w:rsidR="00C72CC2">
        <w:rPr>
          <w:rFonts w:eastAsia="Arial" w:cs="Arial"/>
          <w:color w:val="6B2876" w:themeColor="accent5"/>
        </w:rPr>
        <w:t>c</w:t>
      </w:r>
      <w:r w:rsidRPr="008D1918" w:rsidR="00BB1209">
        <w:rPr>
          <w:rFonts w:eastAsia="Arial" w:cs="Arial"/>
          <w:color w:val="6B2876" w:themeColor="accent5"/>
        </w:rPr>
        <w:t>ategory</w:t>
      </w:r>
      <w:r w:rsidRPr="008D1918" w:rsidR="35C55E3E">
        <w:rPr>
          <w:rFonts w:eastAsia="Arial" w:cs="Arial"/>
          <w:color w:val="6B2876" w:themeColor="accent5"/>
        </w:rPr>
        <w:t>, 1 July 2024 to 30 June 2025</w:t>
      </w:r>
      <w:r w:rsidRPr="008D1918" w:rsidR="00F4352E">
        <w:rPr>
          <w:rFonts w:eastAsia="Arial" w:cs="Arial"/>
          <w:color w:val="6B2876" w:themeColor="accent5"/>
        </w:rPr>
        <w:t xml:space="preserve"> </w:t>
      </w:r>
    </w:p>
    <w:p w:rsidRPr="008D1918" w:rsidR="004B769A" w:rsidP="00012D9E" w:rsidRDefault="00031D5D" w14:paraId="7E2AC6D8" w14:textId="4622355C">
      <w:pPr>
        <w:spacing w:after="360"/>
        <w:rPr>
          <w:rFonts w:eastAsia="Arial" w:cs="Arial"/>
          <w:color w:val="000000" w:themeColor="accent6"/>
          <w:lang w:val="en-AU"/>
        </w:rPr>
      </w:pPr>
      <w:r w:rsidRPr="008D1918">
        <w:rPr>
          <w:noProof/>
          <w:lang w:val="en-AU"/>
        </w:rPr>
        <w:drawing>
          <wp:inline distT="0" distB="0" distL="0" distR="0" wp14:anchorId="67BB580D" wp14:editId="57F43AED">
            <wp:extent cx="5512435" cy="3070860"/>
            <wp:effectExtent l="0" t="0" r="0" b="0"/>
            <wp:docPr id="213496736" name="Picture 3" descr="Figure 57: A bar graph comparing the percentage of participants by Modified Monash Model classification from 1 July 2024 to 30 June 2025. It shows there were 68.7% in MM1, 10.8% in MM2, 8.2% in MM3, 4.4% in MM4, 6.3% in MM5, 0.9% in MM6 and 0.6% in MM7. Source; NDIA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6736" name="Picture 3" descr="Figure 57: A bar graph comparing the percentage of participants by Modified Monash Model classification from 1 July 2024 to 30 June 2025. It shows there were 68.7% in MM1, 10.8% in MM2, 8.2% in MM3, 4.4% in MM4, 6.3% in MM5, 0.9% in MM6 and 0.6% in MM7. Source; NDIA internal data."/>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12435" cy="3070860"/>
                    </a:xfrm>
                    <a:prstGeom prst="rect">
                      <a:avLst/>
                    </a:prstGeom>
                    <a:noFill/>
                    <a:ln>
                      <a:noFill/>
                    </a:ln>
                  </pic:spPr>
                </pic:pic>
              </a:graphicData>
            </a:graphic>
          </wp:inline>
        </w:drawing>
      </w:r>
    </w:p>
    <w:p w:rsidRPr="008D1918" w:rsidR="1B9EBD19" w:rsidP="00835613" w:rsidRDefault="1B9EBD19" w14:paraId="26869590" w14:textId="693E3AC6">
      <w:pPr>
        <w:rPr>
          <w:rFonts w:eastAsia="Arial" w:cs="Arial"/>
          <w:color w:val="000000" w:themeColor="accent6"/>
          <w:lang w:val="en-AU"/>
        </w:rPr>
      </w:pPr>
      <w:r w:rsidRPr="008D1918">
        <w:rPr>
          <w:rFonts w:eastAsia="Arial" w:cs="Arial"/>
          <w:color w:val="000000" w:themeColor="accent6"/>
          <w:lang w:val="en-AU"/>
        </w:rPr>
        <w:t>The share of active participants living across M</w:t>
      </w:r>
      <w:r w:rsidRPr="008D1918" w:rsidR="00E43DDB">
        <w:rPr>
          <w:rFonts w:eastAsia="Arial" w:cs="Arial"/>
          <w:color w:val="000000" w:themeColor="accent6"/>
          <w:lang w:val="en-AU"/>
        </w:rPr>
        <w:t>M</w:t>
      </w:r>
      <w:r w:rsidRPr="008D1918">
        <w:rPr>
          <w:rFonts w:eastAsia="Arial" w:cs="Arial"/>
          <w:color w:val="000000" w:themeColor="accent6"/>
          <w:lang w:val="en-AU"/>
        </w:rPr>
        <w:t xml:space="preserve">M areas varies significantly by </w:t>
      </w:r>
      <w:r w:rsidRPr="008D1918" w:rsidR="00FA4FE8">
        <w:rPr>
          <w:rFonts w:eastAsia="Arial" w:cs="Arial"/>
          <w:color w:val="000000" w:themeColor="accent6"/>
          <w:lang w:val="en-AU"/>
        </w:rPr>
        <w:t>s</w:t>
      </w:r>
      <w:r w:rsidRPr="008D1918">
        <w:rPr>
          <w:rFonts w:eastAsia="Arial" w:cs="Arial"/>
          <w:color w:val="000000" w:themeColor="accent6"/>
          <w:lang w:val="en-AU"/>
        </w:rPr>
        <w:t xml:space="preserve">tate and </w:t>
      </w:r>
      <w:r w:rsidRPr="008D1918" w:rsidR="00FA4FE8">
        <w:rPr>
          <w:rFonts w:eastAsia="Arial" w:cs="Arial"/>
          <w:color w:val="000000" w:themeColor="accent6"/>
          <w:lang w:val="en-AU"/>
        </w:rPr>
        <w:t>t</w:t>
      </w:r>
      <w:r w:rsidRPr="008D1918">
        <w:rPr>
          <w:rFonts w:eastAsia="Arial" w:cs="Arial"/>
          <w:color w:val="000000" w:themeColor="accent6"/>
          <w:lang w:val="en-AU"/>
        </w:rPr>
        <w:t xml:space="preserve">erritory. </w:t>
      </w:r>
      <w:r w:rsidRPr="008D1918" w:rsidR="00E929BE">
        <w:rPr>
          <w:rFonts w:eastAsia="Arial" w:cs="Arial"/>
          <w:color w:val="000000" w:themeColor="accent6"/>
          <w:lang w:val="en-AU"/>
        </w:rPr>
        <w:t>Most</w:t>
      </w:r>
      <w:r w:rsidRPr="008D1918">
        <w:rPr>
          <w:rFonts w:eastAsia="Arial" w:cs="Arial"/>
          <w:color w:val="000000" w:themeColor="accent6"/>
          <w:lang w:val="en-AU"/>
        </w:rPr>
        <w:t xml:space="preserve"> active participants in the Northern Territory and Tasmania live in a regional centre (M</w:t>
      </w:r>
      <w:r w:rsidRPr="008D1918" w:rsidR="00E43DDB">
        <w:rPr>
          <w:rFonts w:eastAsia="Arial" w:cs="Arial"/>
          <w:color w:val="000000" w:themeColor="accent6"/>
          <w:lang w:val="en-AU"/>
        </w:rPr>
        <w:t>M</w:t>
      </w:r>
      <w:r w:rsidRPr="008D1918" w:rsidR="00835613">
        <w:rPr>
          <w:rFonts w:eastAsia="Arial" w:cs="Arial"/>
          <w:color w:val="000000" w:themeColor="accent6"/>
          <w:lang w:val="en-AU"/>
        </w:rPr>
        <w:t> </w:t>
      </w:r>
      <w:r w:rsidRPr="008D1918">
        <w:rPr>
          <w:rFonts w:eastAsia="Arial" w:cs="Arial"/>
          <w:color w:val="000000" w:themeColor="accent6"/>
          <w:lang w:val="en-AU"/>
        </w:rPr>
        <w:t xml:space="preserve">2), 56% and 66% respectively, with </w:t>
      </w:r>
      <w:r w:rsidRPr="008D1918" w:rsidR="00733444">
        <w:rPr>
          <w:rFonts w:eastAsia="Arial" w:cs="Arial"/>
          <w:color w:val="000000" w:themeColor="accent6"/>
          <w:lang w:val="en-AU"/>
        </w:rPr>
        <w:t xml:space="preserve">the </w:t>
      </w:r>
      <w:r w:rsidRPr="008D1918">
        <w:rPr>
          <w:rFonts w:eastAsia="Arial" w:cs="Arial"/>
          <w:color w:val="000000" w:themeColor="accent6"/>
          <w:lang w:val="en-AU"/>
        </w:rPr>
        <w:t>Northern Territory having the largest number of participants living in a remote or very remote area (42% in M</w:t>
      </w:r>
      <w:r w:rsidRPr="008D1918" w:rsidR="00E43DDB">
        <w:rPr>
          <w:rFonts w:eastAsia="Arial" w:cs="Arial"/>
          <w:color w:val="000000" w:themeColor="accent6"/>
          <w:lang w:val="en-AU"/>
        </w:rPr>
        <w:t>M</w:t>
      </w:r>
      <w:r w:rsidRPr="008D1918">
        <w:rPr>
          <w:rFonts w:eastAsia="Arial" w:cs="Arial"/>
          <w:color w:val="000000" w:themeColor="accent6"/>
          <w:lang w:val="en-AU"/>
        </w:rPr>
        <w:t xml:space="preserve"> 6</w:t>
      </w:r>
      <w:r w:rsidRPr="008D1918" w:rsidR="00835613">
        <w:rPr>
          <w:rFonts w:eastAsia="Arial" w:cs="Arial"/>
          <w:color w:val="000000" w:themeColor="accent6"/>
          <w:lang w:val="en-AU"/>
        </w:rPr>
        <w:t>–</w:t>
      </w:r>
      <w:r w:rsidRPr="008D1918">
        <w:rPr>
          <w:rFonts w:eastAsia="Arial" w:cs="Arial"/>
          <w:color w:val="000000" w:themeColor="accent6"/>
          <w:lang w:val="en-AU"/>
        </w:rPr>
        <w:t>7). Aside from</w:t>
      </w:r>
      <w:r w:rsidRPr="008D1918" w:rsidR="008C5409">
        <w:rPr>
          <w:rFonts w:eastAsia="Arial" w:cs="Arial"/>
          <w:color w:val="000000" w:themeColor="accent6"/>
          <w:lang w:val="en-AU"/>
        </w:rPr>
        <w:t xml:space="preserve"> the</w:t>
      </w:r>
      <w:r w:rsidRPr="008D1918">
        <w:rPr>
          <w:rFonts w:eastAsia="Arial" w:cs="Arial"/>
          <w:color w:val="000000" w:themeColor="accent6"/>
          <w:lang w:val="en-AU"/>
        </w:rPr>
        <w:t xml:space="preserve"> A</w:t>
      </w:r>
      <w:r w:rsidRPr="008D1918" w:rsidR="002807C6">
        <w:rPr>
          <w:rFonts w:eastAsia="Arial" w:cs="Arial"/>
          <w:color w:val="000000" w:themeColor="accent6"/>
          <w:lang w:val="en-AU"/>
        </w:rPr>
        <w:t xml:space="preserve">ustralian </w:t>
      </w:r>
      <w:r w:rsidRPr="008D1918">
        <w:rPr>
          <w:rFonts w:eastAsia="Arial" w:cs="Arial"/>
          <w:color w:val="000000" w:themeColor="accent6"/>
          <w:lang w:val="en-AU"/>
        </w:rPr>
        <w:t>C</w:t>
      </w:r>
      <w:r w:rsidRPr="008D1918" w:rsidR="002807C6">
        <w:rPr>
          <w:rFonts w:eastAsia="Arial" w:cs="Arial"/>
          <w:color w:val="000000" w:themeColor="accent6"/>
          <w:lang w:val="en-AU"/>
        </w:rPr>
        <w:t xml:space="preserve">apital </w:t>
      </w:r>
      <w:r w:rsidRPr="008D1918">
        <w:rPr>
          <w:rFonts w:eastAsia="Arial" w:cs="Arial"/>
          <w:color w:val="000000" w:themeColor="accent6"/>
          <w:lang w:val="en-AU"/>
        </w:rPr>
        <w:t>T</w:t>
      </w:r>
      <w:r w:rsidRPr="008D1918" w:rsidR="002807C6">
        <w:rPr>
          <w:rFonts w:eastAsia="Arial" w:cs="Arial"/>
          <w:color w:val="000000" w:themeColor="accent6"/>
          <w:lang w:val="en-AU"/>
        </w:rPr>
        <w:t>erritory</w:t>
      </w:r>
      <w:r w:rsidRPr="008D1918" w:rsidR="00FE6B61">
        <w:rPr>
          <w:rFonts w:eastAsia="Arial" w:cs="Arial"/>
          <w:color w:val="000000" w:themeColor="accent6"/>
          <w:lang w:val="en-AU"/>
        </w:rPr>
        <w:t>,</w:t>
      </w:r>
      <w:r w:rsidRPr="008D1918">
        <w:rPr>
          <w:rFonts w:eastAsia="Arial" w:cs="Arial"/>
          <w:color w:val="000000" w:themeColor="accent6"/>
          <w:lang w:val="en-AU"/>
        </w:rPr>
        <w:t xml:space="preserve"> where 100% of active participants live in a major city, all other states have the highest percentages of participants living in M</w:t>
      </w:r>
      <w:r w:rsidRPr="008D1918" w:rsidR="00E43DDB">
        <w:rPr>
          <w:rFonts w:eastAsia="Arial" w:cs="Arial"/>
          <w:color w:val="000000" w:themeColor="accent6"/>
          <w:lang w:val="en-AU"/>
        </w:rPr>
        <w:t>M</w:t>
      </w:r>
      <w:r w:rsidRPr="008D1918" w:rsidR="00835613">
        <w:rPr>
          <w:rFonts w:eastAsia="Arial" w:cs="Arial"/>
          <w:color w:val="000000" w:themeColor="accent6"/>
          <w:lang w:val="en-AU"/>
        </w:rPr>
        <w:t> </w:t>
      </w:r>
      <w:r w:rsidRPr="008D1918">
        <w:rPr>
          <w:rFonts w:eastAsia="Arial" w:cs="Arial"/>
          <w:color w:val="000000" w:themeColor="accent6"/>
          <w:lang w:val="en-AU"/>
        </w:rPr>
        <w:t xml:space="preserve">1, ranging from 62% in </w:t>
      </w:r>
      <w:r w:rsidRPr="008D1918" w:rsidR="004C5D95">
        <w:rPr>
          <w:rFonts w:eastAsia="Arial" w:cs="Arial"/>
          <w:color w:val="000000" w:themeColor="accent6"/>
          <w:lang w:val="en-AU"/>
        </w:rPr>
        <w:t xml:space="preserve">Queensland </w:t>
      </w:r>
      <w:r w:rsidRPr="008D1918">
        <w:rPr>
          <w:rFonts w:eastAsia="Arial" w:cs="Arial"/>
          <w:color w:val="000000" w:themeColor="accent6"/>
          <w:lang w:val="en-AU"/>
        </w:rPr>
        <w:t>to 79% in Western Australia (</w:t>
      </w:r>
      <w:r w:rsidRPr="008D1918" w:rsidR="001A7C5E">
        <w:rPr>
          <w:rFonts w:eastAsia="Arial" w:cs="Arial"/>
          <w:color w:val="000000" w:themeColor="accent6"/>
          <w:lang w:val="en-AU"/>
        </w:rPr>
        <w:fldChar w:fldCharType="begin"/>
      </w:r>
      <w:r w:rsidRPr="008D1918" w:rsidR="001A7C5E">
        <w:rPr>
          <w:rFonts w:eastAsia="Arial" w:cs="Arial"/>
          <w:color w:val="000000" w:themeColor="accent6"/>
          <w:lang w:val="en-AU"/>
        </w:rPr>
        <w:instrText xml:space="preserve"> REF _Ref223697448 \h </w:instrText>
      </w:r>
      <w:r w:rsidRPr="008D1918" w:rsidR="00762DF8">
        <w:rPr>
          <w:rFonts w:eastAsia="Arial" w:cs="Arial"/>
          <w:color w:val="000000" w:themeColor="accent6"/>
          <w:lang w:val="en-AU"/>
        </w:rPr>
        <w:instrText xml:space="preserve"> \* MERGEFORMAT </w:instrText>
      </w:r>
      <w:r w:rsidRPr="008D1918" w:rsidR="001A7C5E">
        <w:rPr>
          <w:rFonts w:eastAsia="Arial" w:cs="Arial"/>
          <w:color w:val="000000" w:themeColor="accent6"/>
          <w:lang w:val="en-AU"/>
        </w:rPr>
      </w:r>
      <w:r w:rsidRPr="008D1918" w:rsidR="001A7C5E">
        <w:rPr>
          <w:rFonts w:eastAsia="Arial" w:cs="Arial"/>
          <w:color w:val="000000" w:themeColor="accent6"/>
          <w:lang w:val="en-AU"/>
        </w:rPr>
        <w:fldChar w:fldCharType="separate"/>
      </w:r>
      <w:r w:rsidRPr="008F56A2" w:rsidR="008F56A2">
        <w:rPr>
          <w:lang w:val="en-AU"/>
        </w:rPr>
        <w:t>Table</w:t>
      </w:r>
      <w:r w:rsidRPr="008D1918" w:rsidR="008F56A2">
        <w:t xml:space="preserve"> </w:t>
      </w:r>
      <w:r w:rsidR="008F56A2">
        <w:rPr>
          <w:noProof/>
        </w:rPr>
        <w:t>53</w:t>
      </w:r>
      <w:r w:rsidRPr="008D1918" w:rsidR="001A7C5E">
        <w:rPr>
          <w:rFonts w:eastAsia="Arial" w:cs="Arial"/>
          <w:color w:val="000000" w:themeColor="accent6"/>
          <w:lang w:val="en-AU"/>
        </w:rPr>
        <w:fldChar w:fldCharType="end"/>
      </w:r>
      <w:r w:rsidRPr="008D1918">
        <w:rPr>
          <w:rFonts w:eastAsia="Arial" w:cs="Arial"/>
          <w:color w:val="000000" w:themeColor="accent6"/>
          <w:lang w:val="en-AU"/>
        </w:rPr>
        <w:t>).</w:t>
      </w:r>
    </w:p>
    <w:p w:rsidRPr="008D1918" w:rsidR="1B9EBD19" w:rsidP="001A7C5E" w:rsidRDefault="001A7C5E" w14:paraId="1F4C302B" w14:textId="1B5D9E09">
      <w:pPr>
        <w:pStyle w:val="Caption"/>
        <w:rPr>
          <w:rFonts w:eastAsia="Arial" w:cs="Arial"/>
          <w:color w:val="6B2876" w:themeColor="accent5"/>
        </w:rPr>
      </w:pPr>
      <w:bookmarkStart w:name="_Ref223697448" w:id="2263"/>
      <w:r w:rsidRPr="008D1918">
        <w:t xml:space="preserve">Table </w:t>
      </w:r>
      <w:r>
        <w:fldChar w:fldCharType="begin"/>
      </w:r>
      <w:r>
        <w:instrText>SEQ Table \* ARABIC</w:instrText>
      </w:r>
      <w:r>
        <w:fldChar w:fldCharType="separate"/>
      </w:r>
      <w:r w:rsidR="008F56A2">
        <w:rPr>
          <w:noProof/>
        </w:rPr>
        <w:t>53</w:t>
      </w:r>
      <w:r>
        <w:fldChar w:fldCharType="end"/>
      </w:r>
      <w:bookmarkEnd w:id="2263"/>
      <w:r w:rsidRPr="008D1918" w:rsidR="1B9EBD19">
        <w:rPr>
          <w:rFonts w:eastAsia="Arial" w:cs="Arial"/>
          <w:color w:val="6B2876" w:themeColor="accent5"/>
        </w:rPr>
        <w:t xml:space="preserve">: Percentage of participant numbers in each state </w:t>
      </w:r>
      <w:r w:rsidRPr="008D1918" w:rsidR="00002967">
        <w:rPr>
          <w:rFonts w:eastAsia="Arial" w:cs="Arial"/>
          <w:color w:val="6B2876" w:themeColor="accent5"/>
        </w:rPr>
        <w:t>and territory</w:t>
      </w:r>
      <w:r w:rsidRPr="008D1918" w:rsidR="1B9EBD19">
        <w:rPr>
          <w:rFonts w:eastAsia="Arial" w:cs="Arial"/>
          <w:color w:val="6B2876" w:themeColor="accent5"/>
        </w:rPr>
        <w:t xml:space="preserve"> by MM </w:t>
      </w:r>
      <w:r w:rsidRPr="008D1918" w:rsidR="00BB1209">
        <w:rPr>
          <w:rFonts w:eastAsia="Arial" w:cs="Arial"/>
          <w:color w:val="6B2876" w:themeColor="accent5"/>
        </w:rPr>
        <w:t>category</w:t>
      </w:r>
      <w:r w:rsidRPr="008D1918" w:rsidR="1B9EBD19">
        <w:rPr>
          <w:rFonts w:eastAsia="Arial" w:cs="Arial"/>
          <w:color w:val="6B2876" w:themeColor="accent5"/>
        </w:rPr>
        <w:t>, 1 July 2024</w:t>
      </w:r>
      <w:r w:rsidRPr="008D1918" w:rsidR="007E0E63">
        <w:rPr>
          <w:rFonts w:eastAsia="Arial" w:cs="Arial"/>
          <w:color w:val="6B2876" w:themeColor="accent5"/>
        </w:rPr>
        <w:t xml:space="preserve"> </w:t>
      </w:r>
      <w:r w:rsidRPr="008D1918" w:rsidR="00C94949">
        <w:rPr>
          <w:rFonts w:eastAsia="Arial" w:cs="Arial"/>
          <w:color w:val="6B2876" w:themeColor="accent5"/>
        </w:rPr>
        <w:t xml:space="preserve">to </w:t>
      </w:r>
      <w:r w:rsidRPr="008D1918" w:rsidR="1B9EBD19">
        <w:rPr>
          <w:rFonts w:eastAsia="Arial" w:cs="Arial"/>
          <w:color w:val="6B2876" w:themeColor="accent5"/>
        </w:rPr>
        <w:t>30 June 2025</w:t>
      </w:r>
    </w:p>
    <w:tbl>
      <w:tblPr>
        <w:tblStyle w:val="TableGrid"/>
        <w:tblW w:w="0" w:type="auto"/>
        <w:tblBorders>
          <w:top w:val="single" w:color="auto" w:sz="6" w:space="0"/>
          <w:left w:val="single" w:color="auto" w:sz="6" w:space="0"/>
          <w:bottom w:val="single" w:color="auto" w:sz="6" w:space="0"/>
          <w:right w:val="single" w:color="auto" w:sz="6" w:space="0"/>
        </w:tblBorders>
        <w:tblLook w:val="00A0" w:firstRow="1" w:lastRow="0" w:firstColumn="1" w:lastColumn="0" w:noHBand="0" w:noVBand="0"/>
      </w:tblPr>
      <w:tblGrid>
        <w:gridCol w:w="1410"/>
        <w:gridCol w:w="851"/>
        <w:gridCol w:w="851"/>
        <w:gridCol w:w="851"/>
        <w:gridCol w:w="851"/>
        <w:gridCol w:w="851"/>
        <w:gridCol w:w="851"/>
        <w:gridCol w:w="851"/>
        <w:gridCol w:w="851"/>
      </w:tblGrid>
      <w:tr w:rsidRPr="008D1918" w:rsidR="004D466F" w:rsidTr="007A0CA9" w14:paraId="500B2380" w14:textId="77777777">
        <w:trPr>
          <w:trHeight w:val="454"/>
          <w:tblHeader/>
        </w:trPr>
        <w:tc>
          <w:tcPr>
            <w:tcW w:w="1410"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976"/>
            <w:tcMar>
              <w:left w:w="105" w:type="dxa"/>
              <w:right w:w="105" w:type="dxa"/>
            </w:tcMar>
            <w:vAlign w:val="center"/>
          </w:tcPr>
          <w:p w:rsidRPr="008D1918" w:rsidR="02EFBE86" w:rsidP="02EFBE86" w:rsidRDefault="02EFBE86" w14:paraId="22FCB5FB" w14:textId="18406300">
            <w:pPr>
              <w:spacing w:after="0" w:line="240" w:lineRule="auto"/>
              <w:jc w:val="center"/>
              <w:rPr>
                <w:rFonts w:eastAsia="Arial" w:cs="Arial"/>
                <w:b/>
                <w:bCs/>
                <w:color w:val="FFFFFF"/>
                <w:sz w:val="20"/>
                <w:szCs w:val="20"/>
                <w:lang w:val="en-AU"/>
              </w:rPr>
            </w:pPr>
            <w:r w:rsidRPr="008D1918">
              <w:rPr>
                <w:rFonts w:eastAsia="Arial" w:cs="Arial"/>
                <w:b/>
                <w:bCs/>
                <w:color w:val="FFFFFF"/>
                <w:sz w:val="20"/>
                <w:szCs w:val="20"/>
                <w:lang w:val="en-AU"/>
              </w:rPr>
              <w:t xml:space="preserve">MM </w:t>
            </w:r>
            <w:r w:rsidRPr="008D1918" w:rsidR="00B97DAC">
              <w:rPr>
                <w:rFonts w:eastAsia="Arial" w:cs="Arial"/>
                <w:b/>
                <w:bCs/>
                <w:color w:val="FFFFFF"/>
                <w:sz w:val="20"/>
                <w:szCs w:val="20"/>
                <w:lang w:val="en-AU"/>
              </w:rPr>
              <w:t>category</w:t>
            </w:r>
          </w:p>
        </w:tc>
        <w:tc>
          <w:tcPr>
            <w:tcW w:w="851"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2EFBE86" w:rsidRDefault="02EFBE86" w14:paraId="40066B26" w14:textId="51035316">
            <w:pPr>
              <w:spacing w:after="0" w:line="240" w:lineRule="auto"/>
              <w:jc w:val="center"/>
              <w:rPr>
                <w:rFonts w:eastAsia="Arial" w:cs="Arial"/>
                <w:b/>
                <w:bCs/>
                <w:color w:val="FFFFFF"/>
                <w:sz w:val="20"/>
                <w:szCs w:val="20"/>
                <w:lang w:val="en-AU"/>
              </w:rPr>
            </w:pPr>
            <w:r w:rsidRPr="008D1918">
              <w:rPr>
                <w:rFonts w:eastAsia="Arial" w:cs="Arial"/>
                <w:b/>
                <w:bCs/>
                <w:color w:val="FFFFFF"/>
                <w:sz w:val="20"/>
                <w:szCs w:val="20"/>
                <w:lang w:val="en-AU"/>
              </w:rPr>
              <w:t>ACT</w:t>
            </w:r>
          </w:p>
        </w:tc>
        <w:tc>
          <w:tcPr>
            <w:tcW w:w="851"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2EFBE86" w:rsidRDefault="02EFBE86" w14:paraId="103169DA" w14:textId="6B1402F5">
            <w:pPr>
              <w:spacing w:after="0" w:line="240" w:lineRule="auto"/>
              <w:jc w:val="center"/>
              <w:rPr>
                <w:rFonts w:eastAsia="Arial" w:cs="Arial"/>
                <w:b/>
                <w:bCs/>
                <w:color w:val="FFFFFF"/>
                <w:sz w:val="20"/>
                <w:szCs w:val="20"/>
                <w:lang w:val="en-AU"/>
              </w:rPr>
            </w:pPr>
            <w:r w:rsidRPr="008D1918">
              <w:rPr>
                <w:rFonts w:eastAsia="Arial" w:cs="Arial"/>
                <w:b/>
                <w:bCs/>
                <w:color w:val="FFFFFF"/>
                <w:sz w:val="20"/>
                <w:szCs w:val="20"/>
                <w:lang w:val="en-AU"/>
              </w:rPr>
              <w:t>NSW</w:t>
            </w:r>
          </w:p>
        </w:tc>
        <w:tc>
          <w:tcPr>
            <w:tcW w:w="851"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2EFBE86" w:rsidRDefault="02EFBE86" w14:paraId="0D1F430A" w14:textId="0F35C692">
            <w:pPr>
              <w:spacing w:after="0" w:line="240" w:lineRule="auto"/>
              <w:jc w:val="center"/>
              <w:rPr>
                <w:rFonts w:eastAsia="Arial" w:cs="Arial"/>
                <w:b/>
                <w:bCs/>
                <w:color w:val="FFFFFF"/>
                <w:sz w:val="20"/>
                <w:szCs w:val="20"/>
                <w:lang w:val="en-AU"/>
              </w:rPr>
            </w:pPr>
            <w:r w:rsidRPr="008D1918">
              <w:rPr>
                <w:rFonts w:eastAsia="Arial" w:cs="Arial"/>
                <w:b/>
                <w:bCs/>
                <w:color w:val="FFFFFF"/>
                <w:sz w:val="20"/>
                <w:szCs w:val="20"/>
                <w:lang w:val="en-AU"/>
              </w:rPr>
              <w:t>NT</w:t>
            </w:r>
          </w:p>
        </w:tc>
        <w:tc>
          <w:tcPr>
            <w:tcW w:w="851"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2EFBE86" w:rsidRDefault="02EFBE86" w14:paraId="5DEEB4F0" w14:textId="2FA96782">
            <w:pPr>
              <w:spacing w:after="0" w:line="240" w:lineRule="auto"/>
              <w:jc w:val="center"/>
              <w:rPr>
                <w:rFonts w:eastAsia="Arial" w:cs="Arial"/>
                <w:b/>
                <w:bCs/>
                <w:color w:val="FFFFFF"/>
                <w:sz w:val="20"/>
                <w:szCs w:val="20"/>
                <w:lang w:val="en-AU"/>
              </w:rPr>
            </w:pPr>
            <w:r w:rsidRPr="008D1918">
              <w:rPr>
                <w:rFonts w:eastAsia="Arial" w:cs="Arial"/>
                <w:b/>
                <w:bCs/>
                <w:color w:val="FFFFFF"/>
                <w:sz w:val="20"/>
                <w:szCs w:val="20"/>
                <w:lang w:val="en-AU"/>
              </w:rPr>
              <w:t>QLD</w:t>
            </w:r>
          </w:p>
        </w:tc>
        <w:tc>
          <w:tcPr>
            <w:tcW w:w="851"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2EFBE86" w:rsidRDefault="02EFBE86" w14:paraId="6565AB09" w14:textId="6000E727">
            <w:pPr>
              <w:spacing w:after="0" w:line="240" w:lineRule="auto"/>
              <w:jc w:val="center"/>
              <w:rPr>
                <w:rFonts w:eastAsia="Arial" w:cs="Arial"/>
                <w:b/>
                <w:bCs/>
                <w:color w:val="FFFFFF"/>
                <w:sz w:val="20"/>
                <w:szCs w:val="20"/>
                <w:lang w:val="en-AU"/>
              </w:rPr>
            </w:pPr>
            <w:r w:rsidRPr="008D1918">
              <w:rPr>
                <w:rFonts w:eastAsia="Arial" w:cs="Arial"/>
                <w:b/>
                <w:bCs/>
                <w:color w:val="FFFFFF"/>
                <w:sz w:val="20"/>
                <w:szCs w:val="20"/>
                <w:lang w:val="en-AU"/>
              </w:rPr>
              <w:t>SA</w:t>
            </w:r>
          </w:p>
        </w:tc>
        <w:tc>
          <w:tcPr>
            <w:tcW w:w="851"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2EFBE86" w:rsidRDefault="02EFBE86" w14:paraId="5CC40460" w14:textId="7E1D9905">
            <w:pPr>
              <w:spacing w:after="0" w:line="240" w:lineRule="auto"/>
              <w:jc w:val="center"/>
              <w:rPr>
                <w:rFonts w:eastAsia="Arial" w:cs="Arial"/>
                <w:b/>
                <w:bCs/>
                <w:color w:val="FFFFFF"/>
                <w:sz w:val="20"/>
                <w:szCs w:val="20"/>
                <w:lang w:val="en-AU"/>
              </w:rPr>
            </w:pPr>
            <w:r w:rsidRPr="008D1918">
              <w:rPr>
                <w:rFonts w:eastAsia="Arial" w:cs="Arial"/>
                <w:b/>
                <w:bCs/>
                <w:color w:val="FFFFFF"/>
                <w:sz w:val="20"/>
                <w:szCs w:val="20"/>
                <w:lang w:val="en-AU"/>
              </w:rPr>
              <w:t>TAS</w:t>
            </w:r>
          </w:p>
        </w:tc>
        <w:tc>
          <w:tcPr>
            <w:tcW w:w="851"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2EFBE86" w:rsidRDefault="02EFBE86" w14:paraId="5358DD5F" w14:textId="35B791D6">
            <w:pPr>
              <w:spacing w:after="0" w:line="240" w:lineRule="auto"/>
              <w:jc w:val="center"/>
              <w:rPr>
                <w:rFonts w:eastAsia="Arial" w:cs="Arial"/>
                <w:b/>
                <w:bCs/>
                <w:color w:val="FFFFFF"/>
                <w:sz w:val="20"/>
                <w:szCs w:val="20"/>
                <w:lang w:val="en-AU"/>
              </w:rPr>
            </w:pPr>
            <w:r w:rsidRPr="008D1918">
              <w:rPr>
                <w:rFonts w:eastAsia="Arial" w:cs="Arial"/>
                <w:b/>
                <w:bCs/>
                <w:color w:val="FFFFFF"/>
                <w:sz w:val="20"/>
                <w:szCs w:val="20"/>
                <w:lang w:val="en-AU"/>
              </w:rPr>
              <w:t>VIC</w:t>
            </w:r>
          </w:p>
        </w:tc>
        <w:tc>
          <w:tcPr>
            <w:tcW w:w="851"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2EFBE86" w:rsidRDefault="02EFBE86" w14:paraId="4F0DCA2A" w14:textId="300D236B">
            <w:pPr>
              <w:spacing w:after="0" w:line="240" w:lineRule="auto"/>
              <w:jc w:val="center"/>
              <w:rPr>
                <w:rFonts w:eastAsia="Arial" w:cs="Arial"/>
                <w:b/>
                <w:bCs/>
                <w:color w:val="FFFFFF"/>
                <w:sz w:val="20"/>
                <w:szCs w:val="20"/>
                <w:lang w:val="en-AU"/>
              </w:rPr>
            </w:pPr>
            <w:r w:rsidRPr="008D1918">
              <w:rPr>
                <w:rFonts w:eastAsia="Arial" w:cs="Arial"/>
                <w:b/>
                <w:bCs/>
                <w:color w:val="FFFFFF"/>
                <w:sz w:val="20"/>
                <w:szCs w:val="20"/>
                <w:lang w:val="en-AU"/>
              </w:rPr>
              <w:t>WA</w:t>
            </w:r>
          </w:p>
        </w:tc>
      </w:tr>
      <w:tr w:rsidRPr="008D1918" w:rsidR="004D466F" w:rsidTr="007A0CA9" w14:paraId="311B0205" w14:textId="77777777">
        <w:trPr>
          <w:trHeight w:val="390"/>
        </w:trPr>
        <w:tc>
          <w:tcPr>
            <w:tcW w:w="141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6B2976"/>
            <w:tcMar>
              <w:left w:w="105" w:type="dxa"/>
              <w:right w:w="105" w:type="dxa"/>
            </w:tcMar>
            <w:vAlign w:val="center"/>
          </w:tcPr>
          <w:p w:rsidRPr="008D1918" w:rsidR="02EFBE86" w:rsidP="02EFBE86" w:rsidRDefault="02EFBE86" w14:paraId="3E8DEAE5" w14:textId="41E2A5AF">
            <w:pPr>
              <w:spacing w:after="0" w:line="240" w:lineRule="auto"/>
              <w:jc w:val="center"/>
              <w:rPr>
                <w:rFonts w:eastAsia="Arial" w:cs="Arial"/>
                <w:color w:val="FFFFFF"/>
                <w:sz w:val="20"/>
                <w:szCs w:val="20"/>
                <w:lang w:val="en-AU"/>
              </w:rPr>
            </w:pPr>
            <w:r w:rsidRPr="008D1918">
              <w:rPr>
                <w:rFonts w:eastAsia="Arial" w:cs="Arial"/>
                <w:color w:val="FFFFFF"/>
                <w:sz w:val="20"/>
                <w:szCs w:val="20"/>
                <w:lang w:val="en-AU"/>
              </w:rPr>
              <w:t>MM 1</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28D86020" w14:textId="4247280D">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99.9%</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72FEA4DD" w14:textId="25416DBA">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70.2%</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03413675" w14:textId="18083EA7">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N/A</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7BB41901" w14:textId="6183995D">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62.0%</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6ACB8B9B" w14:textId="7E8E8F98">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75.2%</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1C1DCBB4" w14:textId="4EE826F0">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N/A</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238C02A1" w14:textId="1582D34C">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72.8%</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430C2449" w14:textId="416526D5">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79.1%</w:t>
            </w:r>
          </w:p>
        </w:tc>
      </w:tr>
      <w:tr w:rsidRPr="008D1918" w:rsidR="004D466F" w:rsidTr="007A0CA9" w14:paraId="5135766C" w14:textId="77777777">
        <w:trPr>
          <w:trHeight w:val="390"/>
        </w:trPr>
        <w:tc>
          <w:tcPr>
            <w:tcW w:w="141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6B2976"/>
            <w:tcMar>
              <w:left w:w="105" w:type="dxa"/>
              <w:right w:w="105" w:type="dxa"/>
            </w:tcMar>
            <w:vAlign w:val="center"/>
          </w:tcPr>
          <w:p w:rsidRPr="008D1918" w:rsidR="02EFBE86" w:rsidP="02EFBE86" w:rsidRDefault="02EFBE86" w14:paraId="0064DBB0" w14:textId="5C8C4D73">
            <w:pPr>
              <w:spacing w:after="0" w:line="240" w:lineRule="auto"/>
              <w:jc w:val="center"/>
              <w:rPr>
                <w:rFonts w:eastAsia="Arial" w:cs="Arial"/>
                <w:color w:val="FFFFFF"/>
                <w:sz w:val="20"/>
                <w:szCs w:val="20"/>
                <w:lang w:val="en-AU"/>
              </w:rPr>
            </w:pPr>
            <w:r w:rsidRPr="008D1918">
              <w:rPr>
                <w:rFonts w:eastAsia="Arial" w:cs="Arial"/>
                <w:color w:val="FFFFFF"/>
                <w:sz w:val="20"/>
                <w:szCs w:val="20"/>
                <w:lang w:val="en-AU"/>
              </w:rPr>
              <w:t>MM 2</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404F4B36" w14:textId="719B4A35">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0.1%</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7A82B190" w14:textId="1498375C">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3.1%</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47D84D84" w14:textId="46FDABE2">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55.0%</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1CC9D955" w14:textId="53D12F48">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22.1%</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112F7B74" w14:textId="7AFF865F">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2.0%</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0609F19B" w14:textId="7013AE85">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66.0%</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43C50FE2" w14:textId="3FBE6436">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9.7%</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1ACEC054" w14:textId="00629CE7">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5.1%</w:t>
            </w:r>
          </w:p>
        </w:tc>
      </w:tr>
      <w:tr w:rsidRPr="008D1918" w:rsidR="004D466F" w:rsidTr="007A0CA9" w14:paraId="6953B047" w14:textId="77777777">
        <w:trPr>
          <w:trHeight w:val="390"/>
        </w:trPr>
        <w:tc>
          <w:tcPr>
            <w:tcW w:w="141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6B2976"/>
            <w:tcMar>
              <w:left w:w="105" w:type="dxa"/>
              <w:right w:w="105" w:type="dxa"/>
            </w:tcMar>
            <w:vAlign w:val="center"/>
          </w:tcPr>
          <w:p w:rsidRPr="008D1918" w:rsidR="02EFBE86" w:rsidP="02EFBE86" w:rsidRDefault="02EFBE86" w14:paraId="6043CE82" w14:textId="25EF1B53">
            <w:pPr>
              <w:spacing w:after="0" w:line="240" w:lineRule="auto"/>
              <w:jc w:val="center"/>
              <w:rPr>
                <w:rFonts w:eastAsia="Arial" w:cs="Arial"/>
                <w:color w:val="FFFFFF"/>
                <w:sz w:val="20"/>
                <w:szCs w:val="20"/>
                <w:lang w:val="en-AU"/>
              </w:rPr>
            </w:pPr>
            <w:r w:rsidRPr="008D1918">
              <w:rPr>
                <w:rFonts w:eastAsia="Arial" w:cs="Arial"/>
                <w:color w:val="FFFFFF"/>
                <w:sz w:val="20"/>
                <w:szCs w:val="20"/>
                <w:lang w:val="en-AU"/>
              </w:rPr>
              <w:t>MM 3</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58FF4522" w14:textId="703E7671">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N/A</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28F44836" w14:textId="4885F545">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13.4%</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569241E8" w14:textId="77522597">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N/A</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34731DEA" w14:textId="11B63943">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3.7%</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5DC27DFF" w14:textId="0BBD1557">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9.2%</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6659397B" w14:textId="07FB9F0F">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17.8%</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5D2C7F33" w14:textId="654BF276">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6.6%</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14D62724" w14:textId="1E0819B7">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6.0%</w:t>
            </w:r>
          </w:p>
        </w:tc>
      </w:tr>
      <w:tr w:rsidRPr="008D1918" w:rsidR="004D466F" w:rsidTr="007A0CA9" w14:paraId="7F0346B9" w14:textId="77777777">
        <w:trPr>
          <w:trHeight w:val="390"/>
        </w:trPr>
        <w:tc>
          <w:tcPr>
            <w:tcW w:w="141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6B2976"/>
            <w:tcMar>
              <w:left w:w="105" w:type="dxa"/>
              <w:right w:w="105" w:type="dxa"/>
            </w:tcMar>
            <w:vAlign w:val="center"/>
          </w:tcPr>
          <w:p w:rsidRPr="008D1918" w:rsidR="02EFBE86" w:rsidP="02EFBE86" w:rsidRDefault="02EFBE86" w14:paraId="2C7C669E" w14:textId="00BAE2BC">
            <w:pPr>
              <w:spacing w:after="0" w:line="240" w:lineRule="auto"/>
              <w:jc w:val="center"/>
              <w:rPr>
                <w:rFonts w:eastAsia="Arial" w:cs="Arial"/>
                <w:color w:val="FFFFFF"/>
                <w:sz w:val="20"/>
                <w:szCs w:val="20"/>
                <w:lang w:val="en-AU"/>
              </w:rPr>
            </w:pPr>
            <w:r w:rsidRPr="008D1918">
              <w:rPr>
                <w:rFonts w:eastAsia="Arial" w:cs="Arial"/>
                <w:color w:val="FFFFFF"/>
                <w:sz w:val="20"/>
                <w:szCs w:val="20"/>
                <w:lang w:val="en-AU"/>
              </w:rPr>
              <w:t>MM 4</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7AD3E3EF" w14:textId="4D30BA7E">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N/A</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042A396D" w14:textId="1B57402B">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5.9%</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4F714402" w14:textId="6A62952C">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N/A</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32FFFA31" w14:textId="3CEF450D">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4.0%</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2EE9B5E9" w14:textId="72755F2C">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3.4%</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5D4312A4" w14:textId="2A68B23B">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0.4%</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2CA19518" w14:textId="0CE07BAF">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5.3%</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721BDF63" w14:textId="7273476B">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1.1%</w:t>
            </w:r>
          </w:p>
        </w:tc>
      </w:tr>
      <w:tr w:rsidRPr="008D1918" w:rsidR="004D466F" w:rsidTr="007A0CA9" w14:paraId="2679C13F" w14:textId="77777777">
        <w:trPr>
          <w:trHeight w:val="390"/>
        </w:trPr>
        <w:tc>
          <w:tcPr>
            <w:tcW w:w="141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6B2976"/>
            <w:tcMar>
              <w:left w:w="105" w:type="dxa"/>
              <w:right w:w="105" w:type="dxa"/>
            </w:tcMar>
            <w:vAlign w:val="center"/>
          </w:tcPr>
          <w:p w:rsidRPr="008D1918" w:rsidR="02EFBE86" w:rsidP="02EFBE86" w:rsidRDefault="02EFBE86" w14:paraId="635B3951" w14:textId="757CCC0D">
            <w:pPr>
              <w:spacing w:after="0" w:line="240" w:lineRule="auto"/>
              <w:jc w:val="center"/>
              <w:rPr>
                <w:rFonts w:eastAsia="Arial" w:cs="Arial"/>
                <w:color w:val="FFFFFF"/>
                <w:sz w:val="20"/>
                <w:szCs w:val="20"/>
                <w:lang w:val="en-AU"/>
              </w:rPr>
            </w:pPr>
            <w:r w:rsidRPr="008D1918">
              <w:rPr>
                <w:rFonts w:eastAsia="Arial" w:cs="Arial"/>
                <w:color w:val="FFFFFF"/>
                <w:sz w:val="20"/>
                <w:szCs w:val="20"/>
                <w:lang w:val="en-AU"/>
              </w:rPr>
              <w:t>MM 5</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6C1C5D86" w14:textId="653F3026">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N/A</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563A2D6C" w14:textId="2D200EAA">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7.0%</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59800DAB" w14:textId="439E20F9">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1.2%</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12BC1BAB" w14:textId="2A945E8C">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6.4%</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74173D7C" w14:textId="1D0C55E7">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7.7%</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2B11E9EB" w14:textId="03ED85B0">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14.6%</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594AA316" w14:textId="67FE7D02">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5.7%</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3AB476FE" w14:textId="4CB3C2E4">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4.2%</w:t>
            </w:r>
          </w:p>
        </w:tc>
      </w:tr>
      <w:tr w:rsidRPr="008D1918" w:rsidR="004D466F" w:rsidTr="007A0CA9" w14:paraId="6826DF28" w14:textId="77777777">
        <w:trPr>
          <w:trHeight w:val="390"/>
        </w:trPr>
        <w:tc>
          <w:tcPr>
            <w:tcW w:w="141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6B2976"/>
            <w:tcMar>
              <w:left w:w="105" w:type="dxa"/>
              <w:right w:w="105" w:type="dxa"/>
            </w:tcMar>
            <w:vAlign w:val="center"/>
          </w:tcPr>
          <w:p w:rsidRPr="008D1918" w:rsidR="02EFBE86" w:rsidP="02EFBE86" w:rsidRDefault="02EFBE86" w14:paraId="50BFE1ED" w14:textId="75E4344D">
            <w:pPr>
              <w:spacing w:after="0" w:line="240" w:lineRule="auto"/>
              <w:jc w:val="center"/>
              <w:rPr>
                <w:rFonts w:eastAsia="Arial" w:cs="Arial"/>
                <w:color w:val="FFFFFF"/>
                <w:sz w:val="20"/>
                <w:szCs w:val="20"/>
                <w:lang w:val="en-AU"/>
              </w:rPr>
            </w:pPr>
            <w:r w:rsidRPr="008D1918">
              <w:rPr>
                <w:rFonts w:eastAsia="Arial" w:cs="Arial"/>
                <w:color w:val="FFFFFF"/>
                <w:sz w:val="20"/>
                <w:szCs w:val="20"/>
                <w:lang w:val="en-AU"/>
              </w:rPr>
              <w:t>MM 6</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72001BFE" w14:textId="4141BB07">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N/A</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0CF8A2A0" w14:textId="75D7BE62">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0.4%</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5726CBA2" w14:textId="19377B84">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23.0%</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6E778733" w14:textId="69E2FE88">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0.9%</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6631C7C2" w14:textId="6FE7BF14">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1.8%</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36B405E5" w14:textId="2AF7F8A2">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1.0%</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20C3BEF7" w14:textId="57078DC4">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0.0%</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61F2D165" w14:textId="4694391B">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2.8%</w:t>
            </w:r>
          </w:p>
        </w:tc>
      </w:tr>
      <w:tr w:rsidRPr="008D1918" w:rsidR="004D466F" w:rsidTr="007A0CA9" w14:paraId="223AB8F1" w14:textId="77777777">
        <w:trPr>
          <w:trHeight w:val="390"/>
        </w:trPr>
        <w:tc>
          <w:tcPr>
            <w:tcW w:w="141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6B2976"/>
            <w:tcMar>
              <w:left w:w="105" w:type="dxa"/>
              <w:right w:w="105" w:type="dxa"/>
            </w:tcMar>
            <w:vAlign w:val="center"/>
          </w:tcPr>
          <w:p w:rsidRPr="008D1918" w:rsidR="02EFBE86" w:rsidP="02EFBE86" w:rsidRDefault="02EFBE86" w14:paraId="47D9CCEE" w14:textId="21A32582">
            <w:pPr>
              <w:spacing w:after="0" w:line="240" w:lineRule="auto"/>
              <w:jc w:val="center"/>
              <w:rPr>
                <w:rFonts w:eastAsia="Arial" w:cs="Arial"/>
                <w:color w:val="FFFFFF"/>
                <w:sz w:val="20"/>
                <w:szCs w:val="20"/>
                <w:lang w:val="en-AU"/>
              </w:rPr>
            </w:pPr>
            <w:r w:rsidRPr="008D1918">
              <w:rPr>
                <w:rFonts w:eastAsia="Arial" w:cs="Arial"/>
                <w:color w:val="FFFFFF"/>
                <w:sz w:val="20"/>
                <w:szCs w:val="20"/>
                <w:lang w:val="en-AU"/>
              </w:rPr>
              <w:t>MM 7</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26B64375" w14:textId="47980C81">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N/A</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191F4803" w14:textId="7372A3D9">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0.0%</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03CD4E12" w14:textId="6EEE0A3D">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20.8%</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480F4740" w14:textId="7BBC1100">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0.9%</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58DFB1B8" w14:textId="3F2D0B0A">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0.7%</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2E55EAF4" w14:textId="25D893BE">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0.2%</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65601170" w14:textId="12FAB36E">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N/A</w:t>
            </w:r>
          </w:p>
        </w:tc>
        <w:tc>
          <w:tcPr>
            <w:tcW w:w="851"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482204" w:rsidRDefault="02EFBE86" w14:paraId="58C0C117" w14:textId="6BE14D4C">
            <w:pPr>
              <w:spacing w:after="0" w:line="240" w:lineRule="auto"/>
              <w:ind w:right="57"/>
              <w:jc w:val="right"/>
              <w:rPr>
                <w:rFonts w:eastAsia="Arial" w:cs="Arial"/>
                <w:color w:val="000000" w:themeColor="accent6"/>
                <w:sz w:val="20"/>
                <w:szCs w:val="20"/>
                <w:lang w:val="en-AU"/>
              </w:rPr>
            </w:pPr>
            <w:r w:rsidRPr="008D1918">
              <w:rPr>
                <w:rStyle w:val="normaltextrun"/>
                <w:rFonts w:eastAsia="Arial" w:cs="Arial"/>
                <w:color w:val="000000"/>
                <w:sz w:val="20"/>
                <w:szCs w:val="20"/>
                <w:lang w:val="en-AU"/>
              </w:rPr>
              <w:t>1.7%</w:t>
            </w:r>
          </w:p>
        </w:tc>
      </w:tr>
      <w:tr w:rsidRPr="008D1918" w:rsidR="00762DF8" w:rsidTr="007A0CA9" w14:paraId="50E7BED0" w14:textId="77777777">
        <w:trPr>
          <w:trHeight w:val="390"/>
        </w:trPr>
        <w:tc>
          <w:tcPr>
            <w:tcW w:w="1410" w:type="dxa"/>
            <w:tcBorders>
              <w:top w:val="double" w:color="6B2876" w:themeColor="accent5"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6B2976"/>
            <w:tcMar>
              <w:left w:w="105" w:type="dxa"/>
              <w:right w:w="105" w:type="dxa"/>
            </w:tcMar>
            <w:vAlign w:val="center"/>
          </w:tcPr>
          <w:p w:rsidRPr="008D1918" w:rsidR="02EFBE86" w:rsidP="02EFBE86" w:rsidRDefault="02EFBE86" w14:paraId="67935282" w14:textId="7AE212F6">
            <w:pPr>
              <w:spacing w:after="0" w:line="240" w:lineRule="auto"/>
              <w:jc w:val="center"/>
              <w:rPr>
                <w:rFonts w:eastAsia="Arial" w:cs="Arial"/>
                <w:b/>
                <w:bCs/>
                <w:color w:val="FFFFFF"/>
                <w:sz w:val="20"/>
                <w:szCs w:val="20"/>
                <w:lang w:val="en-AU"/>
              </w:rPr>
            </w:pPr>
            <w:r w:rsidRPr="008D1918">
              <w:rPr>
                <w:rFonts w:eastAsia="Arial" w:cs="Arial"/>
                <w:b/>
                <w:bCs/>
                <w:color w:val="FFFFFF"/>
                <w:sz w:val="20"/>
                <w:szCs w:val="20"/>
                <w:lang w:val="en-AU"/>
              </w:rPr>
              <w:t>Total</w:t>
            </w:r>
          </w:p>
        </w:tc>
        <w:tc>
          <w:tcPr>
            <w:tcW w:w="851" w:type="dxa"/>
            <w:tcBorders>
              <w:top w:val="double" w:color="6B2876" w:themeColor="accent5"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0341E734" w14:textId="0E4A7334">
            <w:pPr>
              <w:spacing w:after="0" w:line="240" w:lineRule="auto"/>
              <w:ind w:right="57"/>
              <w:jc w:val="right"/>
              <w:rPr>
                <w:rFonts w:eastAsia="Arial" w:cs="Arial"/>
                <w:b/>
                <w:bCs/>
                <w:color w:val="000000" w:themeColor="accent6"/>
                <w:sz w:val="20"/>
                <w:szCs w:val="20"/>
                <w:lang w:val="en-AU"/>
              </w:rPr>
            </w:pPr>
            <w:r w:rsidRPr="008D1918">
              <w:rPr>
                <w:rStyle w:val="normaltextrun"/>
                <w:rFonts w:eastAsia="Arial" w:cs="Arial"/>
                <w:b/>
                <w:color w:val="000000"/>
                <w:sz w:val="20"/>
                <w:szCs w:val="20"/>
                <w:lang w:val="en-AU"/>
              </w:rPr>
              <w:t>100%</w:t>
            </w:r>
          </w:p>
        </w:tc>
        <w:tc>
          <w:tcPr>
            <w:tcW w:w="851" w:type="dxa"/>
            <w:tcBorders>
              <w:top w:val="double" w:color="6B2876" w:themeColor="accent5"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3DC7B010" w14:textId="161CDED6">
            <w:pPr>
              <w:spacing w:after="0" w:line="240" w:lineRule="auto"/>
              <w:ind w:right="57"/>
              <w:jc w:val="right"/>
              <w:rPr>
                <w:rFonts w:eastAsia="Arial" w:cs="Arial"/>
                <w:b/>
                <w:bCs/>
                <w:color w:val="000000" w:themeColor="accent6"/>
                <w:sz w:val="20"/>
                <w:szCs w:val="20"/>
                <w:lang w:val="en-AU"/>
              </w:rPr>
            </w:pPr>
            <w:r w:rsidRPr="008D1918">
              <w:rPr>
                <w:rStyle w:val="normaltextrun"/>
                <w:rFonts w:eastAsia="Arial" w:cs="Arial"/>
                <w:b/>
                <w:color w:val="000000"/>
                <w:sz w:val="20"/>
                <w:szCs w:val="20"/>
                <w:lang w:val="en-AU"/>
              </w:rPr>
              <w:t>100%</w:t>
            </w:r>
          </w:p>
        </w:tc>
        <w:tc>
          <w:tcPr>
            <w:tcW w:w="851" w:type="dxa"/>
            <w:tcBorders>
              <w:top w:val="double" w:color="6B2876" w:themeColor="accent5"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274140C6" w14:textId="79433EF3">
            <w:pPr>
              <w:spacing w:after="0" w:line="240" w:lineRule="auto"/>
              <w:ind w:right="57"/>
              <w:jc w:val="right"/>
              <w:rPr>
                <w:rFonts w:eastAsia="Arial" w:cs="Arial"/>
                <w:b/>
                <w:bCs/>
                <w:color w:val="000000" w:themeColor="accent6"/>
                <w:sz w:val="20"/>
                <w:szCs w:val="20"/>
                <w:lang w:val="en-AU"/>
              </w:rPr>
            </w:pPr>
            <w:r w:rsidRPr="008D1918">
              <w:rPr>
                <w:rStyle w:val="normaltextrun"/>
                <w:rFonts w:eastAsia="Arial" w:cs="Arial"/>
                <w:b/>
                <w:color w:val="000000"/>
                <w:sz w:val="20"/>
                <w:szCs w:val="20"/>
                <w:lang w:val="en-AU"/>
              </w:rPr>
              <w:t>100%</w:t>
            </w:r>
          </w:p>
        </w:tc>
        <w:tc>
          <w:tcPr>
            <w:tcW w:w="851" w:type="dxa"/>
            <w:tcBorders>
              <w:top w:val="double" w:color="6B2876" w:themeColor="accent5"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151185D7" w14:textId="2951E77F">
            <w:pPr>
              <w:spacing w:after="0" w:line="240" w:lineRule="auto"/>
              <w:ind w:right="57"/>
              <w:jc w:val="right"/>
              <w:rPr>
                <w:rFonts w:eastAsia="Arial" w:cs="Arial"/>
                <w:b/>
                <w:bCs/>
                <w:color w:val="000000" w:themeColor="accent6"/>
                <w:sz w:val="20"/>
                <w:szCs w:val="20"/>
                <w:lang w:val="en-AU"/>
              </w:rPr>
            </w:pPr>
            <w:r w:rsidRPr="008D1918">
              <w:rPr>
                <w:rStyle w:val="normaltextrun"/>
                <w:rFonts w:eastAsia="Arial" w:cs="Arial"/>
                <w:b/>
                <w:color w:val="000000"/>
                <w:sz w:val="20"/>
                <w:szCs w:val="20"/>
                <w:lang w:val="en-AU"/>
              </w:rPr>
              <w:t>100%</w:t>
            </w:r>
          </w:p>
        </w:tc>
        <w:tc>
          <w:tcPr>
            <w:tcW w:w="851" w:type="dxa"/>
            <w:tcBorders>
              <w:top w:val="double" w:color="6B2876" w:themeColor="accent5"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083502D0" w14:textId="0D09AAB3">
            <w:pPr>
              <w:spacing w:after="0" w:line="240" w:lineRule="auto"/>
              <w:ind w:right="57"/>
              <w:jc w:val="right"/>
              <w:rPr>
                <w:rFonts w:eastAsia="Arial" w:cs="Arial"/>
                <w:b/>
                <w:bCs/>
                <w:color w:val="000000" w:themeColor="accent6"/>
                <w:sz w:val="20"/>
                <w:szCs w:val="20"/>
                <w:lang w:val="en-AU"/>
              </w:rPr>
            </w:pPr>
            <w:r w:rsidRPr="008D1918">
              <w:rPr>
                <w:rStyle w:val="normaltextrun"/>
                <w:rFonts w:eastAsia="Arial" w:cs="Arial"/>
                <w:b/>
                <w:color w:val="000000"/>
                <w:sz w:val="20"/>
                <w:szCs w:val="20"/>
                <w:lang w:val="en-AU"/>
              </w:rPr>
              <w:t>100%</w:t>
            </w:r>
          </w:p>
        </w:tc>
        <w:tc>
          <w:tcPr>
            <w:tcW w:w="851" w:type="dxa"/>
            <w:tcBorders>
              <w:top w:val="double" w:color="6B2876" w:themeColor="accent5"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7F418DF5" w14:textId="01A026EE">
            <w:pPr>
              <w:spacing w:after="0" w:line="240" w:lineRule="auto"/>
              <w:ind w:right="57"/>
              <w:jc w:val="right"/>
              <w:rPr>
                <w:rFonts w:eastAsia="Arial" w:cs="Arial"/>
                <w:b/>
                <w:bCs/>
                <w:color w:val="000000" w:themeColor="accent6"/>
                <w:sz w:val="20"/>
                <w:szCs w:val="20"/>
                <w:lang w:val="en-AU"/>
              </w:rPr>
            </w:pPr>
            <w:r w:rsidRPr="008D1918">
              <w:rPr>
                <w:rStyle w:val="normaltextrun"/>
                <w:rFonts w:eastAsia="Arial" w:cs="Arial"/>
                <w:b/>
                <w:color w:val="000000"/>
                <w:sz w:val="20"/>
                <w:szCs w:val="20"/>
                <w:lang w:val="en-AU"/>
              </w:rPr>
              <w:t>100%</w:t>
            </w:r>
          </w:p>
        </w:tc>
        <w:tc>
          <w:tcPr>
            <w:tcW w:w="851" w:type="dxa"/>
            <w:tcBorders>
              <w:top w:val="double" w:color="6B2876" w:themeColor="accent5"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33BE8C3F" w14:textId="3B2EE155">
            <w:pPr>
              <w:spacing w:after="0" w:line="240" w:lineRule="auto"/>
              <w:ind w:right="57"/>
              <w:jc w:val="right"/>
              <w:rPr>
                <w:rFonts w:eastAsia="Arial" w:cs="Arial"/>
                <w:b/>
                <w:bCs/>
                <w:color w:val="000000" w:themeColor="accent6"/>
                <w:sz w:val="20"/>
                <w:szCs w:val="20"/>
                <w:lang w:val="en-AU"/>
              </w:rPr>
            </w:pPr>
            <w:r w:rsidRPr="008D1918">
              <w:rPr>
                <w:rStyle w:val="normaltextrun"/>
                <w:rFonts w:eastAsia="Arial" w:cs="Arial"/>
                <w:b/>
                <w:color w:val="000000"/>
                <w:sz w:val="20"/>
                <w:szCs w:val="20"/>
                <w:lang w:val="en-AU"/>
              </w:rPr>
              <w:t>100%</w:t>
            </w:r>
          </w:p>
        </w:tc>
        <w:tc>
          <w:tcPr>
            <w:tcW w:w="851" w:type="dxa"/>
            <w:tcBorders>
              <w:top w:val="double" w:color="6B2876" w:themeColor="accent5"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482204" w:rsidRDefault="02EFBE86" w14:paraId="079082F7" w14:textId="4880E299">
            <w:pPr>
              <w:spacing w:after="0" w:line="240" w:lineRule="auto"/>
              <w:ind w:right="57"/>
              <w:jc w:val="right"/>
              <w:rPr>
                <w:rFonts w:eastAsia="Arial" w:cs="Arial"/>
                <w:b/>
                <w:bCs/>
                <w:color w:val="000000" w:themeColor="accent6"/>
                <w:sz w:val="20"/>
                <w:szCs w:val="20"/>
                <w:lang w:val="en-AU"/>
              </w:rPr>
            </w:pPr>
            <w:r w:rsidRPr="008D1918">
              <w:rPr>
                <w:rStyle w:val="normaltextrun"/>
                <w:rFonts w:eastAsia="Arial" w:cs="Arial"/>
                <w:b/>
                <w:color w:val="000000"/>
                <w:sz w:val="20"/>
                <w:szCs w:val="20"/>
                <w:lang w:val="en-AU"/>
              </w:rPr>
              <w:t>100%</w:t>
            </w:r>
          </w:p>
        </w:tc>
      </w:tr>
    </w:tbl>
    <w:p w:rsidRPr="008D1918" w:rsidR="1B9EBD19" w:rsidP="00363EAB" w:rsidRDefault="1B9EBD19" w14:paraId="0625FA99" w14:textId="759CCC71">
      <w:pPr>
        <w:tabs>
          <w:tab w:val="left" w:pos="1795"/>
        </w:tabs>
        <w:spacing w:before="120" w:line="276" w:lineRule="auto"/>
        <w:rPr>
          <w:rFonts w:eastAsia="Arial" w:cs="Arial"/>
          <w:color w:val="000000" w:themeColor="accent6"/>
          <w:sz w:val="20"/>
          <w:szCs w:val="20"/>
          <w:lang w:val="en-AU"/>
        </w:rPr>
      </w:pPr>
      <w:r w:rsidRPr="008D1918">
        <w:rPr>
          <w:rFonts w:eastAsia="Arial" w:cs="Arial"/>
          <w:b/>
          <w:bCs/>
          <w:color w:val="000000" w:themeColor="accent6"/>
          <w:sz w:val="20"/>
          <w:szCs w:val="20"/>
          <w:lang w:val="en-AU"/>
        </w:rPr>
        <w:t>Source: NDIS internal administrative data</w:t>
      </w:r>
    </w:p>
    <w:p w:rsidRPr="008D1918" w:rsidR="1B9EBD19" w:rsidP="008C5409" w:rsidRDefault="1B9EBD19" w14:paraId="2BF86416" w14:textId="7922B09E">
      <w:pPr>
        <w:rPr>
          <w:rFonts w:eastAsia="Arial" w:cs="Arial"/>
          <w:color w:val="000000" w:themeColor="accent6"/>
          <w:lang w:val="en-AU"/>
        </w:rPr>
      </w:pPr>
      <w:r w:rsidRPr="008D1918">
        <w:rPr>
          <w:rFonts w:eastAsia="Arial" w:cs="Arial"/>
          <w:color w:val="000000" w:themeColor="accent6"/>
          <w:lang w:val="en-AU"/>
        </w:rPr>
        <w:t xml:space="preserve">Plan </w:t>
      </w:r>
      <w:r w:rsidRPr="008D1918" w:rsidR="00195D30">
        <w:rPr>
          <w:rFonts w:eastAsia="Arial" w:cs="Arial"/>
          <w:color w:val="000000" w:themeColor="accent6"/>
          <w:lang w:val="en-AU"/>
        </w:rPr>
        <w:t xml:space="preserve">use </w:t>
      </w:r>
      <w:r w:rsidRPr="008D1918">
        <w:rPr>
          <w:rFonts w:eastAsia="Arial" w:cs="Arial"/>
          <w:color w:val="000000" w:themeColor="accent6"/>
          <w:lang w:val="en-AU"/>
        </w:rPr>
        <w:t xml:space="preserve">(how much of their plan a participant spends) is a useful partial indicator of the extent to which the market is functioning and able to meet the needs of participants. This indicator was widely supported by stakeholders as an indicator of thin markets. </w:t>
      </w:r>
    </w:p>
    <w:p w:rsidRPr="008D1918" w:rsidR="1B9EBD19" w:rsidP="008C5409" w:rsidRDefault="001A7C5E" w14:paraId="663442E5" w14:textId="24034C9C">
      <w:pPr>
        <w:rPr>
          <w:rFonts w:eastAsia="Arial" w:cs="Arial"/>
          <w:color w:val="000000" w:themeColor="accent6"/>
          <w:lang w:val="en-AU"/>
        </w:rPr>
      </w:pPr>
      <w:r w:rsidRPr="008D1918">
        <w:rPr>
          <w:rFonts w:eastAsia="Arial" w:cs="Arial"/>
          <w:color w:val="000000" w:themeColor="accent6"/>
          <w:lang w:val="en-AU"/>
        </w:rPr>
        <w:fldChar w:fldCharType="begin"/>
      </w:r>
      <w:r w:rsidRPr="008D1918">
        <w:rPr>
          <w:rFonts w:eastAsia="Arial" w:cs="Arial"/>
          <w:color w:val="000000" w:themeColor="accent6"/>
          <w:lang w:val="en-AU"/>
        </w:rPr>
        <w:instrText xml:space="preserve"> REF _Ref223697474 \h </w:instrText>
      </w:r>
      <w:r w:rsidRPr="008D1918" w:rsidR="00762DF8">
        <w:rPr>
          <w:rFonts w:eastAsia="Arial" w:cs="Arial"/>
          <w:color w:val="000000" w:themeColor="accent6"/>
          <w:lang w:val="en-AU"/>
        </w:rPr>
        <w:instrText xml:space="preserve"> \* MERGEFORMAT </w:instrText>
      </w:r>
      <w:r w:rsidRPr="008D1918">
        <w:rPr>
          <w:rFonts w:eastAsia="Arial" w:cs="Arial"/>
          <w:color w:val="000000" w:themeColor="accent6"/>
          <w:lang w:val="en-AU"/>
        </w:rPr>
      </w:r>
      <w:r w:rsidRPr="008D1918">
        <w:rPr>
          <w:rFonts w:eastAsia="Arial" w:cs="Arial"/>
          <w:color w:val="000000" w:themeColor="accent6"/>
          <w:lang w:val="en-AU"/>
        </w:rPr>
        <w:fldChar w:fldCharType="separate"/>
      </w:r>
      <w:r w:rsidRPr="008F56A2" w:rsidR="008F56A2">
        <w:rPr>
          <w:lang w:val="en-AU"/>
        </w:rPr>
        <w:t>Table</w:t>
      </w:r>
      <w:r w:rsidRPr="008D1918" w:rsidR="008F56A2">
        <w:t xml:space="preserve"> </w:t>
      </w:r>
      <w:r w:rsidR="008F56A2">
        <w:rPr>
          <w:noProof/>
        </w:rPr>
        <w:t>54</w:t>
      </w:r>
      <w:r w:rsidRPr="008D1918">
        <w:rPr>
          <w:rFonts w:eastAsia="Arial" w:cs="Arial"/>
          <w:color w:val="000000" w:themeColor="accent6"/>
          <w:lang w:val="en-AU"/>
        </w:rPr>
        <w:fldChar w:fldCharType="end"/>
      </w:r>
      <w:r w:rsidRPr="008D1918" w:rsidR="1B9EBD19">
        <w:rPr>
          <w:rFonts w:eastAsia="Arial" w:cs="Arial"/>
          <w:color w:val="000000" w:themeColor="accent6"/>
          <w:lang w:val="en-AU"/>
        </w:rPr>
        <w:t xml:space="preserve"> compares total plan </w:t>
      </w:r>
      <w:r w:rsidRPr="008D1918" w:rsidR="00B567D0">
        <w:rPr>
          <w:rFonts w:eastAsia="Arial" w:cs="Arial"/>
          <w:color w:val="000000" w:themeColor="accent6"/>
          <w:lang w:val="en-AU"/>
        </w:rPr>
        <w:t xml:space="preserve">use </w:t>
      </w:r>
      <w:r w:rsidRPr="008D1918" w:rsidR="1B9EBD19">
        <w:rPr>
          <w:rFonts w:eastAsia="Arial" w:cs="Arial"/>
          <w:color w:val="000000" w:themeColor="accent6"/>
          <w:lang w:val="en-AU"/>
        </w:rPr>
        <w:t>across M</w:t>
      </w:r>
      <w:r w:rsidRPr="008D1918" w:rsidR="00E43DDB">
        <w:rPr>
          <w:rFonts w:eastAsia="Arial" w:cs="Arial"/>
          <w:color w:val="000000" w:themeColor="accent6"/>
          <w:lang w:val="en-AU"/>
        </w:rPr>
        <w:t>M</w:t>
      </w:r>
      <w:r w:rsidRPr="008D1918" w:rsidR="1B9EBD19">
        <w:rPr>
          <w:rFonts w:eastAsia="Arial" w:cs="Arial"/>
          <w:color w:val="000000" w:themeColor="accent6"/>
          <w:lang w:val="en-AU"/>
        </w:rPr>
        <w:t xml:space="preserve"> </w:t>
      </w:r>
      <w:r w:rsidRPr="008D1918" w:rsidR="000323AB">
        <w:rPr>
          <w:rFonts w:eastAsia="Arial" w:cs="Arial"/>
          <w:color w:val="000000" w:themeColor="accent6"/>
          <w:lang w:val="en-AU"/>
        </w:rPr>
        <w:t>categories</w:t>
      </w:r>
      <w:r w:rsidRPr="008D1918" w:rsidR="1B9EBD19">
        <w:rPr>
          <w:rFonts w:eastAsia="Arial" w:cs="Arial"/>
          <w:color w:val="000000" w:themeColor="accent6"/>
          <w:lang w:val="en-AU"/>
        </w:rPr>
        <w:t xml:space="preserve"> from 2019 to 2025, with increases noted across all areas since 2019. The most significant increase in plan </w:t>
      </w:r>
      <w:r w:rsidRPr="008D1918" w:rsidR="00B567D0">
        <w:rPr>
          <w:rFonts w:eastAsia="Arial" w:cs="Arial"/>
          <w:color w:val="000000" w:themeColor="accent6"/>
          <w:lang w:val="en-AU"/>
        </w:rPr>
        <w:t xml:space="preserve">use </w:t>
      </w:r>
      <w:r w:rsidRPr="008D1918" w:rsidR="1B9EBD19">
        <w:rPr>
          <w:rFonts w:eastAsia="Arial" w:cs="Arial"/>
          <w:color w:val="000000" w:themeColor="accent6"/>
          <w:lang w:val="en-AU"/>
        </w:rPr>
        <w:t xml:space="preserve">since 2021 was in very remote areas (21.6%), with remote areas also experiencing a 5.7% increase. It is likely this is the effect of both the remote and very remote areas loadings (40% and 50% respectively) applied for pricing and planning purposes, along with non-pricing interventions, such as coordinated funding proposals, that NDIA has facilitated in these areas. </w:t>
      </w:r>
    </w:p>
    <w:p w:rsidRPr="008D1918" w:rsidR="1B9EBD19" w:rsidP="008C5409" w:rsidRDefault="1B9EBD19" w14:paraId="25D5CABE" w14:textId="5501D384">
      <w:pPr>
        <w:rPr>
          <w:rFonts w:eastAsia="Arial" w:cs="Arial"/>
          <w:color w:val="000000" w:themeColor="accent6"/>
          <w:lang w:val="en-AU"/>
        </w:rPr>
      </w:pPr>
      <w:r w:rsidRPr="008D1918">
        <w:rPr>
          <w:rFonts w:eastAsia="Arial" w:cs="Arial"/>
          <w:color w:val="000000" w:themeColor="accent6"/>
          <w:lang w:val="en-AU"/>
        </w:rPr>
        <w:t xml:space="preserve">Whilst plan </w:t>
      </w:r>
      <w:r w:rsidRPr="008D1918" w:rsidR="00B567D0">
        <w:rPr>
          <w:rFonts w:eastAsia="Arial" w:cs="Arial"/>
          <w:color w:val="000000" w:themeColor="accent6"/>
          <w:lang w:val="en-AU"/>
        </w:rPr>
        <w:t xml:space="preserve">use </w:t>
      </w:r>
      <w:r w:rsidRPr="008D1918">
        <w:rPr>
          <w:rFonts w:eastAsia="Arial" w:cs="Arial"/>
          <w:color w:val="000000" w:themeColor="accent6"/>
          <w:lang w:val="en-AU"/>
        </w:rPr>
        <w:t>in M</w:t>
      </w:r>
      <w:r w:rsidRPr="008D1918" w:rsidR="00E43DDB">
        <w:rPr>
          <w:rFonts w:eastAsia="Arial" w:cs="Arial"/>
          <w:color w:val="000000" w:themeColor="accent6"/>
          <w:lang w:val="en-AU"/>
        </w:rPr>
        <w:t>M</w:t>
      </w:r>
      <w:r w:rsidRPr="008D1918" w:rsidR="008C5409">
        <w:rPr>
          <w:rFonts w:eastAsia="Arial" w:cs="Arial"/>
          <w:color w:val="000000" w:themeColor="accent6"/>
          <w:lang w:val="en-AU"/>
        </w:rPr>
        <w:t> </w:t>
      </w:r>
      <w:r w:rsidRPr="008D1918">
        <w:rPr>
          <w:rFonts w:eastAsia="Arial" w:cs="Arial"/>
          <w:color w:val="000000" w:themeColor="accent6"/>
          <w:lang w:val="en-AU"/>
        </w:rPr>
        <w:t>5 has increased since 2019, it has only marginally increased since 2021 (0.7%) and as of June 2025, is lower than remote areas (67% compared to 71%). This trend has been confirmed through stakeholder consultation, with MM</w:t>
      </w:r>
      <w:r w:rsidRPr="008D1918" w:rsidR="008C5409">
        <w:rPr>
          <w:rFonts w:eastAsia="Arial" w:cs="Arial"/>
          <w:color w:val="000000" w:themeColor="accent6"/>
          <w:lang w:val="en-AU"/>
        </w:rPr>
        <w:t> </w:t>
      </w:r>
      <w:r w:rsidRPr="008D1918">
        <w:rPr>
          <w:rFonts w:eastAsia="Arial" w:cs="Arial"/>
          <w:color w:val="000000" w:themeColor="accent6"/>
          <w:lang w:val="en-AU"/>
        </w:rPr>
        <w:t>4 and MM</w:t>
      </w:r>
      <w:r w:rsidRPr="008D1918" w:rsidR="008C5409">
        <w:rPr>
          <w:rFonts w:eastAsia="Arial" w:cs="Arial"/>
          <w:color w:val="000000" w:themeColor="accent6"/>
          <w:lang w:val="en-AU"/>
        </w:rPr>
        <w:t> </w:t>
      </w:r>
      <w:r w:rsidRPr="008D1918">
        <w:rPr>
          <w:rFonts w:eastAsia="Arial" w:cs="Arial"/>
          <w:color w:val="000000" w:themeColor="accent6"/>
          <w:lang w:val="en-AU"/>
        </w:rPr>
        <w:t>5 locations identified as key areas of concern.</w:t>
      </w:r>
    </w:p>
    <w:p w:rsidRPr="008D1918" w:rsidR="1B9EBD19" w:rsidP="008C5409" w:rsidRDefault="1B9EBD19" w14:paraId="69913C98" w14:textId="2F6CE7E1">
      <w:pPr>
        <w:rPr>
          <w:rFonts w:eastAsia="Arial" w:cs="Arial"/>
          <w:color w:val="000000" w:themeColor="accent6"/>
          <w:lang w:val="en-AU"/>
        </w:rPr>
      </w:pPr>
      <w:r w:rsidRPr="008D1918">
        <w:rPr>
          <w:rFonts w:eastAsia="Arial" w:cs="Arial"/>
          <w:color w:val="000000" w:themeColor="accent6"/>
          <w:lang w:val="en-AU"/>
        </w:rPr>
        <w:t xml:space="preserve">The overall national plan </w:t>
      </w:r>
      <w:r w:rsidRPr="008D1918" w:rsidR="00B567D0">
        <w:rPr>
          <w:rFonts w:eastAsia="Arial" w:cs="Arial"/>
          <w:color w:val="000000" w:themeColor="accent6"/>
          <w:lang w:val="en-AU"/>
        </w:rPr>
        <w:t xml:space="preserve">use </w:t>
      </w:r>
      <w:r w:rsidR="0045381C">
        <w:rPr>
          <w:rFonts w:eastAsia="Arial" w:cs="Arial"/>
          <w:color w:val="000000" w:themeColor="accent6"/>
          <w:lang w:val="en-AU"/>
        </w:rPr>
        <w:t xml:space="preserve">rate </w:t>
      </w:r>
      <w:r w:rsidRPr="008D1918">
        <w:rPr>
          <w:rFonts w:eastAsia="Arial" w:cs="Arial"/>
          <w:color w:val="000000" w:themeColor="accent6"/>
          <w:lang w:val="en-AU"/>
        </w:rPr>
        <w:t>is 76%.</w:t>
      </w:r>
    </w:p>
    <w:p w:rsidRPr="008D1918" w:rsidR="1B9EBD19" w:rsidP="001A7C5E" w:rsidRDefault="001A7C5E" w14:paraId="00D51938" w14:textId="298497D1">
      <w:pPr>
        <w:pStyle w:val="Caption"/>
        <w:rPr>
          <w:rFonts w:eastAsia="Arial" w:cs="Arial"/>
          <w:color w:val="6B2876" w:themeColor="accent5"/>
        </w:rPr>
      </w:pPr>
      <w:bookmarkStart w:name="_Ref223697474" w:id="2264"/>
      <w:r w:rsidRPr="008D1918">
        <w:t xml:space="preserve">Table </w:t>
      </w:r>
      <w:r>
        <w:fldChar w:fldCharType="begin"/>
      </w:r>
      <w:r>
        <w:instrText>SEQ Table \* ARABIC</w:instrText>
      </w:r>
      <w:r>
        <w:fldChar w:fldCharType="separate"/>
      </w:r>
      <w:r w:rsidR="008F56A2">
        <w:rPr>
          <w:noProof/>
        </w:rPr>
        <w:t>54</w:t>
      </w:r>
      <w:r>
        <w:fldChar w:fldCharType="end"/>
      </w:r>
      <w:bookmarkEnd w:id="2264"/>
      <w:r w:rsidRPr="008D1918" w:rsidR="1B9EBD19">
        <w:rPr>
          <w:rFonts w:eastAsia="Arial" w:cs="Arial"/>
          <w:color w:val="6B2876" w:themeColor="accent5"/>
        </w:rPr>
        <w:t xml:space="preserve">: Comparison of total plan </w:t>
      </w:r>
      <w:r w:rsidRPr="008D1918" w:rsidR="00B567D0">
        <w:rPr>
          <w:rFonts w:eastAsia="Arial" w:cs="Arial"/>
          <w:color w:val="6B2876" w:themeColor="accent5"/>
        </w:rPr>
        <w:t xml:space="preserve">use </w:t>
      </w:r>
      <w:r w:rsidRPr="008D1918" w:rsidR="1B9EBD19">
        <w:rPr>
          <w:rFonts w:eastAsia="Arial" w:cs="Arial"/>
          <w:color w:val="6B2876" w:themeColor="accent5"/>
        </w:rPr>
        <w:t xml:space="preserve">by MM </w:t>
      </w:r>
      <w:r w:rsidRPr="008D1918" w:rsidR="009A3014">
        <w:rPr>
          <w:rFonts w:eastAsia="Arial" w:cs="Arial"/>
          <w:color w:val="6B2876" w:themeColor="accent5"/>
        </w:rPr>
        <w:t>category</w:t>
      </w:r>
      <w:r w:rsidRPr="008D1918" w:rsidR="00423B7D">
        <w:rPr>
          <w:rFonts w:eastAsia="Arial" w:cs="Arial"/>
          <w:color w:val="6B2876" w:themeColor="accent5"/>
        </w:rPr>
        <w:t>,</w:t>
      </w:r>
      <w:r w:rsidRPr="008D1918" w:rsidR="1B9EBD19">
        <w:rPr>
          <w:rFonts w:eastAsia="Arial" w:cs="Arial"/>
          <w:color w:val="6B2876" w:themeColor="accent5"/>
        </w:rPr>
        <w:t xml:space="preserve"> 2019 to 2025</w:t>
      </w:r>
    </w:p>
    <w:tbl>
      <w:tblPr>
        <w:tblStyle w:val="GridTable4-Accent121"/>
        <w:tblW w:w="0" w:type="auto"/>
        <w:tblInd w:w="-8"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418"/>
        <w:gridCol w:w="1418"/>
        <w:gridCol w:w="1418"/>
        <w:gridCol w:w="1418"/>
        <w:gridCol w:w="1644"/>
        <w:gridCol w:w="1644"/>
      </w:tblGrid>
      <w:tr w:rsidRPr="008D1918" w:rsidR="00173A73" w:rsidTr="007F2C25" w14:paraId="0AF683BB"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1418" w:type="dxa"/>
            <w:tcBorders>
              <w:top w:val="single" w:color="501E58" w:sz="6" w:space="0"/>
              <w:left w:val="single" w:color="501E58" w:sz="6" w:space="0"/>
              <w:bottom w:val="single" w:color="501E58" w:sz="6" w:space="0"/>
              <w:right w:val="single" w:color="501E58" w:sz="6" w:space="0"/>
            </w:tcBorders>
            <w:vAlign w:val="center"/>
          </w:tcPr>
          <w:p w:rsidRPr="008D1918" w:rsidR="00482204" w:rsidP="007F2C25" w:rsidRDefault="00482204" w14:paraId="26AF4F2A" w14:textId="4194458D">
            <w:pPr>
              <w:spacing w:before="0" w:after="0" w:line="240" w:lineRule="auto"/>
              <w:jc w:val="center"/>
              <w:rPr>
                <w:rFonts w:eastAsia="Arial" w:cs="Times New Roman"/>
                <w:color w:val="FFFFFF"/>
                <w:sz w:val="20"/>
                <w:szCs w:val="20"/>
                <w:lang w:val="en-AU"/>
              </w:rPr>
            </w:pPr>
            <w:r w:rsidRPr="008D1918">
              <w:rPr>
                <w:rFonts w:eastAsia="Arial"/>
                <w:color w:val="FFFFFF"/>
                <w:sz w:val="20"/>
                <w:szCs w:val="20"/>
                <w:lang w:val="en-AU"/>
              </w:rPr>
              <w:t xml:space="preserve">MM </w:t>
            </w:r>
            <w:r w:rsidRPr="008D1918" w:rsidR="00B97DAC">
              <w:rPr>
                <w:rFonts w:eastAsia="Arial"/>
                <w:color w:val="FFFFFF"/>
                <w:sz w:val="20"/>
                <w:szCs w:val="20"/>
                <w:lang w:val="en-AU"/>
              </w:rPr>
              <w:t>category</w:t>
            </w:r>
          </w:p>
        </w:tc>
        <w:tc>
          <w:tcPr>
            <w:tcW w:w="1418" w:type="dxa"/>
            <w:tcBorders>
              <w:top w:val="single" w:color="501E58" w:sz="6" w:space="0"/>
              <w:left w:val="single" w:color="501E58" w:sz="6" w:space="0"/>
              <w:bottom w:val="single" w:color="501E58" w:sz="6" w:space="0"/>
              <w:right w:val="single" w:color="501E58" w:sz="6" w:space="0"/>
            </w:tcBorders>
            <w:vAlign w:val="center"/>
          </w:tcPr>
          <w:p w:rsidRPr="008D1918" w:rsidR="00B125F3" w:rsidP="007F2C25" w:rsidRDefault="00B125F3" w14:paraId="54504C48" w14:textId="6A425E60">
            <w:pPr>
              <w:spacing w:after="0" w:line="240" w:lineRule="auto"/>
              <w:jc w:val="center"/>
              <w:rPr>
                <w:rFonts w:eastAsia="Arial" w:cs="Times New Roman"/>
                <w:color w:val="FFFFFF"/>
                <w:sz w:val="20"/>
                <w:szCs w:val="20"/>
                <w:lang w:val="en-AU"/>
              </w:rPr>
            </w:pPr>
            <w:r w:rsidRPr="008D1918">
              <w:rPr>
                <w:rFonts w:eastAsia="Arial" w:cs="Times New Roman"/>
                <w:color w:val="FFFFFF"/>
                <w:sz w:val="20"/>
                <w:szCs w:val="20"/>
                <w:lang w:val="en-AU"/>
              </w:rPr>
              <w:t>Utilisation</w:t>
            </w:r>
            <w:r w:rsidRPr="008D1918" w:rsidR="007F2C25">
              <w:rPr>
                <w:rFonts w:eastAsia="Arial" w:cs="Times New Roman"/>
                <w:color w:val="FFFFFF"/>
                <w:sz w:val="20"/>
                <w:szCs w:val="20"/>
                <w:lang w:val="en-AU"/>
              </w:rPr>
              <w:t xml:space="preserve"> </w:t>
            </w:r>
            <w:r w:rsidRPr="008D1918">
              <w:rPr>
                <w:rFonts w:eastAsia="Arial" w:cs="Times New Roman"/>
                <w:color w:val="FFFFFF"/>
                <w:sz w:val="20"/>
                <w:szCs w:val="20"/>
                <w:lang w:val="en-AU"/>
              </w:rPr>
              <w:t>June</w:t>
            </w:r>
          </w:p>
          <w:p w:rsidRPr="008D1918" w:rsidR="00482204" w:rsidP="007F2C25" w:rsidRDefault="00482204" w14:paraId="2E7CC537" w14:textId="17D27EF1">
            <w:pPr>
              <w:spacing w:before="0" w:after="0" w:line="240" w:lineRule="auto"/>
              <w:jc w:val="center"/>
              <w:rPr>
                <w:rFonts w:eastAsia="Arial" w:cs="Times New Roman"/>
                <w:color w:val="FFFFFF"/>
                <w:sz w:val="20"/>
                <w:szCs w:val="20"/>
                <w:lang w:val="en-AU"/>
              </w:rPr>
            </w:pPr>
            <w:r w:rsidRPr="008D1918">
              <w:rPr>
                <w:rFonts w:eastAsia="Arial"/>
                <w:color w:val="FFFFFF"/>
                <w:sz w:val="20"/>
                <w:szCs w:val="20"/>
                <w:lang w:val="en-AU"/>
              </w:rPr>
              <w:t>2019</w:t>
            </w:r>
          </w:p>
        </w:tc>
        <w:tc>
          <w:tcPr>
            <w:tcW w:w="1418" w:type="dxa"/>
            <w:tcBorders>
              <w:top w:val="single" w:color="501E58" w:sz="6" w:space="0"/>
              <w:left w:val="single" w:color="501E58" w:sz="6" w:space="0"/>
              <w:bottom w:val="single" w:color="501E58" w:sz="6" w:space="0"/>
              <w:right w:val="single" w:color="501E58" w:sz="6" w:space="0"/>
            </w:tcBorders>
            <w:vAlign w:val="center"/>
          </w:tcPr>
          <w:p w:rsidRPr="008D1918" w:rsidR="00482204" w:rsidP="007F2C25" w:rsidRDefault="00482204" w14:paraId="03A6A959" w14:textId="75109289">
            <w:pPr>
              <w:spacing w:before="0" w:after="0" w:line="240" w:lineRule="auto"/>
              <w:jc w:val="center"/>
              <w:rPr>
                <w:rFonts w:eastAsia="Arial" w:cs="Times New Roman"/>
                <w:color w:val="FFFFFF"/>
                <w:sz w:val="20"/>
                <w:szCs w:val="20"/>
                <w:lang w:val="en-AU"/>
              </w:rPr>
            </w:pPr>
            <w:r w:rsidRPr="008D1918">
              <w:rPr>
                <w:rFonts w:eastAsia="Arial"/>
                <w:color w:val="FFFFFF"/>
                <w:sz w:val="20"/>
                <w:szCs w:val="20"/>
                <w:lang w:val="en-AU"/>
              </w:rPr>
              <w:t>Utilisation December 2021</w:t>
            </w:r>
          </w:p>
        </w:tc>
        <w:tc>
          <w:tcPr>
            <w:tcW w:w="1418" w:type="dxa"/>
            <w:tcBorders>
              <w:top w:val="single" w:color="501E58" w:sz="6" w:space="0"/>
              <w:left w:val="single" w:color="501E58" w:sz="6" w:space="0"/>
              <w:bottom w:val="single" w:color="501E58" w:sz="6" w:space="0"/>
              <w:right w:val="single" w:color="501E58" w:sz="6" w:space="0"/>
            </w:tcBorders>
            <w:vAlign w:val="center"/>
          </w:tcPr>
          <w:p w:rsidRPr="008D1918" w:rsidR="007F2C25" w:rsidP="007F2C25" w:rsidRDefault="00B125F3" w14:paraId="635BB0A0" w14:textId="77777777">
            <w:pPr>
              <w:spacing w:after="0" w:line="240" w:lineRule="auto"/>
              <w:jc w:val="center"/>
              <w:rPr>
                <w:rFonts w:eastAsia="Arial" w:cs="Times New Roman"/>
                <w:b w:val="0"/>
                <w:bCs w:val="0"/>
                <w:color w:val="FFFFFF"/>
                <w:sz w:val="20"/>
                <w:szCs w:val="20"/>
                <w:lang w:val="en-AU"/>
              </w:rPr>
            </w:pPr>
            <w:r w:rsidRPr="008D1918">
              <w:rPr>
                <w:rFonts w:eastAsia="Arial" w:cs="Times New Roman"/>
                <w:color w:val="FFFFFF"/>
                <w:sz w:val="20"/>
                <w:szCs w:val="20"/>
                <w:lang w:val="en-AU"/>
              </w:rPr>
              <w:t>Utilisation</w:t>
            </w:r>
            <w:r w:rsidRPr="008D1918" w:rsidR="007F2C25">
              <w:rPr>
                <w:rFonts w:eastAsia="Arial" w:cs="Times New Roman"/>
                <w:color w:val="FFFFFF"/>
                <w:sz w:val="20"/>
                <w:szCs w:val="20"/>
                <w:lang w:val="en-AU"/>
              </w:rPr>
              <w:t xml:space="preserve"> </w:t>
            </w:r>
            <w:r w:rsidRPr="008D1918">
              <w:rPr>
                <w:rFonts w:eastAsia="Arial" w:cs="Times New Roman"/>
                <w:color w:val="FFFFFF"/>
                <w:sz w:val="20"/>
                <w:szCs w:val="20"/>
                <w:lang w:val="en-AU"/>
              </w:rPr>
              <w:t>June</w:t>
            </w:r>
          </w:p>
          <w:p w:rsidRPr="008D1918" w:rsidR="00482204" w:rsidP="007F2C25" w:rsidRDefault="00482204" w14:paraId="2BBB710F" w14:textId="4F93D2F3">
            <w:pPr>
              <w:spacing w:after="0" w:line="240" w:lineRule="auto"/>
              <w:jc w:val="center"/>
              <w:rPr>
                <w:rFonts w:eastAsia="Arial" w:cs="Times New Roman"/>
                <w:color w:val="FFFFFF"/>
                <w:sz w:val="20"/>
                <w:szCs w:val="20"/>
                <w:lang w:val="en-AU"/>
              </w:rPr>
            </w:pPr>
            <w:r w:rsidRPr="008D1918">
              <w:rPr>
                <w:rFonts w:eastAsia="Arial"/>
                <w:color w:val="FFFFFF"/>
                <w:sz w:val="20"/>
                <w:szCs w:val="20"/>
                <w:lang w:val="en-AU"/>
              </w:rPr>
              <w:t>2025</w:t>
            </w:r>
          </w:p>
        </w:tc>
        <w:tc>
          <w:tcPr>
            <w:tcW w:w="1644" w:type="dxa"/>
            <w:tcBorders>
              <w:top w:val="single" w:color="501E58" w:sz="6" w:space="0"/>
              <w:left w:val="single" w:color="501E58" w:sz="6" w:space="0"/>
              <w:bottom w:val="single" w:color="501E58" w:sz="6" w:space="0"/>
              <w:right w:val="single" w:color="501E58" w:sz="6" w:space="0"/>
            </w:tcBorders>
            <w:vAlign w:val="center"/>
          </w:tcPr>
          <w:p w:rsidRPr="008D1918" w:rsidR="00482204" w:rsidP="007F2C25" w:rsidRDefault="00482204" w14:paraId="50ED08FE" w14:textId="0F2B846F">
            <w:pPr>
              <w:spacing w:before="0" w:after="0" w:line="240" w:lineRule="auto"/>
              <w:jc w:val="center"/>
              <w:rPr>
                <w:rFonts w:eastAsia="Arial" w:cs="Times New Roman"/>
                <w:color w:val="FFFFFF"/>
                <w:sz w:val="20"/>
                <w:szCs w:val="20"/>
                <w:lang w:val="en-AU"/>
              </w:rPr>
            </w:pPr>
            <w:r w:rsidRPr="008D1918">
              <w:rPr>
                <w:rFonts w:eastAsia="Arial"/>
                <w:color w:val="FFFFFF"/>
                <w:sz w:val="20"/>
                <w:szCs w:val="20"/>
                <w:lang w:val="en-AU"/>
              </w:rPr>
              <w:t>Increase in utilisation (%) since 2019</w:t>
            </w:r>
          </w:p>
        </w:tc>
        <w:tc>
          <w:tcPr>
            <w:tcW w:w="1644" w:type="dxa"/>
            <w:tcBorders>
              <w:top w:val="single" w:color="501E58" w:sz="6" w:space="0"/>
              <w:left w:val="single" w:color="501E58" w:sz="6" w:space="0"/>
              <w:bottom w:val="single" w:color="501E58" w:sz="6" w:space="0"/>
              <w:right w:val="single" w:color="501E58" w:sz="6" w:space="0"/>
            </w:tcBorders>
            <w:vAlign w:val="center"/>
          </w:tcPr>
          <w:p w:rsidRPr="008D1918" w:rsidR="00482204" w:rsidP="007F2C25" w:rsidRDefault="00482204" w14:paraId="307EC91F" w14:textId="13845DF5">
            <w:pPr>
              <w:spacing w:before="0" w:after="0" w:line="240" w:lineRule="auto"/>
              <w:jc w:val="center"/>
              <w:rPr>
                <w:rFonts w:eastAsia="Arial" w:cs="Times New Roman"/>
                <w:color w:val="FFFFFF"/>
                <w:sz w:val="20"/>
                <w:szCs w:val="20"/>
                <w:lang w:val="en-AU"/>
              </w:rPr>
            </w:pPr>
            <w:r w:rsidRPr="008D1918">
              <w:rPr>
                <w:rFonts w:eastAsia="Arial"/>
                <w:color w:val="FFFFFF"/>
                <w:sz w:val="20"/>
                <w:szCs w:val="20"/>
                <w:lang w:val="en-AU"/>
              </w:rPr>
              <w:t>Increase in utilisation (%) since 2021</w:t>
            </w:r>
          </w:p>
        </w:tc>
      </w:tr>
      <w:tr w:rsidRPr="008D1918" w:rsidR="00173A73" w:rsidTr="00B125F3" w14:paraId="129EA8ED" w14:textId="77777777">
        <w:trPr>
          <w:cnfStyle w:val="000000100000" w:firstRow="0" w:lastRow="0" w:firstColumn="0" w:lastColumn="0" w:oddVBand="0" w:evenVBand="0" w:oddHBand="1" w:evenHBand="0" w:firstRowFirstColumn="0" w:firstRowLastColumn="0" w:lastRowFirstColumn="0" w:lastRowLastColumn="0"/>
          <w:trHeight w:val="397"/>
        </w:trPr>
        <w:tc>
          <w:tcPr>
            <w:tcW w:w="1418" w:type="dxa"/>
            <w:tcBorders>
              <w:top w:val="single" w:color="501E58" w:sz="6" w:space="0"/>
              <w:left w:val="single" w:color="BA61C9" w:sz="6" w:space="0"/>
              <w:bottom w:val="single" w:color="BA61C9" w:sz="6" w:space="0"/>
              <w:right w:val="single" w:color="BA61C9" w:sz="6" w:space="0"/>
            </w:tcBorders>
          </w:tcPr>
          <w:p w:rsidRPr="008D1918" w:rsidR="00482204" w:rsidP="00482204" w:rsidRDefault="00482204" w14:paraId="2E284BC4" w14:textId="30688E35">
            <w:pPr>
              <w:spacing w:before="60" w:after="60"/>
              <w:jc w:val="center"/>
              <w:rPr>
                <w:rFonts w:cs="Arial"/>
                <w:sz w:val="20"/>
                <w:szCs w:val="20"/>
                <w:lang w:val="en-AU" w:eastAsia="en-AU"/>
              </w:rPr>
            </w:pPr>
            <w:r w:rsidRPr="008D1918">
              <w:rPr>
                <w:rStyle w:val="normaltextrun"/>
                <w:rFonts w:cs="Arial"/>
                <w:sz w:val="20"/>
                <w:szCs w:val="20"/>
                <w:lang w:val="en-AU"/>
              </w:rPr>
              <w:t>MM 1</w:t>
            </w:r>
          </w:p>
        </w:tc>
        <w:tc>
          <w:tcPr>
            <w:tcW w:w="1418" w:type="dxa"/>
            <w:tcBorders>
              <w:top w:val="single" w:color="501E58" w:sz="6" w:space="0"/>
              <w:left w:val="single" w:color="BA61C9" w:sz="6" w:space="0"/>
              <w:bottom w:val="single" w:color="BA61C9" w:sz="6" w:space="0"/>
              <w:right w:val="single" w:color="BA61C9" w:sz="6" w:space="0"/>
            </w:tcBorders>
          </w:tcPr>
          <w:p w:rsidRPr="008D1918" w:rsidR="00482204" w:rsidP="00482204" w:rsidRDefault="00482204" w14:paraId="5AEF65D5" w14:textId="532591BE">
            <w:pPr>
              <w:spacing w:before="60" w:after="60"/>
              <w:jc w:val="center"/>
              <w:rPr>
                <w:rFonts w:cs="Arial"/>
                <w:color w:val="000000"/>
                <w:sz w:val="20"/>
                <w:szCs w:val="20"/>
                <w:lang w:val="en-AU" w:eastAsia="en-AU"/>
              </w:rPr>
            </w:pPr>
            <w:r w:rsidRPr="008D1918">
              <w:rPr>
                <w:rStyle w:val="normaltextrun"/>
                <w:rFonts w:cs="Arial"/>
                <w:sz w:val="20"/>
                <w:szCs w:val="20"/>
                <w:lang w:val="en-AU"/>
              </w:rPr>
              <w:t>69%</w:t>
            </w:r>
            <w:r w:rsidRPr="008D1918" w:rsidR="00B125F3">
              <w:rPr>
                <w:rStyle w:val="eop"/>
                <w:rFonts w:cs="Arial"/>
                <w:sz w:val="20"/>
                <w:szCs w:val="20"/>
                <w:lang w:val="en-AU"/>
              </w:rPr>
              <w:t> </w:t>
            </w:r>
          </w:p>
        </w:tc>
        <w:tc>
          <w:tcPr>
            <w:tcW w:w="1418" w:type="dxa"/>
            <w:tcBorders>
              <w:top w:val="single" w:color="501E58" w:sz="6" w:space="0"/>
              <w:left w:val="single" w:color="BA61C9" w:sz="6" w:space="0"/>
              <w:bottom w:val="single" w:color="BA61C9" w:sz="6" w:space="0"/>
              <w:right w:val="single" w:color="BA61C9" w:sz="6" w:space="0"/>
            </w:tcBorders>
          </w:tcPr>
          <w:p w:rsidRPr="008D1918" w:rsidR="00482204" w:rsidP="00482204" w:rsidRDefault="00482204" w14:paraId="2D228F18" w14:textId="4F950B32">
            <w:pPr>
              <w:spacing w:before="60" w:after="60"/>
              <w:jc w:val="center"/>
              <w:rPr>
                <w:rFonts w:cs="Arial"/>
                <w:color w:val="000000"/>
                <w:sz w:val="20"/>
                <w:szCs w:val="20"/>
                <w:lang w:val="en-AU" w:eastAsia="en-AU"/>
              </w:rPr>
            </w:pPr>
            <w:r w:rsidRPr="008D1918">
              <w:rPr>
                <w:rStyle w:val="normaltextrun"/>
                <w:rFonts w:cs="Arial"/>
                <w:sz w:val="20"/>
                <w:szCs w:val="20"/>
                <w:lang w:val="en-AU"/>
              </w:rPr>
              <w:t>75%</w:t>
            </w:r>
            <w:r w:rsidRPr="008D1918" w:rsidR="00B125F3">
              <w:rPr>
                <w:rStyle w:val="eop"/>
                <w:rFonts w:cs="Arial"/>
                <w:sz w:val="20"/>
                <w:szCs w:val="20"/>
                <w:lang w:val="en-AU"/>
              </w:rPr>
              <w:t> </w:t>
            </w:r>
          </w:p>
        </w:tc>
        <w:tc>
          <w:tcPr>
            <w:tcW w:w="1418" w:type="dxa"/>
            <w:tcBorders>
              <w:top w:val="single" w:color="501E58" w:sz="6" w:space="0"/>
              <w:left w:val="single" w:color="BA61C9" w:sz="6" w:space="0"/>
              <w:bottom w:val="single" w:color="BA61C9" w:sz="6" w:space="0"/>
              <w:right w:val="single" w:color="BA61C9" w:sz="6" w:space="0"/>
            </w:tcBorders>
          </w:tcPr>
          <w:p w:rsidRPr="008D1918" w:rsidR="00482204" w:rsidP="00482204" w:rsidRDefault="00482204" w14:paraId="21D86915" w14:textId="33C4AF15">
            <w:pPr>
              <w:spacing w:before="60" w:after="60"/>
              <w:jc w:val="center"/>
              <w:rPr>
                <w:rFonts w:cs="Arial"/>
                <w:color w:val="000000"/>
                <w:sz w:val="20"/>
                <w:szCs w:val="20"/>
                <w:lang w:val="en-AU" w:eastAsia="en-AU"/>
              </w:rPr>
            </w:pPr>
            <w:r w:rsidRPr="008D1918">
              <w:rPr>
                <w:rStyle w:val="normaltextrun"/>
                <w:rFonts w:cs="Arial"/>
                <w:sz w:val="20"/>
                <w:szCs w:val="20"/>
                <w:lang w:val="en-AU"/>
              </w:rPr>
              <w:t>78%</w:t>
            </w:r>
            <w:r w:rsidRPr="008D1918" w:rsidR="00B125F3">
              <w:rPr>
                <w:rStyle w:val="eop"/>
                <w:rFonts w:cs="Arial"/>
                <w:sz w:val="20"/>
                <w:szCs w:val="20"/>
                <w:lang w:val="en-AU"/>
              </w:rPr>
              <w:t> </w:t>
            </w:r>
          </w:p>
        </w:tc>
        <w:tc>
          <w:tcPr>
            <w:tcW w:w="1644" w:type="dxa"/>
            <w:tcBorders>
              <w:top w:val="single" w:color="501E58" w:sz="6" w:space="0"/>
              <w:left w:val="single" w:color="BA61C9" w:sz="6" w:space="0"/>
              <w:bottom w:val="single" w:color="BA61C9" w:sz="6" w:space="0"/>
              <w:right w:val="single" w:color="BA61C9" w:sz="6" w:space="0"/>
            </w:tcBorders>
          </w:tcPr>
          <w:p w:rsidRPr="008D1918" w:rsidR="00482204" w:rsidP="00482204" w:rsidRDefault="00482204" w14:paraId="06440A8C" w14:textId="3C20CEFD">
            <w:pPr>
              <w:spacing w:before="60" w:after="60"/>
              <w:ind w:right="397"/>
              <w:jc w:val="right"/>
              <w:rPr>
                <w:rFonts w:cs="Arial"/>
                <w:color w:val="000000"/>
                <w:sz w:val="20"/>
                <w:szCs w:val="20"/>
                <w:lang w:val="en-AU" w:eastAsia="en-AU"/>
              </w:rPr>
            </w:pPr>
            <w:r w:rsidRPr="008D1918">
              <w:rPr>
                <w:rStyle w:val="normaltextrun"/>
                <w:rFonts w:cs="Arial"/>
                <w:sz w:val="20"/>
                <w:szCs w:val="20"/>
                <w:lang w:val="en-AU"/>
              </w:rPr>
              <w:t>12.5%</w:t>
            </w:r>
            <w:r w:rsidRPr="008D1918" w:rsidR="00B125F3">
              <w:rPr>
                <w:rStyle w:val="eop"/>
                <w:rFonts w:cs="Arial"/>
                <w:sz w:val="20"/>
                <w:szCs w:val="20"/>
                <w:lang w:val="en-AU"/>
              </w:rPr>
              <w:t> </w:t>
            </w:r>
          </w:p>
        </w:tc>
        <w:tc>
          <w:tcPr>
            <w:tcW w:w="1644" w:type="dxa"/>
            <w:tcBorders>
              <w:top w:val="single" w:color="501E58" w:sz="6" w:space="0"/>
              <w:left w:val="single" w:color="BA61C9" w:sz="6" w:space="0"/>
              <w:bottom w:val="single" w:color="BA61C9" w:sz="6" w:space="0"/>
              <w:right w:val="single" w:color="BA61C9" w:sz="6" w:space="0"/>
            </w:tcBorders>
          </w:tcPr>
          <w:p w:rsidRPr="008D1918" w:rsidR="00482204" w:rsidP="00482204" w:rsidRDefault="00482204" w14:paraId="7B554E02" w14:textId="260AE4EC">
            <w:pPr>
              <w:spacing w:before="60" w:after="60"/>
              <w:ind w:right="397"/>
              <w:jc w:val="right"/>
              <w:rPr>
                <w:rFonts w:cs="Arial"/>
                <w:sz w:val="20"/>
                <w:szCs w:val="20"/>
                <w:lang w:val="en-AU"/>
              </w:rPr>
            </w:pPr>
            <w:r w:rsidRPr="008D1918">
              <w:rPr>
                <w:rStyle w:val="normaltextrun"/>
                <w:rFonts w:cs="Arial"/>
                <w:sz w:val="20"/>
                <w:szCs w:val="20"/>
                <w:lang w:val="en-AU"/>
              </w:rPr>
              <w:t>3.5%</w:t>
            </w:r>
            <w:r w:rsidRPr="008D1918" w:rsidR="00B125F3">
              <w:rPr>
                <w:rStyle w:val="eop"/>
                <w:rFonts w:cs="Arial"/>
                <w:sz w:val="20"/>
                <w:szCs w:val="20"/>
                <w:lang w:val="en-AU"/>
              </w:rPr>
              <w:t> </w:t>
            </w:r>
          </w:p>
        </w:tc>
      </w:tr>
      <w:tr w:rsidRPr="008D1918" w:rsidR="00482204" w:rsidTr="00B125F3" w14:paraId="5DA6031C" w14:textId="77777777">
        <w:trPr>
          <w:trHeight w:val="397"/>
        </w:trPr>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19A359CD" w14:textId="61270145">
            <w:pPr>
              <w:spacing w:before="60" w:after="60"/>
              <w:jc w:val="center"/>
              <w:rPr>
                <w:rFonts w:cs="Arial"/>
                <w:sz w:val="20"/>
                <w:szCs w:val="20"/>
                <w:lang w:val="en-AU"/>
              </w:rPr>
            </w:pPr>
            <w:r w:rsidRPr="008D1918">
              <w:rPr>
                <w:rStyle w:val="normaltextrun"/>
                <w:rFonts w:cs="Arial"/>
                <w:sz w:val="20"/>
                <w:szCs w:val="20"/>
                <w:lang w:val="en-AU"/>
              </w:rPr>
              <w:t>MM 2</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2AB8DE79" w14:textId="135B7455">
            <w:pPr>
              <w:spacing w:before="60" w:after="60"/>
              <w:jc w:val="center"/>
              <w:rPr>
                <w:rFonts w:cs="Arial"/>
                <w:sz w:val="20"/>
                <w:szCs w:val="20"/>
                <w:lang w:val="en-AU"/>
              </w:rPr>
            </w:pPr>
            <w:r w:rsidRPr="008D1918">
              <w:rPr>
                <w:rStyle w:val="normaltextrun"/>
                <w:rFonts w:cs="Arial"/>
                <w:sz w:val="20"/>
                <w:szCs w:val="20"/>
                <w:lang w:val="en-AU"/>
              </w:rPr>
              <w:t>69%</w:t>
            </w:r>
            <w:r w:rsidRPr="008D1918" w:rsidR="00B125F3">
              <w:rPr>
                <w:rStyle w:val="eop"/>
                <w:rFonts w:cs="Arial"/>
                <w:sz w:val="20"/>
                <w:szCs w:val="20"/>
                <w:lang w:val="en-AU"/>
              </w:rPr>
              <w:t> </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113B88FF" w14:textId="7D8137B1">
            <w:pPr>
              <w:spacing w:before="60" w:after="60"/>
              <w:jc w:val="center"/>
              <w:rPr>
                <w:rFonts w:cs="Arial"/>
                <w:sz w:val="20"/>
                <w:szCs w:val="20"/>
                <w:lang w:val="en-AU"/>
              </w:rPr>
            </w:pPr>
            <w:r w:rsidRPr="008D1918">
              <w:rPr>
                <w:rStyle w:val="normaltextrun"/>
                <w:rFonts w:cs="Arial"/>
                <w:sz w:val="20"/>
                <w:szCs w:val="20"/>
                <w:lang w:val="en-AU"/>
              </w:rPr>
              <w:t>76%</w:t>
            </w:r>
            <w:r w:rsidRPr="008D1918" w:rsidR="00B125F3">
              <w:rPr>
                <w:rStyle w:val="eop"/>
                <w:rFonts w:cs="Arial"/>
                <w:sz w:val="20"/>
                <w:szCs w:val="20"/>
                <w:lang w:val="en-AU"/>
              </w:rPr>
              <w:t> </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34036B97" w14:textId="502CBB13">
            <w:pPr>
              <w:spacing w:before="60" w:after="60"/>
              <w:jc w:val="center"/>
              <w:rPr>
                <w:rFonts w:cs="Arial"/>
                <w:sz w:val="20"/>
                <w:szCs w:val="20"/>
                <w:lang w:val="en-AU"/>
              </w:rPr>
            </w:pPr>
            <w:r w:rsidRPr="008D1918">
              <w:rPr>
                <w:rStyle w:val="normaltextrun"/>
                <w:rFonts w:cs="Arial"/>
                <w:sz w:val="20"/>
                <w:szCs w:val="20"/>
                <w:lang w:val="en-AU"/>
              </w:rPr>
              <w:t>74%</w:t>
            </w:r>
            <w:r w:rsidRPr="008D1918" w:rsidR="00B125F3">
              <w:rPr>
                <w:rStyle w:val="eop"/>
                <w:rFonts w:cs="Arial"/>
                <w:sz w:val="20"/>
                <w:szCs w:val="20"/>
                <w:lang w:val="en-AU"/>
              </w:rPr>
              <w:t> </w:t>
            </w:r>
          </w:p>
        </w:tc>
        <w:tc>
          <w:tcPr>
            <w:tcW w:w="1644"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0243483E" w14:textId="42ECA265">
            <w:pPr>
              <w:spacing w:before="60" w:after="60"/>
              <w:ind w:right="397"/>
              <w:jc w:val="right"/>
              <w:rPr>
                <w:rFonts w:cs="Arial"/>
                <w:sz w:val="20"/>
                <w:szCs w:val="20"/>
                <w:lang w:val="en-AU"/>
              </w:rPr>
            </w:pPr>
            <w:r w:rsidRPr="008D1918">
              <w:rPr>
                <w:rStyle w:val="normaltextrun"/>
                <w:rFonts w:cs="Arial"/>
                <w:sz w:val="20"/>
                <w:szCs w:val="20"/>
                <w:lang w:val="en-AU"/>
              </w:rPr>
              <w:t>8.0%</w:t>
            </w:r>
            <w:r w:rsidRPr="008D1918" w:rsidR="00B125F3">
              <w:rPr>
                <w:rStyle w:val="eop"/>
                <w:rFonts w:cs="Arial"/>
                <w:sz w:val="20"/>
                <w:szCs w:val="20"/>
                <w:lang w:val="en-AU"/>
              </w:rPr>
              <w:t> </w:t>
            </w:r>
          </w:p>
        </w:tc>
        <w:tc>
          <w:tcPr>
            <w:tcW w:w="1644"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6A371177" w14:textId="36B4ACA0">
            <w:pPr>
              <w:spacing w:before="60" w:after="60"/>
              <w:ind w:right="397"/>
              <w:jc w:val="right"/>
              <w:rPr>
                <w:rFonts w:cs="Arial"/>
                <w:sz w:val="20"/>
                <w:szCs w:val="20"/>
                <w:lang w:val="en-AU"/>
              </w:rPr>
            </w:pPr>
            <w:r w:rsidRPr="008D1918">
              <w:rPr>
                <w:rStyle w:val="normaltextrun"/>
                <w:rFonts w:cs="Arial"/>
                <w:sz w:val="20"/>
                <w:szCs w:val="20"/>
                <w:lang w:val="en-AU"/>
              </w:rPr>
              <w:t>-2.0%</w:t>
            </w:r>
            <w:r w:rsidRPr="008D1918" w:rsidR="00B125F3">
              <w:rPr>
                <w:rStyle w:val="eop"/>
                <w:rFonts w:cs="Arial"/>
                <w:sz w:val="20"/>
                <w:szCs w:val="20"/>
                <w:lang w:val="en-AU"/>
              </w:rPr>
              <w:t> </w:t>
            </w:r>
          </w:p>
        </w:tc>
      </w:tr>
      <w:tr w:rsidRPr="008D1918" w:rsidR="00A238C6" w:rsidTr="00B125F3" w14:paraId="6D876EFF" w14:textId="77777777">
        <w:trPr>
          <w:cnfStyle w:val="000000100000" w:firstRow="0" w:lastRow="0" w:firstColumn="0" w:lastColumn="0" w:oddVBand="0" w:evenVBand="0" w:oddHBand="1" w:evenHBand="0" w:firstRowFirstColumn="0" w:firstRowLastColumn="0" w:lastRowFirstColumn="0" w:lastRowLastColumn="0"/>
          <w:trHeight w:val="397"/>
        </w:trPr>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44D223D6" w14:textId="02430BC4">
            <w:pPr>
              <w:spacing w:before="60" w:after="60"/>
              <w:jc w:val="center"/>
              <w:rPr>
                <w:rFonts w:cs="Arial"/>
                <w:sz w:val="20"/>
                <w:szCs w:val="20"/>
                <w:lang w:val="en-AU"/>
              </w:rPr>
            </w:pPr>
            <w:r w:rsidRPr="008D1918">
              <w:rPr>
                <w:rStyle w:val="normaltextrun"/>
                <w:rFonts w:cs="Arial"/>
                <w:sz w:val="20"/>
                <w:szCs w:val="20"/>
                <w:lang w:val="en-AU"/>
              </w:rPr>
              <w:t>MM 3</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4CB59A57" w14:textId="69CEC5D6">
            <w:pPr>
              <w:spacing w:before="60" w:after="60"/>
              <w:jc w:val="center"/>
              <w:rPr>
                <w:rFonts w:cs="Arial"/>
                <w:sz w:val="20"/>
                <w:szCs w:val="20"/>
                <w:lang w:val="en-AU"/>
              </w:rPr>
            </w:pPr>
            <w:r w:rsidRPr="008D1918">
              <w:rPr>
                <w:rStyle w:val="normaltextrun"/>
                <w:rFonts w:cs="Arial"/>
                <w:sz w:val="20"/>
                <w:szCs w:val="20"/>
                <w:lang w:val="en-AU"/>
              </w:rPr>
              <w:t>67%</w:t>
            </w:r>
            <w:r w:rsidRPr="008D1918" w:rsidR="00B125F3">
              <w:rPr>
                <w:rStyle w:val="eop"/>
                <w:rFonts w:cs="Arial"/>
                <w:sz w:val="20"/>
                <w:szCs w:val="20"/>
                <w:lang w:val="en-AU"/>
              </w:rPr>
              <w:t> </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6DEECE06" w14:textId="5FA3BDCF">
            <w:pPr>
              <w:spacing w:before="60" w:after="60"/>
              <w:jc w:val="center"/>
              <w:rPr>
                <w:rFonts w:cs="Arial"/>
                <w:sz w:val="20"/>
                <w:szCs w:val="20"/>
                <w:lang w:val="en-AU"/>
              </w:rPr>
            </w:pPr>
            <w:r w:rsidRPr="008D1918">
              <w:rPr>
                <w:rStyle w:val="normaltextrun"/>
                <w:rFonts w:cs="Arial"/>
                <w:sz w:val="20"/>
                <w:szCs w:val="20"/>
                <w:lang w:val="en-AU"/>
              </w:rPr>
              <w:t>73%</w:t>
            </w:r>
            <w:r w:rsidRPr="008D1918" w:rsidR="00B125F3">
              <w:rPr>
                <w:rStyle w:val="eop"/>
                <w:rFonts w:cs="Arial"/>
                <w:sz w:val="20"/>
                <w:szCs w:val="20"/>
                <w:lang w:val="en-AU"/>
              </w:rPr>
              <w:t> </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7D62B4E3" w14:textId="7ED10405">
            <w:pPr>
              <w:spacing w:before="60" w:after="60"/>
              <w:jc w:val="center"/>
              <w:rPr>
                <w:rFonts w:cs="Arial"/>
                <w:sz w:val="20"/>
                <w:szCs w:val="20"/>
                <w:lang w:val="en-AU"/>
              </w:rPr>
            </w:pPr>
            <w:r w:rsidRPr="008D1918">
              <w:rPr>
                <w:rStyle w:val="normaltextrun"/>
                <w:rFonts w:cs="Arial"/>
                <w:sz w:val="20"/>
                <w:szCs w:val="20"/>
                <w:lang w:val="en-AU"/>
              </w:rPr>
              <w:t>74%</w:t>
            </w:r>
            <w:r w:rsidRPr="008D1918" w:rsidR="00B125F3">
              <w:rPr>
                <w:rStyle w:val="eop"/>
                <w:rFonts w:cs="Arial"/>
                <w:sz w:val="20"/>
                <w:szCs w:val="20"/>
                <w:lang w:val="en-AU"/>
              </w:rPr>
              <w:t> </w:t>
            </w:r>
          </w:p>
        </w:tc>
        <w:tc>
          <w:tcPr>
            <w:tcW w:w="1644"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4EC25A48" w14:textId="560FC769">
            <w:pPr>
              <w:spacing w:before="60" w:after="60"/>
              <w:ind w:right="397"/>
              <w:jc w:val="right"/>
              <w:rPr>
                <w:rFonts w:cs="Arial"/>
                <w:sz w:val="20"/>
                <w:szCs w:val="20"/>
                <w:lang w:val="en-AU"/>
              </w:rPr>
            </w:pPr>
            <w:r w:rsidRPr="008D1918">
              <w:rPr>
                <w:rStyle w:val="normaltextrun"/>
                <w:rFonts w:cs="Arial"/>
                <w:sz w:val="20"/>
                <w:szCs w:val="20"/>
                <w:lang w:val="en-AU"/>
              </w:rPr>
              <w:t>10.9%</w:t>
            </w:r>
            <w:r w:rsidRPr="008D1918" w:rsidR="00B125F3">
              <w:rPr>
                <w:rStyle w:val="eop"/>
                <w:rFonts w:cs="Arial"/>
                <w:sz w:val="20"/>
                <w:szCs w:val="20"/>
                <w:lang w:val="en-AU"/>
              </w:rPr>
              <w:t> </w:t>
            </w:r>
          </w:p>
        </w:tc>
        <w:tc>
          <w:tcPr>
            <w:tcW w:w="1644"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110E52B4" w14:textId="63F8559B">
            <w:pPr>
              <w:spacing w:before="60" w:after="60"/>
              <w:ind w:right="397"/>
              <w:jc w:val="right"/>
              <w:rPr>
                <w:rFonts w:cs="Arial"/>
                <w:sz w:val="20"/>
                <w:szCs w:val="20"/>
                <w:lang w:val="en-AU"/>
              </w:rPr>
            </w:pPr>
            <w:r w:rsidRPr="008D1918">
              <w:rPr>
                <w:rStyle w:val="normaltextrun"/>
                <w:rFonts w:cs="Arial"/>
                <w:sz w:val="20"/>
                <w:szCs w:val="20"/>
                <w:lang w:val="en-AU"/>
              </w:rPr>
              <w:t>1.8%</w:t>
            </w:r>
            <w:r w:rsidRPr="008D1918" w:rsidR="00B125F3">
              <w:rPr>
                <w:rStyle w:val="eop"/>
                <w:rFonts w:cs="Arial"/>
                <w:sz w:val="20"/>
                <w:szCs w:val="20"/>
                <w:lang w:val="en-AU"/>
              </w:rPr>
              <w:t> </w:t>
            </w:r>
          </w:p>
        </w:tc>
      </w:tr>
      <w:tr w:rsidRPr="008D1918" w:rsidR="00482204" w:rsidTr="00B125F3" w14:paraId="26549CF8" w14:textId="77777777">
        <w:trPr>
          <w:trHeight w:val="397"/>
        </w:trPr>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7FBA21E5" w14:textId="585CFC2C">
            <w:pPr>
              <w:spacing w:before="60" w:after="60"/>
              <w:jc w:val="center"/>
              <w:rPr>
                <w:rFonts w:cs="Arial"/>
                <w:sz w:val="20"/>
                <w:szCs w:val="20"/>
                <w:lang w:val="en-AU"/>
              </w:rPr>
            </w:pPr>
            <w:r w:rsidRPr="008D1918">
              <w:rPr>
                <w:rStyle w:val="normaltextrun"/>
                <w:rFonts w:cs="Arial"/>
                <w:sz w:val="20"/>
                <w:szCs w:val="20"/>
                <w:lang w:val="en-AU"/>
              </w:rPr>
              <w:t>MM 4</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22B358BC" w14:textId="25478596">
            <w:pPr>
              <w:spacing w:before="60" w:after="60"/>
              <w:jc w:val="center"/>
              <w:rPr>
                <w:rFonts w:cs="Arial"/>
                <w:sz w:val="20"/>
                <w:szCs w:val="20"/>
                <w:lang w:val="en-AU"/>
              </w:rPr>
            </w:pPr>
            <w:r w:rsidRPr="008D1918">
              <w:rPr>
                <w:rStyle w:val="normaltextrun"/>
                <w:rFonts w:cs="Arial"/>
                <w:sz w:val="20"/>
                <w:szCs w:val="20"/>
                <w:lang w:val="en-AU"/>
              </w:rPr>
              <w:t>65%</w:t>
            </w:r>
            <w:r w:rsidRPr="008D1918" w:rsidR="00B125F3">
              <w:rPr>
                <w:rStyle w:val="eop"/>
                <w:rFonts w:cs="Arial"/>
                <w:sz w:val="20"/>
                <w:szCs w:val="20"/>
                <w:lang w:val="en-AU"/>
              </w:rPr>
              <w:t> </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555FF897" w14:textId="7D365F4E">
            <w:pPr>
              <w:spacing w:before="60" w:after="60"/>
              <w:jc w:val="center"/>
              <w:rPr>
                <w:rFonts w:cs="Arial"/>
                <w:sz w:val="20"/>
                <w:szCs w:val="20"/>
                <w:lang w:val="en-AU"/>
              </w:rPr>
            </w:pPr>
            <w:r w:rsidRPr="008D1918">
              <w:rPr>
                <w:rStyle w:val="normaltextrun"/>
                <w:rFonts w:cs="Arial"/>
                <w:sz w:val="20"/>
                <w:szCs w:val="20"/>
                <w:lang w:val="en-AU"/>
              </w:rPr>
              <w:t>70%</w:t>
            </w:r>
            <w:r w:rsidRPr="008D1918" w:rsidR="00B125F3">
              <w:rPr>
                <w:rStyle w:val="eop"/>
                <w:rFonts w:cs="Arial"/>
                <w:sz w:val="20"/>
                <w:szCs w:val="20"/>
                <w:lang w:val="en-AU"/>
              </w:rPr>
              <w:t> </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5DD09FF5" w14:textId="71BF6A4B">
            <w:pPr>
              <w:spacing w:before="60" w:after="60"/>
              <w:jc w:val="center"/>
              <w:rPr>
                <w:rFonts w:cs="Arial"/>
                <w:sz w:val="20"/>
                <w:szCs w:val="20"/>
                <w:lang w:val="en-AU"/>
              </w:rPr>
            </w:pPr>
            <w:r w:rsidRPr="008D1918">
              <w:rPr>
                <w:rStyle w:val="normaltextrun"/>
                <w:rFonts w:cs="Arial"/>
                <w:sz w:val="20"/>
                <w:szCs w:val="20"/>
                <w:lang w:val="en-AU"/>
              </w:rPr>
              <w:t>72%</w:t>
            </w:r>
            <w:r w:rsidRPr="008D1918" w:rsidR="00B125F3">
              <w:rPr>
                <w:rStyle w:val="eop"/>
                <w:rFonts w:cs="Arial"/>
                <w:sz w:val="20"/>
                <w:szCs w:val="20"/>
                <w:lang w:val="en-AU"/>
              </w:rPr>
              <w:t> </w:t>
            </w:r>
          </w:p>
        </w:tc>
        <w:tc>
          <w:tcPr>
            <w:tcW w:w="1644"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27955172" w14:textId="41E297F9">
            <w:pPr>
              <w:spacing w:before="60" w:after="60"/>
              <w:ind w:right="397"/>
              <w:jc w:val="right"/>
              <w:rPr>
                <w:rFonts w:cs="Arial"/>
                <w:sz w:val="20"/>
                <w:szCs w:val="20"/>
                <w:lang w:val="en-AU"/>
              </w:rPr>
            </w:pPr>
            <w:r w:rsidRPr="008D1918">
              <w:rPr>
                <w:rStyle w:val="normaltextrun"/>
                <w:rFonts w:cs="Arial"/>
                <w:sz w:val="20"/>
                <w:szCs w:val="20"/>
                <w:lang w:val="en-AU"/>
              </w:rPr>
              <w:t>10.4%</w:t>
            </w:r>
            <w:r w:rsidRPr="008D1918" w:rsidR="00B125F3">
              <w:rPr>
                <w:rStyle w:val="eop"/>
                <w:rFonts w:cs="Arial"/>
                <w:sz w:val="20"/>
                <w:szCs w:val="20"/>
                <w:lang w:val="en-AU"/>
              </w:rPr>
              <w:t> </w:t>
            </w:r>
          </w:p>
        </w:tc>
        <w:tc>
          <w:tcPr>
            <w:tcW w:w="1644"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26625B48" w14:textId="18EBC913">
            <w:pPr>
              <w:spacing w:before="60" w:after="60"/>
              <w:ind w:right="397"/>
              <w:jc w:val="right"/>
              <w:rPr>
                <w:rFonts w:cs="Arial"/>
                <w:sz w:val="20"/>
                <w:szCs w:val="20"/>
                <w:lang w:val="en-AU"/>
              </w:rPr>
            </w:pPr>
            <w:r w:rsidRPr="008D1918">
              <w:rPr>
                <w:rStyle w:val="normaltextrun"/>
                <w:rFonts w:cs="Arial"/>
                <w:sz w:val="20"/>
                <w:szCs w:val="20"/>
                <w:lang w:val="en-AU"/>
              </w:rPr>
              <w:t>2.5%</w:t>
            </w:r>
            <w:r w:rsidRPr="008D1918" w:rsidR="00B125F3">
              <w:rPr>
                <w:rStyle w:val="eop"/>
                <w:rFonts w:cs="Arial"/>
                <w:sz w:val="20"/>
                <w:szCs w:val="20"/>
                <w:lang w:val="en-AU"/>
              </w:rPr>
              <w:t> </w:t>
            </w:r>
          </w:p>
        </w:tc>
      </w:tr>
      <w:tr w:rsidRPr="008D1918" w:rsidR="00A238C6" w:rsidTr="00B125F3" w14:paraId="677775AB" w14:textId="77777777">
        <w:trPr>
          <w:cnfStyle w:val="000000100000" w:firstRow="0" w:lastRow="0" w:firstColumn="0" w:lastColumn="0" w:oddVBand="0" w:evenVBand="0" w:oddHBand="1" w:evenHBand="0" w:firstRowFirstColumn="0" w:firstRowLastColumn="0" w:lastRowFirstColumn="0" w:lastRowLastColumn="0"/>
          <w:trHeight w:val="397"/>
        </w:trPr>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6BC34BDC" w14:textId="1C5DDFBC">
            <w:pPr>
              <w:spacing w:before="60" w:after="60"/>
              <w:jc w:val="center"/>
              <w:rPr>
                <w:rFonts w:cs="Arial"/>
                <w:sz w:val="20"/>
                <w:szCs w:val="20"/>
                <w:lang w:val="en-AU" w:eastAsia="en-AU"/>
              </w:rPr>
            </w:pPr>
            <w:r w:rsidRPr="008D1918">
              <w:rPr>
                <w:rStyle w:val="normaltextrun"/>
                <w:rFonts w:cs="Arial"/>
                <w:sz w:val="20"/>
                <w:szCs w:val="20"/>
                <w:lang w:val="en-AU"/>
              </w:rPr>
              <w:t>MM 5</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3E4226DD" w14:textId="56E15E88">
            <w:pPr>
              <w:spacing w:before="60" w:after="60"/>
              <w:jc w:val="center"/>
              <w:rPr>
                <w:rFonts w:cs="Arial"/>
                <w:color w:val="000000"/>
                <w:sz w:val="20"/>
                <w:szCs w:val="20"/>
                <w:lang w:val="en-AU" w:eastAsia="en-AU"/>
              </w:rPr>
            </w:pPr>
            <w:r w:rsidRPr="008D1918">
              <w:rPr>
                <w:rStyle w:val="normaltextrun"/>
                <w:rFonts w:cs="Arial"/>
                <w:sz w:val="20"/>
                <w:szCs w:val="20"/>
                <w:lang w:val="en-AU"/>
              </w:rPr>
              <w:t>58%</w:t>
            </w:r>
            <w:r w:rsidRPr="008D1918" w:rsidR="00B125F3">
              <w:rPr>
                <w:rStyle w:val="eop"/>
                <w:rFonts w:cs="Arial"/>
                <w:sz w:val="20"/>
                <w:szCs w:val="20"/>
                <w:lang w:val="en-AU"/>
              </w:rPr>
              <w:t> </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0AD9D484" w14:textId="208B5C54">
            <w:pPr>
              <w:spacing w:before="60" w:after="60"/>
              <w:jc w:val="center"/>
              <w:rPr>
                <w:rFonts w:cs="Arial"/>
                <w:color w:val="000000"/>
                <w:sz w:val="20"/>
                <w:szCs w:val="20"/>
                <w:lang w:val="en-AU" w:eastAsia="en-AU"/>
              </w:rPr>
            </w:pPr>
            <w:r w:rsidRPr="008D1918">
              <w:rPr>
                <w:rStyle w:val="normaltextrun"/>
                <w:rFonts w:cs="Arial"/>
                <w:sz w:val="20"/>
                <w:szCs w:val="20"/>
                <w:lang w:val="en-AU"/>
              </w:rPr>
              <w:t>67%</w:t>
            </w:r>
            <w:r w:rsidRPr="008D1918" w:rsidR="00B125F3">
              <w:rPr>
                <w:rStyle w:val="eop"/>
                <w:rFonts w:cs="Arial"/>
                <w:sz w:val="20"/>
                <w:szCs w:val="20"/>
                <w:lang w:val="en-AU"/>
              </w:rPr>
              <w:t> </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61BA7277" w14:textId="4A4D2EE6">
            <w:pPr>
              <w:spacing w:before="60" w:after="60"/>
              <w:jc w:val="center"/>
              <w:rPr>
                <w:rFonts w:cs="Arial"/>
                <w:color w:val="000000"/>
                <w:sz w:val="20"/>
                <w:szCs w:val="20"/>
                <w:lang w:val="en-AU" w:eastAsia="en-AU"/>
              </w:rPr>
            </w:pPr>
            <w:r w:rsidRPr="008D1918">
              <w:rPr>
                <w:rStyle w:val="normaltextrun"/>
                <w:rFonts w:cs="Arial"/>
                <w:sz w:val="20"/>
                <w:szCs w:val="20"/>
                <w:lang w:val="en-AU"/>
              </w:rPr>
              <w:t>67%</w:t>
            </w:r>
            <w:r w:rsidRPr="008D1918" w:rsidR="00B125F3">
              <w:rPr>
                <w:rStyle w:val="eop"/>
                <w:rFonts w:cs="Arial"/>
                <w:sz w:val="20"/>
                <w:szCs w:val="20"/>
                <w:lang w:val="en-AU"/>
              </w:rPr>
              <w:t> </w:t>
            </w:r>
          </w:p>
        </w:tc>
        <w:tc>
          <w:tcPr>
            <w:tcW w:w="1644"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48C62702" w14:textId="26D2C8FE">
            <w:pPr>
              <w:spacing w:before="60" w:after="60"/>
              <w:ind w:right="397"/>
              <w:jc w:val="right"/>
              <w:rPr>
                <w:rFonts w:cs="Arial"/>
                <w:color w:val="000000"/>
                <w:sz w:val="20"/>
                <w:szCs w:val="20"/>
                <w:lang w:val="en-AU" w:eastAsia="en-AU"/>
              </w:rPr>
            </w:pPr>
            <w:r w:rsidRPr="008D1918">
              <w:rPr>
                <w:rStyle w:val="normaltextrun"/>
                <w:rFonts w:cs="Arial"/>
                <w:sz w:val="20"/>
                <w:szCs w:val="20"/>
                <w:lang w:val="en-AU"/>
              </w:rPr>
              <w:t>16.3%</w:t>
            </w:r>
            <w:r w:rsidRPr="008D1918" w:rsidR="00B125F3">
              <w:rPr>
                <w:rStyle w:val="eop"/>
                <w:rFonts w:cs="Arial"/>
                <w:sz w:val="20"/>
                <w:szCs w:val="20"/>
                <w:lang w:val="en-AU"/>
              </w:rPr>
              <w:t> </w:t>
            </w:r>
          </w:p>
        </w:tc>
        <w:tc>
          <w:tcPr>
            <w:tcW w:w="1644"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74D34127" w14:textId="59067BA6">
            <w:pPr>
              <w:spacing w:before="60" w:after="60"/>
              <w:ind w:right="397"/>
              <w:jc w:val="right"/>
              <w:rPr>
                <w:rFonts w:cs="Arial"/>
                <w:sz w:val="20"/>
                <w:szCs w:val="20"/>
                <w:lang w:val="en-AU"/>
              </w:rPr>
            </w:pPr>
            <w:r w:rsidRPr="008D1918">
              <w:rPr>
                <w:rStyle w:val="normaltextrun"/>
                <w:rFonts w:cs="Arial"/>
                <w:sz w:val="20"/>
                <w:szCs w:val="20"/>
                <w:lang w:val="en-AU"/>
              </w:rPr>
              <w:t>0.7%</w:t>
            </w:r>
            <w:r w:rsidRPr="008D1918" w:rsidR="00B125F3">
              <w:rPr>
                <w:rStyle w:val="eop"/>
                <w:rFonts w:cs="Arial"/>
                <w:sz w:val="20"/>
                <w:szCs w:val="20"/>
                <w:lang w:val="en-AU"/>
              </w:rPr>
              <w:t> </w:t>
            </w:r>
          </w:p>
        </w:tc>
      </w:tr>
      <w:tr w:rsidRPr="008D1918" w:rsidR="00482204" w:rsidTr="00B125F3" w14:paraId="4F0A41C8" w14:textId="77777777">
        <w:trPr>
          <w:trHeight w:val="397"/>
        </w:trPr>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6CEA0EBD" w14:textId="576A196A">
            <w:pPr>
              <w:spacing w:before="60" w:after="60"/>
              <w:jc w:val="center"/>
              <w:rPr>
                <w:rFonts w:cs="Arial"/>
                <w:sz w:val="20"/>
                <w:szCs w:val="20"/>
                <w:lang w:val="en-AU" w:eastAsia="en-AU"/>
              </w:rPr>
            </w:pPr>
            <w:r w:rsidRPr="008D1918">
              <w:rPr>
                <w:rStyle w:val="normaltextrun"/>
                <w:rFonts w:cs="Arial"/>
                <w:sz w:val="20"/>
                <w:szCs w:val="20"/>
                <w:lang w:val="en-AU"/>
              </w:rPr>
              <w:t>MM 6</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6A445EE5" w14:textId="22AE1F98">
            <w:pPr>
              <w:spacing w:before="60" w:after="60"/>
              <w:jc w:val="center"/>
              <w:rPr>
                <w:rFonts w:cs="Arial"/>
                <w:sz w:val="20"/>
                <w:szCs w:val="20"/>
                <w:lang w:val="en-AU"/>
              </w:rPr>
            </w:pPr>
            <w:r w:rsidRPr="008D1918">
              <w:rPr>
                <w:rStyle w:val="normaltextrun"/>
                <w:rFonts w:cs="Arial"/>
                <w:sz w:val="20"/>
                <w:szCs w:val="20"/>
                <w:lang w:val="en-AU"/>
              </w:rPr>
              <w:t>63%</w:t>
            </w:r>
            <w:r w:rsidRPr="008D1918" w:rsidR="00B125F3">
              <w:rPr>
                <w:rStyle w:val="eop"/>
                <w:rFonts w:cs="Arial"/>
                <w:sz w:val="20"/>
                <w:szCs w:val="20"/>
                <w:lang w:val="en-AU"/>
              </w:rPr>
              <w:t> </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5BF9694E" w14:textId="24E55A26">
            <w:pPr>
              <w:spacing w:before="60" w:after="60"/>
              <w:jc w:val="center"/>
              <w:rPr>
                <w:rFonts w:cs="Arial"/>
                <w:sz w:val="20"/>
                <w:szCs w:val="20"/>
                <w:lang w:val="en-AU"/>
              </w:rPr>
            </w:pPr>
            <w:r w:rsidRPr="008D1918">
              <w:rPr>
                <w:rStyle w:val="normaltextrun"/>
                <w:rFonts w:cs="Arial"/>
                <w:sz w:val="20"/>
                <w:szCs w:val="20"/>
                <w:lang w:val="en-AU"/>
              </w:rPr>
              <w:t>67%</w:t>
            </w:r>
            <w:r w:rsidRPr="008D1918" w:rsidR="00B125F3">
              <w:rPr>
                <w:rStyle w:val="eop"/>
                <w:rFonts w:cs="Arial"/>
                <w:sz w:val="20"/>
                <w:szCs w:val="20"/>
                <w:lang w:val="en-AU"/>
              </w:rPr>
              <w:t> </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0A49C7AE" w14:textId="1D77F4C3">
            <w:pPr>
              <w:spacing w:before="60" w:after="60"/>
              <w:jc w:val="center"/>
              <w:rPr>
                <w:rFonts w:cs="Arial"/>
                <w:sz w:val="20"/>
                <w:szCs w:val="20"/>
                <w:lang w:val="en-AU"/>
              </w:rPr>
            </w:pPr>
            <w:r w:rsidRPr="008D1918">
              <w:rPr>
                <w:rStyle w:val="normaltextrun"/>
                <w:rFonts w:cs="Arial"/>
                <w:sz w:val="20"/>
                <w:szCs w:val="20"/>
                <w:lang w:val="en-AU"/>
              </w:rPr>
              <w:t>71%</w:t>
            </w:r>
            <w:r w:rsidRPr="008D1918" w:rsidR="00B125F3">
              <w:rPr>
                <w:rStyle w:val="eop"/>
                <w:rFonts w:cs="Arial"/>
                <w:sz w:val="20"/>
                <w:szCs w:val="20"/>
                <w:lang w:val="en-AU"/>
              </w:rPr>
              <w:t> </w:t>
            </w:r>
          </w:p>
        </w:tc>
        <w:tc>
          <w:tcPr>
            <w:tcW w:w="1644"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4B7E18BB" w14:textId="723AF33F">
            <w:pPr>
              <w:spacing w:before="60" w:after="60"/>
              <w:ind w:right="397"/>
              <w:jc w:val="right"/>
              <w:rPr>
                <w:rFonts w:cs="Arial"/>
                <w:sz w:val="20"/>
                <w:szCs w:val="20"/>
                <w:lang w:val="en-AU"/>
              </w:rPr>
            </w:pPr>
            <w:r w:rsidRPr="008D1918">
              <w:rPr>
                <w:rStyle w:val="normaltextrun"/>
                <w:rFonts w:cs="Arial"/>
                <w:sz w:val="20"/>
                <w:szCs w:val="20"/>
                <w:lang w:val="en-AU"/>
              </w:rPr>
              <w:t>12.4%</w:t>
            </w:r>
            <w:r w:rsidRPr="008D1918" w:rsidR="00B125F3">
              <w:rPr>
                <w:rStyle w:val="eop"/>
                <w:rFonts w:cs="Arial"/>
                <w:sz w:val="20"/>
                <w:szCs w:val="20"/>
                <w:lang w:val="en-AU"/>
              </w:rPr>
              <w:t> </w:t>
            </w:r>
          </w:p>
        </w:tc>
        <w:tc>
          <w:tcPr>
            <w:tcW w:w="1644"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3F879274" w14:textId="4A9E913D">
            <w:pPr>
              <w:spacing w:before="60" w:after="60"/>
              <w:ind w:right="397"/>
              <w:jc w:val="right"/>
              <w:rPr>
                <w:rFonts w:cs="Arial"/>
                <w:sz w:val="20"/>
                <w:szCs w:val="20"/>
                <w:lang w:val="en-AU"/>
              </w:rPr>
            </w:pPr>
            <w:r w:rsidRPr="008D1918">
              <w:rPr>
                <w:rStyle w:val="normaltextrun"/>
                <w:rFonts w:cs="Arial"/>
                <w:sz w:val="20"/>
                <w:szCs w:val="20"/>
                <w:lang w:val="en-AU"/>
              </w:rPr>
              <w:t>5.7%</w:t>
            </w:r>
            <w:r w:rsidRPr="008D1918" w:rsidR="00B125F3">
              <w:rPr>
                <w:rStyle w:val="eop"/>
                <w:rFonts w:cs="Arial"/>
                <w:sz w:val="20"/>
                <w:szCs w:val="20"/>
                <w:lang w:val="en-AU"/>
              </w:rPr>
              <w:t> </w:t>
            </w:r>
          </w:p>
        </w:tc>
      </w:tr>
      <w:tr w:rsidRPr="008D1918" w:rsidR="00A238C6" w:rsidTr="00B125F3" w14:paraId="49FEE018" w14:textId="77777777">
        <w:trPr>
          <w:cnfStyle w:val="000000100000" w:firstRow="0" w:lastRow="0" w:firstColumn="0" w:lastColumn="0" w:oddVBand="0" w:evenVBand="0" w:oddHBand="1" w:evenHBand="0" w:firstRowFirstColumn="0" w:firstRowLastColumn="0" w:lastRowFirstColumn="0" w:lastRowLastColumn="0"/>
          <w:trHeight w:val="397"/>
        </w:trPr>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32E55FD3" w14:textId="26A307AC">
            <w:pPr>
              <w:spacing w:before="60" w:after="60"/>
              <w:jc w:val="center"/>
              <w:rPr>
                <w:rFonts w:cs="Arial"/>
                <w:sz w:val="20"/>
                <w:szCs w:val="20"/>
                <w:lang w:val="en-AU"/>
              </w:rPr>
            </w:pPr>
            <w:r w:rsidRPr="008D1918">
              <w:rPr>
                <w:rStyle w:val="normaltextrun"/>
                <w:rFonts w:cs="Arial"/>
                <w:sz w:val="20"/>
                <w:szCs w:val="20"/>
                <w:lang w:val="en-AU"/>
              </w:rPr>
              <w:t>MM 7</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2499E670" w14:textId="353211CF">
            <w:pPr>
              <w:spacing w:before="60" w:after="60"/>
              <w:jc w:val="center"/>
              <w:rPr>
                <w:rFonts w:cs="Arial"/>
                <w:sz w:val="20"/>
                <w:szCs w:val="20"/>
                <w:lang w:val="en-AU"/>
              </w:rPr>
            </w:pPr>
            <w:r w:rsidRPr="008D1918">
              <w:rPr>
                <w:rStyle w:val="normaltextrun"/>
                <w:rFonts w:cs="Arial"/>
                <w:sz w:val="20"/>
                <w:szCs w:val="20"/>
                <w:lang w:val="en-AU"/>
              </w:rPr>
              <w:t>39%</w:t>
            </w:r>
            <w:r w:rsidRPr="008D1918" w:rsidR="00B125F3">
              <w:rPr>
                <w:rStyle w:val="eop"/>
                <w:rFonts w:cs="Arial"/>
                <w:sz w:val="20"/>
                <w:szCs w:val="20"/>
                <w:lang w:val="en-AU"/>
              </w:rPr>
              <w:t> </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3F2A26C9" w14:textId="6581E97D">
            <w:pPr>
              <w:spacing w:before="60" w:after="60"/>
              <w:jc w:val="center"/>
              <w:rPr>
                <w:rFonts w:cs="Arial"/>
                <w:sz w:val="20"/>
                <w:szCs w:val="20"/>
                <w:lang w:val="en-AU"/>
              </w:rPr>
            </w:pPr>
            <w:r w:rsidRPr="008D1918">
              <w:rPr>
                <w:rStyle w:val="normaltextrun"/>
                <w:rFonts w:cs="Arial"/>
                <w:sz w:val="20"/>
                <w:szCs w:val="20"/>
                <w:lang w:val="en-AU"/>
              </w:rPr>
              <w:t>50%</w:t>
            </w:r>
            <w:r w:rsidRPr="008D1918" w:rsidR="00B125F3">
              <w:rPr>
                <w:rStyle w:val="eop"/>
                <w:rFonts w:cs="Arial"/>
                <w:sz w:val="20"/>
                <w:szCs w:val="20"/>
                <w:lang w:val="en-AU"/>
              </w:rPr>
              <w:t> </w:t>
            </w:r>
          </w:p>
        </w:tc>
        <w:tc>
          <w:tcPr>
            <w:tcW w:w="1418"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4F1ECD87" w14:textId="1A02CBCB">
            <w:pPr>
              <w:spacing w:before="60" w:after="60"/>
              <w:jc w:val="center"/>
              <w:rPr>
                <w:rFonts w:cs="Arial"/>
                <w:sz w:val="20"/>
                <w:szCs w:val="20"/>
                <w:lang w:val="en-AU"/>
              </w:rPr>
            </w:pPr>
            <w:r w:rsidRPr="008D1918">
              <w:rPr>
                <w:rStyle w:val="normaltextrun"/>
                <w:rFonts w:cs="Arial"/>
                <w:sz w:val="20"/>
                <w:szCs w:val="20"/>
                <w:lang w:val="en-AU"/>
              </w:rPr>
              <w:t>61%</w:t>
            </w:r>
            <w:r w:rsidRPr="008D1918" w:rsidR="00B125F3">
              <w:rPr>
                <w:rStyle w:val="eop"/>
                <w:rFonts w:cs="Arial"/>
                <w:sz w:val="20"/>
                <w:szCs w:val="20"/>
                <w:lang w:val="en-AU"/>
              </w:rPr>
              <w:t> </w:t>
            </w:r>
          </w:p>
        </w:tc>
        <w:tc>
          <w:tcPr>
            <w:tcW w:w="1644"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6BBF8C15" w14:textId="53D40693">
            <w:pPr>
              <w:spacing w:before="60" w:after="60"/>
              <w:ind w:right="397"/>
              <w:jc w:val="right"/>
              <w:rPr>
                <w:rFonts w:cs="Arial"/>
                <w:sz w:val="20"/>
                <w:szCs w:val="20"/>
                <w:lang w:val="en-AU"/>
              </w:rPr>
            </w:pPr>
            <w:r w:rsidRPr="008D1918">
              <w:rPr>
                <w:rStyle w:val="normaltextrun"/>
                <w:rFonts w:cs="Arial"/>
                <w:sz w:val="20"/>
                <w:szCs w:val="20"/>
                <w:lang w:val="en-AU"/>
              </w:rPr>
              <w:t>55.8%</w:t>
            </w:r>
            <w:r w:rsidRPr="008D1918" w:rsidR="00B125F3">
              <w:rPr>
                <w:rStyle w:val="eop"/>
                <w:rFonts w:cs="Arial"/>
                <w:sz w:val="20"/>
                <w:szCs w:val="20"/>
                <w:lang w:val="en-AU"/>
              </w:rPr>
              <w:t> </w:t>
            </w:r>
          </w:p>
        </w:tc>
        <w:tc>
          <w:tcPr>
            <w:tcW w:w="1644" w:type="dxa"/>
            <w:tcBorders>
              <w:top w:val="single" w:color="BA61C9" w:sz="6" w:space="0"/>
              <w:left w:val="single" w:color="BA61C9" w:sz="6" w:space="0"/>
              <w:bottom w:val="single" w:color="BA61C9" w:sz="6" w:space="0"/>
              <w:right w:val="single" w:color="BA61C9" w:sz="6" w:space="0"/>
            </w:tcBorders>
          </w:tcPr>
          <w:p w:rsidRPr="008D1918" w:rsidR="00482204" w:rsidP="00482204" w:rsidRDefault="00482204" w14:paraId="2E6DEBE1" w14:textId="7773562D">
            <w:pPr>
              <w:spacing w:before="60" w:after="60"/>
              <w:ind w:right="397"/>
              <w:jc w:val="right"/>
              <w:rPr>
                <w:rFonts w:cs="Arial"/>
                <w:sz w:val="20"/>
                <w:szCs w:val="20"/>
                <w:lang w:val="en-AU"/>
              </w:rPr>
            </w:pPr>
            <w:r w:rsidRPr="008D1918">
              <w:rPr>
                <w:rStyle w:val="normaltextrun"/>
                <w:rFonts w:cs="Arial"/>
                <w:sz w:val="20"/>
                <w:szCs w:val="20"/>
                <w:lang w:val="en-AU"/>
              </w:rPr>
              <w:t>21.6%</w:t>
            </w:r>
            <w:r w:rsidRPr="008D1918" w:rsidR="00B125F3">
              <w:rPr>
                <w:rStyle w:val="eop"/>
                <w:rFonts w:cs="Arial"/>
                <w:sz w:val="20"/>
                <w:szCs w:val="20"/>
                <w:lang w:val="en-AU"/>
              </w:rPr>
              <w:t> </w:t>
            </w:r>
          </w:p>
        </w:tc>
      </w:tr>
    </w:tbl>
    <w:p w:rsidRPr="008D1918" w:rsidR="1B9EBD19" w:rsidP="000C35E4" w:rsidRDefault="1B9EBD19" w14:paraId="24CE55E6" w14:textId="7AE13973">
      <w:pPr>
        <w:tabs>
          <w:tab w:val="left" w:pos="1795"/>
        </w:tabs>
        <w:spacing w:before="120" w:after="360"/>
        <w:rPr>
          <w:rFonts w:eastAsia="Arial" w:cs="Arial"/>
          <w:color w:val="000000" w:themeColor="accent6"/>
          <w:sz w:val="20"/>
          <w:szCs w:val="20"/>
          <w:lang w:val="en-AU"/>
        </w:rPr>
      </w:pPr>
      <w:r w:rsidRPr="008D1918">
        <w:rPr>
          <w:rFonts w:eastAsia="Arial" w:cs="Arial"/>
          <w:b/>
          <w:bCs/>
          <w:color w:val="000000" w:themeColor="accent6"/>
          <w:sz w:val="20"/>
          <w:szCs w:val="20"/>
          <w:lang w:val="en-AU"/>
        </w:rPr>
        <w:t>Source: NDIS internal administrative data</w:t>
      </w:r>
    </w:p>
    <w:p w:rsidRPr="008D1918" w:rsidR="1B9EBD19" w:rsidP="000C35E4" w:rsidRDefault="1B9EBD19" w14:paraId="4DD2AD96" w14:textId="0E658EFC">
      <w:pPr>
        <w:rPr>
          <w:rFonts w:eastAsia="Arial" w:cs="Arial"/>
          <w:color w:val="000000" w:themeColor="accent6"/>
          <w:lang w:val="en-AU"/>
        </w:rPr>
      </w:pPr>
      <w:r w:rsidRPr="008D1918">
        <w:rPr>
          <w:rFonts w:eastAsia="Arial" w:cs="Arial"/>
          <w:color w:val="000000" w:themeColor="accent6"/>
          <w:lang w:val="en-AU"/>
        </w:rPr>
        <w:t xml:space="preserve">Plan activation, which is the length of time that elapses between when a first NDIS plan is approved, to the time the first service or support is claimed, is another partial indicator of the health of markets. </w:t>
      </w:r>
      <w:r w:rsidRPr="008D1918" w:rsidR="007A176E">
        <w:rPr>
          <w:rFonts w:eastAsia="Arial" w:cs="Arial"/>
          <w:color w:val="000000" w:themeColor="accent6"/>
          <w:lang w:val="en-AU"/>
        </w:rPr>
        <w:fldChar w:fldCharType="begin"/>
      </w:r>
      <w:r w:rsidRPr="008D1918" w:rsidR="007A176E">
        <w:rPr>
          <w:rFonts w:eastAsia="Arial" w:cs="Arial"/>
          <w:color w:val="000000" w:themeColor="accent6"/>
          <w:lang w:val="en-AU"/>
        </w:rPr>
        <w:instrText xml:space="preserve"> REF _Ref223697679 \h </w:instrText>
      </w:r>
      <w:r w:rsidRPr="008D1918" w:rsidR="00762DF8">
        <w:rPr>
          <w:rFonts w:eastAsia="Arial" w:cs="Arial"/>
          <w:color w:val="000000" w:themeColor="accent6"/>
          <w:lang w:val="en-AU"/>
        </w:rPr>
        <w:instrText xml:space="preserve"> \* MERGEFORMAT </w:instrText>
      </w:r>
      <w:r w:rsidRPr="008D1918" w:rsidR="007A176E">
        <w:rPr>
          <w:rFonts w:eastAsia="Arial" w:cs="Arial"/>
          <w:color w:val="000000" w:themeColor="accent6"/>
          <w:lang w:val="en-AU"/>
        </w:rPr>
      </w:r>
      <w:r w:rsidRPr="008D1918" w:rsidR="007A176E">
        <w:rPr>
          <w:rFonts w:eastAsia="Arial" w:cs="Arial"/>
          <w:color w:val="000000" w:themeColor="accent6"/>
          <w:lang w:val="en-AU"/>
        </w:rPr>
        <w:fldChar w:fldCharType="separate"/>
      </w:r>
      <w:r w:rsidRPr="008F56A2" w:rsidR="008F56A2">
        <w:rPr>
          <w:lang w:val="en-AU"/>
        </w:rPr>
        <w:t>Table</w:t>
      </w:r>
      <w:r w:rsidRPr="008D1918" w:rsidR="008F56A2">
        <w:t xml:space="preserve"> </w:t>
      </w:r>
      <w:r w:rsidR="008F56A2">
        <w:rPr>
          <w:noProof/>
        </w:rPr>
        <w:t>55</w:t>
      </w:r>
      <w:r w:rsidRPr="008D1918" w:rsidR="007A176E">
        <w:rPr>
          <w:rFonts w:eastAsia="Arial" w:cs="Arial"/>
          <w:color w:val="000000" w:themeColor="accent6"/>
          <w:lang w:val="en-AU"/>
        </w:rPr>
        <w:fldChar w:fldCharType="end"/>
      </w:r>
      <w:r w:rsidRPr="008D1918">
        <w:rPr>
          <w:rFonts w:eastAsia="Arial" w:cs="Arial"/>
          <w:color w:val="000000" w:themeColor="accent6"/>
          <w:lang w:val="en-AU"/>
        </w:rPr>
        <w:t xml:space="preserve"> compares </w:t>
      </w:r>
      <w:r w:rsidRPr="008D1918" w:rsidR="00CB42DE">
        <w:rPr>
          <w:rFonts w:eastAsia="Arial" w:cs="Arial"/>
          <w:color w:val="000000" w:themeColor="accent6"/>
          <w:lang w:val="en-AU"/>
        </w:rPr>
        <w:t>f</w:t>
      </w:r>
      <w:r w:rsidRPr="008D1918">
        <w:rPr>
          <w:rFonts w:eastAsia="Arial" w:cs="Arial"/>
          <w:color w:val="000000" w:themeColor="accent6"/>
          <w:lang w:val="en-AU"/>
        </w:rPr>
        <w:t xml:space="preserve">irst </w:t>
      </w:r>
      <w:r w:rsidRPr="008D1918" w:rsidR="00CB42DE">
        <w:rPr>
          <w:rFonts w:eastAsia="Arial" w:cs="Arial"/>
          <w:color w:val="000000" w:themeColor="accent6"/>
          <w:lang w:val="en-AU"/>
        </w:rPr>
        <w:t>p</w:t>
      </w:r>
      <w:r w:rsidRPr="008D1918">
        <w:rPr>
          <w:rFonts w:eastAsia="Arial" w:cs="Arial"/>
          <w:color w:val="000000" w:themeColor="accent6"/>
          <w:lang w:val="en-AU"/>
        </w:rPr>
        <w:t>lan activation percentages across M</w:t>
      </w:r>
      <w:r w:rsidRPr="008D1918" w:rsidR="00E43DDB">
        <w:rPr>
          <w:rFonts w:eastAsia="Arial" w:cs="Arial"/>
          <w:color w:val="000000" w:themeColor="accent6"/>
          <w:lang w:val="en-AU"/>
        </w:rPr>
        <w:t>M</w:t>
      </w:r>
      <w:r w:rsidRPr="008D1918" w:rsidR="00956451">
        <w:rPr>
          <w:rFonts w:eastAsia="Arial" w:cs="Arial"/>
          <w:color w:val="000000" w:themeColor="accent6"/>
          <w:lang w:val="en-AU"/>
        </w:rPr>
        <w:t xml:space="preserve"> </w:t>
      </w:r>
      <w:r w:rsidRPr="008D1918" w:rsidR="008E0239">
        <w:rPr>
          <w:rFonts w:eastAsia="Arial" w:cs="Arial"/>
          <w:color w:val="000000" w:themeColor="accent6"/>
          <w:lang w:val="en-AU"/>
        </w:rPr>
        <w:t>categor</w:t>
      </w:r>
      <w:r w:rsidRPr="008D1918" w:rsidR="2ECE13EB">
        <w:rPr>
          <w:rFonts w:eastAsia="Arial" w:cs="Arial"/>
          <w:color w:val="000000" w:themeColor="accent6"/>
          <w:lang w:val="en-AU"/>
        </w:rPr>
        <w:t>ies</w:t>
      </w:r>
      <w:r w:rsidRPr="008D1918" w:rsidR="008E0239">
        <w:rPr>
          <w:rFonts w:eastAsia="Arial" w:cs="Arial"/>
          <w:color w:val="000000" w:themeColor="accent6"/>
          <w:lang w:val="en-AU"/>
        </w:rPr>
        <w:t xml:space="preserve"> </w:t>
      </w:r>
      <w:r w:rsidRPr="008D1918">
        <w:rPr>
          <w:rFonts w:eastAsia="Arial" w:cs="Arial"/>
          <w:color w:val="000000" w:themeColor="accent6"/>
          <w:lang w:val="en-AU"/>
        </w:rPr>
        <w:t>from 1 July 2024 to 30 June 2025. On average, 74% of all first plans are activated within the first month with this figure ranging from 71% in M</w:t>
      </w:r>
      <w:r w:rsidRPr="008D1918" w:rsidR="00E43DDB">
        <w:rPr>
          <w:rFonts w:eastAsia="Arial" w:cs="Arial"/>
          <w:color w:val="000000" w:themeColor="accent6"/>
          <w:lang w:val="en-AU"/>
        </w:rPr>
        <w:t>M</w:t>
      </w:r>
      <w:r w:rsidRPr="008D1918" w:rsidR="007A176E">
        <w:rPr>
          <w:rFonts w:eastAsia="Arial" w:cs="Arial"/>
          <w:color w:val="000000" w:themeColor="accent6"/>
          <w:lang w:val="en-AU"/>
        </w:rPr>
        <w:t> </w:t>
      </w:r>
      <w:r w:rsidRPr="008D1918">
        <w:rPr>
          <w:rFonts w:eastAsia="Arial" w:cs="Arial"/>
          <w:color w:val="000000" w:themeColor="accent6"/>
          <w:lang w:val="en-AU"/>
        </w:rPr>
        <w:t>5 locations to 75% in M</w:t>
      </w:r>
      <w:r w:rsidRPr="008D1918" w:rsidR="00E43DDB">
        <w:rPr>
          <w:rFonts w:eastAsia="Arial" w:cs="Arial"/>
          <w:color w:val="000000" w:themeColor="accent6"/>
          <w:lang w:val="en-AU"/>
        </w:rPr>
        <w:t>M</w:t>
      </w:r>
      <w:r w:rsidRPr="008D1918" w:rsidR="007A176E">
        <w:rPr>
          <w:rFonts w:eastAsia="Arial" w:cs="Arial"/>
          <w:color w:val="000000" w:themeColor="accent6"/>
          <w:lang w:val="en-AU"/>
        </w:rPr>
        <w:t> </w:t>
      </w:r>
      <w:r w:rsidRPr="008D1918">
        <w:rPr>
          <w:rFonts w:eastAsia="Arial" w:cs="Arial"/>
          <w:color w:val="000000" w:themeColor="accent6"/>
          <w:lang w:val="en-AU"/>
        </w:rPr>
        <w:t>1 locations. (</w:t>
      </w:r>
      <w:r w:rsidRPr="008D1918" w:rsidR="007A176E">
        <w:rPr>
          <w:rFonts w:eastAsia="Arial" w:cs="Arial"/>
          <w:color w:val="000000" w:themeColor="accent6"/>
          <w:lang w:val="en-AU"/>
        </w:rPr>
        <w:fldChar w:fldCharType="begin"/>
      </w:r>
      <w:r w:rsidRPr="008D1918" w:rsidR="007A176E">
        <w:rPr>
          <w:rFonts w:eastAsia="Arial" w:cs="Arial"/>
          <w:color w:val="000000" w:themeColor="accent6"/>
          <w:lang w:val="en-AU"/>
        </w:rPr>
        <w:instrText xml:space="preserve"> REF _Ref223697679 \h </w:instrText>
      </w:r>
      <w:r w:rsidRPr="008D1918" w:rsidR="00762DF8">
        <w:rPr>
          <w:rFonts w:eastAsia="Arial" w:cs="Arial"/>
          <w:color w:val="000000" w:themeColor="accent6"/>
          <w:lang w:val="en-AU"/>
        </w:rPr>
        <w:instrText xml:space="preserve"> \* MERGEFORMAT </w:instrText>
      </w:r>
      <w:r w:rsidRPr="008D1918" w:rsidR="007A176E">
        <w:rPr>
          <w:rFonts w:eastAsia="Arial" w:cs="Arial"/>
          <w:color w:val="000000" w:themeColor="accent6"/>
          <w:lang w:val="en-AU"/>
        </w:rPr>
      </w:r>
      <w:r w:rsidRPr="008D1918" w:rsidR="007A176E">
        <w:rPr>
          <w:rFonts w:eastAsia="Arial" w:cs="Arial"/>
          <w:color w:val="000000" w:themeColor="accent6"/>
          <w:lang w:val="en-AU"/>
        </w:rPr>
        <w:fldChar w:fldCharType="separate"/>
      </w:r>
      <w:r w:rsidRPr="008F56A2" w:rsidR="008F56A2">
        <w:rPr>
          <w:lang w:val="en-AU"/>
        </w:rPr>
        <w:t>Table</w:t>
      </w:r>
      <w:r w:rsidRPr="008D1918" w:rsidR="008F56A2">
        <w:t xml:space="preserve"> </w:t>
      </w:r>
      <w:r w:rsidR="008F56A2">
        <w:rPr>
          <w:noProof/>
        </w:rPr>
        <w:t>55</w:t>
      </w:r>
      <w:r w:rsidRPr="008D1918" w:rsidR="007A176E">
        <w:rPr>
          <w:rFonts w:eastAsia="Arial" w:cs="Arial"/>
          <w:color w:val="000000" w:themeColor="accent6"/>
          <w:lang w:val="en-AU"/>
        </w:rPr>
        <w:fldChar w:fldCharType="end"/>
      </w:r>
      <w:r w:rsidRPr="008D1918">
        <w:rPr>
          <w:rFonts w:eastAsia="Arial" w:cs="Arial"/>
          <w:color w:val="000000" w:themeColor="accent6"/>
          <w:lang w:val="en-AU"/>
        </w:rPr>
        <w:t xml:space="preserve">). Subsequent </w:t>
      </w:r>
      <w:r w:rsidRPr="008D1918" w:rsidR="00CB42DE">
        <w:rPr>
          <w:rFonts w:eastAsia="Arial" w:cs="Arial"/>
          <w:color w:val="000000" w:themeColor="accent6"/>
          <w:lang w:val="en-AU"/>
        </w:rPr>
        <w:t>p</w:t>
      </w:r>
      <w:r w:rsidRPr="008D1918">
        <w:rPr>
          <w:rFonts w:eastAsia="Arial" w:cs="Arial"/>
          <w:color w:val="000000" w:themeColor="accent6"/>
          <w:lang w:val="en-AU"/>
        </w:rPr>
        <w:t>lan activation has been excluded from this data as on average, 95% of subsequent plans are activated within the first month.</w:t>
      </w:r>
    </w:p>
    <w:p w:rsidRPr="008D1918" w:rsidR="1B9EBD19" w:rsidP="42C7D68E" w:rsidRDefault="007A176E" w14:paraId="355BF515" w14:textId="2FC577CB">
      <w:pPr>
        <w:pStyle w:val="Caption"/>
        <w:rPr>
          <w:rFonts w:eastAsia="Arial" w:cs="Arial"/>
          <w:i w:val="0"/>
          <w:iCs w:val="0"/>
          <w:color w:val="6B2876" w:themeColor="accent5"/>
        </w:rPr>
      </w:pPr>
      <w:bookmarkStart w:name="_Ref223697679" w:id="2265"/>
      <w:r w:rsidRPr="008D1918">
        <w:t xml:space="preserve">Table </w:t>
      </w:r>
      <w:r>
        <w:fldChar w:fldCharType="begin"/>
      </w:r>
      <w:r>
        <w:instrText>SEQ Table \* ARABIC</w:instrText>
      </w:r>
      <w:r>
        <w:fldChar w:fldCharType="separate"/>
      </w:r>
      <w:r w:rsidR="008F56A2">
        <w:rPr>
          <w:noProof/>
        </w:rPr>
        <w:t>55</w:t>
      </w:r>
      <w:r>
        <w:fldChar w:fldCharType="end"/>
      </w:r>
      <w:bookmarkEnd w:id="2265"/>
      <w:r w:rsidRPr="008D1918" w:rsidR="1B9EBD19">
        <w:rPr>
          <w:rFonts w:eastAsia="Arial" w:cs="Arial"/>
          <w:color w:val="6B2876" w:themeColor="accent5"/>
        </w:rPr>
        <w:t xml:space="preserve">: Comparison of </w:t>
      </w:r>
      <w:r w:rsidRPr="008D1918" w:rsidR="005F05F4">
        <w:rPr>
          <w:rFonts w:eastAsia="Arial" w:cs="Arial"/>
          <w:color w:val="6B2876" w:themeColor="accent5"/>
        </w:rPr>
        <w:t>f</w:t>
      </w:r>
      <w:r w:rsidRPr="008D1918" w:rsidR="0033703F">
        <w:rPr>
          <w:rFonts w:eastAsia="Arial" w:cs="Arial"/>
          <w:color w:val="6B2876" w:themeColor="accent5"/>
        </w:rPr>
        <w:t xml:space="preserve">irst </w:t>
      </w:r>
      <w:r w:rsidRPr="008D1918" w:rsidR="005F05F4">
        <w:rPr>
          <w:rFonts w:eastAsia="Arial" w:cs="Arial"/>
          <w:color w:val="6B2876" w:themeColor="accent5"/>
        </w:rPr>
        <w:t>p</w:t>
      </w:r>
      <w:r w:rsidRPr="008D1918" w:rsidR="0033703F">
        <w:rPr>
          <w:rFonts w:eastAsia="Arial" w:cs="Arial"/>
          <w:color w:val="6B2876" w:themeColor="accent5"/>
        </w:rPr>
        <w:t xml:space="preserve">lan </w:t>
      </w:r>
      <w:r w:rsidRPr="008D1918" w:rsidR="1B9EBD19">
        <w:rPr>
          <w:rFonts w:eastAsia="Arial" w:cs="Arial"/>
          <w:color w:val="6B2876" w:themeColor="accent5"/>
        </w:rPr>
        <w:t>activation percentages across MM</w:t>
      </w:r>
      <w:r w:rsidRPr="008D1918" w:rsidR="007562D0">
        <w:rPr>
          <w:rFonts w:eastAsia="Arial" w:cs="Arial"/>
          <w:color w:val="6B2876" w:themeColor="accent5"/>
        </w:rPr>
        <w:t xml:space="preserve"> </w:t>
      </w:r>
      <w:r w:rsidRPr="008D1918" w:rsidR="00CE1243">
        <w:rPr>
          <w:rFonts w:eastAsia="Arial" w:cs="Arial"/>
          <w:color w:val="6B2876" w:themeColor="accent5"/>
        </w:rPr>
        <w:t>c</w:t>
      </w:r>
      <w:r w:rsidRPr="008D1918" w:rsidR="007562D0">
        <w:rPr>
          <w:rFonts w:eastAsia="Arial" w:cs="Arial"/>
          <w:color w:val="6B2876" w:themeColor="accent5"/>
        </w:rPr>
        <w:t>ategor</w:t>
      </w:r>
      <w:r w:rsidRPr="008D1918" w:rsidR="00221017">
        <w:rPr>
          <w:rFonts w:eastAsia="Arial" w:cs="Arial"/>
          <w:color w:val="6B2876" w:themeColor="accent5"/>
        </w:rPr>
        <w:t>y</w:t>
      </w:r>
      <w:r w:rsidRPr="008D1918" w:rsidR="1B9EBD19">
        <w:rPr>
          <w:rFonts w:eastAsia="Arial" w:cs="Arial"/>
          <w:color w:val="6B2876" w:themeColor="accent5"/>
        </w:rPr>
        <w:t xml:space="preserve"> from </w:t>
      </w:r>
      <w:r w:rsidRPr="008D1918" w:rsidR="00423B7D">
        <w:rPr>
          <w:rFonts w:eastAsia="Arial" w:cs="Arial"/>
          <w:color w:val="6B2876" w:themeColor="accent5"/>
        </w:rPr>
        <w:t>m</w:t>
      </w:r>
      <w:r w:rsidRPr="008D1918" w:rsidR="1B9EBD19">
        <w:rPr>
          <w:rFonts w:eastAsia="Arial" w:cs="Arial"/>
          <w:color w:val="6B2876" w:themeColor="accent5"/>
        </w:rPr>
        <w:t>onth</w:t>
      </w:r>
      <w:r w:rsidRPr="008D1918" w:rsidR="0002723B">
        <w:rPr>
          <w:rFonts w:eastAsia="Arial" w:cs="Arial"/>
          <w:color w:val="6B2876" w:themeColor="accent5"/>
        </w:rPr>
        <w:t> </w:t>
      </w:r>
      <w:r w:rsidRPr="008D1918" w:rsidR="1B9EBD19">
        <w:rPr>
          <w:rFonts w:eastAsia="Arial" w:cs="Arial"/>
          <w:color w:val="6B2876" w:themeColor="accent5"/>
        </w:rPr>
        <w:t>1</w:t>
      </w:r>
      <w:r w:rsidRPr="008D1918" w:rsidR="1BC34F67">
        <w:rPr>
          <w:rFonts w:eastAsia="Arial" w:cs="Arial"/>
          <w:color w:val="6B2876" w:themeColor="accent5"/>
        </w:rPr>
        <w:t xml:space="preserve"> to</w:t>
      </w:r>
      <w:r w:rsidRPr="008D1918" w:rsidR="1B9EBD19">
        <w:rPr>
          <w:rFonts w:eastAsia="Arial" w:cs="Arial"/>
          <w:color w:val="6B2876" w:themeColor="accent5"/>
        </w:rPr>
        <w:t xml:space="preserve"> </w:t>
      </w:r>
      <w:r w:rsidRPr="008D1918" w:rsidR="00423B7D">
        <w:rPr>
          <w:rFonts w:eastAsia="Arial" w:cs="Arial"/>
          <w:color w:val="6B2876" w:themeColor="accent5"/>
        </w:rPr>
        <w:t>m</w:t>
      </w:r>
      <w:r w:rsidRPr="008D1918" w:rsidR="1B9EBD19">
        <w:rPr>
          <w:rFonts w:eastAsia="Arial" w:cs="Arial"/>
          <w:color w:val="6B2876" w:themeColor="accent5"/>
        </w:rPr>
        <w:t>onth 6+</w:t>
      </w:r>
      <w:r w:rsidRPr="008D1918" w:rsidR="288C5E40">
        <w:rPr>
          <w:rFonts w:eastAsia="Arial" w:cs="Arial"/>
          <w:color w:val="6B2876" w:themeColor="accent5"/>
        </w:rPr>
        <w:t>, 1 July 2024 to 30 June 2025</w:t>
      </w:r>
      <w:r w:rsidRPr="008D1918" w:rsidR="1B9EBD19">
        <w:rPr>
          <w:rFonts w:eastAsia="Arial" w:cs="Arial"/>
          <w:color w:val="6B2876" w:themeColor="accent5"/>
        </w:rPr>
        <w:t xml:space="preserve"> </w:t>
      </w:r>
    </w:p>
    <w:tbl>
      <w:tblPr>
        <w:tblStyle w:val="GridTable4-Accent121"/>
        <w:tblW w:w="0" w:type="auto"/>
        <w:tblInd w:w="-8"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2268"/>
        <w:gridCol w:w="964"/>
        <w:gridCol w:w="964"/>
        <w:gridCol w:w="964"/>
        <w:gridCol w:w="964"/>
        <w:gridCol w:w="964"/>
        <w:gridCol w:w="964"/>
        <w:gridCol w:w="964"/>
      </w:tblGrid>
      <w:tr w:rsidRPr="008D1918" w:rsidR="00A238C6" w:rsidTr="00853D62" w14:paraId="366C4AE9" w14:textId="27EA9358">
        <w:trPr>
          <w:cnfStyle w:val="100000000000" w:firstRow="1" w:lastRow="0" w:firstColumn="0" w:lastColumn="0" w:oddVBand="0" w:evenVBand="0" w:oddHBand="0" w:evenHBand="0" w:firstRowFirstColumn="0" w:firstRowLastColumn="0" w:lastRowFirstColumn="0" w:lastRowLastColumn="0"/>
          <w:trHeight w:val="567"/>
          <w:tblHeader/>
        </w:trPr>
        <w:tc>
          <w:tcPr>
            <w:tcW w:w="2268" w:type="dxa"/>
            <w:tcBorders>
              <w:top w:val="single" w:color="501E58" w:sz="6" w:space="0"/>
              <w:left w:val="single" w:color="501E58" w:sz="6" w:space="0"/>
              <w:bottom w:val="single" w:color="501E58" w:sz="6" w:space="0"/>
              <w:right w:val="single" w:color="501E58" w:sz="6" w:space="0"/>
            </w:tcBorders>
            <w:vAlign w:val="center"/>
          </w:tcPr>
          <w:p w:rsidRPr="008D1918" w:rsidR="00FE7A18" w:rsidP="00853D62" w:rsidRDefault="00FE7A18" w14:paraId="3703D844" w14:textId="4DAC10E8">
            <w:pPr>
              <w:spacing w:before="0" w:after="0" w:line="240" w:lineRule="auto"/>
              <w:jc w:val="center"/>
              <w:rPr>
                <w:rFonts w:eastAsia="Arial"/>
                <w:color w:val="FFFFFF"/>
                <w:sz w:val="20"/>
                <w:szCs w:val="20"/>
                <w:lang w:val="en-AU"/>
              </w:rPr>
            </w:pPr>
            <w:r w:rsidRPr="008D1918">
              <w:rPr>
                <w:rFonts w:eastAsia="Arial"/>
                <w:color w:val="FFFFFF"/>
                <w:sz w:val="20"/>
                <w:szCs w:val="20"/>
                <w:lang w:val="en-AU"/>
              </w:rPr>
              <w:t xml:space="preserve">First </w:t>
            </w:r>
            <w:r w:rsidRPr="008D1918" w:rsidR="00CB42DE">
              <w:rPr>
                <w:rFonts w:eastAsia="Arial"/>
                <w:color w:val="FFFFFF"/>
                <w:sz w:val="20"/>
                <w:szCs w:val="20"/>
                <w:lang w:val="en-AU"/>
              </w:rPr>
              <w:t>p</w:t>
            </w:r>
            <w:r w:rsidRPr="008D1918">
              <w:rPr>
                <w:rFonts w:eastAsia="Arial"/>
                <w:color w:val="FFFFFF"/>
                <w:sz w:val="20"/>
                <w:szCs w:val="20"/>
                <w:lang w:val="en-AU"/>
              </w:rPr>
              <w:t xml:space="preserve">lan </w:t>
            </w:r>
            <w:r w:rsidRPr="008D1918" w:rsidR="00423B7D">
              <w:rPr>
                <w:rFonts w:eastAsia="Arial"/>
                <w:color w:val="FFFFFF"/>
                <w:sz w:val="20"/>
                <w:szCs w:val="20"/>
                <w:lang w:val="en-AU"/>
              </w:rPr>
              <w:t>a</w:t>
            </w:r>
            <w:r w:rsidRPr="008D1918">
              <w:rPr>
                <w:rFonts w:eastAsia="Arial"/>
                <w:color w:val="FFFFFF"/>
                <w:sz w:val="20"/>
                <w:szCs w:val="20"/>
                <w:lang w:val="en-AU"/>
              </w:rPr>
              <w:t>ctivation</w:t>
            </w:r>
          </w:p>
        </w:tc>
        <w:tc>
          <w:tcPr>
            <w:tcW w:w="964" w:type="dxa"/>
            <w:tcBorders>
              <w:top w:val="single" w:color="501E58" w:sz="6" w:space="0"/>
              <w:left w:val="single" w:color="501E58" w:sz="6" w:space="0"/>
              <w:bottom w:val="single" w:color="501E58" w:sz="6" w:space="0"/>
              <w:right w:val="single" w:color="501E58" w:sz="6" w:space="0"/>
            </w:tcBorders>
            <w:vAlign w:val="center"/>
          </w:tcPr>
          <w:p w:rsidRPr="008D1918" w:rsidR="00FE7A18" w:rsidP="00853D62" w:rsidRDefault="00FE7A18" w14:paraId="26DC998F" w14:textId="268E18F2">
            <w:pPr>
              <w:spacing w:before="0" w:after="0" w:line="240" w:lineRule="auto"/>
              <w:jc w:val="center"/>
              <w:rPr>
                <w:rFonts w:eastAsia="Arial"/>
                <w:color w:val="FFFFFF"/>
                <w:sz w:val="20"/>
                <w:szCs w:val="20"/>
                <w:lang w:val="en-AU"/>
              </w:rPr>
            </w:pPr>
            <w:r w:rsidRPr="008D1918">
              <w:rPr>
                <w:rFonts w:eastAsia="Arial"/>
                <w:color w:val="FFFFFF"/>
                <w:sz w:val="20"/>
                <w:szCs w:val="20"/>
                <w:lang w:val="en-AU"/>
              </w:rPr>
              <w:t>MM 1</w:t>
            </w:r>
          </w:p>
        </w:tc>
        <w:tc>
          <w:tcPr>
            <w:tcW w:w="964" w:type="dxa"/>
            <w:tcBorders>
              <w:top w:val="single" w:color="501E58" w:sz="6" w:space="0"/>
              <w:left w:val="single" w:color="501E58" w:sz="6" w:space="0"/>
              <w:bottom w:val="single" w:color="501E58" w:sz="6" w:space="0"/>
              <w:right w:val="single" w:color="501E58" w:sz="6" w:space="0"/>
            </w:tcBorders>
            <w:vAlign w:val="center"/>
          </w:tcPr>
          <w:p w:rsidRPr="008D1918" w:rsidR="00FE7A18" w:rsidP="00853D62" w:rsidRDefault="00FE7A18" w14:paraId="77FBCF4C" w14:textId="5ABD2DAC">
            <w:pPr>
              <w:spacing w:before="0" w:after="0" w:line="240" w:lineRule="auto"/>
              <w:jc w:val="center"/>
              <w:rPr>
                <w:rFonts w:eastAsia="Arial"/>
                <w:color w:val="FFFFFF"/>
                <w:sz w:val="20"/>
                <w:szCs w:val="20"/>
                <w:lang w:val="en-AU"/>
              </w:rPr>
            </w:pPr>
            <w:r w:rsidRPr="008D1918">
              <w:rPr>
                <w:rFonts w:eastAsia="Arial"/>
                <w:color w:val="FFFFFF"/>
                <w:sz w:val="20"/>
                <w:szCs w:val="20"/>
                <w:lang w:val="en-AU"/>
              </w:rPr>
              <w:t>MM 2</w:t>
            </w:r>
          </w:p>
        </w:tc>
        <w:tc>
          <w:tcPr>
            <w:tcW w:w="964" w:type="dxa"/>
            <w:tcBorders>
              <w:top w:val="single" w:color="501E58" w:sz="6" w:space="0"/>
              <w:left w:val="single" w:color="501E58" w:sz="6" w:space="0"/>
              <w:bottom w:val="single" w:color="501E58" w:sz="6" w:space="0"/>
              <w:right w:val="single" w:color="501E58" w:sz="6" w:space="0"/>
            </w:tcBorders>
            <w:vAlign w:val="center"/>
          </w:tcPr>
          <w:p w:rsidRPr="008D1918" w:rsidR="00FE7A18" w:rsidP="00853D62" w:rsidRDefault="00FE7A18" w14:paraId="1371B6CB" w14:textId="5952DB8A">
            <w:pPr>
              <w:spacing w:before="0" w:after="0" w:line="240" w:lineRule="auto"/>
              <w:jc w:val="center"/>
              <w:rPr>
                <w:rFonts w:eastAsia="Arial"/>
                <w:color w:val="FFFFFF"/>
                <w:sz w:val="20"/>
                <w:szCs w:val="20"/>
                <w:lang w:val="en-AU"/>
              </w:rPr>
            </w:pPr>
            <w:r w:rsidRPr="008D1918">
              <w:rPr>
                <w:rFonts w:eastAsia="Arial"/>
                <w:color w:val="FFFFFF"/>
                <w:sz w:val="20"/>
                <w:szCs w:val="20"/>
                <w:lang w:val="en-AU"/>
              </w:rPr>
              <w:t>MM 3</w:t>
            </w:r>
          </w:p>
        </w:tc>
        <w:tc>
          <w:tcPr>
            <w:tcW w:w="964" w:type="dxa"/>
            <w:tcBorders>
              <w:top w:val="single" w:color="501E58" w:sz="6" w:space="0"/>
              <w:left w:val="single" w:color="501E58" w:sz="6" w:space="0"/>
              <w:bottom w:val="single" w:color="501E58" w:sz="6" w:space="0"/>
              <w:right w:val="single" w:color="501E58" w:sz="6" w:space="0"/>
            </w:tcBorders>
            <w:vAlign w:val="center"/>
          </w:tcPr>
          <w:p w:rsidRPr="008D1918" w:rsidR="00FE7A18" w:rsidP="00853D62" w:rsidRDefault="00FE7A18" w14:paraId="0C7E3AFA" w14:textId="2749E7EB">
            <w:pPr>
              <w:spacing w:before="0" w:after="0" w:line="240" w:lineRule="auto"/>
              <w:jc w:val="center"/>
              <w:rPr>
                <w:rFonts w:eastAsia="Arial"/>
                <w:color w:val="FFFFFF"/>
                <w:sz w:val="20"/>
                <w:szCs w:val="20"/>
                <w:lang w:val="en-AU"/>
              </w:rPr>
            </w:pPr>
            <w:r w:rsidRPr="008D1918">
              <w:rPr>
                <w:rFonts w:eastAsia="Arial"/>
                <w:color w:val="FFFFFF"/>
                <w:sz w:val="20"/>
                <w:szCs w:val="20"/>
                <w:lang w:val="en-AU"/>
              </w:rPr>
              <w:t>MM 4</w:t>
            </w:r>
          </w:p>
        </w:tc>
        <w:tc>
          <w:tcPr>
            <w:tcW w:w="964" w:type="dxa"/>
            <w:tcBorders>
              <w:top w:val="single" w:color="501E58" w:sz="6" w:space="0"/>
              <w:left w:val="single" w:color="501E58" w:sz="6" w:space="0"/>
              <w:bottom w:val="single" w:color="501E58" w:sz="6" w:space="0"/>
              <w:right w:val="single" w:color="501E58" w:sz="6" w:space="0"/>
            </w:tcBorders>
            <w:vAlign w:val="center"/>
          </w:tcPr>
          <w:p w:rsidRPr="008D1918" w:rsidR="00FE7A18" w:rsidP="00853D62" w:rsidRDefault="00FE7A18" w14:paraId="61A94942" w14:textId="5C96FBE2">
            <w:pPr>
              <w:spacing w:before="0" w:after="0" w:line="240" w:lineRule="auto"/>
              <w:jc w:val="center"/>
              <w:rPr>
                <w:rFonts w:eastAsia="Arial"/>
                <w:color w:val="FFFFFF"/>
                <w:sz w:val="20"/>
                <w:szCs w:val="20"/>
                <w:lang w:val="en-AU"/>
              </w:rPr>
            </w:pPr>
            <w:r w:rsidRPr="008D1918">
              <w:rPr>
                <w:rFonts w:eastAsia="Arial"/>
                <w:color w:val="FFFFFF"/>
                <w:sz w:val="20"/>
                <w:szCs w:val="20"/>
                <w:lang w:val="en-AU"/>
              </w:rPr>
              <w:t>MM 5</w:t>
            </w:r>
          </w:p>
        </w:tc>
        <w:tc>
          <w:tcPr>
            <w:tcW w:w="964" w:type="dxa"/>
            <w:tcBorders>
              <w:top w:val="single" w:color="501E58" w:sz="6" w:space="0"/>
              <w:left w:val="single" w:color="501E58" w:sz="6" w:space="0"/>
              <w:bottom w:val="single" w:color="501E58" w:sz="6" w:space="0"/>
              <w:right w:val="single" w:color="501E58" w:sz="6" w:space="0"/>
            </w:tcBorders>
            <w:vAlign w:val="center"/>
          </w:tcPr>
          <w:p w:rsidRPr="008D1918" w:rsidR="00FE7A18" w:rsidP="00853D62" w:rsidRDefault="00FE7A18" w14:paraId="5C0181A5" w14:textId="373DE56B">
            <w:pPr>
              <w:spacing w:before="0" w:after="0" w:line="240" w:lineRule="auto"/>
              <w:jc w:val="center"/>
              <w:rPr>
                <w:rFonts w:eastAsia="Arial"/>
                <w:color w:val="FFFFFF"/>
                <w:sz w:val="20"/>
                <w:szCs w:val="20"/>
                <w:lang w:val="en-AU"/>
              </w:rPr>
            </w:pPr>
            <w:r w:rsidRPr="008D1918">
              <w:rPr>
                <w:rFonts w:eastAsia="Arial"/>
                <w:color w:val="FFFFFF"/>
                <w:sz w:val="20"/>
                <w:szCs w:val="20"/>
                <w:lang w:val="en-AU"/>
              </w:rPr>
              <w:t>MM 6</w:t>
            </w:r>
          </w:p>
        </w:tc>
        <w:tc>
          <w:tcPr>
            <w:tcW w:w="964" w:type="dxa"/>
            <w:tcBorders>
              <w:top w:val="single" w:color="501E58" w:sz="6" w:space="0"/>
              <w:left w:val="single" w:color="501E58" w:sz="6" w:space="0"/>
              <w:bottom w:val="single" w:color="501E58" w:sz="6" w:space="0"/>
              <w:right w:val="single" w:color="501E58" w:sz="6" w:space="0"/>
            </w:tcBorders>
            <w:vAlign w:val="center"/>
          </w:tcPr>
          <w:p w:rsidRPr="008D1918" w:rsidR="00FE7A18" w:rsidP="00853D62" w:rsidRDefault="00FE7A18" w14:paraId="6D235D79" w14:textId="45C52589">
            <w:pPr>
              <w:spacing w:before="0" w:after="0" w:line="240" w:lineRule="auto"/>
              <w:jc w:val="center"/>
              <w:rPr>
                <w:rFonts w:eastAsia="Arial"/>
                <w:color w:val="FFFFFF"/>
                <w:sz w:val="20"/>
                <w:szCs w:val="20"/>
                <w:lang w:val="en-AU"/>
              </w:rPr>
            </w:pPr>
            <w:r w:rsidRPr="008D1918">
              <w:rPr>
                <w:rFonts w:eastAsia="Arial"/>
                <w:color w:val="FFFFFF"/>
                <w:sz w:val="20"/>
                <w:szCs w:val="20"/>
                <w:lang w:val="en-AU"/>
              </w:rPr>
              <w:t>MM 7</w:t>
            </w:r>
          </w:p>
        </w:tc>
      </w:tr>
      <w:tr w:rsidRPr="008D1918" w:rsidR="00A238C6" w:rsidTr="00853D62" w14:paraId="4F7A42D1" w14:textId="03B45356">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color="BA61C9" w:sz="6" w:space="0"/>
              <w:left w:val="single" w:color="BA61C9" w:sz="6" w:space="0"/>
              <w:bottom w:val="single" w:color="BA61C9" w:sz="6" w:space="0"/>
              <w:right w:val="single" w:color="BA61C9" w:sz="6" w:space="0"/>
            </w:tcBorders>
            <w:vAlign w:val="center"/>
          </w:tcPr>
          <w:p w:rsidRPr="008D1918" w:rsidR="00FE7A18" w:rsidP="00FE7A18" w:rsidRDefault="00FE7A18" w14:paraId="73828FA1" w14:textId="585F23E7">
            <w:pPr>
              <w:spacing w:before="60" w:after="60"/>
              <w:rPr>
                <w:rFonts w:cs="Arial"/>
                <w:sz w:val="20"/>
                <w:szCs w:val="20"/>
                <w:lang w:val="en-AU" w:eastAsia="en-AU"/>
              </w:rPr>
            </w:pPr>
            <w:r w:rsidRPr="008D1918">
              <w:rPr>
                <w:rStyle w:val="normaltextrun"/>
                <w:rFonts w:cs="Arial"/>
                <w:sz w:val="20"/>
                <w:szCs w:val="20"/>
                <w:lang w:val="en-AU"/>
              </w:rPr>
              <w:t>Month 1</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72CCFC29" w14:textId="3D99DD10">
            <w:pPr>
              <w:spacing w:before="60" w:after="60"/>
              <w:ind w:right="170"/>
              <w:jc w:val="right"/>
              <w:rPr>
                <w:rFonts w:cs="Arial"/>
                <w:color w:val="000000"/>
                <w:sz w:val="20"/>
                <w:szCs w:val="20"/>
                <w:lang w:val="en-AU" w:eastAsia="en-AU"/>
              </w:rPr>
            </w:pPr>
            <w:r w:rsidRPr="008D1918">
              <w:rPr>
                <w:rStyle w:val="normaltextrun"/>
                <w:rFonts w:cs="Arial"/>
                <w:sz w:val="20"/>
                <w:szCs w:val="20"/>
                <w:lang w:val="en-AU"/>
              </w:rPr>
              <w:t>75%</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3CF2A7A8" w14:textId="0B96F098">
            <w:pPr>
              <w:spacing w:before="60" w:after="60"/>
              <w:ind w:right="170"/>
              <w:jc w:val="right"/>
              <w:rPr>
                <w:rFonts w:cs="Arial"/>
                <w:color w:val="000000"/>
                <w:sz w:val="20"/>
                <w:szCs w:val="20"/>
                <w:lang w:val="en-AU" w:eastAsia="en-AU"/>
              </w:rPr>
            </w:pPr>
            <w:r w:rsidRPr="008D1918">
              <w:rPr>
                <w:rStyle w:val="normaltextrun"/>
                <w:rFonts w:cs="Arial"/>
                <w:sz w:val="20"/>
                <w:szCs w:val="20"/>
                <w:lang w:val="en-AU"/>
              </w:rPr>
              <w:t>73%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4416AE20" w14:textId="526F10A1">
            <w:pPr>
              <w:spacing w:before="60" w:after="60"/>
              <w:ind w:right="170"/>
              <w:jc w:val="right"/>
              <w:rPr>
                <w:rFonts w:cs="Arial"/>
                <w:color w:val="000000"/>
                <w:sz w:val="20"/>
                <w:szCs w:val="20"/>
                <w:lang w:val="en-AU" w:eastAsia="en-AU"/>
              </w:rPr>
            </w:pPr>
            <w:r w:rsidRPr="008D1918">
              <w:rPr>
                <w:rStyle w:val="normaltextrun"/>
                <w:rFonts w:cs="Arial"/>
                <w:sz w:val="20"/>
                <w:szCs w:val="20"/>
                <w:lang w:val="en-AU"/>
              </w:rPr>
              <w:t>73%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3522D027" w14:textId="1FAA2788">
            <w:pPr>
              <w:spacing w:before="60" w:after="60"/>
              <w:ind w:right="170"/>
              <w:jc w:val="right"/>
              <w:rPr>
                <w:rFonts w:cs="Arial"/>
                <w:color w:val="000000"/>
                <w:sz w:val="20"/>
                <w:szCs w:val="20"/>
                <w:lang w:val="en-AU" w:eastAsia="en-AU"/>
              </w:rPr>
            </w:pPr>
            <w:r w:rsidRPr="008D1918">
              <w:rPr>
                <w:rStyle w:val="normaltextrun"/>
                <w:rFonts w:cs="Arial"/>
                <w:sz w:val="20"/>
                <w:szCs w:val="20"/>
                <w:lang w:val="en-AU"/>
              </w:rPr>
              <w:t>72%</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1398296F" w14:textId="74B3C594">
            <w:pPr>
              <w:spacing w:before="60" w:after="60"/>
              <w:ind w:right="170"/>
              <w:jc w:val="right"/>
              <w:rPr>
                <w:rFonts w:cs="Arial"/>
                <w:sz w:val="20"/>
                <w:szCs w:val="20"/>
                <w:lang w:val="en-AU"/>
              </w:rPr>
            </w:pPr>
            <w:r w:rsidRPr="008D1918">
              <w:rPr>
                <w:rStyle w:val="normaltextrun"/>
                <w:rFonts w:cs="Arial"/>
                <w:sz w:val="20"/>
                <w:szCs w:val="20"/>
                <w:lang w:val="en-AU"/>
              </w:rPr>
              <w:t>71%</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5EBAF064" w14:textId="046BFFC6">
            <w:pPr>
              <w:spacing w:before="60" w:after="60"/>
              <w:ind w:right="170"/>
              <w:jc w:val="right"/>
              <w:rPr>
                <w:rFonts w:cs="Arial"/>
                <w:sz w:val="20"/>
                <w:szCs w:val="20"/>
                <w:lang w:val="en-AU"/>
              </w:rPr>
            </w:pPr>
            <w:r w:rsidRPr="008D1918">
              <w:rPr>
                <w:rStyle w:val="normaltextrun"/>
                <w:rFonts w:cs="Arial"/>
                <w:sz w:val="20"/>
                <w:szCs w:val="20"/>
                <w:lang w:val="en-AU"/>
              </w:rPr>
              <w:t>73%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37EDAEF5" w14:textId="3B412394">
            <w:pPr>
              <w:spacing w:before="60" w:after="60"/>
              <w:ind w:right="170"/>
              <w:jc w:val="right"/>
              <w:rPr>
                <w:rFonts w:cs="Arial"/>
                <w:sz w:val="20"/>
                <w:szCs w:val="20"/>
                <w:lang w:val="en-AU"/>
              </w:rPr>
            </w:pPr>
            <w:r w:rsidRPr="008D1918">
              <w:rPr>
                <w:rStyle w:val="normaltextrun"/>
                <w:rFonts w:cs="Arial"/>
                <w:sz w:val="20"/>
                <w:szCs w:val="20"/>
                <w:lang w:val="en-AU"/>
              </w:rPr>
              <w:t>74%</w:t>
            </w:r>
            <w:r w:rsidRPr="008D1918" w:rsidR="00853D62">
              <w:rPr>
                <w:rStyle w:val="eop"/>
                <w:rFonts w:cs="Arial"/>
                <w:sz w:val="20"/>
                <w:szCs w:val="20"/>
                <w:lang w:val="en-AU"/>
              </w:rPr>
              <w:t> </w:t>
            </w:r>
          </w:p>
        </w:tc>
      </w:tr>
      <w:tr w:rsidRPr="008D1918" w:rsidR="00FE7A18" w:rsidTr="00853D62" w14:paraId="357B9A04" w14:textId="1EF7F840">
        <w:trPr>
          <w:trHeight w:val="397"/>
        </w:trPr>
        <w:tc>
          <w:tcPr>
            <w:tcW w:w="2268" w:type="dxa"/>
            <w:tcBorders>
              <w:top w:val="single" w:color="BA61C9" w:sz="6" w:space="0"/>
              <w:left w:val="single" w:color="BA61C9" w:sz="6" w:space="0"/>
              <w:bottom w:val="single" w:color="BA61C9" w:sz="6" w:space="0"/>
              <w:right w:val="single" w:color="BA61C9" w:sz="6" w:space="0"/>
            </w:tcBorders>
            <w:vAlign w:val="center"/>
          </w:tcPr>
          <w:p w:rsidRPr="008D1918" w:rsidR="00FE7A18" w:rsidP="00FE7A18" w:rsidRDefault="00FE7A18" w14:paraId="20622E4F" w14:textId="54F127CA">
            <w:pPr>
              <w:spacing w:before="60" w:after="60"/>
              <w:rPr>
                <w:rFonts w:cs="Arial"/>
                <w:sz w:val="20"/>
                <w:szCs w:val="20"/>
                <w:lang w:val="en-AU"/>
              </w:rPr>
            </w:pPr>
            <w:r w:rsidRPr="008D1918">
              <w:rPr>
                <w:rStyle w:val="normaltextrun"/>
                <w:rFonts w:cs="Arial"/>
                <w:sz w:val="20"/>
                <w:szCs w:val="20"/>
                <w:lang w:val="en-AU"/>
              </w:rPr>
              <w:t>Month 2</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71975321" w14:textId="5F58EEAC">
            <w:pPr>
              <w:spacing w:before="60" w:after="60"/>
              <w:ind w:right="170"/>
              <w:jc w:val="right"/>
              <w:rPr>
                <w:rFonts w:cs="Arial"/>
                <w:sz w:val="20"/>
                <w:szCs w:val="20"/>
                <w:lang w:val="en-AU"/>
              </w:rPr>
            </w:pPr>
            <w:r w:rsidRPr="008D1918">
              <w:rPr>
                <w:rStyle w:val="normaltextrun"/>
                <w:rFonts w:cs="Arial"/>
                <w:sz w:val="20"/>
                <w:szCs w:val="20"/>
                <w:lang w:val="en-AU"/>
              </w:rPr>
              <w:t>12%</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555D0F4D" w14:textId="4D16610B">
            <w:pPr>
              <w:spacing w:before="60" w:after="60"/>
              <w:ind w:right="170"/>
              <w:jc w:val="right"/>
              <w:rPr>
                <w:rFonts w:cs="Arial"/>
                <w:sz w:val="20"/>
                <w:szCs w:val="20"/>
                <w:lang w:val="en-AU"/>
              </w:rPr>
            </w:pPr>
            <w:r w:rsidRPr="008D1918">
              <w:rPr>
                <w:rStyle w:val="normaltextrun"/>
                <w:rFonts w:cs="Arial"/>
                <w:sz w:val="20"/>
                <w:szCs w:val="20"/>
                <w:lang w:val="en-AU"/>
              </w:rPr>
              <w:t>13%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6E20CF9E" w14:textId="03E7137C">
            <w:pPr>
              <w:spacing w:before="60" w:after="60"/>
              <w:ind w:right="170"/>
              <w:jc w:val="right"/>
              <w:rPr>
                <w:rFonts w:cs="Arial"/>
                <w:sz w:val="20"/>
                <w:szCs w:val="20"/>
                <w:lang w:val="en-AU"/>
              </w:rPr>
            </w:pPr>
            <w:r w:rsidRPr="008D1918">
              <w:rPr>
                <w:rStyle w:val="normaltextrun"/>
                <w:rFonts w:cs="Arial"/>
                <w:sz w:val="20"/>
                <w:szCs w:val="20"/>
                <w:lang w:val="en-AU"/>
              </w:rPr>
              <w:t>13%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7BC9C7A5" w14:textId="6F6C8751">
            <w:pPr>
              <w:spacing w:before="60" w:after="60"/>
              <w:ind w:right="170"/>
              <w:jc w:val="right"/>
              <w:rPr>
                <w:rFonts w:cs="Arial"/>
                <w:sz w:val="20"/>
                <w:szCs w:val="20"/>
                <w:lang w:val="en-AU"/>
              </w:rPr>
            </w:pPr>
            <w:r w:rsidRPr="008D1918">
              <w:rPr>
                <w:rStyle w:val="normaltextrun"/>
                <w:rFonts w:cs="Arial"/>
                <w:sz w:val="20"/>
                <w:szCs w:val="20"/>
                <w:lang w:val="en-AU"/>
              </w:rPr>
              <w:t>13%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06FD10D6" w14:textId="00FE0366">
            <w:pPr>
              <w:spacing w:before="60" w:after="60"/>
              <w:ind w:right="170"/>
              <w:jc w:val="right"/>
              <w:rPr>
                <w:rFonts w:cs="Arial"/>
                <w:sz w:val="20"/>
                <w:szCs w:val="20"/>
                <w:lang w:val="en-AU"/>
              </w:rPr>
            </w:pPr>
            <w:r w:rsidRPr="008D1918">
              <w:rPr>
                <w:rStyle w:val="normaltextrun"/>
                <w:rFonts w:cs="Arial"/>
                <w:sz w:val="20"/>
                <w:szCs w:val="20"/>
                <w:lang w:val="en-AU"/>
              </w:rPr>
              <w:t>13%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67024D34" w14:textId="26CB8C0F">
            <w:pPr>
              <w:spacing w:before="60" w:after="60"/>
              <w:ind w:right="170"/>
              <w:jc w:val="right"/>
              <w:rPr>
                <w:rFonts w:cs="Arial"/>
                <w:sz w:val="20"/>
                <w:szCs w:val="20"/>
                <w:lang w:val="en-AU"/>
              </w:rPr>
            </w:pPr>
            <w:r w:rsidRPr="008D1918">
              <w:rPr>
                <w:rStyle w:val="normaltextrun"/>
                <w:rFonts w:cs="Arial"/>
                <w:sz w:val="20"/>
                <w:szCs w:val="20"/>
                <w:lang w:val="en-AU"/>
              </w:rPr>
              <w:t>12%</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29FB7E3A" w14:textId="58FA8D38">
            <w:pPr>
              <w:spacing w:before="60" w:after="60"/>
              <w:ind w:right="170"/>
              <w:jc w:val="right"/>
              <w:rPr>
                <w:rFonts w:cs="Arial"/>
                <w:sz w:val="20"/>
                <w:szCs w:val="20"/>
                <w:lang w:val="en-AU"/>
              </w:rPr>
            </w:pPr>
            <w:r w:rsidRPr="008D1918">
              <w:rPr>
                <w:rStyle w:val="normaltextrun"/>
                <w:rFonts w:cs="Arial"/>
                <w:sz w:val="20"/>
                <w:szCs w:val="20"/>
                <w:lang w:val="en-AU"/>
              </w:rPr>
              <w:t>11%</w:t>
            </w:r>
            <w:r w:rsidRPr="008D1918" w:rsidR="00853D62">
              <w:rPr>
                <w:rStyle w:val="eop"/>
                <w:rFonts w:cs="Arial"/>
                <w:sz w:val="20"/>
                <w:szCs w:val="20"/>
                <w:lang w:val="en-AU"/>
              </w:rPr>
              <w:t> </w:t>
            </w:r>
          </w:p>
        </w:tc>
      </w:tr>
      <w:tr w:rsidRPr="008D1918" w:rsidR="00A238C6" w:rsidTr="00853D62" w14:paraId="380AEE14" w14:textId="5EEC73A6">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color="BA61C9" w:sz="6" w:space="0"/>
              <w:left w:val="single" w:color="BA61C9" w:sz="6" w:space="0"/>
              <w:bottom w:val="single" w:color="BA61C9" w:sz="6" w:space="0"/>
              <w:right w:val="single" w:color="BA61C9" w:sz="6" w:space="0"/>
            </w:tcBorders>
            <w:vAlign w:val="center"/>
          </w:tcPr>
          <w:p w:rsidRPr="008D1918" w:rsidR="00FE7A18" w:rsidP="00FE7A18" w:rsidRDefault="00FE7A18" w14:paraId="61D04EBD" w14:textId="4290462D">
            <w:pPr>
              <w:spacing w:before="60" w:after="60"/>
              <w:rPr>
                <w:rFonts w:cs="Arial"/>
                <w:sz w:val="20"/>
                <w:szCs w:val="20"/>
                <w:lang w:val="en-AU"/>
              </w:rPr>
            </w:pPr>
            <w:r w:rsidRPr="008D1918">
              <w:rPr>
                <w:rStyle w:val="normaltextrun"/>
                <w:rFonts w:cs="Arial"/>
                <w:sz w:val="20"/>
                <w:szCs w:val="20"/>
                <w:lang w:val="en-AU"/>
              </w:rPr>
              <w:t>Month 3</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0F6986D9" w14:textId="28E6217E">
            <w:pPr>
              <w:spacing w:before="60" w:after="60"/>
              <w:ind w:right="170"/>
              <w:jc w:val="right"/>
              <w:rPr>
                <w:rFonts w:cs="Arial"/>
                <w:sz w:val="20"/>
                <w:szCs w:val="20"/>
                <w:lang w:val="en-AU"/>
              </w:rPr>
            </w:pPr>
            <w:r w:rsidRPr="008D1918">
              <w:rPr>
                <w:rStyle w:val="normaltextrun"/>
                <w:rFonts w:cs="Arial"/>
                <w:sz w:val="20"/>
                <w:szCs w:val="20"/>
                <w:lang w:val="en-AU"/>
              </w:rPr>
              <w:t>5%</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5E66F2AB" w14:textId="4B5DC905">
            <w:pPr>
              <w:spacing w:before="60" w:after="60"/>
              <w:ind w:right="170"/>
              <w:jc w:val="right"/>
              <w:rPr>
                <w:rFonts w:cs="Arial"/>
                <w:sz w:val="20"/>
                <w:szCs w:val="20"/>
                <w:lang w:val="en-AU"/>
              </w:rPr>
            </w:pPr>
            <w:r w:rsidRPr="008D1918">
              <w:rPr>
                <w:rStyle w:val="normaltextrun"/>
                <w:rFonts w:cs="Arial"/>
                <w:sz w:val="20"/>
                <w:szCs w:val="20"/>
                <w:lang w:val="en-AU"/>
              </w:rPr>
              <w:t>5%</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2E788109" w14:textId="55E2988C">
            <w:pPr>
              <w:spacing w:before="60" w:after="60"/>
              <w:ind w:right="170"/>
              <w:jc w:val="right"/>
              <w:rPr>
                <w:rFonts w:cs="Arial"/>
                <w:sz w:val="20"/>
                <w:szCs w:val="20"/>
                <w:lang w:val="en-AU"/>
              </w:rPr>
            </w:pPr>
            <w:r w:rsidRPr="008D1918">
              <w:rPr>
                <w:rStyle w:val="normaltextrun"/>
                <w:rFonts w:cs="Arial"/>
                <w:sz w:val="20"/>
                <w:szCs w:val="20"/>
                <w:lang w:val="en-AU"/>
              </w:rPr>
              <w:t>5%</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5FFAF3DC" w14:textId="1C6A07F2">
            <w:pPr>
              <w:spacing w:before="60" w:after="60"/>
              <w:ind w:right="170"/>
              <w:jc w:val="right"/>
              <w:rPr>
                <w:rFonts w:cs="Arial"/>
                <w:sz w:val="20"/>
                <w:szCs w:val="20"/>
                <w:lang w:val="en-AU"/>
              </w:rPr>
            </w:pPr>
            <w:r w:rsidRPr="008D1918">
              <w:rPr>
                <w:rStyle w:val="normaltextrun"/>
                <w:rFonts w:cs="Arial"/>
                <w:sz w:val="20"/>
                <w:szCs w:val="20"/>
                <w:lang w:val="en-AU"/>
              </w:rPr>
              <w:t>5%</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396A249A" w14:textId="1005877C">
            <w:pPr>
              <w:spacing w:before="60" w:after="60"/>
              <w:ind w:right="170"/>
              <w:jc w:val="right"/>
              <w:rPr>
                <w:rFonts w:cs="Arial"/>
                <w:sz w:val="20"/>
                <w:szCs w:val="20"/>
                <w:lang w:val="en-AU"/>
              </w:rPr>
            </w:pPr>
            <w:r w:rsidRPr="008D1918">
              <w:rPr>
                <w:rStyle w:val="normaltextrun"/>
                <w:rFonts w:cs="Arial"/>
                <w:sz w:val="20"/>
                <w:szCs w:val="20"/>
                <w:lang w:val="en-AU"/>
              </w:rPr>
              <w:t>6%</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14F61DC9" w14:textId="7F66285C">
            <w:pPr>
              <w:spacing w:before="60" w:after="60"/>
              <w:ind w:right="170"/>
              <w:jc w:val="right"/>
              <w:rPr>
                <w:rFonts w:cs="Arial"/>
                <w:sz w:val="20"/>
                <w:szCs w:val="20"/>
                <w:lang w:val="en-AU"/>
              </w:rPr>
            </w:pPr>
            <w:r w:rsidRPr="008D1918">
              <w:rPr>
                <w:rStyle w:val="normaltextrun"/>
                <w:rFonts w:cs="Arial"/>
                <w:sz w:val="20"/>
                <w:szCs w:val="20"/>
                <w:lang w:val="en-AU"/>
              </w:rPr>
              <w:t>6%</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301D7EF9" w14:textId="39FA2749">
            <w:pPr>
              <w:spacing w:before="60" w:after="60"/>
              <w:ind w:right="170"/>
              <w:jc w:val="right"/>
              <w:rPr>
                <w:rFonts w:cs="Arial"/>
                <w:sz w:val="20"/>
                <w:szCs w:val="20"/>
                <w:lang w:val="en-AU"/>
              </w:rPr>
            </w:pPr>
            <w:r w:rsidRPr="008D1918">
              <w:rPr>
                <w:rStyle w:val="normaltextrun"/>
                <w:rFonts w:cs="Arial"/>
                <w:sz w:val="20"/>
                <w:szCs w:val="20"/>
                <w:lang w:val="en-AU"/>
              </w:rPr>
              <w:t>5%</w:t>
            </w:r>
            <w:r w:rsidRPr="008D1918" w:rsidR="00853D62">
              <w:rPr>
                <w:rStyle w:val="eop"/>
                <w:rFonts w:cs="Arial"/>
                <w:sz w:val="20"/>
                <w:szCs w:val="20"/>
                <w:lang w:val="en-AU"/>
              </w:rPr>
              <w:t> </w:t>
            </w:r>
          </w:p>
        </w:tc>
      </w:tr>
      <w:tr w:rsidRPr="008D1918" w:rsidR="00FE7A18" w:rsidTr="00853D62" w14:paraId="54160352" w14:textId="217F9372">
        <w:trPr>
          <w:trHeight w:val="397"/>
        </w:trPr>
        <w:tc>
          <w:tcPr>
            <w:tcW w:w="2268" w:type="dxa"/>
            <w:tcBorders>
              <w:top w:val="single" w:color="BA61C9" w:sz="6" w:space="0"/>
              <w:left w:val="single" w:color="BA61C9" w:sz="6" w:space="0"/>
              <w:bottom w:val="single" w:color="BA61C9" w:sz="6" w:space="0"/>
              <w:right w:val="single" w:color="BA61C9" w:sz="6" w:space="0"/>
            </w:tcBorders>
            <w:vAlign w:val="center"/>
          </w:tcPr>
          <w:p w:rsidRPr="008D1918" w:rsidR="00FE7A18" w:rsidP="00FE7A18" w:rsidRDefault="00FE7A18" w14:paraId="165C4FB5" w14:textId="33E1055D">
            <w:pPr>
              <w:spacing w:before="60" w:after="60"/>
              <w:rPr>
                <w:rFonts w:cs="Arial"/>
                <w:sz w:val="20"/>
                <w:szCs w:val="20"/>
                <w:lang w:val="en-AU"/>
              </w:rPr>
            </w:pPr>
            <w:r w:rsidRPr="008D1918">
              <w:rPr>
                <w:rStyle w:val="normaltextrun"/>
                <w:rFonts w:cs="Arial"/>
                <w:sz w:val="20"/>
                <w:szCs w:val="20"/>
                <w:lang w:val="en-AU"/>
              </w:rPr>
              <w:t>Month 4</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6E6A8F71" w14:textId="026868C7">
            <w:pPr>
              <w:spacing w:before="60" w:after="60"/>
              <w:ind w:right="170"/>
              <w:jc w:val="right"/>
              <w:rPr>
                <w:rFonts w:cs="Arial"/>
                <w:sz w:val="20"/>
                <w:szCs w:val="20"/>
                <w:lang w:val="en-AU"/>
              </w:rPr>
            </w:pPr>
            <w:r w:rsidRPr="008D1918">
              <w:rPr>
                <w:rStyle w:val="normaltextrun"/>
                <w:rFonts w:cs="Arial"/>
                <w:sz w:val="20"/>
                <w:szCs w:val="20"/>
                <w:lang w:val="en-AU"/>
              </w:rPr>
              <w:t>2%</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090DE734" w14:textId="5BC2DD3A">
            <w:pPr>
              <w:spacing w:before="60" w:after="60"/>
              <w:ind w:right="170"/>
              <w:jc w:val="right"/>
              <w:rPr>
                <w:rFonts w:cs="Arial"/>
                <w:sz w:val="20"/>
                <w:szCs w:val="20"/>
                <w:lang w:val="en-AU"/>
              </w:rPr>
            </w:pPr>
            <w:r w:rsidRPr="008D1918">
              <w:rPr>
                <w:rStyle w:val="normaltextrun"/>
                <w:rFonts w:cs="Arial"/>
                <w:sz w:val="20"/>
                <w:szCs w:val="20"/>
                <w:lang w:val="en-AU"/>
              </w:rPr>
              <w:t>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756B60D2" w14:textId="753C2E8C">
            <w:pPr>
              <w:spacing w:before="60" w:after="60"/>
              <w:ind w:right="170"/>
              <w:jc w:val="right"/>
              <w:rPr>
                <w:rFonts w:cs="Arial"/>
                <w:sz w:val="20"/>
                <w:szCs w:val="20"/>
                <w:lang w:val="en-AU"/>
              </w:rPr>
            </w:pPr>
            <w:r w:rsidRPr="008D1918">
              <w:rPr>
                <w:rStyle w:val="normaltextrun"/>
                <w:rFonts w:cs="Arial"/>
                <w:sz w:val="20"/>
                <w:szCs w:val="20"/>
                <w:lang w:val="en-AU"/>
              </w:rPr>
              <w:t>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336E5B91" w14:textId="4ECB39F4">
            <w:pPr>
              <w:spacing w:before="60" w:after="60"/>
              <w:ind w:right="170"/>
              <w:jc w:val="right"/>
              <w:rPr>
                <w:rFonts w:cs="Arial"/>
                <w:sz w:val="20"/>
                <w:szCs w:val="20"/>
                <w:lang w:val="en-AU"/>
              </w:rPr>
            </w:pPr>
            <w:r w:rsidRPr="008D1918">
              <w:rPr>
                <w:rStyle w:val="normaltextrun"/>
                <w:rFonts w:cs="Arial"/>
                <w:sz w:val="20"/>
                <w:szCs w:val="20"/>
                <w:lang w:val="en-AU"/>
              </w:rPr>
              <w:t>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2BBB8625" w14:textId="41874B6E">
            <w:pPr>
              <w:spacing w:before="60" w:after="60"/>
              <w:ind w:right="170"/>
              <w:jc w:val="right"/>
              <w:rPr>
                <w:rFonts w:cs="Arial"/>
                <w:sz w:val="20"/>
                <w:szCs w:val="20"/>
                <w:lang w:val="en-AU"/>
              </w:rPr>
            </w:pPr>
            <w:r w:rsidRPr="008D1918">
              <w:rPr>
                <w:rStyle w:val="normaltextrun"/>
                <w:rFonts w:cs="Arial"/>
                <w:sz w:val="20"/>
                <w:szCs w:val="20"/>
                <w:lang w:val="en-AU"/>
              </w:rPr>
              <w:t>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288C2672" w14:textId="1AB3E684">
            <w:pPr>
              <w:spacing w:before="60" w:after="60"/>
              <w:ind w:right="170"/>
              <w:jc w:val="right"/>
              <w:rPr>
                <w:rFonts w:cs="Arial"/>
                <w:sz w:val="20"/>
                <w:szCs w:val="20"/>
                <w:lang w:val="en-AU"/>
              </w:rPr>
            </w:pPr>
            <w:r w:rsidRPr="008D1918">
              <w:rPr>
                <w:rStyle w:val="normaltextrun"/>
                <w:rFonts w:cs="Arial"/>
                <w:sz w:val="20"/>
                <w:szCs w:val="20"/>
                <w:lang w:val="en-AU"/>
              </w:rPr>
              <w:t>2%</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36483B48" w14:textId="2DF9A770">
            <w:pPr>
              <w:spacing w:before="60" w:after="60"/>
              <w:ind w:right="170"/>
              <w:jc w:val="right"/>
              <w:rPr>
                <w:rFonts w:cs="Arial"/>
                <w:sz w:val="20"/>
                <w:szCs w:val="20"/>
                <w:lang w:val="en-AU"/>
              </w:rPr>
            </w:pPr>
            <w:r w:rsidRPr="008D1918">
              <w:rPr>
                <w:rStyle w:val="normaltextrun"/>
                <w:rFonts w:cs="Arial"/>
                <w:sz w:val="20"/>
                <w:szCs w:val="20"/>
                <w:lang w:val="en-AU"/>
              </w:rPr>
              <w:t>3%</w:t>
            </w:r>
            <w:r w:rsidRPr="008D1918" w:rsidR="00853D62">
              <w:rPr>
                <w:rStyle w:val="eop"/>
                <w:rFonts w:cs="Arial"/>
                <w:sz w:val="20"/>
                <w:szCs w:val="20"/>
                <w:lang w:val="en-AU"/>
              </w:rPr>
              <w:t> </w:t>
            </w:r>
          </w:p>
        </w:tc>
      </w:tr>
      <w:tr w:rsidRPr="008D1918" w:rsidR="00A238C6" w:rsidTr="00853D62" w14:paraId="47AAF990" w14:textId="693BE9DF">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color="BA61C9" w:sz="6" w:space="0"/>
              <w:left w:val="single" w:color="BA61C9" w:sz="6" w:space="0"/>
              <w:bottom w:val="single" w:color="BA61C9" w:sz="6" w:space="0"/>
              <w:right w:val="single" w:color="BA61C9" w:sz="6" w:space="0"/>
            </w:tcBorders>
            <w:vAlign w:val="center"/>
          </w:tcPr>
          <w:p w:rsidRPr="008D1918" w:rsidR="00FE7A18" w:rsidP="00FE7A18" w:rsidRDefault="00FE7A18" w14:paraId="6B8A3E5F" w14:textId="5A979288">
            <w:pPr>
              <w:spacing w:before="60" w:after="60"/>
              <w:rPr>
                <w:rFonts w:cs="Arial"/>
                <w:sz w:val="20"/>
                <w:szCs w:val="20"/>
                <w:lang w:val="en-AU" w:eastAsia="en-AU"/>
              </w:rPr>
            </w:pPr>
            <w:r w:rsidRPr="008D1918">
              <w:rPr>
                <w:rStyle w:val="normaltextrun"/>
                <w:rFonts w:cs="Arial"/>
                <w:sz w:val="20"/>
                <w:szCs w:val="20"/>
                <w:lang w:val="en-AU"/>
              </w:rPr>
              <w:t>Month 5</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3187BDB2" w14:textId="2024BF07">
            <w:pPr>
              <w:spacing w:before="60" w:after="60"/>
              <w:ind w:right="170"/>
              <w:jc w:val="right"/>
              <w:rPr>
                <w:rFonts w:cs="Arial"/>
                <w:color w:val="000000"/>
                <w:sz w:val="20"/>
                <w:szCs w:val="20"/>
                <w:lang w:val="en-AU" w:eastAsia="en-AU"/>
              </w:rPr>
            </w:pPr>
            <w:r w:rsidRPr="008D1918">
              <w:rPr>
                <w:rStyle w:val="normaltextrun"/>
                <w:rFonts w:cs="Arial"/>
                <w:sz w:val="20"/>
                <w:szCs w:val="20"/>
                <w:lang w:val="en-AU"/>
              </w:rPr>
              <w:t>1%</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3F8520D1" w14:textId="5B3AC807">
            <w:pPr>
              <w:spacing w:before="60" w:after="60"/>
              <w:ind w:right="170"/>
              <w:jc w:val="right"/>
              <w:rPr>
                <w:rFonts w:cs="Arial"/>
                <w:color w:val="000000"/>
                <w:sz w:val="20"/>
                <w:szCs w:val="20"/>
                <w:lang w:val="en-AU" w:eastAsia="en-AU"/>
              </w:rPr>
            </w:pPr>
            <w:r w:rsidRPr="008D1918">
              <w:rPr>
                <w:rStyle w:val="normaltextrun"/>
                <w:rFonts w:cs="Arial"/>
                <w:sz w:val="20"/>
                <w:szCs w:val="20"/>
                <w:lang w:val="en-AU"/>
              </w:rPr>
              <w:t>2%</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7148D2E1" w14:textId="3E407598">
            <w:pPr>
              <w:spacing w:before="60" w:after="60"/>
              <w:ind w:right="170"/>
              <w:jc w:val="right"/>
              <w:rPr>
                <w:rFonts w:cs="Arial"/>
                <w:color w:val="000000"/>
                <w:sz w:val="20"/>
                <w:szCs w:val="20"/>
                <w:lang w:val="en-AU" w:eastAsia="en-AU"/>
              </w:rPr>
            </w:pPr>
            <w:r w:rsidRPr="008D1918">
              <w:rPr>
                <w:rStyle w:val="normaltextrun"/>
                <w:rFonts w:cs="Arial"/>
                <w:sz w:val="20"/>
                <w:szCs w:val="20"/>
                <w:lang w:val="en-AU"/>
              </w:rPr>
              <w:t>2%</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11CF0398" w14:textId="008D8606">
            <w:pPr>
              <w:spacing w:before="60" w:after="60"/>
              <w:ind w:right="170"/>
              <w:jc w:val="right"/>
              <w:rPr>
                <w:rFonts w:cs="Arial"/>
                <w:color w:val="000000"/>
                <w:sz w:val="20"/>
                <w:szCs w:val="20"/>
                <w:lang w:val="en-AU" w:eastAsia="en-AU"/>
              </w:rPr>
            </w:pPr>
            <w:r w:rsidRPr="008D1918">
              <w:rPr>
                <w:rStyle w:val="normaltextrun"/>
                <w:rFonts w:cs="Arial"/>
                <w:sz w:val="20"/>
                <w:szCs w:val="20"/>
                <w:lang w:val="en-AU"/>
              </w:rPr>
              <w:t>2%</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4DC98974" w14:textId="5AC173B8">
            <w:pPr>
              <w:spacing w:before="60" w:after="60"/>
              <w:ind w:right="170"/>
              <w:jc w:val="right"/>
              <w:rPr>
                <w:rFonts w:cs="Arial"/>
                <w:sz w:val="20"/>
                <w:szCs w:val="20"/>
                <w:lang w:val="en-AU"/>
              </w:rPr>
            </w:pPr>
            <w:r w:rsidRPr="008D1918">
              <w:rPr>
                <w:rStyle w:val="normaltextrun"/>
                <w:rFonts w:cs="Arial"/>
                <w:sz w:val="20"/>
                <w:szCs w:val="20"/>
                <w:lang w:val="en-AU"/>
              </w:rPr>
              <w:t>2%</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1EA6AC24" w14:textId="59CDF090">
            <w:pPr>
              <w:spacing w:before="60" w:after="60"/>
              <w:ind w:right="170"/>
              <w:jc w:val="right"/>
              <w:rPr>
                <w:rFonts w:cs="Arial"/>
                <w:sz w:val="20"/>
                <w:szCs w:val="20"/>
                <w:lang w:val="en-AU"/>
              </w:rPr>
            </w:pPr>
            <w:r w:rsidRPr="008D1918">
              <w:rPr>
                <w:rStyle w:val="normaltextrun"/>
                <w:rFonts w:cs="Arial"/>
                <w:sz w:val="20"/>
                <w:szCs w:val="20"/>
                <w:lang w:val="en-AU"/>
              </w:rPr>
              <w:t>1%</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3A8803ED" w14:textId="333108A8">
            <w:pPr>
              <w:spacing w:before="60" w:after="60"/>
              <w:ind w:right="170"/>
              <w:jc w:val="right"/>
              <w:rPr>
                <w:rFonts w:cs="Arial"/>
                <w:sz w:val="20"/>
                <w:szCs w:val="20"/>
                <w:lang w:val="en-AU"/>
              </w:rPr>
            </w:pPr>
            <w:r w:rsidRPr="008D1918">
              <w:rPr>
                <w:rStyle w:val="normaltextrun"/>
                <w:rFonts w:cs="Arial"/>
                <w:sz w:val="20"/>
                <w:szCs w:val="20"/>
                <w:lang w:val="en-AU"/>
              </w:rPr>
              <w:t>1%</w:t>
            </w:r>
            <w:r w:rsidRPr="008D1918" w:rsidR="00853D62">
              <w:rPr>
                <w:rStyle w:val="eop"/>
                <w:rFonts w:cs="Arial"/>
                <w:sz w:val="20"/>
                <w:szCs w:val="20"/>
                <w:lang w:val="en-AU"/>
              </w:rPr>
              <w:t> </w:t>
            </w:r>
          </w:p>
        </w:tc>
      </w:tr>
      <w:tr w:rsidRPr="008D1918" w:rsidR="00FE7A18" w:rsidTr="00853D62" w14:paraId="29B4D79C" w14:textId="1BF2236C">
        <w:trPr>
          <w:trHeight w:val="397"/>
        </w:trPr>
        <w:tc>
          <w:tcPr>
            <w:tcW w:w="2268" w:type="dxa"/>
            <w:tcBorders>
              <w:top w:val="single" w:color="BA61C9" w:sz="6" w:space="0"/>
              <w:left w:val="single" w:color="BA61C9" w:sz="6" w:space="0"/>
              <w:bottom w:val="single" w:color="BA61C9" w:sz="6" w:space="0"/>
              <w:right w:val="single" w:color="BA61C9" w:sz="6" w:space="0"/>
            </w:tcBorders>
            <w:vAlign w:val="center"/>
          </w:tcPr>
          <w:p w:rsidRPr="008D1918" w:rsidR="00FE7A18" w:rsidP="00FE7A18" w:rsidRDefault="00FE7A18" w14:paraId="0534DBAA" w14:textId="03DD4BC5">
            <w:pPr>
              <w:spacing w:before="60" w:after="60"/>
              <w:rPr>
                <w:rFonts w:cs="Arial"/>
                <w:sz w:val="20"/>
                <w:szCs w:val="20"/>
                <w:lang w:val="en-AU" w:eastAsia="en-AU"/>
              </w:rPr>
            </w:pPr>
            <w:r w:rsidRPr="008D1918">
              <w:rPr>
                <w:rStyle w:val="normaltextrun"/>
                <w:rFonts w:cs="Arial"/>
                <w:sz w:val="20"/>
                <w:szCs w:val="20"/>
                <w:lang w:val="en-AU"/>
              </w:rPr>
              <w:t>Month 6</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57DBADC5" w14:textId="03CB13B6">
            <w:pPr>
              <w:spacing w:before="60" w:after="60"/>
              <w:ind w:right="170"/>
              <w:jc w:val="right"/>
              <w:rPr>
                <w:rFonts w:cs="Arial"/>
                <w:sz w:val="20"/>
                <w:szCs w:val="20"/>
                <w:lang w:val="en-AU"/>
              </w:rPr>
            </w:pPr>
            <w:r w:rsidRPr="008D1918">
              <w:rPr>
                <w:rStyle w:val="normaltextrun"/>
                <w:rFonts w:cs="Arial"/>
                <w:sz w:val="20"/>
                <w:szCs w:val="20"/>
                <w:lang w:val="en-AU"/>
              </w:rPr>
              <w:t>1%</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21A6546E" w14:textId="7C687544">
            <w:pPr>
              <w:spacing w:before="60" w:after="60"/>
              <w:ind w:right="170"/>
              <w:jc w:val="right"/>
              <w:rPr>
                <w:rFonts w:cs="Arial"/>
                <w:sz w:val="20"/>
                <w:szCs w:val="20"/>
                <w:lang w:val="en-AU"/>
              </w:rPr>
            </w:pPr>
            <w:r w:rsidRPr="008D1918">
              <w:rPr>
                <w:rStyle w:val="normaltextrun"/>
                <w:rFonts w:cs="Arial"/>
                <w:sz w:val="20"/>
                <w:szCs w:val="20"/>
                <w:lang w:val="en-AU"/>
              </w:rPr>
              <w:t>1%</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0501CF17" w14:textId="7B042451">
            <w:pPr>
              <w:spacing w:before="60" w:after="60"/>
              <w:ind w:right="170"/>
              <w:jc w:val="right"/>
              <w:rPr>
                <w:rFonts w:cs="Arial"/>
                <w:sz w:val="20"/>
                <w:szCs w:val="20"/>
                <w:lang w:val="en-AU"/>
              </w:rPr>
            </w:pPr>
            <w:r w:rsidRPr="008D1918">
              <w:rPr>
                <w:rStyle w:val="normaltextrun"/>
                <w:rFonts w:cs="Arial"/>
                <w:sz w:val="20"/>
                <w:szCs w:val="20"/>
                <w:lang w:val="en-AU"/>
              </w:rPr>
              <w:t>1%</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317251A4" w14:textId="30B43CFF">
            <w:pPr>
              <w:spacing w:before="60" w:after="60"/>
              <w:ind w:right="170"/>
              <w:jc w:val="right"/>
              <w:rPr>
                <w:rFonts w:cs="Arial"/>
                <w:sz w:val="20"/>
                <w:szCs w:val="20"/>
                <w:lang w:val="en-AU"/>
              </w:rPr>
            </w:pPr>
            <w:r w:rsidRPr="008D1918">
              <w:rPr>
                <w:rStyle w:val="normaltextrun"/>
                <w:rFonts w:cs="Arial"/>
                <w:sz w:val="20"/>
                <w:szCs w:val="20"/>
                <w:lang w:val="en-AU"/>
              </w:rPr>
              <w:t>1%</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09B2C178" w14:textId="20544318">
            <w:pPr>
              <w:spacing w:before="60" w:after="60"/>
              <w:ind w:right="170"/>
              <w:jc w:val="right"/>
              <w:rPr>
                <w:rFonts w:cs="Arial"/>
                <w:sz w:val="20"/>
                <w:szCs w:val="20"/>
                <w:lang w:val="en-AU"/>
              </w:rPr>
            </w:pPr>
            <w:r w:rsidRPr="008D1918">
              <w:rPr>
                <w:rStyle w:val="normaltextrun"/>
                <w:rFonts w:cs="Arial"/>
                <w:sz w:val="20"/>
                <w:szCs w:val="20"/>
                <w:lang w:val="en-AU"/>
              </w:rPr>
              <w:t>1%</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3D03162C" w14:textId="70D05C5C">
            <w:pPr>
              <w:spacing w:before="60" w:after="60"/>
              <w:ind w:right="170"/>
              <w:jc w:val="right"/>
              <w:rPr>
                <w:rFonts w:cs="Arial"/>
                <w:sz w:val="20"/>
                <w:szCs w:val="20"/>
                <w:lang w:val="en-AU"/>
              </w:rPr>
            </w:pPr>
            <w:r w:rsidRPr="008D1918">
              <w:rPr>
                <w:rStyle w:val="normaltextrun"/>
                <w:rFonts w:cs="Arial"/>
                <w:sz w:val="20"/>
                <w:szCs w:val="20"/>
                <w:lang w:val="en-AU"/>
              </w:rPr>
              <w:t>1%</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3345B416" w14:textId="7520DC26">
            <w:pPr>
              <w:spacing w:before="60" w:after="60"/>
              <w:ind w:right="170"/>
              <w:jc w:val="right"/>
              <w:rPr>
                <w:rFonts w:cs="Arial"/>
                <w:sz w:val="20"/>
                <w:szCs w:val="20"/>
                <w:lang w:val="en-AU"/>
              </w:rPr>
            </w:pPr>
            <w:r w:rsidRPr="008D1918">
              <w:rPr>
                <w:rStyle w:val="normaltextrun"/>
                <w:rFonts w:cs="Arial"/>
                <w:sz w:val="20"/>
                <w:szCs w:val="20"/>
                <w:lang w:val="en-AU"/>
              </w:rPr>
              <w:t>1%</w:t>
            </w:r>
            <w:r w:rsidRPr="008D1918" w:rsidR="00853D62">
              <w:rPr>
                <w:rStyle w:val="eop"/>
                <w:rFonts w:cs="Arial"/>
                <w:sz w:val="20"/>
                <w:szCs w:val="20"/>
                <w:lang w:val="en-AU"/>
              </w:rPr>
              <w:t> </w:t>
            </w:r>
          </w:p>
        </w:tc>
      </w:tr>
      <w:tr w:rsidRPr="008D1918" w:rsidR="00A238C6" w:rsidTr="00853D62" w14:paraId="67CE9C17" w14:textId="788FB387">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color="BA61C9" w:sz="6" w:space="0"/>
              <w:left w:val="single" w:color="BA61C9" w:sz="6" w:space="0"/>
              <w:bottom w:val="single" w:color="BA61C9" w:sz="6" w:space="0"/>
              <w:right w:val="single" w:color="BA61C9" w:sz="6" w:space="0"/>
            </w:tcBorders>
            <w:vAlign w:val="center"/>
          </w:tcPr>
          <w:p w:rsidRPr="008D1918" w:rsidR="00FE7A18" w:rsidP="00FE7A18" w:rsidRDefault="00FE7A18" w14:paraId="19C04C4C" w14:textId="5BB0684E">
            <w:pPr>
              <w:spacing w:before="60" w:after="60"/>
              <w:rPr>
                <w:rFonts w:cs="Arial"/>
                <w:sz w:val="20"/>
                <w:szCs w:val="20"/>
                <w:lang w:val="en-AU"/>
              </w:rPr>
            </w:pPr>
            <w:r w:rsidRPr="008D1918">
              <w:rPr>
                <w:rStyle w:val="normaltextrun"/>
                <w:rFonts w:cs="Arial"/>
                <w:sz w:val="20"/>
                <w:szCs w:val="20"/>
                <w:lang w:val="en-AU"/>
              </w:rPr>
              <w:t>Over 6 months</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013BC42C" w14:textId="171437CD">
            <w:pPr>
              <w:spacing w:before="60" w:after="60"/>
              <w:ind w:right="170"/>
              <w:jc w:val="right"/>
              <w:rPr>
                <w:rFonts w:cs="Arial"/>
                <w:sz w:val="20"/>
                <w:szCs w:val="20"/>
                <w:lang w:val="en-AU"/>
              </w:rPr>
            </w:pPr>
            <w:r w:rsidRPr="008D1918">
              <w:rPr>
                <w:rStyle w:val="normaltextrun"/>
                <w:rFonts w:cs="Arial"/>
                <w:sz w:val="20"/>
                <w:szCs w:val="20"/>
                <w:lang w:val="en-AU"/>
              </w:rPr>
              <w:t>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6CE1872D" w14:textId="021695A6">
            <w:pPr>
              <w:spacing w:before="60" w:after="60"/>
              <w:ind w:right="170"/>
              <w:jc w:val="right"/>
              <w:rPr>
                <w:rFonts w:cs="Arial"/>
                <w:sz w:val="20"/>
                <w:szCs w:val="20"/>
                <w:lang w:val="en-AU"/>
              </w:rPr>
            </w:pPr>
            <w:r w:rsidRPr="008D1918">
              <w:rPr>
                <w:rStyle w:val="normaltextrun"/>
                <w:rFonts w:cs="Arial"/>
                <w:sz w:val="20"/>
                <w:szCs w:val="20"/>
                <w:lang w:val="en-AU"/>
              </w:rPr>
              <w:t>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230BB639" w14:textId="0717260F">
            <w:pPr>
              <w:spacing w:before="60" w:after="60"/>
              <w:ind w:right="170"/>
              <w:jc w:val="right"/>
              <w:rPr>
                <w:rFonts w:cs="Arial"/>
                <w:sz w:val="20"/>
                <w:szCs w:val="20"/>
                <w:lang w:val="en-AU"/>
              </w:rPr>
            </w:pPr>
            <w:r w:rsidRPr="008D1918">
              <w:rPr>
                <w:rStyle w:val="normaltextrun"/>
                <w:rFonts w:cs="Arial"/>
                <w:sz w:val="20"/>
                <w:szCs w:val="20"/>
                <w:lang w:val="en-AU"/>
              </w:rPr>
              <w:t>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135A64E1" w14:textId="281E88C8">
            <w:pPr>
              <w:spacing w:before="60" w:after="60"/>
              <w:ind w:right="170"/>
              <w:jc w:val="right"/>
              <w:rPr>
                <w:rFonts w:cs="Arial"/>
                <w:sz w:val="20"/>
                <w:szCs w:val="20"/>
                <w:lang w:val="en-AU"/>
              </w:rPr>
            </w:pPr>
            <w:r w:rsidRPr="008D1918">
              <w:rPr>
                <w:rStyle w:val="normaltextrun"/>
                <w:rFonts w:cs="Arial"/>
                <w:sz w:val="20"/>
                <w:szCs w:val="20"/>
                <w:lang w:val="en-AU"/>
              </w:rPr>
              <w:t>4%</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0DDCB9BF" w14:textId="55F61A6C">
            <w:pPr>
              <w:spacing w:before="60" w:after="60"/>
              <w:ind w:right="170"/>
              <w:jc w:val="right"/>
              <w:rPr>
                <w:rFonts w:cs="Arial"/>
                <w:sz w:val="20"/>
                <w:szCs w:val="20"/>
                <w:lang w:val="en-AU"/>
              </w:rPr>
            </w:pPr>
            <w:r w:rsidRPr="008D1918">
              <w:rPr>
                <w:rStyle w:val="normaltextrun"/>
                <w:rFonts w:cs="Arial"/>
                <w:sz w:val="20"/>
                <w:szCs w:val="20"/>
                <w:lang w:val="en-AU"/>
              </w:rPr>
              <w:t>4%</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4EF83754" w14:textId="5A19312B">
            <w:pPr>
              <w:spacing w:before="60" w:after="60"/>
              <w:ind w:right="170"/>
              <w:jc w:val="right"/>
              <w:rPr>
                <w:rFonts w:cs="Arial"/>
                <w:sz w:val="20"/>
                <w:szCs w:val="20"/>
                <w:lang w:val="en-AU"/>
              </w:rPr>
            </w:pPr>
            <w:r w:rsidRPr="008D1918">
              <w:rPr>
                <w:rStyle w:val="normaltextrun"/>
                <w:rFonts w:cs="Arial"/>
                <w:sz w:val="20"/>
                <w:szCs w:val="20"/>
                <w:lang w:val="en-AU"/>
              </w:rPr>
              <w:t>3%</w:t>
            </w:r>
            <w:r w:rsidRPr="008D1918" w:rsidR="00853D62">
              <w:rPr>
                <w:rStyle w:val="eop"/>
                <w:rFonts w:cs="Arial"/>
                <w:sz w:val="20"/>
                <w:szCs w:val="20"/>
                <w:lang w:val="en-AU"/>
              </w:rPr>
              <w:t> </w:t>
            </w:r>
          </w:p>
        </w:tc>
        <w:tc>
          <w:tcPr>
            <w:tcW w:w="964" w:type="dxa"/>
            <w:tcBorders>
              <w:top w:val="single" w:color="BA61C9" w:sz="6" w:space="0"/>
              <w:left w:val="single" w:color="BA61C9" w:sz="6" w:space="0"/>
              <w:bottom w:val="single" w:color="BA61C9" w:sz="6" w:space="0"/>
              <w:right w:val="single" w:color="BA61C9" w:sz="6" w:space="0"/>
            </w:tcBorders>
            <w:vAlign w:val="center"/>
          </w:tcPr>
          <w:p w:rsidRPr="008D1918" w:rsidR="00FE7A18" w:rsidP="004979AC" w:rsidRDefault="00FE7A18" w14:paraId="3BE7282C" w14:textId="343FD827">
            <w:pPr>
              <w:spacing w:before="60" w:after="60"/>
              <w:ind w:right="170"/>
              <w:jc w:val="right"/>
              <w:rPr>
                <w:rFonts w:cs="Arial"/>
                <w:sz w:val="20"/>
                <w:szCs w:val="20"/>
                <w:lang w:val="en-AU"/>
              </w:rPr>
            </w:pPr>
            <w:r w:rsidRPr="008D1918">
              <w:rPr>
                <w:rStyle w:val="normaltextrun"/>
                <w:rFonts w:cs="Arial"/>
                <w:sz w:val="20"/>
                <w:szCs w:val="20"/>
                <w:lang w:val="en-AU"/>
              </w:rPr>
              <w:t>4%</w:t>
            </w:r>
            <w:r w:rsidRPr="008D1918" w:rsidR="00853D62">
              <w:rPr>
                <w:rStyle w:val="eop"/>
                <w:rFonts w:cs="Arial"/>
                <w:sz w:val="20"/>
                <w:szCs w:val="20"/>
                <w:lang w:val="en-AU"/>
              </w:rPr>
              <w:t> </w:t>
            </w:r>
          </w:p>
        </w:tc>
      </w:tr>
    </w:tbl>
    <w:p w:rsidRPr="008D1918" w:rsidR="1B9EBD19" w:rsidP="0002723B" w:rsidRDefault="1B9EBD19" w14:paraId="733C5D2E" w14:textId="546F3131">
      <w:pPr>
        <w:tabs>
          <w:tab w:val="left" w:pos="1795"/>
        </w:tabs>
        <w:spacing w:before="120" w:after="360"/>
        <w:rPr>
          <w:rFonts w:eastAsia="Arial" w:cs="Arial"/>
          <w:color w:val="000000" w:themeColor="accent6"/>
          <w:sz w:val="20"/>
          <w:szCs w:val="20"/>
          <w:lang w:val="en-AU"/>
        </w:rPr>
      </w:pPr>
      <w:r w:rsidRPr="008D1918">
        <w:rPr>
          <w:rFonts w:eastAsia="Arial" w:cs="Arial"/>
          <w:b/>
          <w:bCs/>
          <w:color w:val="000000" w:themeColor="accent6"/>
          <w:sz w:val="20"/>
          <w:szCs w:val="20"/>
          <w:lang w:val="en-AU"/>
        </w:rPr>
        <w:t>Source: NDIS internal administrative data</w:t>
      </w:r>
    </w:p>
    <w:p w:rsidRPr="008D1918" w:rsidR="1B9EBD19" w:rsidP="0002723B" w:rsidRDefault="1B9EBD19" w14:paraId="7D2B0F2C" w14:textId="0FDC9A5E">
      <w:pPr>
        <w:rPr>
          <w:rFonts w:eastAsia="Arial" w:cs="Arial"/>
          <w:color w:val="000000" w:themeColor="accent6"/>
          <w:lang w:val="en-AU"/>
        </w:rPr>
      </w:pPr>
      <w:r w:rsidRPr="008D1918">
        <w:rPr>
          <w:rFonts w:eastAsia="Arial" w:cs="Arial"/>
          <w:color w:val="000000" w:themeColor="accent6"/>
          <w:lang w:val="en-AU"/>
        </w:rPr>
        <w:t xml:space="preserve">Provider claiming data was used to determine the median number of providers per participant within localities and regions. Whilst medians vary considerably across locations, when reviewing these at </w:t>
      </w:r>
      <w:r w:rsidRPr="008D1918" w:rsidR="00E97619">
        <w:rPr>
          <w:rFonts w:eastAsia="Arial" w:cs="Arial"/>
          <w:color w:val="000000" w:themeColor="accent6"/>
          <w:lang w:val="en-AU"/>
        </w:rPr>
        <w:t xml:space="preserve">the </w:t>
      </w:r>
      <w:r w:rsidRPr="008D1918">
        <w:rPr>
          <w:rFonts w:eastAsia="Arial" w:cs="Arial"/>
          <w:color w:val="000000" w:themeColor="accent6"/>
          <w:lang w:val="en-AU"/>
        </w:rPr>
        <w:t>M</w:t>
      </w:r>
      <w:r w:rsidRPr="008D1918" w:rsidR="00E43DDB">
        <w:rPr>
          <w:rFonts w:eastAsia="Arial" w:cs="Arial"/>
          <w:color w:val="000000" w:themeColor="accent6"/>
          <w:lang w:val="en-AU"/>
        </w:rPr>
        <w:t>M</w:t>
      </w:r>
      <w:r w:rsidRPr="008D1918" w:rsidR="00C53ED2">
        <w:rPr>
          <w:rFonts w:eastAsia="Arial" w:cs="Arial"/>
          <w:color w:val="000000" w:themeColor="accent6"/>
          <w:lang w:val="en-AU"/>
        </w:rPr>
        <w:t xml:space="preserve"> category</w:t>
      </w:r>
      <w:r w:rsidRPr="008D1918" w:rsidR="00E97619">
        <w:rPr>
          <w:rFonts w:eastAsia="Arial" w:cs="Arial"/>
          <w:color w:val="000000" w:themeColor="accent6"/>
          <w:lang w:val="en-AU"/>
        </w:rPr>
        <w:t xml:space="preserve"> level</w:t>
      </w:r>
      <w:r w:rsidRPr="008D1918">
        <w:rPr>
          <w:rFonts w:eastAsia="Arial" w:cs="Arial"/>
          <w:color w:val="000000" w:themeColor="accent6"/>
          <w:lang w:val="en-AU"/>
        </w:rPr>
        <w:t xml:space="preserve">, numbers vary between </w:t>
      </w:r>
      <w:r w:rsidRPr="008D1918">
        <w:rPr>
          <w:rFonts w:eastAsia="Arial" w:cs="Arial"/>
          <w:color w:val="000000" w:themeColor="accent6"/>
          <w:lang w:val="en-AU"/>
        </w:rPr>
        <w:t>4.5 and 5 providers per participant (</w:t>
      </w:r>
      <w:r w:rsidRPr="008D1918" w:rsidR="00D50ED3">
        <w:rPr>
          <w:rFonts w:eastAsia="Arial" w:cs="Arial"/>
          <w:color w:val="000000" w:themeColor="accent6"/>
          <w:lang w:val="en-AU"/>
        </w:rPr>
        <w:fldChar w:fldCharType="begin"/>
      </w:r>
      <w:r w:rsidRPr="008D1918" w:rsidR="00D50ED3">
        <w:rPr>
          <w:rFonts w:eastAsia="Arial" w:cs="Arial"/>
          <w:color w:val="000000" w:themeColor="accent6"/>
          <w:lang w:val="en-AU"/>
        </w:rPr>
        <w:instrText xml:space="preserve"> REF _Ref223683900 \h </w:instrText>
      </w:r>
      <w:r w:rsidRPr="008D1918" w:rsidR="00762DF8">
        <w:rPr>
          <w:rFonts w:eastAsia="Arial" w:cs="Arial"/>
          <w:color w:val="000000" w:themeColor="accent6"/>
          <w:lang w:val="en-AU"/>
        </w:rPr>
        <w:instrText xml:space="preserve"> \* MERGEFORMAT </w:instrText>
      </w:r>
      <w:r w:rsidRPr="008D1918" w:rsidR="00D50ED3">
        <w:rPr>
          <w:rFonts w:eastAsia="Arial" w:cs="Arial"/>
          <w:color w:val="000000" w:themeColor="accent6"/>
          <w:lang w:val="en-AU"/>
        </w:rPr>
      </w:r>
      <w:r w:rsidRPr="008D1918" w:rsidR="00D50ED3">
        <w:rPr>
          <w:rFonts w:eastAsia="Arial" w:cs="Arial"/>
          <w:color w:val="000000" w:themeColor="accent6"/>
          <w:lang w:val="en-AU"/>
        </w:rPr>
        <w:fldChar w:fldCharType="separate"/>
      </w:r>
      <w:r w:rsidRPr="008F56A2" w:rsidR="008F56A2">
        <w:rPr>
          <w:lang w:val="en-AU"/>
        </w:rPr>
        <w:t>Figure</w:t>
      </w:r>
      <w:r w:rsidRPr="008D1918" w:rsidR="008F56A2">
        <w:t xml:space="preserve"> </w:t>
      </w:r>
      <w:r w:rsidR="008F56A2">
        <w:rPr>
          <w:noProof/>
        </w:rPr>
        <w:t>58</w:t>
      </w:r>
      <w:r w:rsidRPr="008D1918" w:rsidR="00D50ED3">
        <w:rPr>
          <w:rFonts w:eastAsia="Arial" w:cs="Arial"/>
          <w:color w:val="000000" w:themeColor="accent6"/>
          <w:lang w:val="en-AU"/>
        </w:rPr>
        <w:fldChar w:fldCharType="end"/>
      </w:r>
      <w:r w:rsidRPr="008D1918">
        <w:rPr>
          <w:rFonts w:eastAsia="Arial" w:cs="Arial"/>
          <w:color w:val="000000" w:themeColor="accent6"/>
          <w:lang w:val="en-AU"/>
        </w:rPr>
        <w:t>). It is noted that the provider ratio is high in M</w:t>
      </w:r>
      <w:r w:rsidRPr="008D1918" w:rsidR="00E43DDB">
        <w:rPr>
          <w:rFonts w:eastAsia="Arial" w:cs="Arial"/>
          <w:color w:val="000000" w:themeColor="accent6"/>
          <w:lang w:val="en-AU"/>
        </w:rPr>
        <w:t>M</w:t>
      </w:r>
      <w:r w:rsidRPr="008D1918" w:rsidR="0002723B">
        <w:rPr>
          <w:rFonts w:eastAsia="Arial" w:cs="Arial"/>
          <w:color w:val="000000" w:themeColor="accent6"/>
          <w:lang w:val="en-AU"/>
        </w:rPr>
        <w:t> </w:t>
      </w:r>
      <w:r w:rsidRPr="008D1918">
        <w:rPr>
          <w:rFonts w:eastAsia="Arial" w:cs="Arial"/>
          <w:color w:val="000000" w:themeColor="accent6"/>
          <w:lang w:val="en-AU"/>
        </w:rPr>
        <w:t xml:space="preserve">5, despite total plan </w:t>
      </w:r>
      <w:r w:rsidRPr="008D1918" w:rsidR="00B567D0">
        <w:rPr>
          <w:rFonts w:eastAsia="Arial" w:cs="Arial"/>
          <w:color w:val="000000" w:themeColor="accent6"/>
          <w:lang w:val="en-AU"/>
        </w:rPr>
        <w:t xml:space="preserve">use </w:t>
      </w:r>
      <w:r w:rsidRPr="008D1918">
        <w:rPr>
          <w:rFonts w:eastAsia="Arial" w:cs="Arial"/>
          <w:color w:val="000000" w:themeColor="accent6"/>
          <w:lang w:val="en-AU"/>
        </w:rPr>
        <w:t>and plan activation being lower. This may indicate that whilst providers are providing services to participants in M</w:t>
      </w:r>
      <w:r w:rsidRPr="008D1918" w:rsidR="00E43DDB">
        <w:rPr>
          <w:rFonts w:eastAsia="Arial" w:cs="Arial"/>
          <w:color w:val="000000" w:themeColor="accent6"/>
          <w:lang w:val="en-AU"/>
        </w:rPr>
        <w:t>M</w:t>
      </w:r>
      <w:r w:rsidRPr="008D1918" w:rsidR="0002723B">
        <w:rPr>
          <w:rFonts w:eastAsia="Arial" w:cs="Arial"/>
          <w:color w:val="000000" w:themeColor="accent6"/>
          <w:lang w:val="en-AU"/>
        </w:rPr>
        <w:t> </w:t>
      </w:r>
      <w:r w:rsidRPr="008D1918">
        <w:rPr>
          <w:rFonts w:eastAsia="Arial" w:cs="Arial"/>
          <w:color w:val="000000" w:themeColor="accent6"/>
          <w:lang w:val="en-AU"/>
        </w:rPr>
        <w:t>5 locations, the frequency of support may be misaligned with true demand.</w:t>
      </w:r>
    </w:p>
    <w:p w:rsidRPr="008D1918" w:rsidR="00AB455C" w:rsidP="0054681E" w:rsidRDefault="00D0408B" w14:paraId="4BD9DE8A" w14:textId="561C3403">
      <w:pPr>
        <w:pStyle w:val="Caption"/>
        <w:rPr>
          <w:rFonts w:eastAsia="Arial" w:cs="Arial"/>
          <w:color w:val="6B2876" w:themeColor="accent5"/>
        </w:rPr>
      </w:pPr>
      <w:bookmarkStart w:name="_Ref223683900" w:id="2266"/>
      <w:r w:rsidRPr="008D1918">
        <w:t xml:space="preserve">Figure </w:t>
      </w:r>
      <w:r>
        <w:fldChar w:fldCharType="begin"/>
      </w:r>
      <w:r>
        <w:instrText>SEQ Figure \* ARABIC</w:instrText>
      </w:r>
      <w:r>
        <w:fldChar w:fldCharType="separate"/>
      </w:r>
      <w:r w:rsidR="008F56A2">
        <w:rPr>
          <w:noProof/>
        </w:rPr>
        <w:t>58</w:t>
      </w:r>
      <w:r>
        <w:fldChar w:fldCharType="end"/>
      </w:r>
      <w:bookmarkEnd w:id="2266"/>
      <w:r w:rsidRPr="008D1918" w:rsidR="1B9EBD19">
        <w:rPr>
          <w:rFonts w:eastAsia="Arial" w:cs="Arial"/>
          <w:color w:val="6B2876" w:themeColor="accent5"/>
        </w:rPr>
        <w:t xml:space="preserve">: Comparison of the median number of providers per participant across </w:t>
      </w:r>
      <w:r w:rsidRPr="008D1918" w:rsidR="00956451">
        <w:rPr>
          <w:rFonts w:eastAsia="Arial" w:cs="Arial"/>
          <w:color w:val="6B2876" w:themeColor="accent5"/>
        </w:rPr>
        <w:t xml:space="preserve">MM </w:t>
      </w:r>
      <w:r w:rsidRPr="008D1918" w:rsidR="004D4603">
        <w:rPr>
          <w:rFonts w:eastAsia="Arial" w:cs="Arial"/>
          <w:color w:val="6B2876" w:themeColor="accent5"/>
        </w:rPr>
        <w:t>category</w:t>
      </w:r>
      <w:r w:rsidRPr="008D1918" w:rsidR="00DD0D16">
        <w:rPr>
          <w:rFonts w:eastAsia="Arial" w:cs="Arial"/>
          <w:color w:val="6B2876" w:themeColor="accent5"/>
        </w:rPr>
        <w:t>,</w:t>
      </w:r>
      <w:r w:rsidRPr="008D1918" w:rsidR="004D4603">
        <w:rPr>
          <w:rFonts w:eastAsia="Arial" w:cs="Arial"/>
          <w:color w:val="6B2876" w:themeColor="accent5"/>
        </w:rPr>
        <w:t xml:space="preserve"> </w:t>
      </w:r>
      <w:r w:rsidRPr="008D1918" w:rsidR="1B9EBD19">
        <w:rPr>
          <w:rFonts w:eastAsia="Arial" w:cs="Arial"/>
          <w:color w:val="6B2876" w:themeColor="accent5"/>
        </w:rPr>
        <w:t>1 July 2024 to 30 June 2025</w:t>
      </w:r>
    </w:p>
    <w:p w:rsidRPr="008D1918" w:rsidR="00E85061" w:rsidP="001D163B" w:rsidRDefault="00E85061" w14:paraId="2DD1E359" w14:textId="71A58510">
      <w:pPr>
        <w:spacing w:before="360" w:after="360"/>
        <w:rPr>
          <w:rFonts w:eastAsia="Arial" w:cs="Arial"/>
          <w:color w:val="6B2876" w:themeColor="accent5"/>
          <w:lang w:val="en-AU"/>
        </w:rPr>
      </w:pPr>
      <w:r w:rsidRPr="008D1918">
        <w:rPr>
          <w:rFonts w:eastAsia="Arial" w:cs="Arial"/>
          <w:noProof/>
          <w:color w:val="6B2876" w:themeColor="accent5"/>
          <w:lang w:val="en-AU"/>
        </w:rPr>
        <w:drawing>
          <wp:inline distT="0" distB="0" distL="0" distR="0" wp14:anchorId="75EE9CA3" wp14:editId="7F9EE97C">
            <wp:extent cx="5731510" cy="3213735"/>
            <wp:effectExtent l="0" t="0" r="2540" b="5715"/>
            <wp:docPr id="1728357328" name="Picture 1" descr="Figure 58: A bar graph showing a comparison of the median number of providers per participant across MM categories from 1 July 2024 to 30 June 2025. &#10;The graph shows that the median number is highest in MM category 3, then 4. MM 6 has the lowest median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57328" name="Picture 1" descr="Figure 58: A bar graph showing a comparison of the median number of providers per participant across MM categories from 1 July 2024 to 30 June 2025. &#10;The graph shows that the median number is highest in MM category 3, then 4. MM 6 has the lowest median number."/>
                    <pic:cNvPicPr/>
                  </pic:nvPicPr>
                  <pic:blipFill>
                    <a:blip r:embed="rId81"/>
                    <a:stretch>
                      <a:fillRect/>
                    </a:stretch>
                  </pic:blipFill>
                  <pic:spPr>
                    <a:xfrm>
                      <a:off x="0" y="0"/>
                      <a:ext cx="5731510" cy="3213735"/>
                    </a:xfrm>
                    <a:prstGeom prst="rect">
                      <a:avLst/>
                    </a:prstGeom>
                  </pic:spPr>
                </pic:pic>
              </a:graphicData>
            </a:graphic>
          </wp:inline>
        </w:drawing>
      </w:r>
    </w:p>
    <w:p w:rsidRPr="008D1918" w:rsidR="1B9EBD19" w:rsidP="00453BCA" w:rsidRDefault="1B9EBD19" w14:paraId="3AF0D2CA" w14:textId="160F87B9">
      <w:pPr>
        <w:rPr>
          <w:rFonts w:eastAsia="Arial" w:cs="Arial"/>
          <w:color w:val="000000" w:themeColor="accent6"/>
          <w:lang w:val="en-AU"/>
        </w:rPr>
      </w:pPr>
      <w:r w:rsidRPr="008D1918">
        <w:rPr>
          <w:rFonts w:eastAsia="Arial" w:cs="Arial"/>
          <w:color w:val="000000" w:themeColor="accent6"/>
          <w:lang w:val="en-AU"/>
        </w:rPr>
        <w:t>Provider travel data demonstrates higher travel claims as population density decreases. Travel claims are highest in remote and very remote locations reflecting that providers servicing these areas aren’t restricted by travel caps and may enter specific arrangements with participants to cover travel costs. Data indicates higher claims in M</w:t>
      </w:r>
      <w:r w:rsidRPr="008D1918" w:rsidR="00E43DDB">
        <w:rPr>
          <w:rFonts w:eastAsia="Arial" w:cs="Arial"/>
          <w:color w:val="000000" w:themeColor="accent6"/>
          <w:lang w:val="en-AU"/>
        </w:rPr>
        <w:t>M</w:t>
      </w:r>
      <w:r w:rsidRPr="008D1918" w:rsidR="00FA3F00">
        <w:rPr>
          <w:rFonts w:eastAsia="Arial" w:cs="Arial"/>
          <w:color w:val="000000" w:themeColor="accent6"/>
          <w:lang w:val="en-AU"/>
        </w:rPr>
        <w:t> </w:t>
      </w:r>
      <w:r w:rsidRPr="008D1918">
        <w:rPr>
          <w:rFonts w:eastAsia="Arial" w:cs="Arial"/>
          <w:color w:val="000000" w:themeColor="accent6"/>
          <w:lang w:val="en-AU"/>
        </w:rPr>
        <w:t>4 and 5 locations compared to M</w:t>
      </w:r>
      <w:r w:rsidRPr="008D1918" w:rsidR="00E43DDB">
        <w:rPr>
          <w:rFonts w:eastAsia="Arial" w:cs="Arial"/>
          <w:color w:val="000000" w:themeColor="accent6"/>
          <w:lang w:val="en-AU"/>
        </w:rPr>
        <w:t>M</w:t>
      </w:r>
      <w:r w:rsidRPr="008D1918" w:rsidR="00FA3F00">
        <w:rPr>
          <w:rFonts w:eastAsia="Arial" w:cs="Arial"/>
          <w:color w:val="000000" w:themeColor="accent6"/>
          <w:lang w:val="en-AU"/>
        </w:rPr>
        <w:t> </w:t>
      </w:r>
      <w:r w:rsidRPr="008D1918">
        <w:rPr>
          <w:rFonts w:eastAsia="Arial" w:cs="Arial"/>
          <w:color w:val="000000" w:themeColor="accent6"/>
          <w:lang w:val="en-AU"/>
        </w:rPr>
        <w:t>1</w:t>
      </w:r>
      <w:r w:rsidRPr="008D1918" w:rsidR="00FA3F00">
        <w:rPr>
          <w:rFonts w:eastAsia="Arial" w:cs="Arial"/>
          <w:color w:val="000000" w:themeColor="accent6"/>
          <w:lang w:val="en-AU"/>
        </w:rPr>
        <w:t>–</w:t>
      </w:r>
      <w:r w:rsidRPr="008D1918">
        <w:rPr>
          <w:rFonts w:eastAsia="Arial" w:cs="Arial"/>
          <w:color w:val="000000" w:themeColor="accent6"/>
          <w:lang w:val="en-AU"/>
        </w:rPr>
        <w:t xml:space="preserve">3 with this broadly reflecting the travel time limits that can be claimed as specified in </w:t>
      </w:r>
      <w:r w:rsidRPr="008D1918" w:rsidR="0037077D">
        <w:rPr>
          <w:rFonts w:eastAsia="Arial" w:cs="Arial"/>
          <w:color w:val="000000" w:themeColor="accent6"/>
          <w:lang w:val="en-AU"/>
        </w:rPr>
        <w:t xml:space="preserve">NDIS </w:t>
      </w:r>
      <w:r w:rsidRPr="008D1918" w:rsidR="00FE3744">
        <w:rPr>
          <w:rFonts w:eastAsia="Arial" w:cs="Arial"/>
          <w:color w:val="000000" w:themeColor="accent6"/>
          <w:lang w:val="en-AU"/>
        </w:rPr>
        <w:t>guidance (</w:t>
      </w:r>
      <w:r w:rsidRPr="008D1918" w:rsidR="00D50ED3">
        <w:rPr>
          <w:rFonts w:eastAsia="Arial" w:cs="Arial"/>
          <w:color w:val="000000" w:themeColor="accent6"/>
          <w:lang w:val="en-AU"/>
        </w:rPr>
        <w:fldChar w:fldCharType="begin"/>
      </w:r>
      <w:r w:rsidRPr="008D1918" w:rsidR="00D50ED3">
        <w:rPr>
          <w:rFonts w:eastAsia="Arial" w:cs="Arial"/>
          <w:color w:val="000000" w:themeColor="accent6"/>
          <w:lang w:val="en-AU"/>
        </w:rPr>
        <w:instrText xml:space="preserve"> REF _Ref223683932 \h </w:instrText>
      </w:r>
      <w:r w:rsidRPr="008D1918" w:rsidR="00762DF8">
        <w:rPr>
          <w:rFonts w:eastAsia="Arial" w:cs="Arial"/>
          <w:color w:val="000000" w:themeColor="accent6"/>
          <w:lang w:val="en-AU"/>
        </w:rPr>
        <w:instrText xml:space="preserve"> \* MERGEFORMAT </w:instrText>
      </w:r>
      <w:r w:rsidRPr="008D1918" w:rsidR="00D50ED3">
        <w:rPr>
          <w:rFonts w:eastAsia="Arial" w:cs="Arial"/>
          <w:color w:val="000000" w:themeColor="accent6"/>
          <w:lang w:val="en-AU"/>
        </w:rPr>
      </w:r>
      <w:r w:rsidRPr="008D1918" w:rsidR="00D50ED3">
        <w:rPr>
          <w:rFonts w:eastAsia="Arial" w:cs="Arial"/>
          <w:color w:val="000000" w:themeColor="accent6"/>
          <w:lang w:val="en-AU"/>
        </w:rPr>
        <w:fldChar w:fldCharType="separate"/>
      </w:r>
      <w:r w:rsidRPr="008F56A2" w:rsidR="008F56A2">
        <w:rPr>
          <w:lang w:val="en-AU"/>
        </w:rPr>
        <w:t>Figure</w:t>
      </w:r>
      <w:r w:rsidRPr="008F56A2" w:rsidR="008F56A2">
        <w:rPr>
          <w:rFonts w:eastAsia="Arial"/>
        </w:rPr>
        <w:t xml:space="preserve"> </w:t>
      </w:r>
      <w:r w:rsidR="008F56A2">
        <w:rPr>
          <w:noProof/>
        </w:rPr>
        <w:t>59</w:t>
      </w:r>
      <w:r w:rsidRPr="008D1918" w:rsidR="00D50ED3">
        <w:rPr>
          <w:rFonts w:eastAsia="Arial" w:cs="Arial"/>
          <w:color w:val="000000" w:themeColor="accent6"/>
          <w:lang w:val="en-AU"/>
        </w:rPr>
        <w:fldChar w:fldCharType="end"/>
      </w:r>
      <w:r w:rsidRPr="008D1918">
        <w:rPr>
          <w:rFonts w:eastAsia="Arial" w:cs="Arial"/>
          <w:color w:val="000000" w:themeColor="accent6"/>
          <w:lang w:val="en-AU"/>
        </w:rPr>
        <w:t>).</w:t>
      </w:r>
    </w:p>
    <w:p w:rsidRPr="008D1918" w:rsidR="1B9EBD19" w:rsidP="002E5675" w:rsidRDefault="002E5675" w14:paraId="47136965" w14:textId="77F87B4C">
      <w:pPr>
        <w:pStyle w:val="Caption"/>
        <w:spacing w:line="288" w:lineRule="auto"/>
        <w:rPr>
          <w:rFonts w:eastAsia="Arial" w:cs="Arial"/>
          <w:color w:val="6B2876" w:themeColor="accent5"/>
        </w:rPr>
      </w:pPr>
      <w:bookmarkStart w:name="_Ref223683932" w:id="2267"/>
      <w:r w:rsidRPr="008D1918">
        <w:t xml:space="preserve">Figure </w:t>
      </w:r>
      <w:r>
        <w:fldChar w:fldCharType="begin"/>
      </w:r>
      <w:r>
        <w:instrText>SEQ Figure \* ARABIC</w:instrText>
      </w:r>
      <w:r>
        <w:fldChar w:fldCharType="separate"/>
      </w:r>
      <w:r w:rsidR="008F56A2">
        <w:rPr>
          <w:noProof/>
        </w:rPr>
        <w:t>59</w:t>
      </w:r>
      <w:r>
        <w:fldChar w:fldCharType="end"/>
      </w:r>
      <w:bookmarkEnd w:id="2267"/>
      <w:r w:rsidRPr="008D1918" w:rsidR="1B9EBD19">
        <w:rPr>
          <w:rFonts w:eastAsia="Arial" w:cs="Arial"/>
          <w:color w:val="6B2876" w:themeColor="accent5"/>
        </w:rPr>
        <w:t xml:space="preserve">: Median </w:t>
      </w:r>
      <w:r w:rsidRPr="008D1918" w:rsidR="00DA5B55">
        <w:rPr>
          <w:rFonts w:eastAsia="Arial" w:cs="Arial"/>
          <w:color w:val="6B2876" w:themeColor="accent5"/>
        </w:rPr>
        <w:t>p</w:t>
      </w:r>
      <w:r w:rsidRPr="008D1918" w:rsidR="1B9EBD19">
        <w:rPr>
          <w:rFonts w:eastAsia="Arial" w:cs="Arial"/>
          <w:color w:val="6B2876" w:themeColor="accent5"/>
        </w:rPr>
        <w:t>rovider travel costs across M</w:t>
      </w:r>
      <w:r w:rsidRPr="008D1918" w:rsidR="00E43DDB">
        <w:rPr>
          <w:rFonts w:eastAsia="Arial" w:cs="Arial"/>
          <w:color w:val="6B2876" w:themeColor="accent5"/>
        </w:rPr>
        <w:t>M</w:t>
      </w:r>
      <w:r w:rsidRPr="008D1918" w:rsidR="002D1B44">
        <w:rPr>
          <w:rFonts w:eastAsia="Arial" w:cs="Arial"/>
          <w:color w:val="6B2876" w:themeColor="accent5"/>
        </w:rPr>
        <w:t xml:space="preserve"> </w:t>
      </w:r>
      <w:r w:rsidRPr="008D1918" w:rsidR="00A94332">
        <w:rPr>
          <w:rFonts w:eastAsia="Arial" w:cs="Arial"/>
          <w:color w:val="6B2876" w:themeColor="accent5"/>
        </w:rPr>
        <w:t>category</w:t>
      </w:r>
      <w:r w:rsidRPr="008D1918" w:rsidR="1B9EBD19">
        <w:rPr>
          <w:rFonts w:eastAsia="Arial" w:cs="Arial"/>
          <w:color w:val="6B2876" w:themeColor="accent5"/>
        </w:rPr>
        <w:t xml:space="preserve"> </w:t>
      </w:r>
      <w:r w:rsidRPr="008D1918" w:rsidR="0045684C">
        <w:rPr>
          <w:rFonts w:eastAsia="Arial" w:cs="Arial"/>
          <w:color w:val="6B2876" w:themeColor="accent5"/>
        </w:rPr>
        <w:t>–</w:t>
      </w:r>
      <w:r w:rsidRPr="008D1918" w:rsidR="1B9EBD19">
        <w:rPr>
          <w:rFonts w:eastAsia="Arial" w:cs="Arial"/>
          <w:color w:val="6B2876" w:themeColor="accent5"/>
        </w:rPr>
        <w:t xml:space="preserve"> labour v</w:t>
      </w:r>
      <w:r w:rsidRPr="008D1918" w:rsidR="004D48DB">
        <w:rPr>
          <w:rFonts w:eastAsia="Arial" w:cs="Arial"/>
          <w:color w:val="6B2876" w:themeColor="accent5"/>
        </w:rPr>
        <w:t>er</w:t>
      </w:r>
      <w:r w:rsidRPr="008D1918" w:rsidR="1B9EBD19">
        <w:rPr>
          <w:rFonts w:eastAsia="Arial" w:cs="Arial"/>
          <w:color w:val="6B2876" w:themeColor="accent5"/>
        </w:rPr>
        <w:t>s</w:t>
      </w:r>
      <w:r w:rsidRPr="008D1918" w:rsidR="004D48DB">
        <w:rPr>
          <w:rFonts w:eastAsia="Arial" w:cs="Arial"/>
          <w:color w:val="6B2876" w:themeColor="accent5"/>
        </w:rPr>
        <w:t>us</w:t>
      </w:r>
      <w:r w:rsidRPr="008D1918" w:rsidR="1B9EBD19">
        <w:rPr>
          <w:rFonts w:eastAsia="Arial" w:cs="Arial"/>
          <w:color w:val="6B2876" w:themeColor="accent5"/>
        </w:rPr>
        <w:t xml:space="preserve"> non-labour travel</w:t>
      </w:r>
      <w:r w:rsidRPr="008D1918" w:rsidR="6D51A68C">
        <w:rPr>
          <w:rFonts w:eastAsia="Arial" w:cs="Arial"/>
          <w:color w:val="6B2876" w:themeColor="accent5"/>
        </w:rPr>
        <w:t>, 1 July 2024 to 30 June 2025</w:t>
      </w:r>
    </w:p>
    <w:p w:rsidRPr="008D1918" w:rsidR="0045684C" w:rsidP="001D163B" w:rsidRDefault="00A400C1" w14:paraId="12D0755F" w14:textId="2029F0D2">
      <w:pPr>
        <w:keepNext/>
        <w:spacing w:after="360"/>
        <w:rPr>
          <w:rFonts w:eastAsia="Arial"/>
        </w:rPr>
      </w:pPr>
      <w:r w:rsidRPr="008D1918">
        <w:rPr>
          <w:noProof/>
          <w:lang w:val="en-AU"/>
        </w:rPr>
        <w:drawing>
          <wp:inline distT="0" distB="0" distL="0" distR="0" wp14:anchorId="5F3C475F" wp14:editId="70ABC1BE">
            <wp:extent cx="5201920" cy="2743200"/>
            <wp:effectExtent l="0" t="0" r="0" b="0"/>
            <wp:docPr id="1124560195" name="Picture 5" descr="Figure 59: A bar graph illustrates median provider travel costs across various MM areas, contrasting labour and non-labour travel costs between 1 July 2024 and 30 June 2025. The data indicates significantly higher travel claims in MM7 ($248 for labour and $244 for non-labour) relative to MM3 ($100 for labour and $48 for non-labour). Rates for MM4 to MM6 fall within this range, with labour travel costs in MM4 exceeding those in MM5, and only marginal differences observed in non-labour travel costs between MM5 and MM6. Source: NDIA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60195" name="Picture 5" descr="Figure 59: A bar graph illustrates median provider travel costs across various MM areas, contrasting labour and non-labour travel costs between 1 July 2024 and 30 June 2025. The data indicates significantly higher travel claims in MM7 ($248 for labour and $244 for non-labour) relative to MM3 ($100 for labour and $48 for non-labour). Rates for MM4 to MM6 fall within this range, with labour travel costs in MM4 exceeding those in MM5, and only marginal differences observed in non-labour travel costs between MM5 and MM6. Source: NDIA internal data."/>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01920" cy="2743200"/>
                    </a:xfrm>
                    <a:prstGeom prst="rect">
                      <a:avLst/>
                    </a:prstGeom>
                    <a:noFill/>
                    <a:ln>
                      <a:noFill/>
                    </a:ln>
                  </pic:spPr>
                </pic:pic>
              </a:graphicData>
            </a:graphic>
          </wp:inline>
        </w:drawing>
      </w:r>
    </w:p>
    <w:p w:rsidRPr="008D1918" w:rsidR="1B9EBD19" w:rsidP="00041468" w:rsidRDefault="1B9EBD19" w14:paraId="4977C8C7" w14:textId="3644B2C4">
      <w:pPr>
        <w:pStyle w:val="StyleStyle112pt"/>
        <w:rPr>
          <w:rFonts w:eastAsia="Arial"/>
        </w:rPr>
      </w:pPr>
      <w:bookmarkStart w:name="_Toc223604408" w:id="2268"/>
      <w:bookmarkStart w:name="_Toc223604619" w:id="2269"/>
      <w:bookmarkStart w:name="_Toc223604864" w:id="2270"/>
      <w:bookmarkStart w:name="_Toc223618705" w:id="2271"/>
      <w:bookmarkStart w:name="_Toc223702934" w:id="2272"/>
      <w:bookmarkStart w:name="_Toc227318825" w:id="2273"/>
      <w:bookmarkStart w:name="_Toc227337193" w:id="2274"/>
      <w:r w:rsidRPr="008D1918">
        <w:rPr>
          <w:rFonts w:eastAsia="Arial"/>
        </w:rPr>
        <w:t xml:space="preserve">Review of the current </w:t>
      </w:r>
      <w:r w:rsidRPr="008D1918" w:rsidR="007C5C97">
        <w:rPr>
          <w:rFonts w:eastAsia="Arial"/>
        </w:rPr>
        <w:t>ITM</w:t>
      </w:r>
      <w:bookmarkStart w:name="_Toc223542224" w:id="2275"/>
      <w:bookmarkEnd w:id="2268"/>
      <w:bookmarkEnd w:id="2269"/>
      <w:bookmarkEnd w:id="2270"/>
      <w:bookmarkEnd w:id="2271"/>
      <w:bookmarkEnd w:id="2272"/>
      <w:bookmarkEnd w:id="2273"/>
      <w:bookmarkEnd w:id="2274"/>
      <w:r w:rsidRPr="008D1918">
        <w:rPr>
          <w:rFonts w:eastAsia="Arial"/>
        </w:rPr>
        <w:t xml:space="preserve"> </w:t>
      </w:r>
      <w:bookmarkEnd w:id="2275"/>
    </w:p>
    <w:p w:rsidRPr="008D1918" w:rsidR="1B9EBD19" w:rsidP="003670C9" w:rsidRDefault="1B9EBD19" w14:paraId="31794253" w14:textId="2E9E3A73">
      <w:pPr>
        <w:rPr>
          <w:rFonts w:eastAsia="Arial" w:cs="Arial"/>
          <w:color w:val="000000" w:themeColor="accent6"/>
          <w:lang w:val="en-AU"/>
        </w:rPr>
      </w:pPr>
      <w:r w:rsidRPr="008D1918">
        <w:rPr>
          <w:rFonts w:eastAsia="Arial" w:cs="Arial"/>
          <w:color w:val="000000" w:themeColor="accent6"/>
          <w:lang w:val="en-AU"/>
        </w:rPr>
        <w:t xml:space="preserve">There are 133 locations listed in the </w:t>
      </w:r>
      <w:r w:rsidRPr="008D1918" w:rsidR="002D1B44">
        <w:rPr>
          <w:rFonts w:eastAsia="Arial" w:cs="Arial"/>
          <w:color w:val="000000" w:themeColor="accent6"/>
          <w:lang w:val="en-AU"/>
        </w:rPr>
        <w:t xml:space="preserve">existing </w:t>
      </w:r>
      <w:r w:rsidRPr="008D1918" w:rsidR="001A0245">
        <w:rPr>
          <w:rFonts w:eastAsia="Arial" w:cs="Arial"/>
          <w:color w:val="000000" w:themeColor="accent6"/>
          <w:lang w:val="en-AU"/>
        </w:rPr>
        <w:t>ITM</w:t>
      </w:r>
      <w:r w:rsidRPr="008D1918">
        <w:rPr>
          <w:rFonts w:eastAsia="Arial" w:cs="Arial"/>
          <w:color w:val="000000" w:themeColor="accent6"/>
          <w:lang w:val="en-AU"/>
        </w:rPr>
        <w:t xml:space="preserve"> table in the </w:t>
      </w:r>
      <w:r w:rsidRPr="008D1918" w:rsidR="002D1B44">
        <w:rPr>
          <w:rFonts w:eastAsia="Arial" w:cs="Arial"/>
          <w:lang w:val="en-AU"/>
        </w:rPr>
        <w:t>PAPL</w:t>
      </w:r>
      <w:r w:rsidRPr="008D1918" w:rsidR="009514FB">
        <w:rPr>
          <w:rFonts w:eastAsia="Arial" w:cs="Arial"/>
          <w:lang w:val="en-AU"/>
        </w:rPr>
        <w:t>.</w:t>
      </w:r>
    </w:p>
    <w:p w:rsidRPr="008D1918" w:rsidR="1B9EBD19" w:rsidP="003670C9" w:rsidRDefault="1B9EBD19" w14:paraId="665A0E77" w14:textId="210B743C">
      <w:pPr>
        <w:rPr>
          <w:rFonts w:eastAsia="Arial" w:cs="Arial"/>
          <w:color w:val="000000" w:themeColor="accent6"/>
          <w:lang w:val="en-AU"/>
        </w:rPr>
      </w:pPr>
      <w:r w:rsidRPr="008D1918">
        <w:rPr>
          <w:rFonts w:eastAsia="Arial" w:cs="Arial"/>
          <w:color w:val="000000" w:themeColor="accent6"/>
          <w:lang w:val="en-AU"/>
        </w:rPr>
        <w:t xml:space="preserve">As at 30 June 2025, there were 4,040 participants living in an </w:t>
      </w:r>
      <w:r w:rsidRPr="008D1918" w:rsidR="004D48DB">
        <w:rPr>
          <w:rFonts w:eastAsia="Arial" w:cs="Arial"/>
          <w:color w:val="000000" w:themeColor="accent6"/>
          <w:lang w:val="en-AU"/>
        </w:rPr>
        <w:t>ITM</w:t>
      </w:r>
      <w:r w:rsidRPr="008D1918">
        <w:rPr>
          <w:rFonts w:eastAsia="Arial" w:cs="Arial"/>
          <w:color w:val="000000" w:themeColor="accent6"/>
          <w:lang w:val="en-AU"/>
        </w:rPr>
        <w:t xml:space="preserve"> location across </w:t>
      </w:r>
      <w:r w:rsidRPr="008D1918" w:rsidR="00186248">
        <w:rPr>
          <w:rFonts w:eastAsia="Arial" w:cs="Arial"/>
          <w:color w:val="000000" w:themeColor="accent6"/>
          <w:lang w:val="en-AU"/>
        </w:rPr>
        <w:t>4 s</w:t>
      </w:r>
      <w:r w:rsidRPr="008D1918">
        <w:rPr>
          <w:rFonts w:eastAsia="Arial" w:cs="Arial"/>
          <w:color w:val="000000" w:themeColor="accent6"/>
          <w:lang w:val="en-AU"/>
        </w:rPr>
        <w:t xml:space="preserve">tates and </w:t>
      </w:r>
      <w:r w:rsidRPr="008D1918" w:rsidR="00186248">
        <w:rPr>
          <w:rFonts w:eastAsia="Arial" w:cs="Arial"/>
          <w:color w:val="000000" w:themeColor="accent6"/>
          <w:lang w:val="en-AU"/>
        </w:rPr>
        <w:t>t</w:t>
      </w:r>
      <w:r w:rsidRPr="008D1918">
        <w:rPr>
          <w:rFonts w:eastAsia="Arial" w:cs="Arial"/>
          <w:color w:val="000000" w:themeColor="accent6"/>
          <w:lang w:val="en-AU"/>
        </w:rPr>
        <w:t>erritories, with most participants living in Western Australia and Queensland (</w:t>
      </w:r>
      <w:r w:rsidRPr="008D1918" w:rsidR="00D50ED3">
        <w:rPr>
          <w:rFonts w:eastAsia="Arial" w:cs="Arial"/>
          <w:color w:val="000000" w:themeColor="accent6"/>
          <w:lang w:val="en-AU"/>
        </w:rPr>
        <w:fldChar w:fldCharType="begin"/>
      </w:r>
      <w:r w:rsidRPr="008D1918" w:rsidR="00D50ED3">
        <w:rPr>
          <w:rFonts w:eastAsia="Arial" w:cs="Arial"/>
          <w:color w:val="000000" w:themeColor="accent6"/>
          <w:lang w:val="en-AU"/>
        </w:rPr>
        <w:instrText xml:space="preserve"> REF _Ref223683967 \h </w:instrText>
      </w:r>
      <w:r w:rsidRPr="008D1918" w:rsidR="00762DF8">
        <w:rPr>
          <w:rFonts w:eastAsia="Arial" w:cs="Arial"/>
          <w:color w:val="000000" w:themeColor="accent6"/>
          <w:lang w:val="en-AU"/>
        </w:rPr>
        <w:instrText xml:space="preserve"> \* MERGEFORMAT </w:instrText>
      </w:r>
      <w:r w:rsidRPr="008D1918" w:rsidR="00D50ED3">
        <w:rPr>
          <w:rFonts w:eastAsia="Arial" w:cs="Arial"/>
          <w:color w:val="000000" w:themeColor="accent6"/>
          <w:lang w:val="en-AU"/>
        </w:rPr>
      </w:r>
      <w:r w:rsidRPr="008D1918" w:rsidR="00D50ED3">
        <w:rPr>
          <w:rFonts w:eastAsia="Arial" w:cs="Arial"/>
          <w:color w:val="000000" w:themeColor="accent6"/>
          <w:lang w:val="en-AU"/>
        </w:rPr>
        <w:fldChar w:fldCharType="separate"/>
      </w:r>
      <w:r w:rsidRPr="008F56A2" w:rsidR="008F56A2">
        <w:rPr>
          <w:lang w:val="en-AU"/>
        </w:rPr>
        <w:t>Figure</w:t>
      </w:r>
      <w:r w:rsidRPr="008D1918" w:rsidR="008F56A2">
        <w:t xml:space="preserve"> </w:t>
      </w:r>
      <w:r w:rsidR="008F56A2">
        <w:rPr>
          <w:noProof/>
        </w:rPr>
        <w:t>60</w:t>
      </w:r>
      <w:r w:rsidRPr="008D1918" w:rsidR="00D50ED3">
        <w:rPr>
          <w:rFonts w:eastAsia="Arial" w:cs="Arial"/>
          <w:color w:val="000000" w:themeColor="accent6"/>
          <w:lang w:val="en-AU"/>
        </w:rPr>
        <w:fldChar w:fldCharType="end"/>
      </w:r>
      <w:r w:rsidRPr="008D1918">
        <w:rPr>
          <w:rFonts w:eastAsia="Arial" w:cs="Arial"/>
          <w:color w:val="000000" w:themeColor="accent6"/>
          <w:lang w:val="en-AU"/>
        </w:rPr>
        <w:t>).</w:t>
      </w:r>
    </w:p>
    <w:p w:rsidRPr="008D1918" w:rsidR="1B9EBD19" w:rsidP="00D50ED3" w:rsidRDefault="00D50ED3" w14:paraId="706287E7" w14:textId="15456283">
      <w:pPr>
        <w:pStyle w:val="Caption"/>
        <w:rPr>
          <w:rFonts w:eastAsia="Arial" w:cs="Arial"/>
          <w:color w:val="6B2876" w:themeColor="accent5"/>
        </w:rPr>
      </w:pPr>
      <w:bookmarkStart w:name="_Ref223683967" w:id="2276"/>
      <w:r w:rsidRPr="008D1918">
        <w:t xml:space="preserve">Figure </w:t>
      </w:r>
      <w:r>
        <w:fldChar w:fldCharType="begin"/>
      </w:r>
      <w:r>
        <w:instrText>SEQ Figure \* ARABIC</w:instrText>
      </w:r>
      <w:r>
        <w:fldChar w:fldCharType="separate"/>
      </w:r>
      <w:r w:rsidR="008F56A2">
        <w:rPr>
          <w:noProof/>
        </w:rPr>
        <w:t>60</w:t>
      </w:r>
      <w:r>
        <w:fldChar w:fldCharType="end"/>
      </w:r>
      <w:bookmarkEnd w:id="2276"/>
      <w:r w:rsidRPr="008D1918" w:rsidR="1B9EBD19">
        <w:rPr>
          <w:rFonts w:eastAsia="Arial" w:cs="Arial"/>
          <w:color w:val="6B2876" w:themeColor="accent5"/>
        </w:rPr>
        <w:t xml:space="preserve">: Number of participants living in an </w:t>
      </w:r>
      <w:r w:rsidRPr="008D1918" w:rsidR="004D48DB">
        <w:rPr>
          <w:rFonts w:eastAsia="Arial" w:cs="Arial"/>
          <w:color w:val="6B2876" w:themeColor="accent5"/>
        </w:rPr>
        <w:t>ITM</w:t>
      </w:r>
      <w:r w:rsidRPr="008D1918" w:rsidR="1B9EBD19">
        <w:rPr>
          <w:rFonts w:eastAsia="Arial" w:cs="Arial"/>
          <w:color w:val="6B2876" w:themeColor="accent5"/>
        </w:rPr>
        <w:t xml:space="preserve"> location by </w:t>
      </w:r>
      <w:r w:rsidRPr="008D1918" w:rsidR="003670C9">
        <w:rPr>
          <w:rFonts w:eastAsia="Arial" w:cs="Arial"/>
          <w:color w:val="6B2876" w:themeColor="accent5"/>
        </w:rPr>
        <w:t>s</w:t>
      </w:r>
      <w:r w:rsidRPr="008D1918" w:rsidR="1B9EBD19">
        <w:rPr>
          <w:rFonts w:eastAsia="Arial" w:cs="Arial"/>
          <w:color w:val="6B2876" w:themeColor="accent5"/>
        </w:rPr>
        <w:t xml:space="preserve">tate, 1 July 2024 </w:t>
      </w:r>
      <w:r w:rsidRPr="008D1918" w:rsidR="00C94949">
        <w:rPr>
          <w:rFonts w:eastAsia="Arial" w:cs="Arial"/>
          <w:color w:val="6B2876" w:themeColor="accent5"/>
        </w:rPr>
        <w:t xml:space="preserve">to </w:t>
      </w:r>
      <w:r w:rsidRPr="008D1918" w:rsidR="1B9EBD19">
        <w:rPr>
          <w:rFonts w:eastAsia="Arial" w:cs="Arial"/>
          <w:color w:val="6B2876" w:themeColor="accent5"/>
        </w:rPr>
        <w:t>30 June 2025</w:t>
      </w:r>
    </w:p>
    <w:p w:rsidRPr="008D1918" w:rsidR="1B9EBD19" w:rsidP="003F629E" w:rsidRDefault="00C11602" w14:paraId="07B4651D" w14:textId="59661B79">
      <w:pPr>
        <w:spacing w:after="360"/>
        <w:rPr>
          <w:rFonts w:eastAsia="Arial"/>
          <w:lang w:val="en-AU"/>
        </w:rPr>
      </w:pPr>
      <w:r w:rsidRPr="008D1918">
        <w:rPr>
          <w:noProof/>
          <w:lang w:val="en-AU"/>
        </w:rPr>
        <w:drawing>
          <wp:inline distT="0" distB="0" distL="0" distR="0" wp14:anchorId="164472DF" wp14:editId="1A3C54B7">
            <wp:extent cx="4860000" cy="2562894"/>
            <wp:effectExtent l="0" t="0" r="0" b="8890"/>
            <wp:docPr id="167189799" name="Picture 6" descr="Figure 60: A bar graph showing the number of participants living in an Isolated Town Modification location by state or territory from 1 July 2024 to 30 June 2025. It shows 795 in NSW, 35 in the Northern Territory, 1,215 in Queensland and 1,995 in Western Australia. Source: NDIA in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89799" name="Picture 6" descr="Figure 60: A bar graph showing the number of participants living in an Isolated Town Modification location by state or territory from 1 July 2024 to 30 June 2025. It shows 795 in NSW, 35 in the Northern Territory, 1,215 in Queensland and 1,995 in Western Australia. Source: NDIA internal data."/>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860000" cy="2562894"/>
                    </a:xfrm>
                    <a:prstGeom prst="rect">
                      <a:avLst/>
                    </a:prstGeom>
                    <a:noFill/>
                    <a:ln>
                      <a:noFill/>
                    </a:ln>
                  </pic:spPr>
                </pic:pic>
              </a:graphicData>
            </a:graphic>
          </wp:inline>
        </w:drawing>
      </w:r>
    </w:p>
    <w:p w:rsidRPr="008D1918" w:rsidR="1B9EBD19" w:rsidP="0037198C" w:rsidRDefault="1B9EBD19" w14:paraId="65166A74" w14:textId="1FF08719">
      <w:pPr>
        <w:rPr>
          <w:rFonts w:eastAsia="Arial" w:cs="Arial"/>
          <w:color w:val="000000" w:themeColor="accent6"/>
          <w:lang w:val="en-AU"/>
        </w:rPr>
      </w:pPr>
      <w:r w:rsidRPr="008D1918">
        <w:rPr>
          <w:rFonts w:eastAsia="Arial" w:cs="Arial"/>
          <w:color w:val="000000" w:themeColor="accent6"/>
          <w:lang w:val="en-AU"/>
        </w:rPr>
        <w:t xml:space="preserve">These </w:t>
      </w:r>
      <w:r w:rsidRPr="008D1918" w:rsidR="00857209">
        <w:rPr>
          <w:rFonts w:eastAsia="Arial" w:cs="Arial"/>
          <w:color w:val="000000" w:themeColor="accent6"/>
          <w:lang w:val="en-AU"/>
        </w:rPr>
        <w:t>ITM</w:t>
      </w:r>
      <w:r w:rsidRPr="008D1918">
        <w:rPr>
          <w:rFonts w:eastAsia="Arial" w:cs="Arial"/>
          <w:color w:val="000000" w:themeColor="accent6"/>
          <w:lang w:val="en-AU"/>
        </w:rPr>
        <w:t xml:space="preserve"> locations all fall within M</w:t>
      </w:r>
      <w:r w:rsidRPr="008D1918" w:rsidR="00E43DDB">
        <w:rPr>
          <w:rFonts w:eastAsia="Arial" w:cs="Arial"/>
          <w:color w:val="000000" w:themeColor="accent6"/>
          <w:lang w:val="en-AU"/>
        </w:rPr>
        <w:t>M</w:t>
      </w:r>
      <w:r w:rsidRPr="008D1918" w:rsidR="00A00260">
        <w:rPr>
          <w:rFonts w:eastAsia="Arial" w:cs="Arial"/>
          <w:color w:val="000000" w:themeColor="accent6"/>
          <w:lang w:val="en-AU"/>
        </w:rPr>
        <w:t> </w:t>
      </w:r>
      <w:r w:rsidRPr="008D1918">
        <w:rPr>
          <w:rFonts w:eastAsia="Arial" w:cs="Arial"/>
          <w:color w:val="000000" w:themeColor="accent6"/>
          <w:lang w:val="en-AU"/>
        </w:rPr>
        <w:t>3</w:t>
      </w:r>
      <w:r w:rsidRPr="008D1918" w:rsidR="00A00260">
        <w:rPr>
          <w:rFonts w:eastAsia="Arial" w:cs="Arial"/>
          <w:color w:val="000000" w:themeColor="accent6"/>
          <w:lang w:val="en-AU"/>
        </w:rPr>
        <w:t>–</w:t>
      </w:r>
      <w:r w:rsidRPr="008D1918">
        <w:rPr>
          <w:rFonts w:eastAsia="Arial" w:cs="Arial"/>
          <w:color w:val="000000" w:themeColor="accent6"/>
          <w:lang w:val="en-AU"/>
        </w:rPr>
        <w:t>6, with the majority (59%) participants living in a M</w:t>
      </w:r>
      <w:r w:rsidRPr="008D1918" w:rsidR="00E43DDB">
        <w:rPr>
          <w:rFonts w:eastAsia="Arial" w:cs="Arial"/>
          <w:color w:val="000000" w:themeColor="accent6"/>
          <w:lang w:val="en-AU"/>
        </w:rPr>
        <w:t>M</w:t>
      </w:r>
      <w:r w:rsidRPr="008D1918">
        <w:rPr>
          <w:rFonts w:eastAsia="Arial" w:cs="Arial"/>
          <w:color w:val="000000" w:themeColor="accent6"/>
          <w:lang w:val="en-AU"/>
        </w:rPr>
        <w:t xml:space="preserve"> 3 area (</w:t>
      </w:r>
      <w:r w:rsidRPr="008D1918" w:rsidR="00D50ED3">
        <w:rPr>
          <w:rFonts w:eastAsia="Arial" w:cs="Arial"/>
          <w:color w:val="000000" w:themeColor="accent6"/>
          <w:lang w:val="en-AU"/>
        </w:rPr>
        <w:fldChar w:fldCharType="begin"/>
      </w:r>
      <w:r w:rsidRPr="008D1918" w:rsidR="00D50ED3">
        <w:rPr>
          <w:rFonts w:eastAsia="Arial" w:cs="Arial"/>
          <w:color w:val="000000" w:themeColor="accent6"/>
          <w:lang w:val="en-AU"/>
        </w:rPr>
        <w:instrText xml:space="preserve"> REF _Ref223684001 \h </w:instrText>
      </w:r>
      <w:r w:rsidRPr="008D1918" w:rsidR="00762DF8">
        <w:rPr>
          <w:rFonts w:eastAsia="Arial" w:cs="Arial"/>
          <w:color w:val="000000" w:themeColor="accent6"/>
          <w:lang w:val="en-AU"/>
        </w:rPr>
        <w:instrText xml:space="preserve"> \* MERGEFORMAT </w:instrText>
      </w:r>
      <w:r w:rsidRPr="008D1918" w:rsidR="00D50ED3">
        <w:rPr>
          <w:rFonts w:eastAsia="Arial" w:cs="Arial"/>
          <w:color w:val="000000" w:themeColor="accent6"/>
          <w:lang w:val="en-AU"/>
        </w:rPr>
      </w:r>
      <w:r w:rsidRPr="008D1918" w:rsidR="00D50ED3">
        <w:rPr>
          <w:rFonts w:eastAsia="Arial" w:cs="Arial"/>
          <w:color w:val="000000" w:themeColor="accent6"/>
          <w:lang w:val="en-AU"/>
        </w:rPr>
        <w:fldChar w:fldCharType="separate"/>
      </w:r>
      <w:r w:rsidRPr="008F56A2" w:rsidR="008F56A2">
        <w:rPr>
          <w:lang w:val="en-AU"/>
        </w:rPr>
        <w:t>Figure</w:t>
      </w:r>
      <w:r w:rsidRPr="008D1918" w:rsidR="008F56A2">
        <w:t xml:space="preserve"> </w:t>
      </w:r>
      <w:r w:rsidR="008F56A2">
        <w:rPr>
          <w:noProof/>
        </w:rPr>
        <w:t>61</w:t>
      </w:r>
      <w:r w:rsidRPr="008D1918" w:rsidR="00D50ED3">
        <w:rPr>
          <w:rFonts w:eastAsia="Arial" w:cs="Arial"/>
          <w:color w:val="000000" w:themeColor="accent6"/>
          <w:lang w:val="en-AU"/>
        </w:rPr>
        <w:fldChar w:fldCharType="end"/>
      </w:r>
      <w:r w:rsidRPr="008D1918">
        <w:rPr>
          <w:rFonts w:eastAsia="Arial" w:cs="Arial"/>
          <w:color w:val="000000" w:themeColor="accent6"/>
          <w:lang w:val="en-AU"/>
        </w:rPr>
        <w:t>)</w:t>
      </w:r>
      <w:r w:rsidRPr="008D1918" w:rsidR="00E12016">
        <w:rPr>
          <w:rFonts w:eastAsia="Arial" w:cs="Arial"/>
          <w:color w:val="000000" w:themeColor="accent6"/>
          <w:lang w:val="en-AU"/>
        </w:rPr>
        <w:t>.</w:t>
      </w:r>
    </w:p>
    <w:p w:rsidRPr="008D1918" w:rsidR="1B9EBD19" w:rsidP="006A25FA" w:rsidRDefault="00D50ED3" w14:paraId="2D8D011F" w14:textId="18A01D95">
      <w:pPr>
        <w:pStyle w:val="Caption"/>
        <w:rPr>
          <w:rFonts w:eastAsia="Arial"/>
        </w:rPr>
      </w:pPr>
      <w:bookmarkStart w:name="_Ref223684001" w:id="2277"/>
      <w:r w:rsidRPr="008D1918">
        <w:t xml:space="preserve">Figure </w:t>
      </w:r>
      <w:r>
        <w:fldChar w:fldCharType="begin"/>
      </w:r>
      <w:r>
        <w:instrText>SEQ Figure \* ARABIC</w:instrText>
      </w:r>
      <w:r>
        <w:fldChar w:fldCharType="separate"/>
      </w:r>
      <w:r w:rsidR="008F56A2">
        <w:rPr>
          <w:noProof/>
        </w:rPr>
        <w:t>61</w:t>
      </w:r>
      <w:r>
        <w:fldChar w:fldCharType="end"/>
      </w:r>
      <w:bookmarkEnd w:id="2277"/>
      <w:r w:rsidRPr="008D1918" w:rsidR="1B9EBD19">
        <w:rPr>
          <w:rFonts w:eastAsia="Arial" w:cs="Arial"/>
          <w:color w:val="6B2876" w:themeColor="accent5"/>
        </w:rPr>
        <w:t xml:space="preserve">: Percentage of participants </w:t>
      </w:r>
      <w:r w:rsidRPr="008D1918" w:rsidR="1B9EBD19">
        <w:rPr>
          <w:rFonts w:eastAsia="Arial" w:cs="Arial"/>
          <w:color w:val="6B2976"/>
        </w:rPr>
        <w:t xml:space="preserve">living in </w:t>
      </w:r>
      <w:r w:rsidRPr="008D1918" w:rsidR="00857209">
        <w:rPr>
          <w:rFonts w:eastAsia="Arial" w:cs="Arial"/>
          <w:color w:val="6B2976"/>
        </w:rPr>
        <w:t>ITM</w:t>
      </w:r>
      <w:r w:rsidRPr="008D1918" w:rsidR="1B9EBD19">
        <w:rPr>
          <w:rFonts w:eastAsia="Arial" w:cs="Arial"/>
          <w:color w:val="6B2976"/>
        </w:rPr>
        <w:t xml:space="preserve"> locations </w:t>
      </w:r>
      <w:r w:rsidRPr="008D1918" w:rsidR="1B9EBD19">
        <w:rPr>
          <w:rFonts w:eastAsia="Arial" w:cs="Arial"/>
          <w:color w:val="6B2876" w:themeColor="accent5"/>
        </w:rPr>
        <w:t>by M</w:t>
      </w:r>
      <w:r w:rsidRPr="008D1918" w:rsidR="00E43DDB">
        <w:rPr>
          <w:rFonts w:eastAsia="Arial" w:cs="Arial"/>
          <w:color w:val="6B2876" w:themeColor="accent5"/>
        </w:rPr>
        <w:t>M</w:t>
      </w:r>
      <w:r w:rsidRPr="008D1918" w:rsidR="00A94332">
        <w:rPr>
          <w:rFonts w:eastAsia="Arial" w:cs="Arial"/>
          <w:color w:val="6B2876" w:themeColor="accent5"/>
        </w:rPr>
        <w:t xml:space="preserve"> category</w:t>
      </w:r>
      <w:r w:rsidRPr="008D1918" w:rsidR="1B9EBD19">
        <w:rPr>
          <w:rFonts w:eastAsia="Arial" w:cs="Arial"/>
          <w:color w:val="6B2876" w:themeColor="accent5"/>
        </w:rPr>
        <w:t>, 1</w:t>
      </w:r>
      <w:r w:rsidRPr="008D1918" w:rsidR="00116B57">
        <w:rPr>
          <w:rFonts w:eastAsia="Arial" w:cs="Arial"/>
          <w:color w:val="6B2876" w:themeColor="accent5"/>
        </w:rPr>
        <w:t> </w:t>
      </w:r>
      <w:r w:rsidRPr="008D1918" w:rsidR="1B9EBD19">
        <w:rPr>
          <w:rFonts w:eastAsia="Arial" w:cs="Arial"/>
          <w:color w:val="6B2876" w:themeColor="accent5"/>
        </w:rPr>
        <w:t>July 2024</w:t>
      </w:r>
      <w:r w:rsidRPr="008D1918" w:rsidR="00116B57">
        <w:rPr>
          <w:rFonts w:eastAsia="Arial" w:cs="Arial"/>
          <w:color w:val="6B2876" w:themeColor="accent5"/>
        </w:rPr>
        <w:t xml:space="preserve"> </w:t>
      </w:r>
      <w:r w:rsidRPr="008D1918" w:rsidR="00C94949">
        <w:rPr>
          <w:rFonts w:eastAsia="Arial" w:cs="Arial"/>
          <w:color w:val="6B2876" w:themeColor="accent5"/>
        </w:rPr>
        <w:t>to</w:t>
      </w:r>
      <w:r w:rsidRPr="008D1918" w:rsidR="1B9EBD19">
        <w:rPr>
          <w:rFonts w:eastAsia="Arial" w:cs="Arial"/>
          <w:color w:val="6B2876" w:themeColor="accent5"/>
        </w:rPr>
        <w:t xml:space="preserve"> 30 June 2025</w:t>
      </w:r>
    </w:p>
    <w:p w:rsidRPr="008D1918" w:rsidR="00177895" w:rsidP="000B52C4" w:rsidRDefault="00177895" w14:paraId="5184FFD1" w14:textId="3FF775D9">
      <w:pPr>
        <w:spacing w:after="120"/>
        <w:rPr>
          <w:rFonts w:cs="Arial"/>
          <w:sz w:val="20"/>
          <w:szCs w:val="20"/>
          <w:lang w:val="en-AU" w:eastAsia="en-AU"/>
        </w:rPr>
      </w:pPr>
      <w:r w:rsidRPr="008D1918">
        <w:rPr>
          <w:rFonts w:cs="Arial"/>
          <w:noProof/>
          <w:sz w:val="20"/>
          <w:szCs w:val="20"/>
          <w:lang w:val="en-AU" w:eastAsia="en-AU"/>
        </w:rPr>
        <w:drawing>
          <wp:inline distT="0" distB="0" distL="0" distR="0" wp14:anchorId="51ECCCB3" wp14:editId="5F474CE6">
            <wp:extent cx="4860000" cy="3293862"/>
            <wp:effectExtent l="0" t="0" r="0" b="1905"/>
            <wp:docPr id="16192113" name="Picture 3" descr="Figure 61: A bar graph showing the percentage of participants living in ITM locations by MM category from 1 July 2024 to 30 June 2025. &#10;The graph shows that there are 59% in MM 3, 25% in MM 4, 15% in MM 5, and 1% in M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113" name="Picture 3" descr="Figure 61: A bar graph showing the percentage of participants living in ITM locations by MM category from 1 July 2024 to 30 June 2025. &#10;The graph shows that there are 59% in MM 3, 25% in MM 4, 15% in MM 5, and 1% in MM 6."/>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b="7138"/>
                    <a:stretch>
                      <a:fillRect/>
                    </a:stretch>
                  </pic:blipFill>
                  <pic:spPr bwMode="auto">
                    <a:xfrm>
                      <a:off x="0" y="0"/>
                      <a:ext cx="4860000" cy="3293862"/>
                    </a:xfrm>
                    <a:prstGeom prst="rect">
                      <a:avLst/>
                    </a:prstGeom>
                    <a:noFill/>
                    <a:ln>
                      <a:noFill/>
                    </a:ln>
                    <a:extLst>
                      <a:ext uri="{53640926-AAD7-44D8-BBD7-CCE9431645EC}">
                        <a14:shadowObscured xmlns:a14="http://schemas.microsoft.com/office/drawing/2010/main"/>
                      </a:ext>
                    </a:extLst>
                  </pic:spPr>
                </pic:pic>
              </a:graphicData>
            </a:graphic>
          </wp:inline>
        </w:drawing>
      </w:r>
    </w:p>
    <w:p w:rsidRPr="008D1918" w:rsidR="00A17637" w:rsidP="0037198C" w:rsidRDefault="00A17637" w14:paraId="47262EB2" w14:textId="5E629566">
      <w:pPr>
        <w:rPr>
          <w:rFonts w:cs="Arial"/>
          <w:sz w:val="20"/>
          <w:szCs w:val="20"/>
          <w:lang w:val="en-AU" w:eastAsia="en-AU"/>
        </w:rPr>
      </w:pPr>
      <w:r w:rsidRPr="008D1918">
        <w:rPr>
          <w:rFonts w:cs="Arial"/>
          <w:sz w:val="20"/>
          <w:szCs w:val="20"/>
          <w:lang w:val="en-AU" w:eastAsia="en-AU"/>
        </w:rPr>
        <w:t>Note: Numbers may not add to 100% due to rounding.</w:t>
      </w:r>
    </w:p>
    <w:p w:rsidRPr="008D1918" w:rsidR="1B9EBD19" w:rsidP="0037198C" w:rsidRDefault="1B9EBD19" w14:paraId="3CEF73CF" w14:textId="3BCB946B">
      <w:pPr>
        <w:rPr>
          <w:rFonts w:eastAsia="Arial" w:cs="Arial"/>
          <w:color w:val="000000" w:themeColor="accent6"/>
          <w:lang w:val="en-AU"/>
        </w:rPr>
      </w:pPr>
      <w:r w:rsidRPr="008D1918">
        <w:rPr>
          <w:rFonts w:eastAsia="Arial" w:cs="Arial"/>
          <w:color w:val="000000" w:themeColor="accent6"/>
          <w:lang w:val="en-AU"/>
        </w:rPr>
        <w:t>The M</w:t>
      </w:r>
      <w:r w:rsidRPr="008D1918" w:rsidR="00E43DDB">
        <w:rPr>
          <w:rFonts w:eastAsia="Arial" w:cs="Arial"/>
          <w:color w:val="000000" w:themeColor="accent6"/>
          <w:lang w:val="en-AU"/>
        </w:rPr>
        <w:t>M</w:t>
      </w:r>
      <w:r w:rsidRPr="008D1918" w:rsidR="0037198C">
        <w:rPr>
          <w:rFonts w:eastAsia="Arial" w:cs="Arial"/>
          <w:color w:val="000000" w:themeColor="accent6"/>
          <w:lang w:val="en-AU"/>
        </w:rPr>
        <w:t> </w:t>
      </w:r>
      <w:r w:rsidRPr="008D1918">
        <w:rPr>
          <w:rFonts w:eastAsia="Arial" w:cs="Arial"/>
          <w:color w:val="000000" w:themeColor="accent6"/>
          <w:lang w:val="en-AU"/>
        </w:rPr>
        <w:t>6 location is Gunbalanya</w:t>
      </w:r>
      <w:r w:rsidRPr="008D1918" w:rsidR="002807C6">
        <w:rPr>
          <w:rFonts w:eastAsia="Arial" w:cs="Arial"/>
          <w:color w:val="000000" w:themeColor="accent6"/>
          <w:lang w:val="en-AU"/>
        </w:rPr>
        <w:t>,</w:t>
      </w:r>
      <w:r w:rsidRPr="008D1918">
        <w:rPr>
          <w:rFonts w:eastAsia="Arial" w:cs="Arial"/>
          <w:color w:val="000000" w:themeColor="accent6"/>
          <w:lang w:val="en-AU"/>
        </w:rPr>
        <w:t xml:space="preserve"> N</w:t>
      </w:r>
      <w:r w:rsidRPr="008D1918" w:rsidR="002807C6">
        <w:rPr>
          <w:rFonts w:eastAsia="Arial" w:cs="Arial"/>
          <w:color w:val="000000" w:themeColor="accent6"/>
          <w:lang w:val="en-AU"/>
        </w:rPr>
        <w:t xml:space="preserve">orthern </w:t>
      </w:r>
      <w:r w:rsidRPr="008D1918">
        <w:rPr>
          <w:rFonts w:eastAsia="Arial" w:cs="Arial"/>
          <w:color w:val="000000" w:themeColor="accent6"/>
          <w:lang w:val="en-AU"/>
        </w:rPr>
        <w:t>T</w:t>
      </w:r>
      <w:r w:rsidRPr="008D1918" w:rsidR="002807C6">
        <w:rPr>
          <w:rFonts w:eastAsia="Arial" w:cs="Arial"/>
          <w:color w:val="000000" w:themeColor="accent6"/>
          <w:lang w:val="en-AU"/>
        </w:rPr>
        <w:t>erritory</w:t>
      </w:r>
      <w:r w:rsidRPr="008D1918">
        <w:rPr>
          <w:rFonts w:eastAsia="Arial" w:cs="Arial"/>
          <w:color w:val="000000" w:themeColor="accent6"/>
          <w:lang w:val="en-AU"/>
        </w:rPr>
        <w:t>, a remote area that has been reclassified as a very remote area (MM</w:t>
      </w:r>
      <w:r w:rsidRPr="008D1918" w:rsidR="0037198C">
        <w:rPr>
          <w:rFonts w:eastAsia="Arial" w:cs="Arial"/>
          <w:color w:val="000000" w:themeColor="accent6"/>
          <w:lang w:val="en-AU"/>
        </w:rPr>
        <w:t> </w:t>
      </w:r>
      <w:r w:rsidRPr="008D1918">
        <w:rPr>
          <w:rFonts w:eastAsia="Arial" w:cs="Arial"/>
          <w:color w:val="000000" w:themeColor="accent6"/>
          <w:lang w:val="en-AU"/>
        </w:rPr>
        <w:t>7) to reflect exceptional seasonal challenges. Due to the low participant numbers in this location, the remaining analysis will be centred on M</w:t>
      </w:r>
      <w:r w:rsidRPr="008D1918" w:rsidR="00E43DDB">
        <w:rPr>
          <w:rFonts w:eastAsia="Arial" w:cs="Arial"/>
          <w:color w:val="000000" w:themeColor="accent6"/>
          <w:lang w:val="en-AU"/>
        </w:rPr>
        <w:t>M</w:t>
      </w:r>
      <w:r w:rsidRPr="008D1918" w:rsidR="0037198C">
        <w:rPr>
          <w:rFonts w:eastAsia="Arial" w:cs="Arial"/>
          <w:color w:val="000000" w:themeColor="accent6"/>
          <w:lang w:val="en-AU"/>
        </w:rPr>
        <w:t> </w:t>
      </w:r>
      <w:r w:rsidRPr="008D1918">
        <w:rPr>
          <w:rFonts w:eastAsia="Arial" w:cs="Arial"/>
          <w:color w:val="000000" w:themeColor="accent6"/>
          <w:lang w:val="en-AU"/>
        </w:rPr>
        <w:t>3</w:t>
      </w:r>
      <w:r w:rsidRPr="008D1918" w:rsidR="0037198C">
        <w:rPr>
          <w:rFonts w:eastAsia="Arial" w:cs="Arial"/>
          <w:color w:val="000000" w:themeColor="accent6"/>
          <w:lang w:val="en-AU"/>
        </w:rPr>
        <w:t>–</w:t>
      </w:r>
      <w:r w:rsidRPr="008D1918">
        <w:rPr>
          <w:rFonts w:eastAsia="Arial" w:cs="Arial"/>
          <w:color w:val="000000" w:themeColor="accent6"/>
          <w:lang w:val="en-AU"/>
        </w:rPr>
        <w:t>5 locations.</w:t>
      </w:r>
    </w:p>
    <w:p w:rsidRPr="008D1918" w:rsidR="1B9EBD19" w:rsidP="0037198C" w:rsidRDefault="1B9EBD19" w14:paraId="6BE1BD9F" w14:textId="3C951F0C">
      <w:pPr>
        <w:rPr>
          <w:rFonts w:eastAsia="Arial" w:cs="Arial"/>
          <w:color w:val="000000" w:themeColor="accent6"/>
          <w:lang w:val="en-AU"/>
        </w:rPr>
      </w:pPr>
      <w:r w:rsidRPr="008D1918">
        <w:rPr>
          <w:rFonts w:eastAsia="Arial" w:cs="Arial"/>
          <w:color w:val="000000" w:themeColor="accent6"/>
          <w:lang w:val="en-AU"/>
        </w:rPr>
        <w:t xml:space="preserve">Plan </w:t>
      </w:r>
      <w:r w:rsidRPr="008D1918" w:rsidR="00595728">
        <w:rPr>
          <w:rFonts w:eastAsia="Arial" w:cs="Arial"/>
          <w:color w:val="000000" w:themeColor="accent6"/>
          <w:lang w:val="en-AU"/>
        </w:rPr>
        <w:t xml:space="preserve">use </w:t>
      </w:r>
      <w:r w:rsidRPr="008D1918">
        <w:rPr>
          <w:rFonts w:eastAsia="Arial" w:cs="Arial"/>
          <w:color w:val="000000" w:themeColor="accent6"/>
          <w:lang w:val="en-AU"/>
        </w:rPr>
        <w:t xml:space="preserve">in </w:t>
      </w:r>
      <w:r w:rsidRPr="008D1918" w:rsidR="00857209">
        <w:rPr>
          <w:rFonts w:eastAsia="Arial" w:cs="Arial"/>
          <w:color w:val="000000" w:themeColor="accent6"/>
          <w:lang w:val="en-AU"/>
        </w:rPr>
        <w:t>ITM</w:t>
      </w:r>
      <w:r w:rsidRPr="008D1918">
        <w:rPr>
          <w:rFonts w:eastAsia="Arial" w:cs="Arial"/>
          <w:color w:val="000000" w:themeColor="accent6"/>
          <w:lang w:val="en-AU"/>
        </w:rPr>
        <w:t xml:space="preserve"> locations have been reviewed and compared to utilisation rates in the previous </w:t>
      </w:r>
      <w:r w:rsidRPr="008D1918" w:rsidR="00FD4ECE">
        <w:rPr>
          <w:rFonts w:eastAsia="Arial" w:cs="Arial"/>
          <w:color w:val="000000" w:themeColor="accent6"/>
          <w:lang w:val="en-AU"/>
        </w:rPr>
        <w:t xml:space="preserve">2 </w:t>
      </w:r>
      <w:r w:rsidRPr="008D1918">
        <w:rPr>
          <w:rFonts w:eastAsia="Arial" w:cs="Arial"/>
          <w:color w:val="000000" w:themeColor="accent6"/>
          <w:lang w:val="en-AU"/>
        </w:rPr>
        <w:t xml:space="preserve">years. </w:t>
      </w:r>
      <w:r w:rsidRPr="008D1918" w:rsidR="00D50ED3">
        <w:rPr>
          <w:rFonts w:eastAsia="Arial" w:cs="Arial"/>
          <w:color w:val="000000" w:themeColor="accent6"/>
          <w:lang w:val="en-AU"/>
        </w:rPr>
        <w:fldChar w:fldCharType="begin"/>
      </w:r>
      <w:r w:rsidRPr="008D1918" w:rsidR="00D50ED3">
        <w:rPr>
          <w:rFonts w:eastAsia="Arial" w:cs="Arial"/>
          <w:color w:val="000000" w:themeColor="accent6"/>
          <w:lang w:val="en-AU"/>
        </w:rPr>
        <w:instrText xml:space="preserve"> REF _Ref223684027 \h </w:instrText>
      </w:r>
      <w:r w:rsidRPr="008D1918" w:rsidR="00762DF8">
        <w:rPr>
          <w:rFonts w:eastAsia="Arial" w:cs="Arial"/>
          <w:color w:val="000000" w:themeColor="accent6"/>
          <w:lang w:val="en-AU"/>
        </w:rPr>
        <w:instrText xml:space="preserve"> \* MERGEFORMAT </w:instrText>
      </w:r>
      <w:r w:rsidRPr="008D1918" w:rsidR="00D50ED3">
        <w:rPr>
          <w:rFonts w:eastAsia="Arial" w:cs="Arial"/>
          <w:color w:val="000000" w:themeColor="accent6"/>
          <w:lang w:val="en-AU"/>
        </w:rPr>
      </w:r>
      <w:r w:rsidRPr="008D1918" w:rsidR="00D50ED3">
        <w:rPr>
          <w:rFonts w:eastAsia="Arial" w:cs="Arial"/>
          <w:color w:val="000000" w:themeColor="accent6"/>
          <w:lang w:val="en-AU"/>
        </w:rPr>
        <w:fldChar w:fldCharType="separate"/>
      </w:r>
      <w:r w:rsidRPr="008F56A2" w:rsidR="008F56A2">
        <w:rPr>
          <w:lang w:val="en-AU"/>
        </w:rPr>
        <w:t>Figure</w:t>
      </w:r>
      <w:r w:rsidRPr="008D1918" w:rsidR="008F56A2">
        <w:t xml:space="preserve"> </w:t>
      </w:r>
      <w:r w:rsidR="008F56A2">
        <w:rPr>
          <w:noProof/>
        </w:rPr>
        <w:t>62</w:t>
      </w:r>
      <w:r w:rsidRPr="008D1918" w:rsidR="00D50ED3">
        <w:rPr>
          <w:rFonts w:eastAsia="Arial" w:cs="Arial"/>
          <w:color w:val="000000" w:themeColor="accent6"/>
          <w:lang w:val="en-AU"/>
        </w:rPr>
        <w:fldChar w:fldCharType="end"/>
      </w:r>
      <w:r w:rsidRPr="008D1918">
        <w:rPr>
          <w:rFonts w:eastAsia="Arial" w:cs="Arial"/>
          <w:color w:val="000000" w:themeColor="accent6"/>
          <w:lang w:val="en-AU"/>
        </w:rPr>
        <w:t xml:space="preserve"> demonstrates that most towns have remained relatively steady (in M</w:t>
      </w:r>
      <w:r w:rsidRPr="008D1918" w:rsidR="00E43DDB">
        <w:rPr>
          <w:rFonts w:eastAsia="Arial" w:cs="Arial"/>
          <w:color w:val="000000" w:themeColor="accent6"/>
          <w:lang w:val="en-AU"/>
        </w:rPr>
        <w:t>M</w:t>
      </w:r>
      <w:r w:rsidRPr="008D1918" w:rsidR="0037198C">
        <w:rPr>
          <w:rFonts w:eastAsia="Arial" w:cs="Arial"/>
          <w:color w:val="000000" w:themeColor="accent6"/>
          <w:lang w:val="en-AU"/>
        </w:rPr>
        <w:t> </w:t>
      </w:r>
      <w:r w:rsidRPr="008D1918">
        <w:rPr>
          <w:rFonts w:eastAsia="Arial" w:cs="Arial"/>
          <w:color w:val="000000" w:themeColor="accent6"/>
          <w:lang w:val="en-AU"/>
        </w:rPr>
        <w:t>3 and M</w:t>
      </w:r>
      <w:r w:rsidRPr="008D1918" w:rsidR="00E43DDB">
        <w:rPr>
          <w:rFonts w:eastAsia="Arial" w:cs="Arial"/>
          <w:color w:val="000000" w:themeColor="accent6"/>
          <w:lang w:val="en-AU"/>
        </w:rPr>
        <w:t>M</w:t>
      </w:r>
      <w:r w:rsidRPr="008D1918" w:rsidR="0037198C">
        <w:rPr>
          <w:rFonts w:eastAsia="Arial" w:cs="Arial"/>
          <w:color w:val="000000" w:themeColor="accent6"/>
          <w:lang w:val="en-AU"/>
        </w:rPr>
        <w:t> </w:t>
      </w:r>
      <w:r w:rsidRPr="008D1918">
        <w:rPr>
          <w:rFonts w:eastAsia="Arial" w:cs="Arial"/>
          <w:color w:val="000000" w:themeColor="accent6"/>
          <w:lang w:val="en-AU"/>
        </w:rPr>
        <w:t>4) with M</w:t>
      </w:r>
      <w:r w:rsidRPr="008D1918" w:rsidR="00E43DDB">
        <w:rPr>
          <w:rFonts w:eastAsia="Arial" w:cs="Arial"/>
          <w:color w:val="000000" w:themeColor="accent6"/>
          <w:lang w:val="en-AU"/>
        </w:rPr>
        <w:t>M</w:t>
      </w:r>
      <w:r w:rsidRPr="008D1918" w:rsidR="0037198C">
        <w:rPr>
          <w:rFonts w:eastAsia="Arial" w:cs="Arial"/>
          <w:color w:val="000000" w:themeColor="accent6"/>
          <w:lang w:val="en-AU"/>
        </w:rPr>
        <w:t> </w:t>
      </w:r>
      <w:r w:rsidRPr="008D1918">
        <w:rPr>
          <w:rFonts w:eastAsia="Arial" w:cs="Arial"/>
          <w:color w:val="000000" w:themeColor="accent6"/>
          <w:lang w:val="en-AU"/>
        </w:rPr>
        <w:t xml:space="preserve">5 </w:t>
      </w:r>
      <w:r w:rsidRPr="008D1918" w:rsidR="00EC5057">
        <w:rPr>
          <w:rFonts w:eastAsia="Arial" w:cs="Arial"/>
          <w:color w:val="000000" w:themeColor="accent6"/>
          <w:lang w:val="en-AU"/>
        </w:rPr>
        <w:t xml:space="preserve">use </w:t>
      </w:r>
      <w:r w:rsidRPr="008D1918">
        <w:rPr>
          <w:rFonts w:eastAsia="Arial" w:cs="Arial"/>
          <w:color w:val="000000" w:themeColor="accent6"/>
          <w:lang w:val="en-AU"/>
        </w:rPr>
        <w:t>increasing from 55% to 58%.</w:t>
      </w:r>
    </w:p>
    <w:p w:rsidRPr="008D1918" w:rsidR="1B9EBD19" w:rsidP="002E5675" w:rsidRDefault="00D50ED3" w14:paraId="1D7AE75F" w14:textId="571D8A79">
      <w:pPr>
        <w:pStyle w:val="Caption"/>
        <w:rPr>
          <w:rFonts w:eastAsia="Arial" w:cs="Arial"/>
          <w:color w:val="6B2876" w:themeColor="accent5"/>
        </w:rPr>
      </w:pPr>
      <w:bookmarkStart w:name="_Ref223684027" w:id="2278"/>
      <w:r w:rsidRPr="008D1918">
        <w:t xml:space="preserve">Figure </w:t>
      </w:r>
      <w:r>
        <w:fldChar w:fldCharType="begin"/>
      </w:r>
      <w:r>
        <w:instrText>SEQ Figure \* ARABIC</w:instrText>
      </w:r>
      <w:r>
        <w:fldChar w:fldCharType="separate"/>
      </w:r>
      <w:r w:rsidR="008F56A2">
        <w:rPr>
          <w:noProof/>
        </w:rPr>
        <w:t>62</w:t>
      </w:r>
      <w:r>
        <w:fldChar w:fldCharType="end"/>
      </w:r>
      <w:bookmarkEnd w:id="2278"/>
      <w:r w:rsidRPr="008D1918" w:rsidR="1B9EBD19">
        <w:rPr>
          <w:rFonts w:eastAsia="Arial" w:cs="Arial"/>
          <w:color w:val="6B2876" w:themeColor="accent5"/>
        </w:rPr>
        <w:t xml:space="preserve">: Comparison of </w:t>
      </w:r>
      <w:r w:rsidRPr="008D1918" w:rsidR="00857209">
        <w:rPr>
          <w:rFonts w:eastAsia="Arial" w:cs="Arial"/>
          <w:color w:val="6B2876" w:themeColor="accent5"/>
        </w:rPr>
        <w:t>ITM</w:t>
      </w:r>
      <w:r w:rsidRPr="008D1918" w:rsidR="1B9EBD19">
        <w:rPr>
          <w:rFonts w:eastAsia="Arial" w:cs="Arial"/>
          <w:color w:val="000000" w:themeColor="accent6"/>
        </w:rPr>
        <w:t xml:space="preserve"> </w:t>
      </w:r>
      <w:r w:rsidRPr="008D1918" w:rsidR="1B9EBD19">
        <w:rPr>
          <w:rFonts w:eastAsia="Arial" w:cs="Arial"/>
          <w:color w:val="6B2876" w:themeColor="accent5"/>
        </w:rPr>
        <w:t>plan utilisation</w:t>
      </w:r>
      <w:r w:rsidRPr="008D1918" w:rsidR="00E52848">
        <w:rPr>
          <w:rFonts w:eastAsia="Arial" w:cs="Arial"/>
          <w:color w:val="6B2876" w:themeColor="accent5"/>
        </w:rPr>
        <w:t>, between</w:t>
      </w:r>
      <w:r w:rsidRPr="008D1918" w:rsidR="1B9EBD19">
        <w:rPr>
          <w:rFonts w:eastAsia="Arial" w:cs="Arial"/>
          <w:color w:val="6B2876" w:themeColor="accent5"/>
        </w:rPr>
        <w:t xml:space="preserve"> 1 July 2022 </w:t>
      </w:r>
      <w:r w:rsidRPr="008D1918" w:rsidR="00E52848">
        <w:rPr>
          <w:rFonts w:eastAsia="Arial" w:cs="Arial"/>
          <w:color w:val="6B2876" w:themeColor="accent5"/>
        </w:rPr>
        <w:t xml:space="preserve">to </w:t>
      </w:r>
      <w:r w:rsidRPr="008D1918" w:rsidR="1B9EBD19">
        <w:rPr>
          <w:rFonts w:eastAsia="Arial" w:cs="Arial"/>
          <w:color w:val="6B2876" w:themeColor="accent5"/>
        </w:rPr>
        <w:t xml:space="preserve">30 June 2023 </w:t>
      </w:r>
      <w:r w:rsidRPr="008D1918" w:rsidR="00E52848">
        <w:rPr>
          <w:rFonts w:eastAsia="Arial" w:cs="Arial"/>
          <w:color w:val="6B2876" w:themeColor="accent5"/>
        </w:rPr>
        <w:t xml:space="preserve">and </w:t>
      </w:r>
      <w:r w:rsidRPr="008D1918" w:rsidR="1B9EBD19">
        <w:rPr>
          <w:rFonts w:eastAsia="Arial" w:cs="Arial"/>
          <w:color w:val="6B2876" w:themeColor="accent5"/>
        </w:rPr>
        <w:t xml:space="preserve">1 July 2024 </w:t>
      </w:r>
      <w:r w:rsidRPr="008D1918" w:rsidR="00C94949">
        <w:rPr>
          <w:rFonts w:eastAsia="Arial" w:cs="Arial"/>
          <w:color w:val="6B2876" w:themeColor="accent5"/>
        </w:rPr>
        <w:t xml:space="preserve">to </w:t>
      </w:r>
      <w:r w:rsidRPr="008D1918" w:rsidR="1B9EBD19">
        <w:rPr>
          <w:rFonts w:eastAsia="Arial" w:cs="Arial"/>
          <w:color w:val="6B2876" w:themeColor="accent5"/>
        </w:rPr>
        <w:t>30 June 2025</w:t>
      </w:r>
    </w:p>
    <w:p w:rsidRPr="008D1918" w:rsidR="001B2C06" w:rsidP="0037198C" w:rsidRDefault="001B2C06" w14:paraId="25549A96" w14:textId="1BF9BD33">
      <w:pPr>
        <w:keepNext/>
        <w:spacing w:before="360" w:after="360"/>
        <w:rPr>
          <w:rFonts w:eastAsia="Arial" w:cs="Arial"/>
          <w:color w:val="6B2876" w:themeColor="accent5"/>
          <w:lang w:val="en-AU"/>
        </w:rPr>
      </w:pPr>
      <w:r w:rsidRPr="008D1918">
        <w:rPr>
          <w:rFonts w:eastAsia="Arial" w:cs="Arial"/>
          <w:noProof/>
          <w:color w:val="6B2876" w:themeColor="accent5"/>
          <w:lang w:val="en-AU"/>
        </w:rPr>
        <w:drawing>
          <wp:inline distT="0" distB="0" distL="0" distR="0" wp14:anchorId="56DBFCA8" wp14:editId="301DC80F">
            <wp:extent cx="5832000" cy="3138525"/>
            <wp:effectExtent l="0" t="0" r="0" b="5080"/>
            <wp:docPr id="1289572903" name="Picture 1" descr="Figure 62: A bar graph showing a comparison of ITM plan utilisation between 1 July 2022 to 30 June 2023, and 1 July 2024 to 30 June 2025.&#10;&#10;The graph shows that there was 68% in MM 3, 66% in MM 4, and 55% in MM 5 from July 2022 to June 2023.&#10;&#10;The graph shows that there was 69% in MM 3, 65% in MM 4, and 58% in MM 5 from July 2024 to Jun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72903" name="Picture 1" descr="Figure 62: A bar graph showing a comparison of ITM plan utilisation between 1 July 2022 to 30 June 2023, and 1 July 2024 to 30 June 2025.&#10;&#10;The graph shows that there was 68% in MM 3, 66% in MM 4, and 55% in MM 5 from July 2022 to June 2023.&#10;&#10;The graph shows that there was 69% in MM 3, 65% in MM 4, and 58% in MM 5 from July 2024 to June 2025."/>
                    <pic:cNvPicPr/>
                  </pic:nvPicPr>
                  <pic:blipFill>
                    <a:blip r:embed="rId85">
                      <a:extLst>
                        <a:ext uri="{28A0092B-C50C-407E-A947-70E740481C1C}">
                          <a14:useLocalDpi xmlns:a14="http://schemas.microsoft.com/office/drawing/2010/main" val="0"/>
                        </a:ext>
                      </a:extLst>
                    </a:blip>
                    <a:stretch>
                      <a:fillRect/>
                    </a:stretch>
                  </pic:blipFill>
                  <pic:spPr>
                    <a:xfrm>
                      <a:off x="0" y="0"/>
                      <a:ext cx="5832000" cy="3138525"/>
                    </a:xfrm>
                    <a:prstGeom prst="rect">
                      <a:avLst/>
                    </a:prstGeom>
                  </pic:spPr>
                </pic:pic>
              </a:graphicData>
            </a:graphic>
          </wp:inline>
        </w:drawing>
      </w:r>
    </w:p>
    <w:p w:rsidRPr="008D1918" w:rsidR="1B9EBD19" w:rsidP="009824C7" w:rsidRDefault="1B9EBD19" w14:paraId="0CEC28E8" w14:textId="3E1C5B83">
      <w:pPr>
        <w:rPr>
          <w:rFonts w:eastAsia="Arial" w:cs="Arial"/>
          <w:color w:val="000000" w:themeColor="accent6"/>
          <w:lang w:val="en-AU"/>
        </w:rPr>
      </w:pPr>
      <w:r w:rsidRPr="008D1918">
        <w:rPr>
          <w:rFonts w:eastAsia="Arial" w:cs="Arial"/>
          <w:color w:val="000000" w:themeColor="accent6"/>
          <w:lang w:val="en-AU"/>
        </w:rPr>
        <w:t xml:space="preserve">Although </w:t>
      </w:r>
      <w:r w:rsidRPr="008D1918" w:rsidR="00537E81">
        <w:rPr>
          <w:rFonts w:eastAsia="Arial" w:cs="Arial"/>
          <w:color w:val="000000" w:themeColor="accent6"/>
          <w:lang w:val="en-AU"/>
        </w:rPr>
        <w:t xml:space="preserve">plan use </w:t>
      </w:r>
      <w:r w:rsidRPr="008D1918">
        <w:rPr>
          <w:rFonts w:eastAsia="Arial" w:cs="Arial"/>
          <w:color w:val="000000" w:themeColor="accent6"/>
          <w:lang w:val="en-AU"/>
        </w:rPr>
        <w:t xml:space="preserve">has increased, </w:t>
      </w:r>
      <w:r w:rsidRPr="008D1918" w:rsidR="00537E81">
        <w:rPr>
          <w:rFonts w:eastAsia="Arial" w:cs="Arial"/>
          <w:color w:val="000000" w:themeColor="accent6"/>
          <w:lang w:val="en-AU"/>
        </w:rPr>
        <w:t>it</w:t>
      </w:r>
      <w:r w:rsidRPr="008D1918" w:rsidR="00754587">
        <w:rPr>
          <w:rFonts w:eastAsia="Arial" w:cs="Arial"/>
          <w:color w:val="000000" w:themeColor="accent6"/>
          <w:lang w:val="en-AU"/>
        </w:rPr>
        <w:t xml:space="preserve"> </w:t>
      </w:r>
      <w:r w:rsidRPr="008D1918">
        <w:rPr>
          <w:rFonts w:eastAsia="Arial" w:cs="Arial"/>
          <w:color w:val="000000" w:themeColor="accent6"/>
          <w:lang w:val="en-AU"/>
        </w:rPr>
        <w:t xml:space="preserve">continues to remain lower in </w:t>
      </w:r>
      <w:r w:rsidRPr="008D1918" w:rsidR="00857209">
        <w:rPr>
          <w:rFonts w:eastAsia="Arial" w:cs="Arial"/>
          <w:color w:val="000000" w:themeColor="accent6"/>
          <w:lang w:val="en-AU"/>
        </w:rPr>
        <w:t>ITM</w:t>
      </w:r>
      <w:r w:rsidRPr="008D1918">
        <w:rPr>
          <w:rFonts w:eastAsia="Arial" w:cs="Arial"/>
          <w:color w:val="000000" w:themeColor="accent6"/>
          <w:lang w:val="en-AU"/>
        </w:rPr>
        <w:t xml:space="preserve"> locations than other locations across Australia with the same M</w:t>
      </w:r>
      <w:r w:rsidRPr="008D1918" w:rsidR="00E43DDB">
        <w:rPr>
          <w:rFonts w:eastAsia="Arial" w:cs="Arial"/>
          <w:color w:val="000000" w:themeColor="accent6"/>
          <w:lang w:val="en-AU"/>
        </w:rPr>
        <w:t>M</w:t>
      </w:r>
      <w:r w:rsidRPr="008D1918" w:rsidR="001F6D76">
        <w:rPr>
          <w:rFonts w:eastAsia="Arial" w:cs="Arial"/>
          <w:color w:val="000000" w:themeColor="accent6"/>
          <w:lang w:val="en-AU"/>
        </w:rPr>
        <w:t xml:space="preserve"> category </w:t>
      </w:r>
      <w:r w:rsidRPr="008D1918">
        <w:rPr>
          <w:rFonts w:eastAsia="Arial" w:cs="Arial"/>
          <w:color w:val="000000" w:themeColor="accent6"/>
          <w:lang w:val="en-AU"/>
        </w:rPr>
        <w:t>(</w:t>
      </w:r>
      <w:r w:rsidRPr="008D1918" w:rsidR="00D50ED3">
        <w:rPr>
          <w:rFonts w:eastAsia="Arial" w:cs="Arial"/>
          <w:color w:val="000000" w:themeColor="accent6"/>
          <w:lang w:val="en-AU"/>
        </w:rPr>
        <w:fldChar w:fldCharType="begin"/>
      </w:r>
      <w:r w:rsidRPr="008D1918" w:rsidR="00D50ED3">
        <w:rPr>
          <w:rFonts w:eastAsia="Arial" w:cs="Arial"/>
          <w:color w:val="000000" w:themeColor="accent6"/>
          <w:lang w:val="en-AU"/>
        </w:rPr>
        <w:instrText xml:space="preserve"> REF _Ref223684064 \h </w:instrText>
      </w:r>
      <w:r w:rsidRPr="008D1918" w:rsidR="00762DF8">
        <w:rPr>
          <w:rFonts w:eastAsia="Arial" w:cs="Arial"/>
          <w:color w:val="000000" w:themeColor="accent6"/>
          <w:lang w:val="en-AU"/>
        </w:rPr>
        <w:instrText xml:space="preserve"> \* MERGEFORMAT </w:instrText>
      </w:r>
      <w:r w:rsidRPr="008D1918" w:rsidR="00D50ED3">
        <w:rPr>
          <w:rFonts w:eastAsia="Arial" w:cs="Arial"/>
          <w:color w:val="000000" w:themeColor="accent6"/>
          <w:lang w:val="en-AU"/>
        </w:rPr>
      </w:r>
      <w:r w:rsidRPr="008D1918" w:rsidR="00D50ED3">
        <w:rPr>
          <w:rFonts w:eastAsia="Arial" w:cs="Arial"/>
          <w:color w:val="000000" w:themeColor="accent6"/>
          <w:lang w:val="en-AU"/>
        </w:rPr>
        <w:fldChar w:fldCharType="separate"/>
      </w:r>
      <w:r w:rsidRPr="008F56A2" w:rsidR="008F56A2">
        <w:rPr>
          <w:lang w:val="en-AU"/>
        </w:rPr>
        <w:t>Figure</w:t>
      </w:r>
      <w:r w:rsidRPr="008D1918" w:rsidR="008F56A2">
        <w:t xml:space="preserve"> </w:t>
      </w:r>
      <w:r w:rsidR="008F56A2">
        <w:rPr>
          <w:noProof/>
        </w:rPr>
        <w:t>63</w:t>
      </w:r>
      <w:r w:rsidRPr="008D1918" w:rsidR="00D50ED3">
        <w:rPr>
          <w:rFonts w:eastAsia="Arial" w:cs="Arial"/>
          <w:color w:val="000000" w:themeColor="accent6"/>
          <w:lang w:val="en-AU"/>
        </w:rPr>
        <w:fldChar w:fldCharType="end"/>
      </w:r>
      <w:r w:rsidRPr="008D1918">
        <w:rPr>
          <w:rFonts w:eastAsia="Arial" w:cs="Arial"/>
          <w:color w:val="000000" w:themeColor="accent6"/>
          <w:lang w:val="en-AU"/>
        </w:rPr>
        <w:t>), with M</w:t>
      </w:r>
      <w:r w:rsidRPr="008D1918" w:rsidR="00E43DDB">
        <w:rPr>
          <w:rFonts w:eastAsia="Arial" w:cs="Arial"/>
          <w:color w:val="000000" w:themeColor="accent6"/>
          <w:lang w:val="en-AU"/>
        </w:rPr>
        <w:t>M</w:t>
      </w:r>
      <w:r w:rsidRPr="008D1918">
        <w:rPr>
          <w:rFonts w:eastAsia="Arial" w:cs="Arial"/>
          <w:color w:val="000000" w:themeColor="accent6"/>
          <w:lang w:val="en-AU"/>
        </w:rPr>
        <w:t xml:space="preserve"> 3</w:t>
      </w:r>
      <w:r w:rsidRPr="008D1918" w:rsidR="009824C7">
        <w:rPr>
          <w:rFonts w:eastAsia="Arial" w:cs="Arial"/>
          <w:color w:val="000000" w:themeColor="accent6"/>
          <w:lang w:val="en-AU"/>
        </w:rPr>
        <w:t>–</w:t>
      </w:r>
      <w:r w:rsidRPr="008D1918">
        <w:rPr>
          <w:rFonts w:eastAsia="Arial" w:cs="Arial"/>
          <w:color w:val="000000" w:themeColor="accent6"/>
          <w:lang w:val="en-AU"/>
        </w:rPr>
        <w:t>4 areas approximately 10% lower and M</w:t>
      </w:r>
      <w:r w:rsidRPr="008D1918" w:rsidR="00E43DDB">
        <w:rPr>
          <w:rFonts w:eastAsia="Arial" w:cs="Arial"/>
          <w:color w:val="000000" w:themeColor="accent6"/>
          <w:lang w:val="en-AU"/>
        </w:rPr>
        <w:t>M</w:t>
      </w:r>
      <w:r w:rsidRPr="008D1918" w:rsidR="009824C7">
        <w:rPr>
          <w:rFonts w:eastAsia="Arial" w:cs="Arial"/>
          <w:color w:val="000000" w:themeColor="accent6"/>
          <w:lang w:val="en-AU"/>
        </w:rPr>
        <w:t> </w:t>
      </w:r>
      <w:r w:rsidRPr="008D1918">
        <w:rPr>
          <w:rFonts w:eastAsia="Arial" w:cs="Arial"/>
          <w:color w:val="000000" w:themeColor="accent6"/>
          <w:lang w:val="en-AU"/>
        </w:rPr>
        <w:t>5 areas 17% lower.</w:t>
      </w:r>
    </w:p>
    <w:p w:rsidRPr="008D1918" w:rsidR="1B9EBD19" w:rsidP="009824C7" w:rsidRDefault="1B9EBD19" w14:paraId="3256151F" w14:textId="245CA79A">
      <w:pPr>
        <w:rPr>
          <w:rFonts w:eastAsia="Arial" w:cs="Arial"/>
          <w:color w:val="000000" w:themeColor="accent6"/>
          <w:lang w:val="en-AU"/>
        </w:rPr>
      </w:pPr>
      <w:r w:rsidRPr="008D1918">
        <w:rPr>
          <w:rFonts w:eastAsia="Arial" w:cs="Arial"/>
          <w:color w:val="000000" w:themeColor="accent6"/>
          <w:lang w:val="en-AU"/>
        </w:rPr>
        <w:t xml:space="preserve">The current policy reclassifies </w:t>
      </w:r>
      <w:r w:rsidRPr="008D1918" w:rsidR="00857209">
        <w:rPr>
          <w:rFonts w:eastAsia="Arial" w:cs="Arial"/>
          <w:color w:val="000000" w:themeColor="accent6"/>
          <w:lang w:val="en-AU"/>
        </w:rPr>
        <w:t>ITM</w:t>
      </w:r>
      <w:r w:rsidRPr="008D1918">
        <w:rPr>
          <w:rFonts w:eastAsia="Arial" w:cs="Arial"/>
          <w:color w:val="000000" w:themeColor="accent6"/>
          <w:lang w:val="en-AU"/>
        </w:rPr>
        <w:t xml:space="preserve"> locations to M</w:t>
      </w:r>
      <w:r w:rsidRPr="008D1918" w:rsidR="00E43DDB">
        <w:rPr>
          <w:rFonts w:eastAsia="Arial" w:cs="Arial"/>
          <w:color w:val="000000" w:themeColor="accent6"/>
          <w:lang w:val="en-AU"/>
        </w:rPr>
        <w:t>M</w:t>
      </w:r>
      <w:r w:rsidRPr="008D1918" w:rsidR="009824C7">
        <w:rPr>
          <w:rFonts w:eastAsia="Arial" w:cs="Arial"/>
          <w:color w:val="000000" w:themeColor="accent6"/>
          <w:lang w:val="en-AU"/>
        </w:rPr>
        <w:t> </w:t>
      </w:r>
      <w:r w:rsidRPr="008D1918">
        <w:rPr>
          <w:rFonts w:eastAsia="Arial" w:cs="Arial"/>
          <w:color w:val="000000" w:themeColor="accent6"/>
          <w:lang w:val="en-AU"/>
        </w:rPr>
        <w:t xml:space="preserve">6 to reflect the geographical nature of the locations. When comparing </w:t>
      </w:r>
      <w:r w:rsidRPr="008D1918" w:rsidR="00D91D2C">
        <w:rPr>
          <w:rFonts w:eastAsia="Arial" w:cs="Arial"/>
          <w:color w:val="000000" w:themeColor="accent6"/>
          <w:lang w:val="en-AU"/>
        </w:rPr>
        <w:t xml:space="preserve">plan use </w:t>
      </w:r>
      <w:r w:rsidRPr="008D1918">
        <w:rPr>
          <w:rFonts w:eastAsia="Arial" w:cs="Arial"/>
          <w:color w:val="000000" w:themeColor="accent6"/>
          <w:lang w:val="en-AU"/>
        </w:rPr>
        <w:t xml:space="preserve">of </w:t>
      </w:r>
      <w:r w:rsidRPr="008D1918" w:rsidR="00857209">
        <w:rPr>
          <w:rFonts w:eastAsia="Arial" w:cs="Arial"/>
          <w:color w:val="000000" w:themeColor="accent6"/>
          <w:lang w:val="en-AU"/>
        </w:rPr>
        <w:t>ITM</w:t>
      </w:r>
      <w:r w:rsidRPr="008D1918">
        <w:rPr>
          <w:rFonts w:eastAsia="Arial" w:cs="Arial"/>
          <w:color w:val="000000" w:themeColor="accent6"/>
          <w:lang w:val="en-AU"/>
        </w:rPr>
        <w:t xml:space="preserve"> locations to the national M</w:t>
      </w:r>
      <w:r w:rsidRPr="008D1918" w:rsidR="00E43DDB">
        <w:rPr>
          <w:rFonts w:eastAsia="Arial" w:cs="Arial"/>
          <w:color w:val="000000" w:themeColor="accent6"/>
          <w:lang w:val="en-AU"/>
        </w:rPr>
        <w:t>M</w:t>
      </w:r>
      <w:r w:rsidRPr="008D1918" w:rsidR="009824C7">
        <w:rPr>
          <w:rFonts w:eastAsia="Arial" w:cs="Arial"/>
          <w:color w:val="000000" w:themeColor="accent6"/>
          <w:lang w:val="en-AU"/>
        </w:rPr>
        <w:t> </w:t>
      </w:r>
      <w:r w:rsidRPr="008D1918">
        <w:rPr>
          <w:rFonts w:eastAsia="Arial" w:cs="Arial"/>
          <w:color w:val="000000" w:themeColor="accent6"/>
          <w:lang w:val="en-AU"/>
        </w:rPr>
        <w:t xml:space="preserve">6 </w:t>
      </w:r>
      <w:r w:rsidRPr="008D1918" w:rsidR="00D91D2C">
        <w:rPr>
          <w:rFonts w:eastAsia="Arial" w:cs="Arial"/>
          <w:color w:val="000000" w:themeColor="accent6"/>
          <w:lang w:val="en-AU"/>
        </w:rPr>
        <w:t>plan use</w:t>
      </w:r>
      <w:r w:rsidRPr="008D1918">
        <w:rPr>
          <w:rFonts w:eastAsia="Arial" w:cs="Arial"/>
          <w:color w:val="000000" w:themeColor="accent6"/>
          <w:lang w:val="en-AU"/>
        </w:rPr>
        <w:t xml:space="preserve">, </w:t>
      </w:r>
      <w:r w:rsidRPr="008D1918" w:rsidR="00857209">
        <w:rPr>
          <w:rFonts w:eastAsia="Arial" w:cs="Arial"/>
          <w:color w:val="000000" w:themeColor="accent6"/>
          <w:lang w:val="en-AU"/>
        </w:rPr>
        <w:t>ITM</w:t>
      </w:r>
      <w:r w:rsidRPr="008D1918">
        <w:rPr>
          <w:rFonts w:eastAsia="Arial" w:cs="Arial"/>
          <w:color w:val="000000" w:themeColor="accent6"/>
          <w:lang w:val="en-AU"/>
        </w:rPr>
        <w:t xml:space="preserve"> locations continue to have lower plan </w:t>
      </w:r>
      <w:r w:rsidRPr="008D1918" w:rsidR="00D91D2C">
        <w:rPr>
          <w:rFonts w:eastAsia="Arial" w:cs="Arial"/>
          <w:color w:val="000000" w:themeColor="accent6"/>
          <w:lang w:val="en-AU"/>
        </w:rPr>
        <w:t xml:space="preserve">use </w:t>
      </w:r>
      <w:r w:rsidRPr="008D1918">
        <w:rPr>
          <w:rFonts w:eastAsia="Arial" w:cs="Arial"/>
          <w:color w:val="000000" w:themeColor="accent6"/>
          <w:lang w:val="en-AU"/>
        </w:rPr>
        <w:t>across M</w:t>
      </w:r>
      <w:r w:rsidRPr="008D1918" w:rsidR="00E43DDB">
        <w:rPr>
          <w:rFonts w:eastAsia="Arial" w:cs="Arial"/>
          <w:color w:val="000000" w:themeColor="accent6"/>
          <w:lang w:val="en-AU"/>
        </w:rPr>
        <w:t>M</w:t>
      </w:r>
      <w:r w:rsidRPr="008D1918" w:rsidR="009824C7">
        <w:rPr>
          <w:rFonts w:eastAsia="Arial" w:cs="Arial"/>
          <w:color w:val="000000" w:themeColor="accent6"/>
          <w:lang w:val="en-AU"/>
        </w:rPr>
        <w:t> </w:t>
      </w:r>
      <w:r w:rsidRPr="008D1918">
        <w:rPr>
          <w:rFonts w:eastAsia="Arial" w:cs="Arial"/>
          <w:color w:val="000000" w:themeColor="accent6"/>
          <w:lang w:val="en-AU"/>
        </w:rPr>
        <w:t>3</w:t>
      </w:r>
      <w:r w:rsidRPr="008D1918" w:rsidR="009824C7">
        <w:rPr>
          <w:rFonts w:eastAsia="Arial" w:cs="Arial"/>
          <w:color w:val="000000" w:themeColor="accent6"/>
          <w:lang w:val="en-AU"/>
        </w:rPr>
        <w:t>–</w:t>
      </w:r>
      <w:r w:rsidRPr="008D1918">
        <w:rPr>
          <w:rFonts w:eastAsia="Arial" w:cs="Arial"/>
          <w:color w:val="000000" w:themeColor="accent6"/>
          <w:lang w:val="en-AU"/>
        </w:rPr>
        <w:t>5 compared to 71% across remote areas (MM</w:t>
      </w:r>
      <w:r w:rsidRPr="008D1918" w:rsidR="009824C7">
        <w:rPr>
          <w:rFonts w:eastAsia="Arial" w:cs="Arial"/>
          <w:color w:val="000000" w:themeColor="accent6"/>
          <w:lang w:val="en-AU"/>
        </w:rPr>
        <w:t> </w:t>
      </w:r>
      <w:r w:rsidRPr="008D1918">
        <w:rPr>
          <w:rFonts w:eastAsia="Arial" w:cs="Arial"/>
          <w:color w:val="000000" w:themeColor="accent6"/>
          <w:lang w:val="en-AU"/>
        </w:rPr>
        <w:t>6).</w:t>
      </w:r>
    </w:p>
    <w:p w:rsidRPr="008D1918" w:rsidR="00521F23" w:rsidP="002E5675" w:rsidRDefault="00D50ED3" w14:paraId="309774A1" w14:textId="1D186C2D">
      <w:pPr>
        <w:pStyle w:val="Caption"/>
        <w:rPr>
          <w:rFonts w:eastAsia="Arial" w:cs="Arial"/>
          <w:color w:val="6B2876" w:themeColor="accent5"/>
        </w:rPr>
      </w:pPr>
      <w:bookmarkStart w:name="_Ref223684064" w:id="2279"/>
      <w:r w:rsidRPr="008D1918">
        <w:t xml:space="preserve">Figure </w:t>
      </w:r>
      <w:r>
        <w:fldChar w:fldCharType="begin"/>
      </w:r>
      <w:r>
        <w:instrText>SEQ Figure \* ARABIC</w:instrText>
      </w:r>
      <w:r>
        <w:fldChar w:fldCharType="separate"/>
      </w:r>
      <w:r w:rsidR="008F56A2">
        <w:rPr>
          <w:noProof/>
        </w:rPr>
        <w:t>63</w:t>
      </w:r>
      <w:r>
        <w:fldChar w:fldCharType="end"/>
      </w:r>
      <w:bookmarkEnd w:id="2279"/>
      <w:r w:rsidRPr="008D1918" w:rsidR="1B9EBD19">
        <w:rPr>
          <w:rFonts w:eastAsia="Arial" w:cs="Arial"/>
          <w:color w:val="6B2876" w:themeColor="accent5"/>
        </w:rPr>
        <w:t xml:space="preserve">: Comparison of average total plan utilisation by MM </w:t>
      </w:r>
      <w:r w:rsidRPr="008D1918" w:rsidR="00691A2D">
        <w:rPr>
          <w:rFonts w:eastAsia="Arial" w:cs="Arial"/>
          <w:color w:val="6B2876" w:themeColor="accent5"/>
        </w:rPr>
        <w:t xml:space="preserve">category </w:t>
      </w:r>
      <w:r w:rsidRPr="008D1918" w:rsidR="1B9EBD19">
        <w:rPr>
          <w:rFonts w:eastAsia="Arial" w:cs="Arial"/>
          <w:color w:val="6B2876" w:themeColor="accent5"/>
        </w:rPr>
        <w:t xml:space="preserve">of </w:t>
      </w:r>
      <w:r w:rsidRPr="008D1918" w:rsidR="00857209">
        <w:rPr>
          <w:rFonts w:eastAsia="Arial" w:cs="Arial"/>
          <w:color w:val="6B2876" w:themeColor="accent5"/>
        </w:rPr>
        <w:t>ITM</w:t>
      </w:r>
      <w:r w:rsidRPr="008D1918" w:rsidR="1B9EBD19">
        <w:rPr>
          <w:rFonts w:eastAsia="Arial" w:cs="Arial"/>
          <w:color w:val="6B2876" w:themeColor="accent5"/>
        </w:rPr>
        <w:t xml:space="preserve"> locations versus non-</w:t>
      </w:r>
      <w:r w:rsidRPr="008D1918" w:rsidR="00857209">
        <w:rPr>
          <w:rFonts w:eastAsia="Arial" w:cs="Arial"/>
          <w:color w:val="6B2876" w:themeColor="accent5"/>
        </w:rPr>
        <w:t>ITM</w:t>
      </w:r>
      <w:r w:rsidRPr="008D1918" w:rsidR="1B9EBD19">
        <w:rPr>
          <w:rFonts w:eastAsia="Arial" w:cs="Arial"/>
          <w:color w:val="000000" w:themeColor="accent6"/>
        </w:rPr>
        <w:t xml:space="preserve"> </w:t>
      </w:r>
      <w:r w:rsidRPr="008D1918" w:rsidR="1B9EBD19">
        <w:rPr>
          <w:rFonts w:eastAsia="Arial" w:cs="Arial"/>
          <w:color w:val="6B2876" w:themeColor="accent5"/>
        </w:rPr>
        <w:t>locations, 1 July 2024</w:t>
      </w:r>
      <w:r w:rsidRPr="008D1918" w:rsidR="00C94949">
        <w:rPr>
          <w:rFonts w:eastAsia="Arial" w:cs="Arial"/>
          <w:color w:val="6B2876" w:themeColor="accent5"/>
        </w:rPr>
        <w:t xml:space="preserve"> to </w:t>
      </w:r>
      <w:r w:rsidRPr="008D1918" w:rsidR="1B9EBD19">
        <w:rPr>
          <w:rFonts w:eastAsia="Arial" w:cs="Arial"/>
          <w:color w:val="6B2876" w:themeColor="accent5"/>
        </w:rPr>
        <w:t>30</w:t>
      </w:r>
      <w:r w:rsidRPr="008D1918" w:rsidR="00C94949">
        <w:rPr>
          <w:rFonts w:eastAsia="Arial" w:cs="Arial"/>
          <w:color w:val="6B2876" w:themeColor="accent5"/>
        </w:rPr>
        <w:t xml:space="preserve"> </w:t>
      </w:r>
      <w:r w:rsidRPr="008D1918" w:rsidR="1B9EBD19">
        <w:rPr>
          <w:rFonts w:eastAsia="Arial" w:cs="Arial"/>
          <w:color w:val="6B2876" w:themeColor="accent5"/>
        </w:rPr>
        <w:t>June 2025</w:t>
      </w:r>
    </w:p>
    <w:p w:rsidRPr="008D1918" w:rsidR="000F202E" w:rsidP="00521F23" w:rsidRDefault="000F202E" w14:paraId="0DB6C02D" w14:textId="5B0D8346">
      <w:pPr>
        <w:keepNext/>
        <w:spacing w:before="120" w:after="360"/>
        <w:rPr>
          <w:rFonts w:eastAsia="Arial" w:cs="Arial"/>
          <w:color w:val="6B2876" w:themeColor="accent5"/>
          <w:lang w:val="en-AU"/>
        </w:rPr>
      </w:pPr>
      <w:r w:rsidRPr="008D1918">
        <w:rPr>
          <w:rFonts w:eastAsia="Arial" w:cs="Arial"/>
          <w:noProof/>
          <w:color w:val="6B2876" w:themeColor="accent5"/>
          <w:lang w:val="en-AU"/>
        </w:rPr>
        <w:drawing>
          <wp:inline distT="0" distB="0" distL="0" distR="0" wp14:anchorId="3071F384" wp14:editId="123AFD7A">
            <wp:extent cx="5731510" cy="3152140"/>
            <wp:effectExtent l="0" t="0" r="2540" b="0"/>
            <wp:docPr id="274009096" name="Picture 1" descr="Figure 63: A line graph showing average plan utilisation declining from MM3 to MM5, with non ITM locations consistently higher than ITM locations. At MM5, plan utilisation is around 66.5% for non-ITM and 57% for I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09096" name="Picture 1" descr="Figure 63: A line graph showing average plan utilisation declining from MM3 to MM5, with non ITM locations consistently higher than ITM locations. At MM5, plan utilisation is around 66.5% for non-ITM and 57% for ITM."/>
                    <pic:cNvPicPr/>
                  </pic:nvPicPr>
                  <pic:blipFill>
                    <a:blip r:embed="rId86"/>
                    <a:stretch>
                      <a:fillRect/>
                    </a:stretch>
                  </pic:blipFill>
                  <pic:spPr>
                    <a:xfrm>
                      <a:off x="0" y="0"/>
                      <a:ext cx="5731510" cy="3152140"/>
                    </a:xfrm>
                    <a:prstGeom prst="rect">
                      <a:avLst/>
                    </a:prstGeom>
                  </pic:spPr>
                </pic:pic>
              </a:graphicData>
            </a:graphic>
          </wp:inline>
        </w:drawing>
      </w:r>
    </w:p>
    <w:p w:rsidRPr="008D1918" w:rsidR="1B9EBD19" w:rsidP="00BA53C0" w:rsidRDefault="1B9EBD19" w14:paraId="7E09AD1D" w14:textId="27EA58F9">
      <w:pPr>
        <w:rPr>
          <w:rFonts w:eastAsia="Arial" w:cs="Arial"/>
          <w:color w:val="000000" w:themeColor="accent6"/>
          <w:lang w:val="en-AU"/>
        </w:rPr>
      </w:pPr>
      <w:r w:rsidRPr="008D1918">
        <w:rPr>
          <w:rFonts w:eastAsia="Arial" w:cs="Arial"/>
          <w:color w:val="000000" w:themeColor="accent6"/>
          <w:lang w:val="en-AU"/>
        </w:rPr>
        <w:t xml:space="preserve">First </w:t>
      </w:r>
      <w:r w:rsidRPr="008D1918" w:rsidR="00CB42DE">
        <w:rPr>
          <w:rFonts w:eastAsia="Arial" w:cs="Arial"/>
          <w:color w:val="000000" w:themeColor="accent6"/>
          <w:lang w:val="en-AU"/>
        </w:rPr>
        <w:t>p</w:t>
      </w:r>
      <w:r w:rsidRPr="008D1918" w:rsidR="00C063F5">
        <w:rPr>
          <w:rFonts w:eastAsia="Arial" w:cs="Arial"/>
          <w:color w:val="000000" w:themeColor="accent6"/>
          <w:lang w:val="en-AU"/>
        </w:rPr>
        <w:t xml:space="preserve">lan </w:t>
      </w:r>
      <w:r w:rsidRPr="008D1918">
        <w:rPr>
          <w:rFonts w:eastAsia="Arial" w:cs="Arial"/>
          <w:color w:val="000000" w:themeColor="accent6"/>
          <w:lang w:val="en-AU"/>
        </w:rPr>
        <w:t xml:space="preserve">activations in </w:t>
      </w:r>
      <w:r w:rsidRPr="008D1918" w:rsidR="00857209">
        <w:rPr>
          <w:rFonts w:eastAsia="Arial" w:cs="Arial"/>
          <w:color w:val="000000" w:themeColor="accent6"/>
          <w:lang w:val="en-AU"/>
        </w:rPr>
        <w:t>ITM</w:t>
      </w:r>
      <w:r w:rsidRPr="008D1918">
        <w:rPr>
          <w:rFonts w:eastAsia="Arial" w:cs="Arial"/>
          <w:color w:val="000000" w:themeColor="accent6"/>
          <w:lang w:val="en-AU"/>
        </w:rPr>
        <w:t xml:space="preserve"> locations were on average slower than non</w:t>
      </w:r>
      <w:r w:rsidRPr="008D1918" w:rsidR="002D1B44">
        <w:rPr>
          <w:rFonts w:eastAsia="Arial" w:cs="Arial"/>
          <w:color w:val="000000" w:themeColor="accent6"/>
          <w:lang w:val="en-AU"/>
        </w:rPr>
        <w:t>-</w:t>
      </w:r>
      <w:r w:rsidRPr="008D1918" w:rsidR="00857209">
        <w:rPr>
          <w:rFonts w:eastAsia="Arial" w:cs="Arial"/>
          <w:color w:val="000000" w:themeColor="accent6"/>
          <w:lang w:val="en-AU"/>
        </w:rPr>
        <w:t>ITM</w:t>
      </w:r>
      <w:r w:rsidRPr="008D1918">
        <w:rPr>
          <w:rFonts w:eastAsia="Arial" w:cs="Arial"/>
          <w:color w:val="000000" w:themeColor="accent6"/>
          <w:lang w:val="en-AU"/>
        </w:rPr>
        <w:t xml:space="preserve"> locations, with 69% first plans activated in </w:t>
      </w:r>
      <w:r w:rsidRPr="008D1918" w:rsidR="004B7B3C">
        <w:rPr>
          <w:rFonts w:eastAsia="Arial" w:cs="Arial"/>
          <w:color w:val="000000" w:themeColor="accent6"/>
          <w:lang w:val="en-AU"/>
        </w:rPr>
        <w:t xml:space="preserve">the </w:t>
      </w:r>
      <w:r w:rsidRPr="008D1918">
        <w:rPr>
          <w:rFonts w:eastAsia="Arial" w:cs="Arial"/>
          <w:color w:val="000000" w:themeColor="accent6"/>
          <w:lang w:val="en-AU"/>
        </w:rPr>
        <w:t xml:space="preserve">first month, compared to 74% in </w:t>
      </w:r>
      <w:r w:rsidR="0073041D">
        <w:rPr>
          <w:rFonts w:eastAsia="Arial" w:cs="Arial"/>
          <w:color w:val="000000" w:themeColor="accent6"/>
          <w:lang w:val="en-AU"/>
        </w:rPr>
        <w:br/>
      </w:r>
      <w:r w:rsidRPr="008D1918">
        <w:rPr>
          <w:rFonts w:eastAsia="Arial" w:cs="Arial"/>
          <w:color w:val="000000" w:themeColor="accent6"/>
          <w:lang w:val="en-AU"/>
        </w:rPr>
        <w:t>non</w:t>
      </w:r>
      <w:r w:rsidRPr="008D1918" w:rsidR="002D1B44">
        <w:rPr>
          <w:rFonts w:eastAsia="Arial" w:cs="Arial"/>
          <w:color w:val="000000" w:themeColor="accent6"/>
          <w:lang w:val="en-AU"/>
        </w:rPr>
        <w:t>-</w:t>
      </w:r>
      <w:r w:rsidRPr="008D1918" w:rsidR="00857209">
        <w:rPr>
          <w:rFonts w:eastAsia="Arial" w:cs="Arial"/>
          <w:color w:val="000000" w:themeColor="accent6"/>
          <w:lang w:val="en-AU"/>
        </w:rPr>
        <w:t>ITM</w:t>
      </w:r>
      <w:r w:rsidRPr="008D1918">
        <w:rPr>
          <w:rFonts w:eastAsia="Arial" w:cs="Arial"/>
          <w:color w:val="000000" w:themeColor="accent6"/>
          <w:lang w:val="en-AU"/>
        </w:rPr>
        <w:t xml:space="preserve"> locations as shown in </w:t>
      </w:r>
      <w:r w:rsidRPr="008D1918" w:rsidR="007D0A6E">
        <w:rPr>
          <w:rFonts w:eastAsia="Arial" w:cs="Arial"/>
          <w:color w:val="000000" w:themeColor="accent6"/>
          <w:lang w:val="en-AU"/>
        </w:rPr>
        <w:fldChar w:fldCharType="begin"/>
      </w:r>
      <w:r w:rsidRPr="008D1918" w:rsidR="007D0A6E">
        <w:rPr>
          <w:rFonts w:eastAsia="Arial" w:cs="Arial"/>
          <w:color w:val="000000" w:themeColor="accent6"/>
          <w:lang w:val="en-AU"/>
        </w:rPr>
        <w:instrText xml:space="preserve"> REF _Ref223697818 \h </w:instrText>
      </w:r>
      <w:r w:rsidRPr="008D1918" w:rsidR="00762DF8">
        <w:rPr>
          <w:rFonts w:eastAsia="Arial" w:cs="Arial"/>
          <w:color w:val="000000" w:themeColor="accent6"/>
          <w:lang w:val="en-AU"/>
        </w:rPr>
        <w:instrText xml:space="preserve"> \* MERGEFORMAT </w:instrText>
      </w:r>
      <w:r w:rsidRPr="008D1918" w:rsidR="007D0A6E">
        <w:rPr>
          <w:rFonts w:eastAsia="Arial" w:cs="Arial"/>
          <w:color w:val="000000" w:themeColor="accent6"/>
          <w:lang w:val="en-AU"/>
        </w:rPr>
      </w:r>
      <w:r w:rsidRPr="008D1918" w:rsidR="007D0A6E">
        <w:rPr>
          <w:rFonts w:eastAsia="Arial" w:cs="Arial"/>
          <w:color w:val="000000" w:themeColor="accent6"/>
          <w:lang w:val="en-AU"/>
        </w:rPr>
        <w:fldChar w:fldCharType="separate"/>
      </w:r>
      <w:r w:rsidRPr="008F56A2" w:rsidR="008F56A2">
        <w:rPr>
          <w:color w:val="000000" w:themeColor="accent6"/>
          <w:lang w:val="en-AU"/>
        </w:rPr>
        <w:t>Table</w:t>
      </w:r>
      <w:r w:rsidRPr="008F56A2" w:rsidR="008F56A2">
        <w:rPr>
          <w:rFonts w:eastAsia="Arial" w:cs="Arial"/>
          <w:i/>
          <w:color w:val="000000" w:themeColor="accent6"/>
          <w:lang w:val="en-AU"/>
        </w:rPr>
        <w:t xml:space="preserve"> </w:t>
      </w:r>
      <w:r w:rsidRPr="008F56A2" w:rsidR="008F56A2">
        <w:rPr>
          <w:rFonts w:eastAsia="Arial" w:cs="Arial"/>
          <w:noProof/>
          <w:color w:val="000000" w:themeColor="accent6"/>
          <w:lang w:val="en-AU"/>
        </w:rPr>
        <w:t>56</w:t>
      </w:r>
      <w:r w:rsidRPr="008D1918" w:rsidR="007D0A6E">
        <w:rPr>
          <w:rFonts w:eastAsia="Arial" w:cs="Arial"/>
          <w:color w:val="000000" w:themeColor="accent6"/>
          <w:lang w:val="en-AU"/>
        </w:rPr>
        <w:fldChar w:fldCharType="end"/>
      </w:r>
      <w:r w:rsidRPr="008D1918">
        <w:rPr>
          <w:rFonts w:eastAsia="Arial" w:cs="Arial"/>
          <w:color w:val="000000" w:themeColor="accent6"/>
          <w:lang w:val="en-AU"/>
        </w:rPr>
        <w:t>. Broken Hill and Hay were outliers with 89% and 88% first plan activations in the first month</w:t>
      </w:r>
      <w:r w:rsidRPr="008D1918" w:rsidR="009A7C21">
        <w:rPr>
          <w:rFonts w:eastAsia="Arial" w:cs="Arial"/>
          <w:color w:val="000000" w:themeColor="accent6"/>
          <w:lang w:val="en-AU"/>
        </w:rPr>
        <w:t xml:space="preserve"> respectively</w:t>
      </w:r>
      <w:r w:rsidRPr="008D1918">
        <w:rPr>
          <w:rFonts w:eastAsia="Arial" w:cs="Arial"/>
          <w:color w:val="000000" w:themeColor="accent6"/>
          <w:lang w:val="en-AU"/>
        </w:rPr>
        <w:t>. In comparison to this, first plan activation in the Greater Geraldton area was substantially longer with only 57% of plans activated in the first month.</w:t>
      </w:r>
    </w:p>
    <w:p w:rsidRPr="008D1918" w:rsidR="1B9EBD19" w:rsidP="42C7D68E" w:rsidRDefault="003A2F4C" w14:paraId="5DEFEA7E" w14:textId="0D1EB20F">
      <w:pPr>
        <w:rPr>
          <w:rFonts w:eastAsia="Arial" w:cs="Arial"/>
          <w:i/>
          <w:color w:val="6B2876" w:themeColor="accent5"/>
          <w:lang w:val="en-AU"/>
        </w:rPr>
      </w:pPr>
      <w:bookmarkStart w:name="_Ref223697818" w:id="2280"/>
      <w:r w:rsidRPr="008D1918">
        <w:rPr>
          <w:rFonts w:eastAsia="Arial" w:cs="Arial"/>
          <w:i/>
          <w:color w:val="6B2876" w:themeColor="accent5"/>
          <w:lang w:val="en-AU"/>
        </w:rPr>
        <w:t xml:space="preserve">Table </w:t>
      </w:r>
      <w:r w:rsidRPr="008D1918">
        <w:rPr>
          <w:rFonts w:eastAsia="Arial" w:cs="Arial"/>
          <w:i/>
          <w:color w:val="6B2876" w:themeColor="accent5"/>
          <w:lang w:val="en-AU"/>
        </w:rPr>
        <w:fldChar w:fldCharType="begin"/>
      </w:r>
      <w:r w:rsidRPr="008D1918">
        <w:rPr>
          <w:rFonts w:eastAsia="Arial" w:cs="Arial"/>
          <w:i/>
          <w:color w:val="6B2876" w:themeColor="accent5"/>
          <w:lang w:val="en-AU"/>
        </w:rPr>
        <w:instrText xml:space="preserve"> SEQ Table \* ARABIC </w:instrText>
      </w:r>
      <w:r w:rsidRPr="008D1918">
        <w:rPr>
          <w:rFonts w:eastAsia="Arial" w:cs="Arial"/>
          <w:i/>
          <w:color w:val="6B2876" w:themeColor="accent5"/>
          <w:lang w:val="en-AU"/>
        </w:rPr>
        <w:fldChar w:fldCharType="separate"/>
      </w:r>
      <w:r w:rsidR="008F56A2">
        <w:rPr>
          <w:rFonts w:eastAsia="Arial" w:cs="Arial"/>
          <w:i/>
          <w:noProof/>
          <w:color w:val="6B2876" w:themeColor="accent5"/>
          <w:lang w:val="en-AU"/>
        </w:rPr>
        <w:t>56</w:t>
      </w:r>
      <w:r w:rsidRPr="008D1918">
        <w:rPr>
          <w:rFonts w:eastAsia="Arial" w:cs="Arial"/>
          <w:i/>
          <w:color w:val="6B2876" w:themeColor="accent5"/>
          <w:lang w:val="en-AU"/>
        </w:rPr>
        <w:fldChar w:fldCharType="end"/>
      </w:r>
      <w:bookmarkEnd w:id="2280"/>
      <w:r w:rsidRPr="008D1918" w:rsidR="1B9EBD19">
        <w:rPr>
          <w:rFonts w:eastAsia="Arial" w:cs="Arial"/>
          <w:i/>
          <w:color w:val="6B2876" w:themeColor="accent5"/>
          <w:lang w:val="en-AU"/>
        </w:rPr>
        <w:t xml:space="preserve">: Comparison of first plan activation percentages across </w:t>
      </w:r>
      <w:r w:rsidRPr="008D1918" w:rsidR="00857209">
        <w:rPr>
          <w:rFonts w:eastAsia="Arial" w:cs="Arial"/>
          <w:i/>
          <w:iCs/>
          <w:color w:val="6B2876" w:themeColor="accent5"/>
          <w:lang w:val="en-AU"/>
        </w:rPr>
        <w:t>ITM</w:t>
      </w:r>
      <w:r w:rsidRPr="008D1918" w:rsidR="1B9EBD19">
        <w:rPr>
          <w:rFonts w:eastAsia="Arial" w:cs="Arial"/>
          <w:i/>
          <w:color w:val="6B2876" w:themeColor="accent5"/>
          <w:lang w:val="en-AU"/>
        </w:rPr>
        <w:t xml:space="preserve"> and </w:t>
      </w:r>
      <w:r w:rsidRPr="008D1918" w:rsidR="002D1B44">
        <w:rPr>
          <w:rFonts w:eastAsia="Arial" w:cs="Arial"/>
          <w:i/>
          <w:color w:val="6B2876" w:themeColor="accent5"/>
          <w:lang w:val="en-AU"/>
        </w:rPr>
        <w:t>n</w:t>
      </w:r>
      <w:r w:rsidRPr="008D1918" w:rsidR="1B9EBD19">
        <w:rPr>
          <w:rFonts w:eastAsia="Arial" w:cs="Arial"/>
          <w:i/>
          <w:color w:val="6B2876" w:themeColor="accent5"/>
          <w:lang w:val="en-AU"/>
        </w:rPr>
        <w:t>on</w:t>
      </w:r>
      <w:r w:rsidRPr="008D1918" w:rsidR="002D1B44">
        <w:rPr>
          <w:rFonts w:eastAsia="Arial" w:cs="Arial"/>
          <w:i/>
          <w:color w:val="6B2876" w:themeColor="accent5"/>
          <w:lang w:val="en-AU"/>
        </w:rPr>
        <w:t>-</w:t>
      </w:r>
      <w:r w:rsidRPr="008D1918" w:rsidR="00857209">
        <w:rPr>
          <w:rFonts w:eastAsia="Arial" w:cs="Arial"/>
          <w:i/>
          <w:iCs/>
          <w:color w:val="6B2876" w:themeColor="accent5"/>
          <w:lang w:val="en-AU"/>
        </w:rPr>
        <w:t>ITM</w:t>
      </w:r>
      <w:r w:rsidRPr="008D1918" w:rsidR="1B9EBD19">
        <w:rPr>
          <w:rFonts w:eastAsia="Arial" w:cs="Arial"/>
          <w:i/>
          <w:color w:val="6B2876" w:themeColor="accent5"/>
          <w:lang w:val="en-AU"/>
        </w:rPr>
        <w:t xml:space="preserve"> locations from </w:t>
      </w:r>
      <w:r w:rsidRPr="008D1918" w:rsidR="00857209">
        <w:rPr>
          <w:rFonts w:eastAsia="Arial" w:cs="Arial"/>
          <w:i/>
          <w:iCs/>
          <w:color w:val="6B2876" w:themeColor="accent5"/>
          <w:lang w:val="en-AU"/>
        </w:rPr>
        <w:t>m</w:t>
      </w:r>
      <w:r w:rsidRPr="008D1918" w:rsidR="1B9EBD19">
        <w:rPr>
          <w:rFonts w:eastAsia="Arial" w:cs="Arial"/>
          <w:i/>
          <w:color w:val="6B2876" w:themeColor="accent5"/>
          <w:lang w:val="en-AU"/>
        </w:rPr>
        <w:t xml:space="preserve">onth 1 to </w:t>
      </w:r>
      <w:r w:rsidRPr="008D1918" w:rsidR="00857209">
        <w:rPr>
          <w:rFonts w:eastAsia="Arial" w:cs="Arial"/>
          <w:i/>
          <w:iCs/>
          <w:color w:val="6B2876" w:themeColor="accent5"/>
          <w:lang w:val="en-AU"/>
        </w:rPr>
        <w:t>m</w:t>
      </w:r>
      <w:r w:rsidRPr="008D1918" w:rsidR="1B9EBD19">
        <w:rPr>
          <w:rFonts w:eastAsia="Arial" w:cs="Arial"/>
          <w:i/>
          <w:color w:val="6B2876" w:themeColor="accent5"/>
          <w:lang w:val="en-AU"/>
        </w:rPr>
        <w:t>onth 6+</w:t>
      </w:r>
      <w:r w:rsidRPr="008D1918" w:rsidR="52980691">
        <w:rPr>
          <w:rFonts w:eastAsia="Arial" w:cs="Arial"/>
          <w:i/>
          <w:color w:val="6B2876" w:themeColor="accent5"/>
          <w:lang w:val="en-AU"/>
        </w:rPr>
        <w:t>, 1 July 2024 to 30 June 2025</w:t>
      </w:r>
    </w:p>
    <w:tbl>
      <w:tblPr>
        <w:tblStyle w:val="TableGrid"/>
        <w:tblW w:w="0" w:type="auto"/>
        <w:tblBorders>
          <w:top w:val="single" w:color="auto" w:sz="6" w:space="0"/>
          <w:left w:val="single" w:color="auto" w:sz="6" w:space="0"/>
          <w:bottom w:val="single" w:color="auto" w:sz="6" w:space="0"/>
          <w:right w:val="single" w:color="auto" w:sz="6" w:space="0"/>
        </w:tblBorders>
        <w:tblLook w:val="00A0" w:firstRow="1" w:lastRow="0" w:firstColumn="1" w:lastColumn="0" w:noHBand="0" w:noVBand="0"/>
      </w:tblPr>
      <w:tblGrid>
        <w:gridCol w:w="1650"/>
        <w:gridCol w:w="1050"/>
        <w:gridCol w:w="1050"/>
        <w:gridCol w:w="1050"/>
        <w:gridCol w:w="1050"/>
        <w:gridCol w:w="1050"/>
        <w:gridCol w:w="1050"/>
        <w:gridCol w:w="1050"/>
      </w:tblGrid>
      <w:tr w:rsidRPr="008D1918" w:rsidR="004D466F" w:rsidTr="007A0CA9" w14:paraId="04469C86" w14:textId="77777777">
        <w:trPr>
          <w:trHeight w:val="756"/>
        </w:trPr>
        <w:tc>
          <w:tcPr>
            <w:tcW w:w="1650"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0150F44" w:rsidRDefault="02EFBE86" w14:paraId="53B237A7" w14:textId="11052F4A">
            <w:pPr>
              <w:spacing w:after="0" w:line="276" w:lineRule="auto"/>
              <w:rPr>
                <w:rFonts w:eastAsia="Arial" w:cs="Arial"/>
                <w:b/>
                <w:bCs/>
                <w:color w:val="F9F9F9" w:themeColor="background1"/>
                <w:sz w:val="20"/>
                <w:szCs w:val="20"/>
                <w:lang w:val="en-AU"/>
              </w:rPr>
            </w:pPr>
          </w:p>
        </w:tc>
        <w:tc>
          <w:tcPr>
            <w:tcW w:w="1050"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0314ACB" w:rsidRDefault="02EFBE86" w14:paraId="2E928E09" w14:textId="12102794">
            <w:pPr>
              <w:spacing w:after="0" w:line="276" w:lineRule="auto"/>
              <w:jc w:val="center"/>
              <w:rPr>
                <w:rFonts w:eastAsia="Arial" w:cs="Arial"/>
                <w:b/>
                <w:bCs/>
                <w:color w:val="F9F9F9" w:themeColor="background1"/>
                <w:sz w:val="20"/>
                <w:szCs w:val="20"/>
                <w:lang w:val="en-AU"/>
              </w:rPr>
            </w:pPr>
            <w:r w:rsidRPr="008D1918">
              <w:rPr>
                <w:rFonts w:eastAsia="Arial" w:cs="Arial"/>
                <w:b/>
                <w:bCs/>
                <w:color w:val="F9F9F9" w:themeColor="background1"/>
                <w:sz w:val="20"/>
                <w:szCs w:val="20"/>
                <w:lang w:val="en-AU"/>
              </w:rPr>
              <w:t>Month 1</w:t>
            </w:r>
          </w:p>
        </w:tc>
        <w:tc>
          <w:tcPr>
            <w:tcW w:w="1050"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0314ACB" w:rsidRDefault="02EFBE86" w14:paraId="0D825E8D" w14:textId="5C011C3A">
            <w:pPr>
              <w:spacing w:after="0" w:line="276" w:lineRule="auto"/>
              <w:jc w:val="center"/>
              <w:rPr>
                <w:rFonts w:eastAsia="Arial" w:cs="Arial"/>
                <w:b/>
                <w:bCs/>
                <w:color w:val="F9F9F9" w:themeColor="background1"/>
                <w:sz w:val="20"/>
                <w:szCs w:val="20"/>
                <w:lang w:val="en-AU"/>
              </w:rPr>
            </w:pPr>
            <w:r w:rsidRPr="008D1918">
              <w:rPr>
                <w:rFonts w:eastAsia="Arial" w:cs="Arial"/>
                <w:b/>
                <w:bCs/>
                <w:color w:val="F9F9F9" w:themeColor="background1"/>
                <w:sz w:val="20"/>
                <w:szCs w:val="20"/>
                <w:lang w:val="en-AU"/>
              </w:rPr>
              <w:t>Month 2</w:t>
            </w:r>
          </w:p>
        </w:tc>
        <w:tc>
          <w:tcPr>
            <w:tcW w:w="1050"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0314ACB" w:rsidRDefault="02EFBE86" w14:paraId="13372B95" w14:textId="206FFDE8">
            <w:pPr>
              <w:spacing w:after="0" w:line="276" w:lineRule="auto"/>
              <w:jc w:val="center"/>
              <w:rPr>
                <w:rFonts w:eastAsia="Arial" w:cs="Arial"/>
                <w:b/>
                <w:bCs/>
                <w:color w:val="F9F9F9" w:themeColor="background1"/>
                <w:sz w:val="20"/>
                <w:szCs w:val="20"/>
                <w:lang w:val="en-AU"/>
              </w:rPr>
            </w:pPr>
            <w:r w:rsidRPr="008D1918">
              <w:rPr>
                <w:rFonts w:eastAsia="Arial" w:cs="Arial"/>
                <w:b/>
                <w:bCs/>
                <w:color w:val="F9F9F9" w:themeColor="background1"/>
                <w:sz w:val="20"/>
                <w:szCs w:val="20"/>
                <w:lang w:val="en-AU"/>
              </w:rPr>
              <w:t>Month 3</w:t>
            </w:r>
          </w:p>
        </w:tc>
        <w:tc>
          <w:tcPr>
            <w:tcW w:w="1050"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0314ACB" w:rsidRDefault="02EFBE86" w14:paraId="1E3A1905" w14:textId="02C1AD03">
            <w:pPr>
              <w:spacing w:after="0" w:line="276" w:lineRule="auto"/>
              <w:jc w:val="center"/>
              <w:rPr>
                <w:rFonts w:eastAsia="Arial" w:cs="Arial"/>
                <w:b/>
                <w:bCs/>
                <w:color w:val="F9F9F9" w:themeColor="background1"/>
                <w:sz w:val="20"/>
                <w:szCs w:val="20"/>
                <w:lang w:val="en-AU"/>
              </w:rPr>
            </w:pPr>
            <w:r w:rsidRPr="008D1918">
              <w:rPr>
                <w:rFonts w:eastAsia="Arial" w:cs="Arial"/>
                <w:b/>
                <w:bCs/>
                <w:color w:val="F9F9F9" w:themeColor="background1"/>
                <w:sz w:val="20"/>
                <w:szCs w:val="20"/>
                <w:lang w:val="en-AU"/>
              </w:rPr>
              <w:t>Month 4</w:t>
            </w:r>
          </w:p>
        </w:tc>
        <w:tc>
          <w:tcPr>
            <w:tcW w:w="1050"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0314ACB" w:rsidRDefault="02EFBE86" w14:paraId="433771B0" w14:textId="35D29E57">
            <w:pPr>
              <w:spacing w:after="0" w:line="276" w:lineRule="auto"/>
              <w:jc w:val="center"/>
              <w:rPr>
                <w:rFonts w:eastAsia="Arial" w:cs="Arial"/>
                <w:b/>
                <w:bCs/>
                <w:color w:val="F9F9F9" w:themeColor="background1"/>
                <w:sz w:val="20"/>
                <w:szCs w:val="20"/>
                <w:lang w:val="en-AU"/>
              </w:rPr>
            </w:pPr>
            <w:r w:rsidRPr="008D1918">
              <w:rPr>
                <w:rFonts w:eastAsia="Arial" w:cs="Arial"/>
                <w:b/>
                <w:bCs/>
                <w:color w:val="F9F9F9" w:themeColor="background1"/>
                <w:sz w:val="20"/>
                <w:szCs w:val="20"/>
                <w:lang w:val="en-AU"/>
              </w:rPr>
              <w:t>Month 5</w:t>
            </w:r>
          </w:p>
        </w:tc>
        <w:tc>
          <w:tcPr>
            <w:tcW w:w="1050"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0314ACB" w:rsidRDefault="02EFBE86" w14:paraId="77D6BDBA" w14:textId="0298CBFC">
            <w:pPr>
              <w:spacing w:after="0" w:line="276" w:lineRule="auto"/>
              <w:jc w:val="center"/>
              <w:rPr>
                <w:rFonts w:eastAsia="Arial" w:cs="Arial"/>
                <w:b/>
                <w:bCs/>
                <w:color w:val="F9F9F9" w:themeColor="background1"/>
                <w:sz w:val="20"/>
                <w:szCs w:val="20"/>
                <w:lang w:val="en-AU"/>
              </w:rPr>
            </w:pPr>
            <w:r w:rsidRPr="008D1918">
              <w:rPr>
                <w:rFonts w:eastAsia="Arial" w:cs="Arial"/>
                <w:b/>
                <w:bCs/>
                <w:color w:val="F9F9F9" w:themeColor="background1"/>
                <w:sz w:val="20"/>
                <w:szCs w:val="20"/>
                <w:lang w:val="en-AU"/>
              </w:rPr>
              <w:t>Month 6</w:t>
            </w:r>
          </w:p>
        </w:tc>
        <w:tc>
          <w:tcPr>
            <w:tcW w:w="1050" w:type="dxa"/>
            <w:tcBorders>
              <w:top w:val="single" w:color="501E58" w:themeColor="accent5" w:themeShade="BF" w:sz="6" w:space="0"/>
              <w:left w:val="single" w:color="501E58" w:themeColor="accent5" w:themeShade="BF" w:sz="6" w:space="0"/>
              <w:bottom w:val="single" w:color="501E58" w:themeColor="accent5" w:themeShade="BF" w:sz="6" w:space="0"/>
              <w:right w:val="single" w:color="501E58" w:themeColor="accent5" w:themeShade="BF" w:sz="6" w:space="0"/>
            </w:tcBorders>
            <w:shd w:val="clear" w:color="auto" w:fill="6B2876" w:themeFill="accent5"/>
            <w:tcMar>
              <w:left w:w="105" w:type="dxa"/>
              <w:right w:w="105" w:type="dxa"/>
            </w:tcMar>
            <w:vAlign w:val="center"/>
          </w:tcPr>
          <w:p w:rsidRPr="008D1918" w:rsidR="02EFBE86" w:rsidP="00314ACB" w:rsidRDefault="02EFBE86" w14:paraId="07AA1A64" w14:textId="08C17F32">
            <w:pPr>
              <w:spacing w:after="0" w:line="276" w:lineRule="auto"/>
              <w:jc w:val="center"/>
              <w:rPr>
                <w:rFonts w:eastAsia="Arial" w:cs="Arial"/>
                <w:b/>
                <w:bCs/>
                <w:color w:val="F9F9F9" w:themeColor="background1"/>
                <w:sz w:val="20"/>
                <w:szCs w:val="20"/>
                <w:lang w:val="en-AU"/>
              </w:rPr>
            </w:pPr>
            <w:r w:rsidRPr="008D1918">
              <w:rPr>
                <w:rFonts w:eastAsia="Arial" w:cs="Arial"/>
                <w:b/>
                <w:bCs/>
                <w:color w:val="F9F9F9" w:themeColor="background1"/>
                <w:sz w:val="20"/>
                <w:szCs w:val="20"/>
                <w:lang w:val="en-AU"/>
              </w:rPr>
              <w:t xml:space="preserve">Over 6 </w:t>
            </w:r>
            <w:r w:rsidRPr="008D1918" w:rsidR="00522967">
              <w:rPr>
                <w:rFonts w:eastAsia="Arial" w:cs="Arial"/>
                <w:b/>
                <w:bCs/>
                <w:color w:val="F9F9F9" w:themeColor="background1"/>
                <w:sz w:val="20"/>
                <w:szCs w:val="20"/>
                <w:lang w:val="en-AU"/>
              </w:rPr>
              <w:t>m</w:t>
            </w:r>
            <w:r w:rsidRPr="008D1918">
              <w:rPr>
                <w:rFonts w:eastAsia="Arial" w:cs="Arial"/>
                <w:b/>
                <w:bCs/>
                <w:color w:val="F9F9F9" w:themeColor="background1"/>
                <w:sz w:val="20"/>
                <w:szCs w:val="20"/>
                <w:lang w:val="en-AU"/>
              </w:rPr>
              <w:t>onths</w:t>
            </w:r>
          </w:p>
        </w:tc>
      </w:tr>
      <w:tr w:rsidRPr="008D1918" w:rsidR="004D466F" w:rsidTr="007A0CA9" w14:paraId="02DC1ED6" w14:textId="77777777">
        <w:trPr>
          <w:trHeight w:val="390"/>
        </w:trPr>
        <w:tc>
          <w:tcPr>
            <w:tcW w:w="16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2EFBE86" w:rsidRDefault="02EFBE86" w14:paraId="4FE4DB40" w14:textId="3786CE90">
            <w:pPr>
              <w:spacing w:after="0" w:line="276" w:lineRule="auto"/>
              <w:rPr>
                <w:rFonts w:eastAsia="Arial" w:cs="Arial"/>
                <w:sz w:val="20"/>
                <w:szCs w:val="20"/>
                <w:lang w:val="en-AU"/>
              </w:rPr>
            </w:pPr>
            <w:r w:rsidRPr="008D1918">
              <w:rPr>
                <w:rFonts w:eastAsia="Arial" w:cs="Arial"/>
                <w:sz w:val="20"/>
                <w:szCs w:val="20"/>
                <w:lang w:val="en-AU"/>
              </w:rPr>
              <w:t>Non</w:t>
            </w:r>
            <w:r w:rsidRPr="008D1918" w:rsidR="00F30958">
              <w:rPr>
                <w:rFonts w:eastAsia="Arial" w:cs="Arial"/>
                <w:sz w:val="20"/>
                <w:szCs w:val="20"/>
                <w:lang w:val="en-AU"/>
              </w:rPr>
              <w:t>-</w:t>
            </w:r>
            <w:r w:rsidRPr="008D1918">
              <w:rPr>
                <w:rFonts w:eastAsia="Arial" w:cs="Arial"/>
                <w:sz w:val="20"/>
                <w:szCs w:val="20"/>
                <w:lang w:val="en-AU"/>
              </w:rPr>
              <w:t>ITM</w:t>
            </w:r>
          </w:p>
        </w:tc>
        <w:tc>
          <w:tcPr>
            <w:tcW w:w="10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522967" w:rsidRDefault="02EFBE86" w14:paraId="1E1F8766" w14:textId="1A9F3FED">
            <w:pPr>
              <w:spacing w:after="0" w:line="276" w:lineRule="auto"/>
              <w:ind w:right="21"/>
              <w:jc w:val="right"/>
              <w:rPr>
                <w:rFonts w:eastAsia="Arial" w:cs="Arial"/>
                <w:sz w:val="20"/>
                <w:szCs w:val="20"/>
                <w:lang w:val="en-AU"/>
              </w:rPr>
            </w:pPr>
            <w:r w:rsidRPr="008D1918">
              <w:rPr>
                <w:rFonts w:eastAsia="Arial" w:cs="Arial"/>
                <w:sz w:val="20"/>
                <w:szCs w:val="20"/>
                <w:lang w:val="en-AU"/>
              </w:rPr>
              <w:t>74.2%</w:t>
            </w:r>
          </w:p>
        </w:tc>
        <w:tc>
          <w:tcPr>
            <w:tcW w:w="10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522967" w:rsidRDefault="02EFBE86" w14:paraId="3530CE0A" w14:textId="2725D0D3">
            <w:pPr>
              <w:spacing w:after="0" w:line="276" w:lineRule="auto"/>
              <w:ind w:right="21"/>
              <w:jc w:val="right"/>
              <w:rPr>
                <w:rFonts w:eastAsia="Arial" w:cs="Arial"/>
                <w:sz w:val="20"/>
                <w:szCs w:val="20"/>
                <w:lang w:val="en-AU"/>
              </w:rPr>
            </w:pPr>
            <w:r w:rsidRPr="008D1918">
              <w:rPr>
                <w:rFonts w:eastAsia="Arial" w:cs="Arial"/>
                <w:sz w:val="20"/>
                <w:szCs w:val="20"/>
                <w:lang w:val="en-AU"/>
              </w:rPr>
              <w:t>12.6%</w:t>
            </w:r>
          </w:p>
        </w:tc>
        <w:tc>
          <w:tcPr>
            <w:tcW w:w="10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522967" w:rsidRDefault="02EFBE86" w14:paraId="3E62B2B9" w14:textId="35844D3D">
            <w:pPr>
              <w:spacing w:after="0" w:line="276" w:lineRule="auto"/>
              <w:ind w:right="21"/>
              <w:jc w:val="right"/>
              <w:rPr>
                <w:rFonts w:eastAsia="Arial" w:cs="Arial"/>
                <w:sz w:val="20"/>
                <w:szCs w:val="20"/>
                <w:lang w:val="en-AU"/>
              </w:rPr>
            </w:pPr>
            <w:r w:rsidRPr="008D1918">
              <w:rPr>
                <w:rFonts w:eastAsia="Arial" w:cs="Arial"/>
                <w:sz w:val="20"/>
                <w:szCs w:val="20"/>
                <w:lang w:val="en-AU"/>
              </w:rPr>
              <w:t>5.2%</w:t>
            </w:r>
          </w:p>
        </w:tc>
        <w:tc>
          <w:tcPr>
            <w:tcW w:w="10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522967" w:rsidRDefault="02EFBE86" w14:paraId="20A7D519" w14:textId="6D90FEF0">
            <w:pPr>
              <w:spacing w:after="0" w:line="276" w:lineRule="auto"/>
              <w:ind w:right="21"/>
              <w:jc w:val="right"/>
              <w:rPr>
                <w:rFonts w:eastAsia="Arial" w:cs="Arial"/>
                <w:sz w:val="20"/>
                <w:szCs w:val="20"/>
                <w:lang w:val="en-AU"/>
              </w:rPr>
            </w:pPr>
            <w:r w:rsidRPr="008D1918">
              <w:rPr>
                <w:rFonts w:eastAsia="Arial" w:cs="Arial"/>
                <w:sz w:val="20"/>
                <w:szCs w:val="20"/>
                <w:lang w:val="en-AU"/>
              </w:rPr>
              <w:t>2.6%</w:t>
            </w:r>
          </w:p>
        </w:tc>
        <w:tc>
          <w:tcPr>
            <w:tcW w:w="10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522967" w:rsidRDefault="02EFBE86" w14:paraId="1FAC66B6" w14:textId="5955C959">
            <w:pPr>
              <w:spacing w:after="0" w:line="276" w:lineRule="auto"/>
              <w:ind w:right="21"/>
              <w:jc w:val="right"/>
              <w:rPr>
                <w:rFonts w:eastAsia="Arial" w:cs="Arial"/>
                <w:sz w:val="20"/>
                <w:szCs w:val="20"/>
                <w:lang w:val="en-AU"/>
              </w:rPr>
            </w:pPr>
            <w:r w:rsidRPr="008D1918">
              <w:rPr>
                <w:rFonts w:eastAsia="Arial" w:cs="Arial"/>
                <w:sz w:val="20"/>
                <w:szCs w:val="20"/>
                <w:lang w:val="en-AU"/>
              </w:rPr>
              <w:t>1.5%</w:t>
            </w:r>
          </w:p>
        </w:tc>
        <w:tc>
          <w:tcPr>
            <w:tcW w:w="10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522967" w:rsidRDefault="02EFBE86" w14:paraId="1C8ABEA3" w14:textId="60F00632">
            <w:pPr>
              <w:spacing w:after="0" w:line="276" w:lineRule="auto"/>
              <w:ind w:right="21"/>
              <w:jc w:val="right"/>
              <w:rPr>
                <w:rFonts w:eastAsia="Arial" w:cs="Arial"/>
                <w:sz w:val="20"/>
                <w:szCs w:val="20"/>
                <w:lang w:val="en-AU"/>
              </w:rPr>
            </w:pPr>
            <w:r w:rsidRPr="008D1918">
              <w:rPr>
                <w:rFonts w:eastAsia="Arial" w:cs="Arial"/>
                <w:sz w:val="20"/>
                <w:szCs w:val="20"/>
                <w:lang w:val="en-AU"/>
              </w:rPr>
              <w:t>1.0%</w:t>
            </w:r>
          </w:p>
        </w:tc>
        <w:tc>
          <w:tcPr>
            <w:tcW w:w="10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shd w:val="clear" w:color="auto" w:fill="E8CAED" w:themeFill="accent5" w:themeFillTint="33"/>
            <w:tcMar>
              <w:left w:w="105" w:type="dxa"/>
              <w:right w:w="105" w:type="dxa"/>
            </w:tcMar>
            <w:vAlign w:val="center"/>
          </w:tcPr>
          <w:p w:rsidRPr="008D1918" w:rsidR="02EFBE86" w:rsidP="00522967" w:rsidRDefault="02EFBE86" w14:paraId="565EAFA0" w14:textId="7872B353">
            <w:pPr>
              <w:spacing w:after="0" w:line="276" w:lineRule="auto"/>
              <w:ind w:right="21"/>
              <w:jc w:val="right"/>
              <w:rPr>
                <w:rFonts w:eastAsia="Arial" w:cs="Arial"/>
                <w:sz w:val="20"/>
                <w:szCs w:val="20"/>
                <w:lang w:val="en-AU"/>
              </w:rPr>
            </w:pPr>
            <w:r w:rsidRPr="008D1918">
              <w:rPr>
                <w:rFonts w:eastAsia="Arial" w:cs="Arial"/>
                <w:sz w:val="20"/>
                <w:szCs w:val="20"/>
                <w:lang w:val="en-AU"/>
              </w:rPr>
              <w:t>2.9%</w:t>
            </w:r>
          </w:p>
        </w:tc>
      </w:tr>
      <w:tr w:rsidRPr="008D1918" w:rsidR="004D466F" w:rsidTr="007A0CA9" w14:paraId="2F0D00A2" w14:textId="77777777">
        <w:trPr>
          <w:trHeight w:val="390"/>
        </w:trPr>
        <w:tc>
          <w:tcPr>
            <w:tcW w:w="16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2EFBE86" w:rsidRDefault="02EFBE86" w14:paraId="4DD11825" w14:textId="19F1668B">
            <w:pPr>
              <w:spacing w:after="0" w:line="276" w:lineRule="auto"/>
              <w:rPr>
                <w:rFonts w:eastAsia="Arial" w:cs="Arial"/>
                <w:sz w:val="20"/>
                <w:szCs w:val="20"/>
                <w:lang w:val="en-AU"/>
              </w:rPr>
            </w:pPr>
            <w:r w:rsidRPr="008D1918">
              <w:rPr>
                <w:rFonts w:eastAsia="Arial" w:cs="Arial"/>
                <w:sz w:val="20"/>
                <w:szCs w:val="20"/>
                <w:lang w:val="en-AU"/>
              </w:rPr>
              <w:t>ITM</w:t>
            </w:r>
          </w:p>
        </w:tc>
        <w:tc>
          <w:tcPr>
            <w:tcW w:w="10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522967" w:rsidRDefault="02EFBE86" w14:paraId="78EA647F" w14:textId="502BDF45">
            <w:pPr>
              <w:spacing w:after="0" w:line="276" w:lineRule="auto"/>
              <w:ind w:right="21"/>
              <w:jc w:val="right"/>
              <w:rPr>
                <w:rFonts w:eastAsia="Arial" w:cs="Arial"/>
                <w:sz w:val="20"/>
                <w:szCs w:val="20"/>
                <w:lang w:val="en-AU"/>
              </w:rPr>
            </w:pPr>
            <w:r w:rsidRPr="008D1918">
              <w:rPr>
                <w:rFonts w:eastAsia="Arial" w:cs="Arial"/>
                <w:sz w:val="20"/>
                <w:szCs w:val="20"/>
                <w:lang w:val="en-AU"/>
              </w:rPr>
              <w:t>69.2%</w:t>
            </w:r>
          </w:p>
        </w:tc>
        <w:tc>
          <w:tcPr>
            <w:tcW w:w="10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522967" w:rsidRDefault="02EFBE86" w14:paraId="59545F22" w14:textId="784FD613">
            <w:pPr>
              <w:spacing w:after="0" w:line="276" w:lineRule="auto"/>
              <w:ind w:right="21"/>
              <w:jc w:val="right"/>
              <w:rPr>
                <w:rFonts w:eastAsia="Arial" w:cs="Arial"/>
                <w:sz w:val="20"/>
                <w:szCs w:val="20"/>
                <w:lang w:val="en-AU"/>
              </w:rPr>
            </w:pPr>
            <w:r w:rsidRPr="008D1918">
              <w:rPr>
                <w:rFonts w:eastAsia="Arial" w:cs="Arial"/>
                <w:sz w:val="20"/>
                <w:szCs w:val="20"/>
                <w:lang w:val="en-AU"/>
              </w:rPr>
              <w:t>13.3%</w:t>
            </w:r>
          </w:p>
        </w:tc>
        <w:tc>
          <w:tcPr>
            <w:tcW w:w="10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522967" w:rsidRDefault="02EFBE86" w14:paraId="7E21A1F8" w14:textId="2108ED04">
            <w:pPr>
              <w:spacing w:after="0" w:line="276" w:lineRule="auto"/>
              <w:ind w:right="21"/>
              <w:jc w:val="right"/>
              <w:rPr>
                <w:rFonts w:eastAsia="Arial" w:cs="Arial"/>
                <w:sz w:val="20"/>
                <w:szCs w:val="20"/>
                <w:lang w:val="en-AU"/>
              </w:rPr>
            </w:pPr>
            <w:r w:rsidRPr="008D1918">
              <w:rPr>
                <w:rFonts w:eastAsia="Arial" w:cs="Arial"/>
                <w:sz w:val="20"/>
                <w:szCs w:val="20"/>
                <w:lang w:val="en-AU"/>
              </w:rPr>
              <w:t>4.4%</w:t>
            </w:r>
          </w:p>
        </w:tc>
        <w:tc>
          <w:tcPr>
            <w:tcW w:w="10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522967" w:rsidRDefault="02EFBE86" w14:paraId="4AA9307A" w14:textId="295B08C2">
            <w:pPr>
              <w:spacing w:after="0" w:line="276" w:lineRule="auto"/>
              <w:ind w:right="21"/>
              <w:jc w:val="right"/>
              <w:rPr>
                <w:rFonts w:eastAsia="Arial" w:cs="Arial"/>
                <w:sz w:val="20"/>
                <w:szCs w:val="20"/>
                <w:lang w:val="en-AU"/>
              </w:rPr>
            </w:pPr>
            <w:r w:rsidRPr="008D1918">
              <w:rPr>
                <w:rFonts w:eastAsia="Arial" w:cs="Arial"/>
                <w:sz w:val="20"/>
                <w:szCs w:val="20"/>
                <w:lang w:val="en-AU"/>
              </w:rPr>
              <w:t>2.5%</w:t>
            </w:r>
          </w:p>
        </w:tc>
        <w:tc>
          <w:tcPr>
            <w:tcW w:w="10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522967" w:rsidRDefault="02EFBE86" w14:paraId="313C9726" w14:textId="4DE71995">
            <w:pPr>
              <w:spacing w:after="0" w:line="276" w:lineRule="auto"/>
              <w:ind w:right="21"/>
              <w:jc w:val="right"/>
              <w:rPr>
                <w:rFonts w:eastAsia="Arial" w:cs="Arial"/>
                <w:sz w:val="20"/>
                <w:szCs w:val="20"/>
                <w:lang w:val="en-AU"/>
              </w:rPr>
            </w:pPr>
            <w:r w:rsidRPr="008D1918">
              <w:rPr>
                <w:rFonts w:eastAsia="Arial" w:cs="Arial"/>
                <w:sz w:val="20"/>
                <w:szCs w:val="20"/>
                <w:lang w:val="en-AU"/>
              </w:rPr>
              <w:t>2.6%</w:t>
            </w:r>
          </w:p>
        </w:tc>
        <w:tc>
          <w:tcPr>
            <w:tcW w:w="10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522967" w:rsidRDefault="02EFBE86" w14:paraId="0FA5AE30" w14:textId="30764048">
            <w:pPr>
              <w:spacing w:after="0" w:line="276" w:lineRule="auto"/>
              <w:ind w:right="21"/>
              <w:jc w:val="right"/>
              <w:rPr>
                <w:rFonts w:eastAsia="Arial" w:cs="Arial"/>
                <w:sz w:val="20"/>
                <w:szCs w:val="20"/>
                <w:lang w:val="en-AU"/>
              </w:rPr>
            </w:pPr>
            <w:r w:rsidRPr="008D1918">
              <w:rPr>
                <w:rFonts w:eastAsia="Arial" w:cs="Arial"/>
                <w:sz w:val="20"/>
                <w:szCs w:val="20"/>
                <w:lang w:val="en-AU"/>
              </w:rPr>
              <w:t>1.8%</w:t>
            </w:r>
          </w:p>
        </w:tc>
        <w:tc>
          <w:tcPr>
            <w:tcW w:w="1050" w:type="dxa"/>
            <w:tcBorders>
              <w:top w:val="single" w:color="BA61C9" w:themeColor="accent5" w:themeTint="99" w:sz="6" w:space="0"/>
              <w:left w:val="single" w:color="BA61C9" w:themeColor="accent5" w:themeTint="99" w:sz="6" w:space="0"/>
              <w:bottom w:val="single" w:color="BA61C9" w:themeColor="accent5" w:themeTint="99" w:sz="6" w:space="0"/>
              <w:right w:val="single" w:color="BA61C9" w:themeColor="accent5" w:themeTint="99" w:sz="6" w:space="0"/>
            </w:tcBorders>
            <w:tcMar>
              <w:left w:w="105" w:type="dxa"/>
              <w:right w:w="105" w:type="dxa"/>
            </w:tcMar>
            <w:vAlign w:val="center"/>
          </w:tcPr>
          <w:p w:rsidRPr="008D1918" w:rsidR="02EFBE86" w:rsidP="00522967" w:rsidRDefault="02EFBE86" w14:paraId="0236A5ED" w14:textId="666EF2C8">
            <w:pPr>
              <w:spacing w:after="0" w:line="276" w:lineRule="auto"/>
              <w:ind w:right="21"/>
              <w:jc w:val="right"/>
              <w:rPr>
                <w:rFonts w:eastAsia="Arial" w:cs="Arial"/>
                <w:sz w:val="20"/>
                <w:szCs w:val="20"/>
                <w:lang w:val="en-AU"/>
              </w:rPr>
            </w:pPr>
            <w:r w:rsidRPr="008D1918">
              <w:rPr>
                <w:rFonts w:eastAsia="Arial" w:cs="Arial"/>
                <w:sz w:val="20"/>
                <w:szCs w:val="20"/>
                <w:lang w:val="en-AU"/>
              </w:rPr>
              <w:t>6.2%</w:t>
            </w:r>
          </w:p>
        </w:tc>
      </w:tr>
    </w:tbl>
    <w:p w:rsidRPr="008D1918" w:rsidR="00EA1228" w:rsidP="00EA1228" w:rsidRDefault="00EA1228" w14:paraId="193AA6D7" w14:textId="52BC9422">
      <w:pPr>
        <w:spacing w:before="120" w:after="360" w:line="240" w:lineRule="atLeast"/>
        <w:rPr>
          <w:rFonts w:cs="Calibri"/>
          <w:b/>
          <w:sz w:val="20"/>
          <w:szCs w:val="20"/>
          <w:lang w:val="en-AU" w:eastAsia="en-AU"/>
        </w:rPr>
      </w:pPr>
      <w:r w:rsidRPr="008D1918">
        <w:rPr>
          <w:rFonts w:cs="Calibri"/>
          <w:b/>
          <w:bCs/>
          <w:sz w:val="20"/>
          <w:szCs w:val="20"/>
          <w:lang w:val="en-AU" w:eastAsia="en-AU"/>
        </w:rPr>
        <w:t xml:space="preserve">Source: </w:t>
      </w:r>
      <w:r w:rsidRPr="008D1918" w:rsidR="43FE648C">
        <w:rPr>
          <w:rFonts w:cs="Calibri"/>
          <w:b/>
          <w:bCs/>
          <w:sz w:val="20"/>
          <w:szCs w:val="20"/>
          <w:lang w:val="en-AU" w:eastAsia="en-AU"/>
        </w:rPr>
        <w:t>NDIS Internal Administrative Data</w:t>
      </w:r>
    </w:p>
    <w:p w:rsidRPr="008D1918" w:rsidR="1B9EBD19" w:rsidP="00EA1228" w:rsidRDefault="1B9EBD19" w14:paraId="086B4A0E" w14:textId="019DFE8F">
      <w:pPr>
        <w:rPr>
          <w:rFonts w:eastAsia="Arial" w:cs="Arial"/>
          <w:color w:val="000000" w:themeColor="accent6"/>
          <w:lang w:val="en-AU"/>
        </w:rPr>
      </w:pPr>
      <w:r w:rsidRPr="008D1918">
        <w:rPr>
          <w:rFonts w:eastAsia="Arial" w:cs="Arial"/>
          <w:color w:val="000000" w:themeColor="accent6"/>
          <w:lang w:val="en-AU"/>
        </w:rPr>
        <w:t xml:space="preserve">Analysis of travel data indicates increased costs in </w:t>
      </w:r>
      <w:r w:rsidRPr="008D1918" w:rsidR="00F30958">
        <w:rPr>
          <w:rFonts w:eastAsia="Arial" w:cs="Arial"/>
          <w:color w:val="000000" w:themeColor="accent6"/>
          <w:lang w:val="en-AU"/>
        </w:rPr>
        <w:t>ITM</w:t>
      </w:r>
      <w:r w:rsidRPr="008D1918">
        <w:rPr>
          <w:rFonts w:eastAsia="Arial" w:cs="Arial"/>
          <w:color w:val="000000" w:themeColor="accent6"/>
          <w:lang w:val="en-AU"/>
        </w:rPr>
        <w:t xml:space="preserve"> locations compared to other locations at the same classification, with higher costs observed in regional areas (M</w:t>
      </w:r>
      <w:r w:rsidRPr="008D1918" w:rsidR="00E43DDB">
        <w:rPr>
          <w:rFonts w:eastAsia="Arial" w:cs="Arial"/>
          <w:color w:val="000000" w:themeColor="accent6"/>
          <w:lang w:val="en-AU"/>
        </w:rPr>
        <w:t>M</w:t>
      </w:r>
      <w:r w:rsidRPr="008D1918" w:rsidR="00EA1228">
        <w:rPr>
          <w:rFonts w:eastAsia="Arial" w:cs="Arial"/>
          <w:color w:val="000000" w:themeColor="accent6"/>
          <w:lang w:val="en-AU"/>
        </w:rPr>
        <w:t> </w:t>
      </w:r>
      <w:r w:rsidRPr="008D1918">
        <w:rPr>
          <w:rFonts w:eastAsia="Arial" w:cs="Arial"/>
          <w:color w:val="000000" w:themeColor="accent6"/>
          <w:lang w:val="en-AU"/>
        </w:rPr>
        <w:t>4</w:t>
      </w:r>
      <w:r w:rsidRPr="008D1918" w:rsidR="00EA1228">
        <w:rPr>
          <w:rFonts w:eastAsia="Arial" w:cs="Arial"/>
          <w:color w:val="000000" w:themeColor="accent6"/>
          <w:lang w:val="en-AU"/>
        </w:rPr>
        <w:t>–</w:t>
      </w:r>
      <w:r w:rsidRPr="008D1918">
        <w:rPr>
          <w:rFonts w:eastAsia="Arial" w:cs="Arial"/>
          <w:color w:val="000000" w:themeColor="accent6"/>
          <w:lang w:val="en-AU"/>
        </w:rPr>
        <w:t>5) (</w:t>
      </w:r>
      <w:r w:rsidRPr="008D1918" w:rsidR="00D50ED3">
        <w:rPr>
          <w:rFonts w:eastAsia="Arial" w:cs="Arial"/>
          <w:color w:val="000000" w:themeColor="accent6"/>
          <w:lang w:val="en-AU"/>
        </w:rPr>
        <w:fldChar w:fldCharType="begin"/>
      </w:r>
      <w:r w:rsidRPr="008D1918" w:rsidR="00D50ED3">
        <w:rPr>
          <w:rFonts w:eastAsia="Arial" w:cs="Arial"/>
          <w:color w:val="000000" w:themeColor="accent6"/>
          <w:lang w:val="en-AU"/>
        </w:rPr>
        <w:instrText xml:space="preserve"> REF _Ref223684092 \h </w:instrText>
      </w:r>
      <w:r w:rsidRPr="008D1918" w:rsidR="00762DF8">
        <w:rPr>
          <w:rFonts w:eastAsia="Arial" w:cs="Arial"/>
          <w:color w:val="000000" w:themeColor="accent6"/>
          <w:lang w:val="en-AU"/>
        </w:rPr>
        <w:instrText xml:space="preserve"> \* MERGEFORMAT </w:instrText>
      </w:r>
      <w:r w:rsidRPr="008D1918" w:rsidR="00D50ED3">
        <w:rPr>
          <w:rFonts w:eastAsia="Arial" w:cs="Arial"/>
          <w:color w:val="000000" w:themeColor="accent6"/>
          <w:lang w:val="en-AU"/>
        </w:rPr>
      </w:r>
      <w:r w:rsidRPr="008D1918" w:rsidR="00D50ED3">
        <w:rPr>
          <w:rFonts w:eastAsia="Arial" w:cs="Arial"/>
          <w:color w:val="000000" w:themeColor="accent6"/>
          <w:lang w:val="en-AU"/>
        </w:rPr>
        <w:fldChar w:fldCharType="separate"/>
      </w:r>
      <w:r w:rsidRPr="008F56A2" w:rsidR="008F56A2">
        <w:rPr>
          <w:lang w:val="en-AU"/>
        </w:rPr>
        <w:t>Figure</w:t>
      </w:r>
      <w:r w:rsidRPr="008D1918" w:rsidR="008F56A2">
        <w:t xml:space="preserve"> </w:t>
      </w:r>
      <w:r w:rsidR="008F56A2">
        <w:rPr>
          <w:noProof/>
        </w:rPr>
        <w:t>64</w:t>
      </w:r>
      <w:r w:rsidRPr="008D1918" w:rsidR="00D50ED3">
        <w:rPr>
          <w:rFonts w:eastAsia="Arial" w:cs="Arial"/>
          <w:color w:val="000000" w:themeColor="accent6"/>
          <w:lang w:val="en-AU"/>
        </w:rPr>
        <w:fldChar w:fldCharType="end"/>
      </w:r>
      <w:r w:rsidRPr="008D1918">
        <w:rPr>
          <w:rFonts w:eastAsia="Arial" w:cs="Arial"/>
          <w:color w:val="000000" w:themeColor="accent6"/>
          <w:lang w:val="en-AU"/>
        </w:rPr>
        <w:t>). This reflects the nature of these towns where participants are located in a hub, surrounded by remote areas, requiring providers to travel from larger regional areas or centres.</w:t>
      </w:r>
    </w:p>
    <w:p w:rsidRPr="008D1918" w:rsidR="2DF64590" w:rsidP="001D163B" w:rsidRDefault="005A101B" w14:paraId="16E0C652" w14:textId="54FD0C0C">
      <w:pPr>
        <w:pStyle w:val="Caption"/>
        <w:rPr>
          <w:rFonts w:eastAsia="Arial" w:cs="Arial"/>
          <w:color w:val="000000" w:themeColor="accent6"/>
        </w:rPr>
      </w:pPr>
      <w:bookmarkStart w:name="_Ref223684092" w:id="2281"/>
      <w:r w:rsidRPr="008D1918">
        <w:t xml:space="preserve">Figure </w:t>
      </w:r>
      <w:r>
        <w:fldChar w:fldCharType="begin"/>
      </w:r>
      <w:r>
        <w:instrText>SEQ Figure \* ARABIC</w:instrText>
      </w:r>
      <w:r>
        <w:fldChar w:fldCharType="separate"/>
      </w:r>
      <w:r w:rsidR="008F56A2">
        <w:rPr>
          <w:noProof/>
        </w:rPr>
        <w:t>64</w:t>
      </w:r>
      <w:r>
        <w:fldChar w:fldCharType="end"/>
      </w:r>
      <w:bookmarkEnd w:id="2281"/>
      <w:r w:rsidRPr="008D1918" w:rsidR="1B9EBD19">
        <w:rPr>
          <w:rFonts w:eastAsia="Arial" w:cs="Arial"/>
          <w:color w:val="6B2976"/>
        </w:rPr>
        <w:t xml:space="preserve">: Comparison of travel data (non-labour and labour costs combined) </w:t>
      </w:r>
      <w:r w:rsidRPr="008D1918" w:rsidR="5A918EC7">
        <w:rPr>
          <w:rFonts w:eastAsia="Arial" w:cs="Arial"/>
          <w:color w:val="6B2976"/>
        </w:rPr>
        <w:t xml:space="preserve">in </w:t>
      </w:r>
      <w:r w:rsidRPr="008D1918" w:rsidR="00857209">
        <w:rPr>
          <w:rFonts w:eastAsia="Arial" w:cs="Arial"/>
          <w:color w:val="6B2976"/>
        </w:rPr>
        <w:t>ITM</w:t>
      </w:r>
      <w:r w:rsidRPr="008D1918" w:rsidR="1B9EBD19">
        <w:rPr>
          <w:rFonts w:eastAsia="Arial" w:cs="Arial"/>
          <w:color w:val="6B2976"/>
        </w:rPr>
        <w:t xml:space="preserve"> location</w:t>
      </w:r>
      <w:r w:rsidRPr="008D1918" w:rsidR="218EC14D">
        <w:rPr>
          <w:rFonts w:eastAsia="Arial" w:cs="Arial"/>
          <w:color w:val="6B2976"/>
        </w:rPr>
        <w:t xml:space="preserve"> within different MM</w:t>
      </w:r>
      <w:r w:rsidRPr="008D1918" w:rsidR="002F25EC">
        <w:rPr>
          <w:rFonts w:eastAsia="Arial" w:cs="Arial"/>
          <w:color w:val="6B2976"/>
        </w:rPr>
        <w:t xml:space="preserve"> categories</w:t>
      </w:r>
      <w:r w:rsidRPr="008D1918" w:rsidR="6CC9E444">
        <w:rPr>
          <w:rFonts w:eastAsia="Arial" w:cs="Arial"/>
          <w:color w:val="6B2976"/>
        </w:rPr>
        <w:t xml:space="preserve">, </w:t>
      </w:r>
      <w:r w:rsidRPr="008D1918" w:rsidR="6CC9E444">
        <w:rPr>
          <w:rFonts w:eastAsia="Arial" w:cs="Arial"/>
          <w:color w:val="6B2876" w:themeColor="accent5"/>
        </w:rPr>
        <w:t>1 July 2024 to 30 June 2025</w:t>
      </w:r>
    </w:p>
    <w:p w:rsidRPr="008D1918" w:rsidR="005A101B" w:rsidP="001D163B" w:rsidRDefault="00C55855" w14:paraId="538A83E4" w14:textId="77777777">
      <w:pPr>
        <w:keepNext/>
        <w:spacing w:line="276" w:lineRule="auto"/>
      </w:pPr>
      <w:r w:rsidRPr="008D1918">
        <w:rPr>
          <w:rFonts w:eastAsia="Arial" w:cs="Arial"/>
          <w:noProof/>
          <w:color w:val="000000" w:themeColor="accent6"/>
          <w:lang w:val="en-AU"/>
        </w:rPr>
        <w:drawing>
          <wp:inline distT="0" distB="0" distL="0" distR="0" wp14:anchorId="4ECD31AD" wp14:editId="0ADC98CE">
            <wp:extent cx="5868000" cy="3153551"/>
            <wp:effectExtent l="0" t="0" r="0" b="8890"/>
            <wp:docPr id="265805195" name="Picture 1" descr="Figure 64: A stacked bar chart showing travel costs rising from MM3 to MM5, with labour and non-labour costs delineated. ITM locations have higher total costs than non ITM in MM4 and MM5. With MM5 costing the most at $256 for ITM locations, and $227 for non-I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05195" name="Picture 1" descr="Figure 64: A stacked bar chart showing travel costs rising from MM3 to MM5, with labour and non-labour costs delineated. ITM locations have higher total costs than non ITM in MM4 and MM5. With MM5 costing the most at $256 for ITM locations, and $227 for non-ITM."/>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868000" cy="3153551"/>
                    </a:xfrm>
                    <a:prstGeom prst="rect">
                      <a:avLst/>
                    </a:prstGeom>
                  </pic:spPr>
                </pic:pic>
              </a:graphicData>
            </a:graphic>
          </wp:inline>
        </w:drawing>
      </w:r>
    </w:p>
    <w:p w:rsidRPr="008D1918" w:rsidR="2DF64590" w:rsidP="00041468" w:rsidRDefault="2DF64590" w14:paraId="66FCDE1D" w14:textId="7A48A681">
      <w:pPr>
        <w:pStyle w:val="StyleStyle112pt"/>
        <w:rPr>
          <w:rFonts w:eastAsia="Arial"/>
        </w:rPr>
      </w:pPr>
      <w:bookmarkStart w:name="_Toc223542225" w:id="2282"/>
      <w:bookmarkStart w:name="_Toc223604409" w:id="2283"/>
      <w:bookmarkStart w:name="_Toc223604620" w:id="2284"/>
      <w:bookmarkStart w:name="_Toc223604865" w:id="2285"/>
      <w:bookmarkStart w:name="_Toc223618706" w:id="2286"/>
      <w:bookmarkStart w:name="_Toc223702935" w:id="2287"/>
      <w:bookmarkStart w:name="_Toc227318826" w:id="2288"/>
      <w:bookmarkStart w:name="_Toc227337194" w:id="2289"/>
      <w:r w:rsidRPr="008D1918">
        <w:rPr>
          <w:rFonts w:eastAsia="Arial"/>
        </w:rPr>
        <w:t xml:space="preserve">Further </w:t>
      </w:r>
      <w:r w:rsidRPr="008D1918" w:rsidR="00986D77">
        <w:rPr>
          <w:rFonts w:eastAsia="Arial"/>
        </w:rPr>
        <w:t>m</w:t>
      </w:r>
      <w:r w:rsidRPr="008D1918">
        <w:rPr>
          <w:rFonts w:eastAsia="Arial"/>
        </w:rPr>
        <w:t>arket analysis</w:t>
      </w:r>
      <w:bookmarkEnd w:id="2282"/>
      <w:bookmarkEnd w:id="2283"/>
      <w:bookmarkEnd w:id="2284"/>
      <w:bookmarkEnd w:id="2285"/>
      <w:bookmarkEnd w:id="2286"/>
      <w:bookmarkEnd w:id="2287"/>
      <w:bookmarkEnd w:id="2288"/>
      <w:bookmarkEnd w:id="2289"/>
      <w:r w:rsidRPr="008D1918">
        <w:rPr>
          <w:rFonts w:eastAsia="Arial"/>
        </w:rPr>
        <w:t xml:space="preserve"> </w:t>
      </w:r>
    </w:p>
    <w:p w:rsidRPr="008D1918" w:rsidR="2DF64590" w:rsidP="00692348" w:rsidRDefault="2DF64590" w14:paraId="4FC212C3" w14:textId="28E9B49D">
      <w:pPr>
        <w:rPr>
          <w:rFonts w:eastAsia="Arial" w:cs="Arial"/>
          <w:color w:val="000000" w:themeColor="accent6"/>
          <w:lang w:val="en-AU"/>
        </w:rPr>
      </w:pPr>
      <w:r w:rsidRPr="008D1918">
        <w:rPr>
          <w:rFonts w:eastAsia="Arial" w:cs="Arial"/>
          <w:color w:val="000000" w:themeColor="accent6"/>
          <w:lang w:val="en-AU"/>
        </w:rPr>
        <w:t>To address stakeholder concerns that the M</w:t>
      </w:r>
      <w:r w:rsidRPr="008D1918" w:rsidR="00E43DDB">
        <w:rPr>
          <w:rFonts w:eastAsia="Arial" w:cs="Arial"/>
          <w:color w:val="000000" w:themeColor="accent6"/>
          <w:lang w:val="en-AU"/>
        </w:rPr>
        <w:t>M</w:t>
      </w:r>
      <w:r w:rsidRPr="008D1918">
        <w:rPr>
          <w:rFonts w:eastAsia="Arial" w:cs="Arial"/>
          <w:color w:val="000000" w:themeColor="accent6"/>
          <w:lang w:val="en-AU"/>
        </w:rPr>
        <w:t>M</w:t>
      </w:r>
      <w:r w:rsidRPr="008D1918" w:rsidR="002D1B44">
        <w:rPr>
          <w:rFonts w:eastAsia="Arial" w:cs="Arial"/>
          <w:color w:val="000000" w:themeColor="accent6"/>
          <w:lang w:val="en-AU"/>
        </w:rPr>
        <w:t xml:space="preserve"> </w:t>
      </w:r>
      <w:r w:rsidRPr="008D1918">
        <w:rPr>
          <w:rFonts w:eastAsia="Arial" w:cs="Arial"/>
          <w:color w:val="000000" w:themeColor="accent6"/>
          <w:lang w:val="en-AU"/>
        </w:rPr>
        <w:t>classification system does not adequately take into consideration socio</w:t>
      </w:r>
      <w:r w:rsidRPr="008D1918" w:rsidR="001727FA">
        <w:rPr>
          <w:rFonts w:eastAsia="Arial" w:cs="Arial"/>
          <w:color w:val="000000" w:themeColor="accent6"/>
          <w:lang w:val="en-AU"/>
        </w:rPr>
        <w:t>-</w:t>
      </w:r>
      <w:r w:rsidRPr="008D1918">
        <w:rPr>
          <w:rFonts w:eastAsia="Arial" w:cs="Arial"/>
          <w:color w:val="000000" w:themeColor="accent6"/>
          <w:lang w:val="en-AU"/>
        </w:rPr>
        <w:t xml:space="preserve">economic disadvantage, the use of SEIFA within government was explored, with the IRSD being the recommended index. The SEIFA measures underlying indicators of socio-economic disadvantage at a population level (including education, unemployment, income levels) which is used for understanding the operating environment of service markets. This may correlate with lower service availability, reduced market attraction and poorer access to supports. </w:t>
      </w:r>
      <w:r w:rsidRPr="008D1918" w:rsidR="00D50ED3">
        <w:rPr>
          <w:rFonts w:eastAsia="Arial" w:cs="Arial"/>
          <w:color w:val="000000" w:themeColor="accent6"/>
          <w:lang w:val="en-AU"/>
        </w:rPr>
        <w:fldChar w:fldCharType="begin"/>
      </w:r>
      <w:r w:rsidRPr="008D1918" w:rsidR="00D50ED3">
        <w:rPr>
          <w:rFonts w:eastAsia="Arial" w:cs="Arial"/>
          <w:color w:val="000000" w:themeColor="accent6"/>
          <w:lang w:val="en-AU"/>
        </w:rPr>
        <w:instrText xml:space="preserve"> REF _Ref223684118 \h </w:instrText>
      </w:r>
      <w:r w:rsidRPr="008D1918" w:rsidR="00762DF8">
        <w:rPr>
          <w:rFonts w:eastAsia="Arial" w:cs="Arial"/>
          <w:color w:val="000000" w:themeColor="accent6"/>
          <w:lang w:val="en-AU"/>
        </w:rPr>
        <w:instrText xml:space="preserve"> \* MERGEFORMAT </w:instrText>
      </w:r>
      <w:r w:rsidRPr="008D1918" w:rsidR="00D50ED3">
        <w:rPr>
          <w:rFonts w:eastAsia="Arial" w:cs="Arial"/>
          <w:color w:val="000000" w:themeColor="accent6"/>
          <w:lang w:val="en-AU"/>
        </w:rPr>
      </w:r>
      <w:r w:rsidRPr="008D1918" w:rsidR="00D50ED3">
        <w:rPr>
          <w:rFonts w:eastAsia="Arial" w:cs="Arial"/>
          <w:color w:val="000000" w:themeColor="accent6"/>
          <w:lang w:val="en-AU"/>
        </w:rPr>
        <w:fldChar w:fldCharType="separate"/>
      </w:r>
      <w:r w:rsidRPr="008F56A2" w:rsidR="008F56A2">
        <w:rPr>
          <w:lang w:val="en-AU"/>
        </w:rPr>
        <w:t>Figure</w:t>
      </w:r>
      <w:r w:rsidRPr="008D1918" w:rsidR="008F56A2">
        <w:t xml:space="preserve"> </w:t>
      </w:r>
      <w:r w:rsidR="008F56A2">
        <w:rPr>
          <w:noProof/>
        </w:rPr>
        <w:t>65</w:t>
      </w:r>
      <w:r w:rsidRPr="008D1918" w:rsidR="00D50ED3">
        <w:rPr>
          <w:rFonts w:eastAsia="Arial" w:cs="Arial"/>
          <w:color w:val="000000" w:themeColor="accent6"/>
          <w:lang w:val="en-AU"/>
        </w:rPr>
        <w:fldChar w:fldCharType="end"/>
      </w:r>
      <w:r w:rsidRPr="008D1918" w:rsidR="00D50ED3">
        <w:rPr>
          <w:rFonts w:eastAsia="Arial" w:cs="Arial"/>
          <w:color w:val="000000" w:themeColor="accent6"/>
          <w:lang w:val="en-AU"/>
        </w:rPr>
        <w:t xml:space="preserve"> </w:t>
      </w:r>
      <w:r w:rsidRPr="008D1918">
        <w:rPr>
          <w:rFonts w:eastAsia="Arial" w:cs="Arial"/>
          <w:color w:val="000000" w:themeColor="accent6"/>
          <w:lang w:val="en-AU"/>
        </w:rPr>
        <w:t>is a map of Australia, ranked by IRSD, representing how vast the landscape is with majority of Australia’s landmass ranked 1</w:t>
      </w:r>
      <w:r w:rsidRPr="008D1918" w:rsidR="00D46DCE">
        <w:rPr>
          <w:rFonts w:eastAsia="Arial" w:cs="Arial"/>
          <w:color w:val="000000" w:themeColor="accent6"/>
          <w:lang w:val="en-AU"/>
        </w:rPr>
        <w:t>–</w:t>
      </w:r>
      <w:r w:rsidRPr="008D1918">
        <w:rPr>
          <w:rFonts w:eastAsia="Arial" w:cs="Arial"/>
          <w:color w:val="000000" w:themeColor="accent6"/>
          <w:lang w:val="en-AU"/>
        </w:rPr>
        <w:t>3 or 3</w:t>
      </w:r>
      <w:r w:rsidRPr="008D1918" w:rsidR="00D46DCE">
        <w:rPr>
          <w:rFonts w:eastAsia="Arial" w:cs="Arial"/>
          <w:color w:val="000000" w:themeColor="accent6"/>
          <w:lang w:val="en-AU"/>
        </w:rPr>
        <w:t>–</w:t>
      </w:r>
      <w:r w:rsidRPr="008D1918">
        <w:rPr>
          <w:rFonts w:eastAsia="Arial" w:cs="Arial"/>
          <w:color w:val="000000" w:themeColor="accent6"/>
          <w:lang w:val="en-AU"/>
        </w:rPr>
        <w:t xml:space="preserve">5, which indicates higher disadvantage. </w:t>
      </w:r>
    </w:p>
    <w:p w:rsidRPr="008D1918" w:rsidR="2DF64590" w:rsidP="00D50ED3" w:rsidRDefault="00D50ED3" w14:paraId="630E1B95" w14:textId="33F7EE60">
      <w:pPr>
        <w:pStyle w:val="Caption"/>
        <w:rPr>
          <w:rFonts w:eastAsia="Arial" w:cs="Arial"/>
          <w:color w:val="6B2876" w:themeColor="accent5"/>
        </w:rPr>
      </w:pPr>
      <w:bookmarkStart w:name="_Ref223684118" w:id="2290"/>
      <w:r w:rsidRPr="008D1918">
        <w:t xml:space="preserve">Figure </w:t>
      </w:r>
      <w:r>
        <w:fldChar w:fldCharType="begin"/>
      </w:r>
      <w:r>
        <w:instrText>SEQ Figure \* ARABIC</w:instrText>
      </w:r>
      <w:r>
        <w:fldChar w:fldCharType="separate"/>
      </w:r>
      <w:r w:rsidR="008F56A2">
        <w:rPr>
          <w:noProof/>
        </w:rPr>
        <w:t>65</w:t>
      </w:r>
      <w:r>
        <w:fldChar w:fldCharType="end"/>
      </w:r>
      <w:bookmarkEnd w:id="2290"/>
      <w:r w:rsidRPr="008D1918" w:rsidR="2DF64590">
        <w:rPr>
          <w:rFonts w:eastAsia="Arial" w:cs="Arial"/>
          <w:color w:val="6B2876" w:themeColor="accent5"/>
        </w:rPr>
        <w:t xml:space="preserve">: </w:t>
      </w:r>
      <w:r w:rsidRPr="008D1918" w:rsidR="000941CA">
        <w:rPr>
          <w:rFonts w:eastAsia="Arial" w:cs="Arial"/>
          <w:color w:val="6B2876" w:themeColor="accent5"/>
        </w:rPr>
        <w:t>SEIFA</w:t>
      </w:r>
      <w:r w:rsidRPr="008D1918" w:rsidR="008C4D06">
        <w:rPr>
          <w:rFonts w:eastAsia="Arial" w:cs="Arial"/>
          <w:color w:val="6B2876" w:themeColor="accent5"/>
        </w:rPr>
        <w:t>-IRSD</w:t>
      </w:r>
      <w:r w:rsidRPr="008D1918" w:rsidR="2DF64590">
        <w:rPr>
          <w:rFonts w:eastAsia="Arial" w:cs="Arial"/>
          <w:color w:val="6B2876" w:themeColor="accent5"/>
        </w:rPr>
        <w:t xml:space="preserve"> decile rankings mapped across Australia</w:t>
      </w:r>
      <w:r w:rsidRPr="008D1918" w:rsidR="008C4D06">
        <w:rPr>
          <w:rFonts w:eastAsia="Arial" w:cs="Arial"/>
          <w:color w:val="6B2876" w:themeColor="accent5"/>
        </w:rPr>
        <w:t>,</w:t>
      </w:r>
      <w:r w:rsidRPr="008D1918" w:rsidR="00596A28">
        <w:rPr>
          <w:rFonts w:eastAsia="Arial" w:cs="Arial"/>
          <w:color w:val="6B2876" w:themeColor="accent5"/>
        </w:rPr>
        <w:t xml:space="preserve"> 2021</w:t>
      </w:r>
    </w:p>
    <w:p w:rsidRPr="008D1918" w:rsidR="2DF64590" w:rsidP="46E1B68B" w:rsidRDefault="1C6F176B" w14:paraId="2DAECE83" w14:textId="4A9DD92E">
      <w:pPr>
        <w:spacing w:line="360" w:lineRule="auto"/>
        <w:rPr>
          <w:rFonts w:eastAsia="Arial" w:cs="Arial"/>
          <w:color w:val="000000" w:themeColor="accent6"/>
          <w:lang w:val="en-AU"/>
        </w:rPr>
      </w:pPr>
      <w:r w:rsidRPr="008D1918">
        <w:rPr>
          <w:noProof/>
          <w:lang w:val="en-AU"/>
        </w:rPr>
        <w:drawing>
          <wp:inline distT="0" distB="0" distL="0" distR="0" wp14:anchorId="6E8C1A36" wp14:editId="5C3CE5E6">
            <wp:extent cx="3676650" cy="3219450"/>
            <wp:effectExtent l="0" t="0" r="0" b="0"/>
            <wp:docPr id="816637051" name="drawing" descr="Figure 65: A diagram showing the Socio-Economic Index for Areas (SEIFA) – Index of Relative Socio-Economic Disadvantage (IRSD) decile rankings mapped across Australia - 2021.&#10;The diagram shows a map of Australia with different colours representing the Index of Relative Socio-Economic Disadvantage (IRSD) rankings mapped across Australia, with the majority of Australia's vast landmass ranked 1-3 or 3-5, which indicates relatively greater disadvantage. Source: Socio-Economic Indexes for Areas (SEIFA), Australian Bureau of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37051" name="drawing" descr="Figure 65: A diagram showing the Socio-Economic Index for Areas (SEIFA) – Index of Relative Socio-Economic Disadvantage (IRSD) decile rankings mapped across Australia - 2021.&#10;The diagram shows a map of Australia with different colours representing the Index of Relative Socio-Economic Disadvantage (IRSD) rankings mapped across Australia, with the majority of Australia's vast landmass ranked 1-3 or 3-5, which indicates relatively greater disadvantage. Source: Socio-Economic Indexes for Areas (SEIFA), Australian Bureau of Statistics."/>
                    <pic:cNvPicPr/>
                  </pic:nvPicPr>
                  <pic:blipFill>
                    <a:blip r:embed="rId88">
                      <a:extLst>
                        <a:ext uri="{28A0092B-C50C-407E-A947-70E740481C1C}">
                          <a14:useLocalDpi xmlns:a14="http://schemas.microsoft.com/office/drawing/2010/main"/>
                        </a:ext>
                      </a:extLst>
                    </a:blip>
                    <a:stretch>
                      <a:fillRect/>
                    </a:stretch>
                  </pic:blipFill>
                  <pic:spPr>
                    <a:xfrm>
                      <a:off x="0" y="0"/>
                      <a:ext cx="3676650" cy="3219450"/>
                    </a:xfrm>
                    <a:prstGeom prst="rect">
                      <a:avLst/>
                    </a:prstGeom>
                  </pic:spPr>
                </pic:pic>
              </a:graphicData>
            </a:graphic>
          </wp:inline>
        </w:drawing>
      </w:r>
      <w:r w:rsidRPr="008D1918" w:rsidR="2DF64590">
        <w:rPr>
          <w:rFonts w:eastAsia="Arial" w:cs="Arial"/>
          <w:color w:val="000000" w:themeColor="accent6"/>
          <w:lang w:val="en-AU"/>
        </w:rPr>
        <w:t xml:space="preserve"> </w:t>
      </w:r>
      <w:r w:rsidRPr="008D1918" w:rsidR="46E5903D">
        <w:rPr>
          <w:noProof/>
          <w:lang w:val="en-AU"/>
        </w:rPr>
        <w:drawing>
          <wp:inline distT="0" distB="0" distL="0" distR="0" wp14:anchorId="5C4FDEBA" wp14:editId="3309CCD7">
            <wp:extent cx="1905000" cy="1514475"/>
            <wp:effectExtent l="0" t="0" r="0" b="0"/>
            <wp:docPr id="765802091" name="drawing" descr="Figure legend: ABS Socio-Economic Indexes for Areas (SEIFA) by 2021 SA2. The pink key denotes an IRSD rank within Australia decile greater than 5 to 10, where a higher score indicates a relative lack of disadvantage. The light purple key denotes a rank greater than 3 to 5, and the lightest colour denotes a rank ranging from 1 to 3 representing areas with greater relative disadvantage and limited advantage overall; these areas comprise a significant portion of Australia’s land mass as depicted on the map. The 'Other' category appears in grey on the legend but is minimally represented on the map. Source: SEIFA, Australian Bureau of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532286" name="Picture 1773532286"/>
                    <pic:cNvPicPr/>
                  </pic:nvPicPr>
                  <pic:blipFill>
                    <a:blip r:embed="rId89">
                      <a:extLst>
                        <a:ext uri="{28A0092B-C50C-407E-A947-70E740481C1C}">
                          <a14:useLocalDpi xmlns:a14="http://schemas.microsoft.com/office/drawing/2010/main"/>
                        </a:ext>
                      </a:extLst>
                    </a:blip>
                    <a:stretch>
                      <a:fillRect/>
                    </a:stretch>
                  </pic:blipFill>
                  <pic:spPr>
                    <a:xfrm>
                      <a:off x="0" y="0"/>
                      <a:ext cx="1905000" cy="1514475"/>
                    </a:xfrm>
                    <a:prstGeom prst="rect">
                      <a:avLst/>
                    </a:prstGeom>
                  </pic:spPr>
                </pic:pic>
              </a:graphicData>
            </a:graphic>
          </wp:inline>
        </w:drawing>
      </w:r>
    </w:p>
    <w:p w:rsidRPr="008D1918" w:rsidR="00D46DCE" w:rsidP="00D46DCE" w:rsidRDefault="00D46DCE" w14:paraId="04502236" w14:textId="577E9E2A">
      <w:pPr>
        <w:spacing w:before="120" w:after="360" w:line="240" w:lineRule="atLeast"/>
        <w:rPr>
          <w:rFonts w:cs="Calibri"/>
          <w:b/>
          <w:sz w:val="20"/>
          <w:szCs w:val="18"/>
          <w:lang w:val="en-AU" w:eastAsia="en-AU"/>
        </w:rPr>
      </w:pPr>
      <w:r w:rsidRPr="008D1918">
        <w:rPr>
          <w:rFonts w:cs="Calibri"/>
          <w:b/>
          <w:sz w:val="20"/>
          <w:szCs w:val="20"/>
          <w:lang w:val="en-AU" w:eastAsia="en-AU"/>
        </w:rPr>
        <w:t xml:space="preserve">Source: </w:t>
      </w:r>
      <w:r w:rsidRPr="008D1918" w:rsidR="00B8722D">
        <w:rPr>
          <w:rFonts w:cs="Calibri"/>
          <w:b/>
          <w:sz w:val="20"/>
          <w:szCs w:val="20"/>
          <w:lang w:val="en-AU" w:eastAsia="en-AU"/>
        </w:rPr>
        <w:t xml:space="preserve">Socio-Economic Indexes for Areas, </w:t>
      </w:r>
      <w:r w:rsidRPr="008D1918" w:rsidR="00492330">
        <w:rPr>
          <w:rFonts w:cs="Calibri"/>
          <w:b/>
          <w:sz w:val="20"/>
          <w:szCs w:val="20"/>
          <w:lang w:val="en-AU" w:eastAsia="en-AU"/>
        </w:rPr>
        <w:t xml:space="preserve">Australian </w:t>
      </w:r>
      <w:r w:rsidRPr="008D1918" w:rsidR="003E14E8">
        <w:rPr>
          <w:rFonts w:cs="Calibri"/>
          <w:b/>
          <w:sz w:val="20"/>
          <w:szCs w:val="20"/>
          <w:lang w:val="en-AU" w:eastAsia="en-AU"/>
        </w:rPr>
        <w:t>Bureau of Statistics</w:t>
      </w:r>
      <w:r w:rsidRPr="008D1918" w:rsidR="00B8722D">
        <w:rPr>
          <w:rStyle w:val="FootnoteReference"/>
          <w:rFonts w:cs="Calibri"/>
          <w:b/>
          <w:sz w:val="20"/>
          <w:szCs w:val="20"/>
          <w:lang w:val="en-AU" w:eastAsia="en-AU"/>
        </w:rPr>
        <w:footnoteReference w:id="39"/>
      </w:r>
    </w:p>
    <w:p w:rsidRPr="008D1918" w:rsidR="002A4DD1" w:rsidP="001D163B" w:rsidRDefault="00894701" w14:paraId="4D467735" w14:textId="19E28F18">
      <w:pPr>
        <w:pStyle w:val="Heading31"/>
        <w:ind w:left="1077" w:hanging="720"/>
        <w:rPr>
          <w:rFonts w:eastAsia="Arial"/>
        </w:rPr>
      </w:pPr>
      <w:bookmarkStart w:name="_Toc227337195" w:id="2291"/>
      <w:r w:rsidRPr="008D1918">
        <w:rPr>
          <w:rFonts w:eastAsia="Arial"/>
        </w:rPr>
        <w:t>What this means for pricing and market decisions</w:t>
      </w:r>
      <w:bookmarkEnd w:id="2291"/>
      <w:r w:rsidRPr="008D1918">
        <w:rPr>
          <w:rFonts w:eastAsia="Arial"/>
        </w:rPr>
        <w:t xml:space="preserve"> </w:t>
      </w:r>
      <w:r w:rsidRPr="008D1918" w:rsidR="002A4DD1">
        <w:rPr>
          <w:rFonts w:eastAsia="Arial"/>
        </w:rPr>
        <w:t xml:space="preserve"> </w:t>
      </w:r>
    </w:p>
    <w:p w:rsidRPr="008D1918" w:rsidR="00A55D99" w:rsidP="0020030D" w:rsidRDefault="00A55D99" w14:paraId="4B16B752" w14:textId="6BD7398E">
      <w:pPr>
        <w:rPr>
          <w:rFonts w:eastAsia="Arial" w:cs="Arial"/>
          <w:color w:val="000000" w:themeColor="accent6"/>
          <w:lang w:val="en-AU"/>
        </w:rPr>
      </w:pPr>
      <w:r w:rsidRPr="008D1918">
        <w:rPr>
          <w:rFonts w:eastAsia="Arial" w:cs="Arial"/>
          <w:color w:val="000000" w:themeColor="accent6"/>
          <w:lang w:val="en-AU"/>
        </w:rPr>
        <w:t xml:space="preserve">This chapter’s analysis supports </w:t>
      </w:r>
      <w:r w:rsidRPr="008D1918" w:rsidR="00FD4ECE">
        <w:rPr>
          <w:rFonts w:eastAsia="Arial" w:cs="Arial"/>
          <w:color w:val="000000" w:themeColor="accent6"/>
          <w:lang w:val="en-AU"/>
        </w:rPr>
        <w:t xml:space="preserve">2 </w:t>
      </w:r>
      <w:r w:rsidRPr="008D1918">
        <w:rPr>
          <w:rFonts w:eastAsia="Arial" w:cs="Arial"/>
          <w:color w:val="000000" w:themeColor="accent6"/>
          <w:lang w:val="en-AU"/>
        </w:rPr>
        <w:t xml:space="preserve">policy </w:t>
      </w:r>
      <w:r w:rsidRPr="008D1918" w:rsidR="00CF740A">
        <w:rPr>
          <w:rFonts w:eastAsia="Arial" w:cs="Arial"/>
          <w:color w:val="000000" w:themeColor="accent6"/>
          <w:lang w:val="en-AU"/>
        </w:rPr>
        <w:t>recommendations</w:t>
      </w:r>
      <w:r w:rsidRPr="008D1918">
        <w:rPr>
          <w:rFonts w:eastAsia="Arial" w:cs="Arial"/>
          <w:color w:val="000000" w:themeColor="accent6"/>
          <w:lang w:val="en-AU"/>
        </w:rPr>
        <w:t xml:space="preserve">, </w:t>
      </w:r>
      <w:r w:rsidRPr="008D1918" w:rsidR="00A1303F">
        <w:rPr>
          <w:rFonts w:eastAsia="Arial" w:cs="Arial"/>
          <w:color w:val="000000" w:themeColor="accent6"/>
          <w:lang w:val="en-AU"/>
        </w:rPr>
        <w:t xml:space="preserve">first, </w:t>
      </w:r>
      <w:r w:rsidRPr="008D1918">
        <w:rPr>
          <w:rFonts w:eastAsia="Arial" w:cs="Arial"/>
          <w:color w:val="000000" w:themeColor="accent6"/>
          <w:lang w:val="en-AU"/>
        </w:rPr>
        <w:t xml:space="preserve">the current ITM list (referred to below as Type 1 locations) remains appropriate and should be retained with an updated definition; </w:t>
      </w:r>
      <w:r w:rsidRPr="008D1918" w:rsidR="00A1303F">
        <w:rPr>
          <w:rFonts w:eastAsia="Arial" w:cs="Arial"/>
          <w:color w:val="000000" w:themeColor="accent6"/>
          <w:lang w:val="en-AU"/>
        </w:rPr>
        <w:t xml:space="preserve">second, </w:t>
      </w:r>
      <w:r w:rsidRPr="008D1918">
        <w:rPr>
          <w:rFonts w:eastAsia="Arial" w:cs="Arial"/>
          <w:color w:val="000000" w:themeColor="accent6"/>
          <w:lang w:val="en-AU"/>
        </w:rPr>
        <w:t xml:space="preserve">a new category of locations (Type 2) should be identified using a multi-criteria framework where additional market intervention is warranted. The following paragraphs set out the evidence for each conclusion. </w:t>
      </w:r>
    </w:p>
    <w:p w:rsidRPr="008D1918" w:rsidR="0020030D" w:rsidP="0020030D" w:rsidRDefault="0020030D" w14:paraId="2B61FAC4" w14:textId="4E55B7BF">
      <w:pPr>
        <w:rPr>
          <w:rFonts w:eastAsia="Arial" w:cs="Arial"/>
          <w:color w:val="000000" w:themeColor="accent6"/>
          <w:lang w:val="en-AU"/>
        </w:rPr>
      </w:pPr>
      <w:r w:rsidRPr="008D1918">
        <w:rPr>
          <w:rFonts w:eastAsia="Arial" w:cs="Arial"/>
          <w:color w:val="000000" w:themeColor="accent6"/>
          <w:lang w:val="en-AU"/>
        </w:rPr>
        <w:t xml:space="preserve">Plan </w:t>
      </w:r>
      <w:r w:rsidRPr="008D1918" w:rsidR="00AF2A3E">
        <w:rPr>
          <w:rFonts w:eastAsia="Arial" w:cs="Arial"/>
          <w:color w:val="000000" w:themeColor="accent6"/>
          <w:lang w:val="en-AU"/>
        </w:rPr>
        <w:t>use</w:t>
      </w:r>
      <w:r w:rsidRPr="008D1918">
        <w:rPr>
          <w:rFonts w:eastAsia="Arial" w:cs="Arial"/>
          <w:color w:val="000000" w:themeColor="accent6"/>
          <w:lang w:val="en-AU"/>
        </w:rPr>
        <w:t>, the share of plan budgets participants spend, is the most revealing indicator of thin</w:t>
      </w:r>
      <w:r w:rsidRPr="008D1918" w:rsidR="00A1303F">
        <w:rPr>
          <w:rFonts w:eastAsia="Arial" w:cs="Arial"/>
          <w:color w:val="000000" w:themeColor="accent6"/>
          <w:lang w:val="en-AU"/>
        </w:rPr>
        <w:t xml:space="preserve"> </w:t>
      </w:r>
      <w:r w:rsidRPr="008D1918">
        <w:rPr>
          <w:rFonts w:eastAsia="Arial" w:cs="Arial"/>
          <w:color w:val="000000" w:themeColor="accent6"/>
          <w:lang w:val="en-AU"/>
        </w:rPr>
        <w:t xml:space="preserve">market stress. </w:t>
      </w:r>
      <w:r w:rsidRPr="008D1918" w:rsidR="007F69CC">
        <w:rPr>
          <w:rFonts w:eastAsia="Arial" w:cs="Arial"/>
          <w:color w:val="000000" w:themeColor="accent6"/>
          <w:lang w:val="en-AU"/>
        </w:rPr>
        <w:t>Plan use</w:t>
      </w:r>
      <w:r w:rsidRPr="008D1918">
        <w:rPr>
          <w:rFonts w:eastAsia="Arial" w:cs="Arial"/>
          <w:color w:val="000000" w:themeColor="accent6"/>
          <w:lang w:val="en-AU"/>
        </w:rPr>
        <w:t xml:space="preserve"> in MM 5 locations (67%) is lower than in MM 6 </w:t>
      </w:r>
      <w:r w:rsidRPr="008D1918" w:rsidR="00A1303F">
        <w:rPr>
          <w:rFonts w:eastAsia="Arial" w:cs="Arial"/>
          <w:color w:val="000000" w:themeColor="accent6"/>
          <w:lang w:val="en-AU"/>
        </w:rPr>
        <w:t>locations</w:t>
      </w:r>
      <w:r w:rsidRPr="008D1918">
        <w:rPr>
          <w:rFonts w:eastAsia="Arial" w:cs="Arial"/>
          <w:color w:val="000000" w:themeColor="accent6"/>
          <w:lang w:val="en-AU"/>
        </w:rPr>
        <w:t xml:space="preserve"> (71%) despite MM 5 having substantially more participants and a larger geographic footprint. This inversion, regional areas performing worse than remote areas on the access metric, indicates the current pricing architecture, which applies 40% and 50% loadings to MM 6 and MM 7 respectively but not to MM 4–5, may have created a discontinuity in market conditions at the boundary between regional and remote classifications.</w:t>
      </w:r>
    </w:p>
    <w:p w:rsidRPr="008D1918" w:rsidR="0020030D" w:rsidP="0020030D" w:rsidRDefault="00B54351" w14:paraId="68DDFADB" w14:textId="77E4A383">
      <w:pPr>
        <w:rPr>
          <w:rFonts w:eastAsia="Arial" w:cs="Arial"/>
          <w:color w:val="000000" w:themeColor="accent6"/>
          <w:lang w:val="en-AU"/>
        </w:rPr>
      </w:pPr>
      <w:r w:rsidRPr="008D1918">
        <w:rPr>
          <w:rFonts w:eastAsia="Arial" w:cs="Arial"/>
          <w:color w:val="000000" w:themeColor="accent6"/>
          <w:lang w:val="en-AU"/>
        </w:rPr>
        <w:t xml:space="preserve">A </w:t>
      </w:r>
      <w:r w:rsidRPr="008D1918" w:rsidR="0020030D">
        <w:rPr>
          <w:rFonts w:eastAsia="Arial" w:cs="Arial"/>
          <w:color w:val="000000" w:themeColor="accent6"/>
          <w:lang w:val="en-AU"/>
        </w:rPr>
        <w:t xml:space="preserve">multi-criteria framework </w:t>
      </w:r>
      <w:r w:rsidRPr="008D1918" w:rsidR="004D5D62">
        <w:rPr>
          <w:rFonts w:eastAsia="Arial" w:cs="Arial"/>
          <w:color w:val="000000" w:themeColor="accent6"/>
          <w:lang w:val="en-AU"/>
        </w:rPr>
        <w:t>could be considered to identify Type 2 locations where market stress is concentrated</w:t>
      </w:r>
      <w:r w:rsidRPr="008D1918" w:rsidR="0020030D">
        <w:rPr>
          <w:rFonts w:eastAsia="Arial" w:cs="Arial"/>
          <w:color w:val="000000" w:themeColor="accent6"/>
          <w:lang w:val="en-AU"/>
        </w:rPr>
        <w:t xml:space="preserve"> driven by a combination of distance, disadvantage and low service density. </w:t>
      </w:r>
    </w:p>
    <w:p w:rsidRPr="008D1918" w:rsidR="00E417C4" w:rsidP="0020030D" w:rsidRDefault="00CF11B4" w14:paraId="50713027" w14:textId="3626CB3C">
      <w:pPr>
        <w:rPr>
          <w:rFonts w:eastAsia="Arial" w:cs="Arial"/>
          <w:color w:val="000000" w:themeColor="accent6"/>
          <w:lang w:val="en-AU"/>
        </w:rPr>
      </w:pPr>
      <w:r w:rsidRPr="008D1918">
        <w:rPr>
          <w:rFonts w:eastAsia="Arial" w:cs="Arial"/>
          <w:color w:val="000000" w:themeColor="accent6"/>
          <w:lang w:val="en-AU"/>
        </w:rPr>
        <w:t>A</w:t>
      </w:r>
      <w:r w:rsidRPr="008D1918" w:rsidR="0020030D">
        <w:rPr>
          <w:rFonts w:eastAsia="Arial" w:cs="Arial"/>
          <w:color w:val="000000" w:themeColor="accent6"/>
          <w:lang w:val="en-AU"/>
        </w:rPr>
        <w:t xml:space="preserve"> pricing lever available for the newly identified Type 2 </w:t>
      </w:r>
      <w:r w:rsidRPr="008D1918" w:rsidR="000D474A">
        <w:rPr>
          <w:rFonts w:eastAsia="Arial" w:cs="Arial"/>
          <w:color w:val="000000" w:themeColor="accent6"/>
          <w:lang w:val="en-AU"/>
        </w:rPr>
        <w:t>Isolated Town</w:t>
      </w:r>
      <w:r w:rsidRPr="008D1918" w:rsidR="0020030D">
        <w:rPr>
          <w:rFonts w:eastAsia="Arial" w:cs="Arial"/>
          <w:color w:val="000000" w:themeColor="accent6"/>
          <w:lang w:val="en-AU"/>
        </w:rPr>
        <w:t xml:space="preserve"> locations, </w:t>
      </w:r>
      <w:r w:rsidRPr="008D1918" w:rsidR="00E417C4">
        <w:rPr>
          <w:rFonts w:eastAsia="Arial" w:cs="Arial"/>
          <w:color w:val="000000" w:themeColor="accent6"/>
          <w:lang w:val="en-AU"/>
        </w:rPr>
        <w:t>that avoids the over classification risk identified by stakeholders where loadings are applied to</w:t>
      </w:r>
      <w:r w:rsidRPr="008D1918" w:rsidR="00DE1D7D">
        <w:rPr>
          <w:rFonts w:eastAsia="Arial" w:cs="Arial"/>
          <w:color w:val="000000" w:themeColor="accent6"/>
          <w:lang w:val="en-AU"/>
        </w:rPr>
        <w:t>o</w:t>
      </w:r>
      <w:r w:rsidRPr="008D1918" w:rsidR="00E417C4">
        <w:rPr>
          <w:rFonts w:eastAsia="Arial" w:cs="Arial"/>
          <w:color w:val="000000" w:themeColor="accent6"/>
          <w:lang w:val="en-AU"/>
        </w:rPr>
        <w:t xml:space="preserve"> broadly, would be to allow travel-time negotiations without a loading. </w:t>
      </w:r>
    </w:p>
    <w:p w:rsidRPr="008D1918" w:rsidR="0020030D" w:rsidP="0020030D" w:rsidRDefault="00E417C4" w14:paraId="26ED929B" w14:textId="1318832A">
      <w:pPr>
        <w:rPr>
          <w:rFonts w:eastAsia="Arial" w:cs="Arial"/>
          <w:color w:val="000000" w:themeColor="accent6"/>
          <w:lang w:val="en-AU"/>
        </w:rPr>
      </w:pPr>
      <w:r w:rsidRPr="008D1918">
        <w:rPr>
          <w:rFonts w:eastAsia="Arial" w:cs="Arial"/>
          <w:color w:val="000000" w:themeColor="accent6"/>
          <w:lang w:val="en-AU"/>
        </w:rPr>
        <w:t>This would address</w:t>
      </w:r>
      <w:r w:rsidRPr="008D1918" w:rsidR="0020030D">
        <w:rPr>
          <w:rFonts w:eastAsia="Arial" w:cs="Arial"/>
          <w:color w:val="000000" w:themeColor="accent6"/>
          <w:lang w:val="en-AU"/>
        </w:rPr>
        <w:t xml:space="preserve"> one of the </w:t>
      </w:r>
      <w:r w:rsidRPr="008D1918" w:rsidR="00186248">
        <w:rPr>
          <w:rFonts w:eastAsia="Arial" w:cs="Arial"/>
          <w:color w:val="000000" w:themeColor="accent6"/>
          <w:lang w:val="en-AU"/>
        </w:rPr>
        <w:t xml:space="preserve">3 </w:t>
      </w:r>
      <w:r w:rsidRPr="008D1918" w:rsidR="0020030D">
        <w:rPr>
          <w:rFonts w:eastAsia="Arial" w:cs="Arial"/>
          <w:color w:val="000000" w:themeColor="accent6"/>
          <w:lang w:val="en-AU"/>
        </w:rPr>
        <w:t xml:space="preserve">constraints (travel-cost recovery) but not the other </w:t>
      </w:r>
      <w:r w:rsidRPr="008D1918" w:rsidR="00FD4ECE">
        <w:rPr>
          <w:rFonts w:eastAsia="Arial" w:cs="Arial"/>
          <w:color w:val="000000" w:themeColor="accent6"/>
          <w:lang w:val="en-AU"/>
        </w:rPr>
        <w:t xml:space="preserve">2 </w:t>
      </w:r>
      <w:r w:rsidRPr="008D1918" w:rsidR="0020030D">
        <w:rPr>
          <w:rFonts w:eastAsia="Arial" w:cs="Arial"/>
          <w:color w:val="000000" w:themeColor="accent6"/>
          <w:lang w:val="en-AU"/>
        </w:rPr>
        <w:t>(workforce absence and socio</w:t>
      </w:r>
      <w:r w:rsidRPr="008D1918" w:rsidR="001727FA">
        <w:rPr>
          <w:rFonts w:eastAsia="Arial" w:cs="Arial"/>
          <w:color w:val="000000" w:themeColor="accent6"/>
          <w:lang w:val="en-AU"/>
        </w:rPr>
        <w:t>-</w:t>
      </w:r>
      <w:r w:rsidRPr="008D1918" w:rsidR="0020030D">
        <w:rPr>
          <w:rFonts w:eastAsia="Arial" w:cs="Arial"/>
          <w:color w:val="000000" w:themeColor="accent6"/>
          <w:lang w:val="en-AU"/>
        </w:rPr>
        <w:t xml:space="preserve">economic disadvantage). In locations where </w:t>
      </w:r>
      <w:r w:rsidRPr="008D1918" w:rsidR="000D2919">
        <w:rPr>
          <w:rFonts w:eastAsia="Arial" w:cs="Arial"/>
          <w:color w:val="000000" w:themeColor="accent6"/>
          <w:lang w:val="en-AU"/>
        </w:rPr>
        <w:t xml:space="preserve">plan use </w:t>
      </w:r>
      <w:r w:rsidRPr="008D1918" w:rsidR="0020030D">
        <w:rPr>
          <w:rFonts w:eastAsia="Arial" w:cs="Arial"/>
          <w:color w:val="000000" w:themeColor="accent6"/>
          <w:lang w:val="en-AU"/>
        </w:rPr>
        <w:t>is low</w:t>
      </w:r>
      <w:r w:rsidRPr="008D1918" w:rsidR="00C76123">
        <w:rPr>
          <w:rFonts w:eastAsia="Arial" w:cs="Arial"/>
          <w:color w:val="000000" w:themeColor="accent6"/>
          <w:lang w:val="en-AU"/>
        </w:rPr>
        <w:t>,</w:t>
      </w:r>
      <w:r w:rsidRPr="008D1918" w:rsidR="0020030D">
        <w:rPr>
          <w:rFonts w:eastAsia="Arial" w:cs="Arial"/>
          <w:color w:val="000000" w:themeColor="accent6"/>
          <w:lang w:val="en-AU"/>
        </w:rPr>
        <w:t xml:space="preserve"> primarily because providers are not present, enabling travel negotiation may attract fly-in-fly-out services but is unlikely to generate locally based supply. The pricing </w:t>
      </w:r>
      <w:r w:rsidRPr="008D1918" w:rsidR="00540037">
        <w:rPr>
          <w:rFonts w:eastAsia="Arial" w:cs="Arial"/>
          <w:color w:val="000000" w:themeColor="accent6"/>
          <w:lang w:val="en-AU"/>
        </w:rPr>
        <w:t>adjustment</w:t>
      </w:r>
      <w:r w:rsidRPr="008D1918" w:rsidR="0020030D">
        <w:rPr>
          <w:rFonts w:eastAsia="Arial" w:cs="Arial"/>
          <w:color w:val="000000" w:themeColor="accent6"/>
          <w:lang w:val="en-AU"/>
        </w:rPr>
        <w:t xml:space="preserve"> may be necessary but not sufficient for the most constrained locations.</w:t>
      </w:r>
    </w:p>
    <w:p w:rsidRPr="008D1918" w:rsidR="002A4DD1" w:rsidP="00747707" w:rsidRDefault="0020030D" w14:paraId="54890648" w14:textId="4F4B4B50">
      <w:pPr>
        <w:rPr>
          <w:rFonts w:eastAsia="Arial" w:cs="Arial"/>
          <w:color w:val="000000" w:themeColor="accent6"/>
          <w:lang w:val="en-AU"/>
        </w:rPr>
      </w:pPr>
      <w:r w:rsidRPr="008D1918">
        <w:rPr>
          <w:rFonts w:eastAsia="Arial" w:cs="Arial"/>
          <w:color w:val="000000" w:themeColor="accent6"/>
          <w:lang w:val="en-AU"/>
        </w:rPr>
        <w:t xml:space="preserve">The distinction between Type 1 </w:t>
      </w:r>
      <w:r w:rsidRPr="008D1918" w:rsidR="000D474A">
        <w:rPr>
          <w:rFonts w:eastAsia="Arial" w:cs="Arial"/>
          <w:color w:val="000000" w:themeColor="accent6"/>
          <w:lang w:val="en-AU"/>
        </w:rPr>
        <w:t>Isolated Towns</w:t>
      </w:r>
      <w:r w:rsidRPr="008D1918">
        <w:rPr>
          <w:rFonts w:eastAsia="Arial" w:cs="Arial"/>
          <w:color w:val="000000" w:themeColor="accent6"/>
          <w:lang w:val="en-AU"/>
        </w:rPr>
        <w:t xml:space="preserve"> (reclassified to MM 6 with full loading) and Type 2 </w:t>
      </w:r>
      <w:r w:rsidRPr="008D1918" w:rsidR="000D474A">
        <w:rPr>
          <w:rFonts w:eastAsia="Arial" w:cs="Arial"/>
          <w:color w:val="000000" w:themeColor="accent6"/>
          <w:lang w:val="en-AU"/>
        </w:rPr>
        <w:t>Isolated Towns</w:t>
      </w:r>
      <w:r w:rsidRPr="008D1918">
        <w:rPr>
          <w:rFonts w:eastAsia="Arial" w:cs="Arial"/>
          <w:color w:val="000000" w:themeColor="accent6"/>
          <w:lang w:val="en-AU"/>
        </w:rPr>
        <w:t xml:space="preserve"> (travel negotiation only) locations </w:t>
      </w:r>
      <w:r w:rsidRPr="008D1918" w:rsidR="005F6224">
        <w:rPr>
          <w:rFonts w:eastAsia="Arial" w:cs="Arial"/>
          <w:color w:val="000000" w:themeColor="accent6"/>
          <w:lang w:val="en-AU"/>
        </w:rPr>
        <w:t xml:space="preserve">would </w:t>
      </w:r>
      <w:r w:rsidRPr="008D1918">
        <w:rPr>
          <w:rFonts w:eastAsia="Arial" w:cs="Arial"/>
          <w:color w:val="000000" w:themeColor="accent6"/>
          <w:lang w:val="en-AU"/>
        </w:rPr>
        <w:t xml:space="preserve">create a graduated response that is proportionate to the evidence. However, Type 2 </w:t>
      </w:r>
      <w:r w:rsidRPr="008D1918" w:rsidR="008046D5">
        <w:rPr>
          <w:rFonts w:eastAsia="Arial" w:cs="Arial"/>
          <w:color w:val="000000" w:themeColor="accent6"/>
          <w:lang w:val="en-AU"/>
        </w:rPr>
        <w:t>areas</w:t>
      </w:r>
      <w:r w:rsidRPr="008D1918">
        <w:rPr>
          <w:rFonts w:eastAsia="Arial" w:cs="Arial"/>
          <w:color w:val="000000" w:themeColor="accent6"/>
          <w:lang w:val="en-AU"/>
        </w:rPr>
        <w:t xml:space="preserve"> should be monitored specifically for whether the travel-negotiation lever produces measurable improvement in </w:t>
      </w:r>
      <w:r w:rsidRPr="008D1918" w:rsidR="000D2919">
        <w:rPr>
          <w:rFonts w:eastAsia="Arial" w:cs="Arial"/>
          <w:color w:val="000000" w:themeColor="accent6"/>
          <w:lang w:val="en-AU"/>
        </w:rPr>
        <w:t>plan use</w:t>
      </w:r>
      <w:r w:rsidRPr="008D1918">
        <w:rPr>
          <w:rFonts w:eastAsia="Arial" w:cs="Arial"/>
          <w:color w:val="000000" w:themeColor="accent6"/>
          <w:lang w:val="en-AU"/>
        </w:rPr>
        <w:t xml:space="preserve">. If </w:t>
      </w:r>
      <w:r w:rsidRPr="008D1918" w:rsidR="000D2919">
        <w:rPr>
          <w:rFonts w:eastAsia="Arial" w:cs="Arial"/>
          <w:color w:val="000000" w:themeColor="accent6"/>
          <w:lang w:val="en-AU"/>
        </w:rPr>
        <w:t>plan use</w:t>
      </w:r>
      <w:r w:rsidRPr="008D1918">
        <w:rPr>
          <w:rFonts w:eastAsia="Arial" w:cs="Arial"/>
          <w:color w:val="000000" w:themeColor="accent6"/>
          <w:lang w:val="en-AU"/>
        </w:rPr>
        <w:t xml:space="preserve"> in these </w:t>
      </w:r>
      <w:r w:rsidRPr="008D1918" w:rsidR="00A076AE">
        <w:rPr>
          <w:rFonts w:eastAsia="Arial" w:cs="Arial"/>
          <w:color w:val="000000" w:themeColor="accent6"/>
          <w:lang w:val="en-AU"/>
        </w:rPr>
        <w:t xml:space="preserve">areas </w:t>
      </w:r>
      <w:r w:rsidRPr="008D1918">
        <w:rPr>
          <w:rFonts w:eastAsia="Arial" w:cs="Arial"/>
          <w:color w:val="000000" w:themeColor="accent6"/>
          <w:lang w:val="en-AU"/>
        </w:rPr>
        <w:t xml:space="preserve">does not respond to the pricing </w:t>
      </w:r>
      <w:r w:rsidRPr="008D1918" w:rsidR="00A076AE">
        <w:rPr>
          <w:rFonts w:eastAsia="Arial" w:cs="Arial"/>
          <w:color w:val="000000" w:themeColor="accent6"/>
          <w:lang w:val="en-AU"/>
        </w:rPr>
        <w:t xml:space="preserve">adjustment </w:t>
      </w:r>
      <w:r w:rsidRPr="008D1918">
        <w:rPr>
          <w:rFonts w:eastAsia="Arial" w:cs="Arial"/>
          <w:color w:val="000000" w:themeColor="accent6"/>
          <w:lang w:val="en-AU"/>
        </w:rPr>
        <w:t xml:space="preserve">within 12–24 months, the evidence would support considering whether complementary non-pricing levers, coordinated funding proposals, direct commissioning or workforce incentives, </w:t>
      </w:r>
      <w:r w:rsidRPr="008D1918" w:rsidR="00DF5E6B">
        <w:rPr>
          <w:rFonts w:eastAsia="Arial" w:cs="Arial"/>
          <w:color w:val="000000" w:themeColor="accent6"/>
          <w:lang w:val="en-AU"/>
        </w:rPr>
        <w:t>should be implemented</w:t>
      </w:r>
      <w:r w:rsidRPr="008D1918">
        <w:rPr>
          <w:rFonts w:eastAsia="Arial" w:cs="Arial"/>
          <w:color w:val="000000" w:themeColor="accent6"/>
          <w:lang w:val="en-AU"/>
        </w:rPr>
        <w:t xml:space="preserve"> to address the supply-side constraints pricing alone cannot resolve</w:t>
      </w:r>
      <w:r w:rsidRPr="008D1918" w:rsidR="002A4DD1">
        <w:rPr>
          <w:rFonts w:eastAsia="Arial" w:cs="Arial"/>
          <w:color w:val="000000" w:themeColor="accent6"/>
          <w:lang w:val="en-AU"/>
        </w:rPr>
        <w:t>.</w:t>
      </w:r>
    </w:p>
    <w:p w:rsidRPr="008D1918" w:rsidR="2DF64590" w:rsidP="00601B61" w:rsidRDefault="2DF64590" w14:paraId="2890BE2A" w14:textId="375E210A">
      <w:pPr>
        <w:pStyle w:val="Heading31"/>
        <w:ind w:left="1077" w:hanging="720"/>
        <w:rPr>
          <w:rFonts w:eastAsia="Arial" w:cs="Arial"/>
        </w:rPr>
      </w:pPr>
      <w:bookmarkStart w:name="_Toc223539785" w:id="2292"/>
      <w:bookmarkStart w:name="_Toc223539998" w:id="2293"/>
      <w:bookmarkStart w:name="_Toc223540466" w:id="2294"/>
      <w:bookmarkStart w:name="_Toc223540682" w:id="2295"/>
      <w:bookmarkStart w:name="_Toc223542226" w:id="2296"/>
      <w:bookmarkStart w:name="_Toc223604410" w:id="2297"/>
      <w:bookmarkStart w:name="_Toc223604621" w:id="2298"/>
      <w:bookmarkStart w:name="_Toc227337196" w:id="2299"/>
      <w:r w:rsidRPr="008D1918">
        <w:rPr>
          <w:rFonts w:eastAsia="Arial"/>
        </w:rPr>
        <w:t>Discussion</w:t>
      </w:r>
      <w:bookmarkEnd w:id="2292"/>
      <w:bookmarkEnd w:id="2293"/>
      <w:bookmarkEnd w:id="2294"/>
      <w:bookmarkEnd w:id="2295"/>
      <w:bookmarkEnd w:id="2296"/>
      <w:bookmarkEnd w:id="2297"/>
      <w:bookmarkEnd w:id="2298"/>
      <w:bookmarkEnd w:id="2299"/>
      <w:r w:rsidRPr="008D1918">
        <w:rPr>
          <w:rFonts w:eastAsia="Arial"/>
        </w:rPr>
        <w:t xml:space="preserve"> </w:t>
      </w:r>
    </w:p>
    <w:p w:rsidRPr="008D1918" w:rsidR="2DF64590" w:rsidP="00041468" w:rsidRDefault="00A55D99" w14:paraId="0F74FF65" w14:textId="1CDB787B">
      <w:pPr>
        <w:pStyle w:val="StyleStyle112pt"/>
        <w:rPr>
          <w:rFonts w:eastAsia="Arial"/>
        </w:rPr>
      </w:pPr>
      <w:bookmarkStart w:name="_Toc223542227" w:id="2300"/>
      <w:bookmarkStart w:name="_Toc223604411" w:id="2301"/>
      <w:bookmarkStart w:name="_Toc223604622" w:id="2302"/>
      <w:bookmarkStart w:name="_Toc223604867" w:id="2303"/>
      <w:bookmarkStart w:name="_Toc223618708" w:id="2304"/>
      <w:bookmarkStart w:name="_Toc223702937" w:id="2305"/>
      <w:bookmarkStart w:name="_Toc227318829" w:id="2306"/>
      <w:bookmarkStart w:name="_Toc227337197" w:id="2307"/>
      <w:r w:rsidRPr="008D1918">
        <w:rPr>
          <w:rFonts w:eastAsia="Arial"/>
        </w:rPr>
        <w:t>Assessment: existing ITM locations</w:t>
      </w:r>
      <w:bookmarkEnd w:id="2300"/>
      <w:bookmarkEnd w:id="2301"/>
      <w:bookmarkEnd w:id="2302"/>
      <w:bookmarkEnd w:id="2303"/>
      <w:bookmarkEnd w:id="2304"/>
      <w:bookmarkEnd w:id="2305"/>
      <w:bookmarkEnd w:id="2306"/>
      <w:bookmarkEnd w:id="2307"/>
    </w:p>
    <w:p w:rsidRPr="008D1918" w:rsidR="2DF64590" w:rsidP="00147390" w:rsidRDefault="2DF64590" w14:paraId="519F0B84" w14:textId="7124E4BF">
      <w:pPr>
        <w:rPr>
          <w:rFonts w:eastAsia="Arial" w:cs="Arial"/>
          <w:color w:val="000000" w:themeColor="accent6"/>
          <w:lang w:val="en-AU"/>
        </w:rPr>
      </w:pPr>
      <w:r w:rsidRPr="008D1918">
        <w:rPr>
          <w:rFonts w:eastAsia="Arial" w:cs="Arial"/>
          <w:color w:val="000000" w:themeColor="accent6"/>
          <w:lang w:val="en-AU"/>
        </w:rPr>
        <w:t xml:space="preserve">The </w:t>
      </w:r>
      <w:r w:rsidRPr="008D1918" w:rsidR="00F30958">
        <w:rPr>
          <w:rFonts w:eastAsia="Arial" w:cs="Arial"/>
          <w:color w:val="000000" w:themeColor="accent6"/>
          <w:lang w:val="en-AU"/>
        </w:rPr>
        <w:t>ITM</w:t>
      </w:r>
      <w:r w:rsidRPr="008D1918">
        <w:rPr>
          <w:rFonts w:eastAsia="Arial" w:cs="Arial"/>
          <w:color w:val="000000" w:themeColor="accent6"/>
          <w:lang w:val="en-AU"/>
        </w:rPr>
        <w:t xml:space="preserve"> was implemented to modify the M</w:t>
      </w:r>
      <w:r w:rsidRPr="008D1918" w:rsidR="00E43DDB">
        <w:rPr>
          <w:rFonts w:eastAsia="Arial" w:cs="Arial"/>
          <w:color w:val="000000" w:themeColor="accent6"/>
          <w:lang w:val="en-AU"/>
        </w:rPr>
        <w:t>M</w:t>
      </w:r>
      <w:r w:rsidRPr="008D1918">
        <w:rPr>
          <w:rFonts w:eastAsia="Arial" w:cs="Arial"/>
          <w:color w:val="000000" w:themeColor="accent6"/>
          <w:lang w:val="en-AU"/>
        </w:rPr>
        <w:t xml:space="preserve"> </w:t>
      </w:r>
      <w:r w:rsidRPr="008D1918" w:rsidR="00FE3E0B">
        <w:rPr>
          <w:rFonts w:eastAsia="Arial" w:cs="Arial"/>
          <w:color w:val="000000" w:themeColor="accent6"/>
          <w:lang w:val="en-AU"/>
        </w:rPr>
        <w:t>categories</w:t>
      </w:r>
      <w:r w:rsidRPr="008D1918">
        <w:rPr>
          <w:rFonts w:eastAsia="Arial" w:cs="Arial"/>
          <w:color w:val="000000" w:themeColor="accent6"/>
          <w:lang w:val="en-AU"/>
        </w:rPr>
        <w:t xml:space="preserve"> of some locations for planning and pricing purposes, reflecting the geographic nature of locations surrounded by remote or very remote areas.</w:t>
      </w:r>
    </w:p>
    <w:p w:rsidRPr="008D1918" w:rsidR="2DF64590" w:rsidP="00147390" w:rsidRDefault="2DF64590" w14:paraId="600F6FDA" w14:textId="3FFCCF77">
      <w:pPr>
        <w:rPr>
          <w:rFonts w:eastAsia="Arial" w:cs="Arial"/>
          <w:color w:val="000000" w:themeColor="accent6"/>
          <w:lang w:val="en-AU"/>
        </w:rPr>
      </w:pPr>
      <w:r w:rsidRPr="008D1918">
        <w:rPr>
          <w:rFonts w:eastAsia="Arial" w:cs="Arial"/>
          <w:color w:val="000000" w:themeColor="accent6"/>
          <w:lang w:val="en-AU"/>
        </w:rPr>
        <w:t xml:space="preserve">The </w:t>
      </w:r>
      <w:r w:rsidRPr="008D1918" w:rsidR="000D474A">
        <w:rPr>
          <w:rFonts w:eastAsia="Arial" w:cs="Arial"/>
          <w:color w:val="000000" w:themeColor="accent6"/>
          <w:lang w:val="en-AU"/>
        </w:rPr>
        <w:t>ITM</w:t>
      </w:r>
      <w:r w:rsidRPr="008D1918">
        <w:rPr>
          <w:rFonts w:eastAsia="Arial" w:cs="Arial"/>
          <w:color w:val="000000" w:themeColor="accent6"/>
          <w:lang w:val="en-AU"/>
        </w:rPr>
        <w:t xml:space="preserve"> policy was subsequently extended to include locations where it is not possible to travel to a major city or regional centre (M</w:t>
      </w:r>
      <w:r w:rsidRPr="008D1918" w:rsidR="00E43DDB">
        <w:rPr>
          <w:rFonts w:eastAsia="Arial" w:cs="Arial"/>
          <w:color w:val="000000" w:themeColor="accent6"/>
          <w:lang w:val="en-AU"/>
        </w:rPr>
        <w:t>M</w:t>
      </w:r>
      <w:r w:rsidRPr="008D1918" w:rsidR="00D604F6">
        <w:rPr>
          <w:rFonts w:eastAsia="Arial" w:cs="Arial"/>
          <w:color w:val="000000" w:themeColor="accent6"/>
          <w:lang w:val="en-AU"/>
        </w:rPr>
        <w:t> </w:t>
      </w:r>
      <w:r w:rsidRPr="008D1918">
        <w:rPr>
          <w:rFonts w:eastAsia="Arial" w:cs="Arial"/>
          <w:color w:val="000000" w:themeColor="accent6"/>
          <w:lang w:val="en-AU"/>
        </w:rPr>
        <w:t>1</w:t>
      </w:r>
      <w:r w:rsidRPr="008D1918" w:rsidR="00D604F6">
        <w:rPr>
          <w:rFonts w:eastAsia="Arial" w:cs="Arial"/>
          <w:color w:val="000000" w:themeColor="accent6"/>
          <w:lang w:val="en-AU"/>
        </w:rPr>
        <w:t>–</w:t>
      </w:r>
      <w:r w:rsidRPr="008D1918">
        <w:rPr>
          <w:rFonts w:eastAsia="Arial" w:cs="Arial"/>
          <w:color w:val="000000" w:themeColor="accent6"/>
          <w:lang w:val="en-AU"/>
        </w:rPr>
        <w:t>2) without crossing a remote area (MM</w:t>
      </w:r>
      <w:r w:rsidRPr="008D1918" w:rsidR="00D604F6">
        <w:rPr>
          <w:rFonts w:eastAsia="Arial" w:cs="Arial"/>
          <w:color w:val="000000" w:themeColor="accent6"/>
          <w:lang w:val="en-AU"/>
        </w:rPr>
        <w:t> </w:t>
      </w:r>
      <w:r w:rsidRPr="008D1918">
        <w:rPr>
          <w:rFonts w:eastAsia="Arial" w:cs="Arial"/>
          <w:color w:val="000000" w:themeColor="accent6"/>
          <w:lang w:val="en-AU"/>
        </w:rPr>
        <w:t xml:space="preserve">6). Whilst the locations </w:t>
      </w:r>
      <w:r w:rsidRPr="008D1918" w:rsidR="00872C41">
        <w:rPr>
          <w:rFonts w:eastAsia="Arial" w:cs="Arial"/>
          <w:color w:val="000000" w:themeColor="accent6"/>
          <w:lang w:val="en-AU"/>
        </w:rPr>
        <w:t xml:space="preserve">affected </w:t>
      </w:r>
      <w:r w:rsidRPr="008D1918">
        <w:rPr>
          <w:rFonts w:eastAsia="Arial" w:cs="Arial"/>
          <w:color w:val="000000" w:themeColor="accent6"/>
          <w:lang w:val="en-AU"/>
        </w:rPr>
        <w:t xml:space="preserve">by this change were listed </w:t>
      </w:r>
      <w:r w:rsidRPr="008D1918" w:rsidR="0037077D">
        <w:rPr>
          <w:rFonts w:eastAsia="Arial" w:cs="Arial"/>
          <w:color w:val="000000" w:themeColor="accent6"/>
          <w:lang w:val="en-AU"/>
        </w:rPr>
        <w:t>NDIS pricing guidance</w:t>
      </w:r>
      <w:r w:rsidRPr="008D1918">
        <w:rPr>
          <w:rFonts w:eastAsia="Arial" w:cs="Arial"/>
          <w:color w:val="000000" w:themeColor="accent6"/>
          <w:lang w:val="en-AU"/>
        </w:rPr>
        <w:t xml:space="preserve">, the policy definition of the </w:t>
      </w:r>
      <w:r w:rsidRPr="008D1918" w:rsidR="00F30958">
        <w:rPr>
          <w:rFonts w:eastAsia="Arial" w:cs="Arial"/>
          <w:color w:val="000000" w:themeColor="accent6"/>
          <w:lang w:val="en-AU"/>
        </w:rPr>
        <w:t>ITM</w:t>
      </w:r>
      <w:r w:rsidRPr="008D1918">
        <w:rPr>
          <w:rFonts w:eastAsia="Arial" w:cs="Arial"/>
          <w:color w:val="000000" w:themeColor="accent6"/>
          <w:lang w:val="en-AU"/>
        </w:rPr>
        <w:t xml:space="preserve"> was not explicitly reflected, with stakeholder feedback indicating the policy needs to be more clearly defined.</w:t>
      </w:r>
    </w:p>
    <w:p w:rsidRPr="008D1918" w:rsidR="00A67469" w:rsidP="00147390" w:rsidRDefault="00C33C13" w14:paraId="5CF25B02" w14:textId="0C867135">
      <w:pPr>
        <w:rPr>
          <w:rFonts w:eastAsia="Arial" w:cs="Arial"/>
          <w:color w:val="000000" w:themeColor="accent6"/>
          <w:lang w:val="en-AU"/>
        </w:rPr>
      </w:pPr>
      <w:r w:rsidRPr="008D1918">
        <w:rPr>
          <w:rFonts w:eastAsia="Arial" w:cs="Arial"/>
          <w:color w:val="000000" w:themeColor="accent6"/>
          <w:lang w:val="en-AU"/>
        </w:rPr>
        <w:t>Plan use</w:t>
      </w:r>
      <w:r w:rsidRPr="008D1918" w:rsidR="00432ECE">
        <w:rPr>
          <w:rFonts w:eastAsia="Arial" w:cs="Arial"/>
          <w:color w:val="000000" w:themeColor="accent6"/>
          <w:lang w:val="en-AU"/>
        </w:rPr>
        <w:t xml:space="preserve">, plan activation and travel data for existing ITM locations indicate these towns </w:t>
      </w:r>
      <w:r w:rsidRPr="008D1918" w:rsidR="2DF64590">
        <w:rPr>
          <w:rFonts w:eastAsia="Arial" w:cs="Arial"/>
          <w:color w:val="000000" w:themeColor="accent6"/>
          <w:lang w:val="en-AU"/>
        </w:rPr>
        <w:t xml:space="preserve">continue to act like remote regions with reduced plan </w:t>
      </w:r>
      <w:r w:rsidRPr="008D1918">
        <w:rPr>
          <w:rFonts w:eastAsia="Arial" w:cs="Arial"/>
          <w:color w:val="000000" w:themeColor="accent6"/>
          <w:lang w:val="en-AU"/>
        </w:rPr>
        <w:t>use</w:t>
      </w:r>
      <w:r w:rsidRPr="008D1918" w:rsidR="2DF64590">
        <w:rPr>
          <w:rFonts w:eastAsia="Arial" w:cs="Arial"/>
          <w:color w:val="000000" w:themeColor="accent6"/>
          <w:lang w:val="en-AU"/>
        </w:rPr>
        <w:t>, longer plan activation and increased travel costs as compared to non</w:t>
      </w:r>
      <w:r w:rsidRPr="008D1918" w:rsidR="00596A28">
        <w:rPr>
          <w:rFonts w:eastAsia="Arial" w:cs="Arial"/>
          <w:color w:val="000000" w:themeColor="accent6"/>
          <w:lang w:val="en-AU"/>
        </w:rPr>
        <w:t>-</w:t>
      </w:r>
      <w:r w:rsidRPr="008D1918" w:rsidR="0040413E">
        <w:rPr>
          <w:rFonts w:eastAsia="Arial" w:cs="Arial"/>
          <w:color w:val="000000" w:themeColor="accent6"/>
          <w:lang w:val="en-AU"/>
        </w:rPr>
        <w:t>ITM</w:t>
      </w:r>
      <w:r w:rsidRPr="008D1918" w:rsidR="2DF64590">
        <w:rPr>
          <w:rFonts w:eastAsia="Arial" w:cs="Arial"/>
          <w:color w:val="000000" w:themeColor="accent6"/>
          <w:lang w:val="en-AU"/>
        </w:rPr>
        <w:t xml:space="preserve"> locations</w:t>
      </w:r>
      <w:r w:rsidRPr="008D1918" w:rsidR="0040413E">
        <w:rPr>
          <w:rFonts w:eastAsia="Arial" w:cs="Arial"/>
          <w:color w:val="000000" w:themeColor="accent6"/>
          <w:lang w:val="en-AU"/>
        </w:rPr>
        <w:t xml:space="preserve"> with the same MM</w:t>
      </w:r>
      <w:r w:rsidRPr="008D1918" w:rsidR="00577105">
        <w:rPr>
          <w:rFonts w:eastAsia="Arial" w:cs="Arial"/>
          <w:color w:val="000000" w:themeColor="accent6"/>
          <w:lang w:val="en-AU"/>
        </w:rPr>
        <w:t xml:space="preserve"> category</w:t>
      </w:r>
      <w:r w:rsidRPr="008D1918" w:rsidR="2DF64590">
        <w:rPr>
          <w:rFonts w:eastAsia="Arial" w:cs="Arial"/>
          <w:color w:val="000000" w:themeColor="accent6"/>
          <w:lang w:val="en-AU"/>
        </w:rPr>
        <w:t>.</w:t>
      </w:r>
    </w:p>
    <w:p w:rsidRPr="008D1918" w:rsidR="00A67469" w:rsidRDefault="00A67469" w14:paraId="1CB1AD03" w14:textId="77777777">
      <w:pPr>
        <w:spacing w:after="0" w:line="240" w:lineRule="auto"/>
        <w:rPr>
          <w:rFonts w:eastAsia="Arial" w:cs="Arial"/>
          <w:color w:val="000000" w:themeColor="accent6"/>
          <w:lang w:val="en-AU"/>
        </w:rPr>
      </w:pPr>
      <w:r w:rsidRPr="008D1918">
        <w:rPr>
          <w:rFonts w:eastAsia="Arial" w:cs="Arial"/>
          <w:color w:val="000000" w:themeColor="accent6"/>
          <w:lang w:val="en-AU"/>
        </w:rPr>
        <w:br w:type="page"/>
      </w:r>
    </w:p>
    <w:p w:rsidRPr="008D1918" w:rsidR="2DF64590" w:rsidP="00D604F6" w:rsidRDefault="2DF64590" w14:paraId="710162C5" w14:textId="567F313D">
      <w:pPr>
        <w:rPr>
          <w:rFonts w:eastAsia="Arial" w:cs="Arial"/>
          <w:color w:val="000000" w:themeColor="accent6"/>
          <w:lang w:val="en-AU"/>
        </w:rPr>
      </w:pPr>
      <w:r w:rsidRPr="008D1918">
        <w:rPr>
          <w:rFonts w:eastAsia="Arial" w:cs="Arial"/>
          <w:color w:val="000000" w:themeColor="accent6"/>
          <w:lang w:val="en-AU"/>
        </w:rPr>
        <w:t>In addition to this, stakeholders support</w:t>
      </w:r>
      <w:r w:rsidRPr="008D1918" w:rsidR="007B0474">
        <w:rPr>
          <w:rFonts w:eastAsia="Arial" w:cs="Arial"/>
          <w:color w:val="000000" w:themeColor="accent6"/>
          <w:lang w:val="en-AU"/>
        </w:rPr>
        <w:t>ed</w:t>
      </w:r>
      <w:r w:rsidRPr="008D1918">
        <w:rPr>
          <w:rFonts w:eastAsia="Arial" w:cs="Arial"/>
          <w:color w:val="000000" w:themeColor="accent6"/>
          <w:lang w:val="en-AU"/>
        </w:rPr>
        <w:t xml:space="preserve"> the existing policy for these towns</w:t>
      </w:r>
      <w:r w:rsidRPr="008D1918" w:rsidR="006302AF">
        <w:rPr>
          <w:rFonts w:eastAsia="Arial" w:cs="Arial"/>
          <w:color w:val="000000" w:themeColor="accent6"/>
          <w:lang w:val="en-AU"/>
        </w:rPr>
        <w:t>,</w:t>
      </w:r>
      <w:r w:rsidRPr="008D1918">
        <w:rPr>
          <w:rFonts w:eastAsia="Arial" w:cs="Arial"/>
          <w:color w:val="000000" w:themeColor="accent6"/>
          <w:lang w:val="en-AU"/>
        </w:rPr>
        <w:t xml:space="preserve"> noting the geographic isolation and remoteness of the</w:t>
      </w:r>
      <w:r w:rsidRPr="008D1918" w:rsidR="006302AF">
        <w:rPr>
          <w:rFonts w:eastAsia="Arial" w:cs="Arial"/>
          <w:color w:val="000000" w:themeColor="accent6"/>
          <w:lang w:val="en-AU"/>
        </w:rPr>
        <w:t>se</w:t>
      </w:r>
      <w:r w:rsidRPr="008D1918">
        <w:rPr>
          <w:rFonts w:eastAsia="Arial" w:cs="Arial"/>
          <w:color w:val="000000" w:themeColor="accent6"/>
          <w:lang w:val="en-AU"/>
        </w:rPr>
        <w:t xml:space="preserve"> location</w:t>
      </w:r>
      <w:r w:rsidRPr="008D1918" w:rsidR="006302AF">
        <w:rPr>
          <w:rFonts w:eastAsia="Arial" w:cs="Arial"/>
          <w:color w:val="000000" w:themeColor="accent6"/>
          <w:lang w:val="en-AU"/>
        </w:rPr>
        <w:t>s,</w:t>
      </w:r>
      <w:r w:rsidRPr="008D1918">
        <w:rPr>
          <w:rFonts w:eastAsia="Arial" w:cs="Arial"/>
          <w:color w:val="000000" w:themeColor="accent6"/>
          <w:lang w:val="en-AU"/>
        </w:rPr>
        <w:t xml:space="preserve"> and indicated a risk of provider withdrawal and reduced access to services if isolated status or loadings are removed.</w:t>
      </w:r>
    </w:p>
    <w:p w:rsidRPr="008D1918" w:rsidR="2DF64590" w:rsidP="00D604F6" w:rsidRDefault="2DF64590" w14:paraId="34A255AF" w14:textId="26ACB7F1">
      <w:pPr>
        <w:rPr>
          <w:rFonts w:eastAsia="Arial" w:cs="Arial"/>
          <w:color w:val="000000" w:themeColor="accent6"/>
          <w:lang w:val="en-AU"/>
        </w:rPr>
      </w:pPr>
      <w:r w:rsidRPr="008D1918">
        <w:rPr>
          <w:rFonts w:eastAsia="Arial" w:cs="Arial"/>
          <w:color w:val="000000" w:themeColor="accent6"/>
          <w:lang w:val="en-AU"/>
        </w:rPr>
        <w:t>It is noted that whilst the existing policy is beneficial to NDIS participants and providers, the loadings and travel arrangements associated with the reclassification may result in market distortion within the broader care sector, with Broken Hill</w:t>
      </w:r>
      <w:r w:rsidRPr="008D1918" w:rsidR="004C5D95">
        <w:rPr>
          <w:rFonts w:eastAsia="Arial" w:cs="Arial"/>
          <w:color w:val="000000" w:themeColor="accent6"/>
          <w:lang w:val="en-AU"/>
        </w:rPr>
        <w:t>, New South Wales,</w:t>
      </w:r>
      <w:r w:rsidRPr="008D1918">
        <w:rPr>
          <w:rFonts w:eastAsia="Arial" w:cs="Arial"/>
          <w:color w:val="000000" w:themeColor="accent6"/>
          <w:lang w:val="en-AU"/>
        </w:rPr>
        <w:t xml:space="preserve"> or Kalgoorlie</w:t>
      </w:r>
      <w:r w:rsidRPr="008D1918" w:rsidR="004C5D95">
        <w:rPr>
          <w:rFonts w:eastAsia="Arial" w:cs="Arial"/>
          <w:color w:val="000000" w:themeColor="accent6"/>
          <w:lang w:val="en-AU"/>
        </w:rPr>
        <w:t>, Western Australia,</w:t>
      </w:r>
      <w:r w:rsidRPr="008D1918">
        <w:rPr>
          <w:rFonts w:eastAsia="Arial" w:cs="Arial"/>
          <w:color w:val="000000" w:themeColor="accent6"/>
          <w:lang w:val="en-AU"/>
        </w:rPr>
        <w:t xml:space="preserve"> </w:t>
      </w:r>
      <w:r w:rsidRPr="008D1918" w:rsidR="002710A8">
        <w:rPr>
          <w:rFonts w:eastAsia="Arial" w:cs="Arial"/>
          <w:color w:val="000000" w:themeColor="accent6"/>
          <w:lang w:val="en-AU"/>
        </w:rPr>
        <w:t>as prime</w:t>
      </w:r>
      <w:r w:rsidRPr="008D1918">
        <w:rPr>
          <w:rFonts w:eastAsia="Arial" w:cs="Arial"/>
          <w:color w:val="000000" w:themeColor="accent6"/>
          <w:lang w:val="en-AU"/>
        </w:rPr>
        <w:t xml:space="preserve"> examples of such locations.</w:t>
      </w:r>
    </w:p>
    <w:p w:rsidRPr="008D1918" w:rsidR="2DF64590" w:rsidP="00D604F6" w:rsidRDefault="2DF64590" w14:paraId="1AAF9657" w14:textId="27F8F283">
      <w:pPr>
        <w:rPr>
          <w:rFonts w:eastAsia="Arial" w:cs="Arial"/>
          <w:color w:val="000000" w:themeColor="accent6"/>
          <w:lang w:val="en-AU"/>
        </w:rPr>
      </w:pPr>
      <w:r w:rsidRPr="008D1918">
        <w:rPr>
          <w:rFonts w:eastAsia="Arial" w:cs="Arial"/>
          <w:color w:val="000000" w:themeColor="accent6"/>
          <w:lang w:val="en-AU"/>
        </w:rPr>
        <w:t xml:space="preserve">The existing </w:t>
      </w:r>
      <w:r w:rsidRPr="008D1918" w:rsidR="001A0245">
        <w:rPr>
          <w:rFonts w:eastAsia="Arial" w:cs="Arial"/>
          <w:color w:val="000000" w:themeColor="accent6"/>
          <w:lang w:val="en-AU"/>
        </w:rPr>
        <w:t>ITM</w:t>
      </w:r>
      <w:r w:rsidRPr="008D1918">
        <w:rPr>
          <w:rFonts w:eastAsia="Arial" w:cs="Arial"/>
          <w:color w:val="000000" w:themeColor="accent6"/>
          <w:lang w:val="en-AU"/>
        </w:rPr>
        <w:t xml:space="preserve"> remains appropriate as service delivery and market metrics continue to reflect the geographic isolation of localities. It is recommended that these towns continue to be reclassified to M</w:t>
      </w:r>
      <w:r w:rsidRPr="008D1918" w:rsidR="00E43DDB">
        <w:rPr>
          <w:rFonts w:eastAsia="Arial" w:cs="Arial"/>
          <w:color w:val="000000" w:themeColor="accent6"/>
          <w:lang w:val="en-AU"/>
        </w:rPr>
        <w:t>M</w:t>
      </w:r>
      <w:r w:rsidRPr="008D1918" w:rsidR="00D604F6">
        <w:rPr>
          <w:rFonts w:eastAsia="Arial" w:cs="Arial"/>
          <w:color w:val="000000" w:themeColor="accent6"/>
          <w:lang w:val="en-AU"/>
        </w:rPr>
        <w:t> </w:t>
      </w:r>
      <w:r w:rsidRPr="008D1918">
        <w:rPr>
          <w:rFonts w:eastAsia="Arial" w:cs="Arial"/>
          <w:color w:val="000000" w:themeColor="accent6"/>
          <w:lang w:val="en-AU"/>
        </w:rPr>
        <w:t>6 and with the updated definition published.</w:t>
      </w:r>
    </w:p>
    <w:p w:rsidRPr="008D1918" w:rsidR="2DF64590" w:rsidP="00354F83" w:rsidRDefault="2DF64590" w14:paraId="732F97DF" w14:textId="147C65CE">
      <w:pPr>
        <w:pStyle w:val="LittleH5differentcontext"/>
      </w:pPr>
      <w:r w:rsidRPr="008D1918">
        <w:t xml:space="preserve">Example </w:t>
      </w:r>
      <w:r w:rsidRPr="008D1918" w:rsidR="00A906E0">
        <w:t>o</w:t>
      </w:r>
      <w:r w:rsidRPr="008D1918">
        <w:t>ne – Broken Hill</w:t>
      </w:r>
      <w:r w:rsidRPr="008D1918" w:rsidR="0083694A">
        <w:t>, New South Wales</w:t>
      </w:r>
    </w:p>
    <w:p w:rsidRPr="008D1918" w:rsidR="2DF64590" w:rsidP="003A0756" w:rsidRDefault="2DF64590" w14:paraId="5A80C446" w14:textId="54EF9B69">
      <w:pPr>
        <w:rPr>
          <w:rFonts w:eastAsia="Arial" w:cs="Arial"/>
          <w:color w:val="000000" w:themeColor="accent6"/>
          <w:lang w:val="en-AU"/>
        </w:rPr>
      </w:pPr>
      <w:r w:rsidRPr="008D1918">
        <w:rPr>
          <w:rFonts w:eastAsia="Arial" w:cs="Arial"/>
          <w:color w:val="000000" w:themeColor="accent6"/>
          <w:lang w:val="en-AU"/>
        </w:rPr>
        <w:t xml:space="preserve">Based on the </w:t>
      </w:r>
      <w:r w:rsidRPr="008D1918" w:rsidR="004C5D95">
        <w:rPr>
          <w:rFonts w:eastAsia="Arial" w:cs="Arial"/>
          <w:color w:val="000000" w:themeColor="accent6"/>
          <w:lang w:val="en-AU"/>
        </w:rPr>
        <w:t>MMM classification</w:t>
      </w:r>
      <w:r w:rsidRPr="008D1918" w:rsidR="00596A28">
        <w:rPr>
          <w:rFonts w:eastAsia="Arial" w:cs="Arial"/>
          <w:color w:val="000000" w:themeColor="accent6"/>
          <w:lang w:val="en-AU"/>
        </w:rPr>
        <w:t xml:space="preserve"> </w:t>
      </w:r>
      <w:r w:rsidRPr="008D1918">
        <w:rPr>
          <w:rFonts w:eastAsia="Arial" w:cs="Arial"/>
          <w:color w:val="000000" w:themeColor="accent6"/>
          <w:lang w:val="en-AU"/>
        </w:rPr>
        <w:t>2023</w:t>
      </w:r>
      <w:r w:rsidRPr="008D1918" w:rsidR="003156EF">
        <w:rPr>
          <w:rFonts w:eastAsia="Arial" w:cs="Arial"/>
          <w:color w:val="000000" w:themeColor="accent6"/>
          <w:lang w:val="en-AU"/>
        </w:rPr>
        <w:t>,</w:t>
      </w:r>
      <w:r w:rsidRPr="008D1918">
        <w:rPr>
          <w:rFonts w:eastAsia="Arial" w:cs="Arial"/>
          <w:color w:val="000000" w:themeColor="accent6"/>
          <w:lang w:val="en-AU"/>
        </w:rPr>
        <w:t xml:space="preserve"> Broken Hill</w:t>
      </w:r>
      <w:r w:rsidRPr="008D1918" w:rsidR="004C5D95">
        <w:rPr>
          <w:rFonts w:eastAsia="Arial" w:cs="Arial"/>
          <w:color w:val="000000" w:themeColor="accent6"/>
          <w:lang w:val="en-AU"/>
        </w:rPr>
        <w:t>, New South Wales,</w:t>
      </w:r>
      <w:r w:rsidRPr="008D1918">
        <w:rPr>
          <w:rFonts w:eastAsia="Arial" w:cs="Arial"/>
          <w:color w:val="000000" w:themeColor="accent6"/>
          <w:lang w:val="en-AU"/>
        </w:rPr>
        <w:t xml:space="preserve"> is classified as M</w:t>
      </w:r>
      <w:r w:rsidRPr="008D1918" w:rsidR="00E43DDB">
        <w:rPr>
          <w:rFonts w:eastAsia="Arial" w:cs="Arial"/>
          <w:color w:val="000000" w:themeColor="accent6"/>
          <w:lang w:val="en-AU"/>
        </w:rPr>
        <w:t>M</w:t>
      </w:r>
      <w:r w:rsidRPr="008D1918" w:rsidR="00D604F6">
        <w:rPr>
          <w:rFonts w:eastAsia="Arial" w:cs="Arial"/>
          <w:color w:val="000000" w:themeColor="accent6"/>
          <w:lang w:val="en-AU"/>
        </w:rPr>
        <w:t> </w:t>
      </w:r>
      <w:r w:rsidRPr="008D1918">
        <w:rPr>
          <w:rFonts w:eastAsia="Arial" w:cs="Arial"/>
          <w:color w:val="000000" w:themeColor="accent6"/>
          <w:lang w:val="en-AU"/>
        </w:rPr>
        <w:t xml:space="preserve">3. However, due to its isolation under the current </w:t>
      </w:r>
      <w:r w:rsidRPr="008D1918" w:rsidR="001A0245">
        <w:rPr>
          <w:rFonts w:eastAsia="Arial" w:cs="Arial"/>
          <w:color w:val="000000" w:themeColor="accent6"/>
          <w:lang w:val="en-AU"/>
        </w:rPr>
        <w:t>ITM</w:t>
      </w:r>
      <w:r w:rsidRPr="008D1918">
        <w:rPr>
          <w:rFonts w:eastAsia="Arial" w:cs="Arial"/>
          <w:color w:val="000000" w:themeColor="accent6"/>
          <w:lang w:val="en-AU"/>
        </w:rPr>
        <w:t xml:space="preserve"> it has been reclassified to M</w:t>
      </w:r>
      <w:r w:rsidRPr="008D1918" w:rsidR="00E43DDB">
        <w:rPr>
          <w:rFonts w:eastAsia="Arial" w:cs="Arial"/>
          <w:color w:val="000000" w:themeColor="accent6"/>
          <w:lang w:val="en-AU"/>
        </w:rPr>
        <w:t>M</w:t>
      </w:r>
      <w:r w:rsidRPr="008D1918" w:rsidR="00D604F6">
        <w:rPr>
          <w:rFonts w:eastAsia="Arial" w:cs="Arial"/>
          <w:color w:val="000000" w:themeColor="accent6"/>
          <w:lang w:val="en-AU"/>
        </w:rPr>
        <w:t> </w:t>
      </w:r>
      <w:r w:rsidRPr="008D1918">
        <w:rPr>
          <w:rFonts w:eastAsia="Arial" w:cs="Arial"/>
          <w:color w:val="000000" w:themeColor="accent6"/>
          <w:lang w:val="en-AU"/>
        </w:rPr>
        <w:t>6. As at 30 September 2025, there were 671 NDIS participants living in Broken Hill with 36% aged 0</w:t>
      </w:r>
      <w:r w:rsidRPr="008D1918" w:rsidR="00582DBE">
        <w:rPr>
          <w:rFonts w:eastAsia="Arial" w:cs="Arial"/>
          <w:color w:val="000000" w:themeColor="accent6"/>
          <w:lang w:val="en-AU"/>
        </w:rPr>
        <w:t>–</w:t>
      </w:r>
      <w:r w:rsidRPr="008D1918">
        <w:rPr>
          <w:rFonts w:eastAsia="Arial" w:cs="Arial"/>
          <w:color w:val="000000" w:themeColor="accent6"/>
          <w:lang w:val="en-AU"/>
        </w:rPr>
        <w:t>14 years (243 participants). The most prevalent primary diagnoses being autism, followed by intellectual disability and developmental delay.</w:t>
      </w:r>
    </w:p>
    <w:p w:rsidRPr="008D1918" w:rsidR="2DF64590" w:rsidP="003A0756" w:rsidRDefault="00C40C56" w14:paraId="1F1E333E" w14:textId="4ECBE7CD">
      <w:pPr>
        <w:rPr>
          <w:rFonts w:eastAsia="Arial" w:cs="Arial"/>
          <w:color w:val="000000" w:themeColor="accent6"/>
          <w:lang w:val="en-AU"/>
        </w:rPr>
      </w:pPr>
      <w:r w:rsidRPr="008D1918">
        <w:rPr>
          <w:rFonts w:eastAsia="Arial" w:cs="Arial"/>
          <w:color w:val="000000" w:themeColor="accent6"/>
          <w:lang w:val="en-AU"/>
        </w:rPr>
        <w:t>Plan use</w:t>
      </w:r>
      <w:r w:rsidRPr="008D1918" w:rsidR="2DF64590">
        <w:rPr>
          <w:rFonts w:eastAsia="Arial" w:cs="Arial"/>
          <w:color w:val="000000" w:themeColor="accent6"/>
          <w:lang w:val="en-AU"/>
        </w:rPr>
        <w:t xml:space="preserve"> data for </w:t>
      </w:r>
      <w:r w:rsidR="00DE01FA">
        <w:rPr>
          <w:rFonts w:eastAsia="Arial" w:cs="Arial"/>
          <w:color w:val="000000" w:themeColor="accent6"/>
          <w:lang w:val="en-AU"/>
        </w:rPr>
        <w:t>the</w:t>
      </w:r>
      <w:r w:rsidRPr="008D1918" w:rsidR="00DE01FA">
        <w:rPr>
          <w:rFonts w:eastAsia="Arial" w:cs="Arial"/>
          <w:color w:val="000000" w:themeColor="accent6"/>
          <w:lang w:val="en-AU"/>
        </w:rPr>
        <w:t xml:space="preserve"> </w:t>
      </w:r>
      <w:r w:rsidRPr="008D1918" w:rsidR="00E9331A">
        <w:rPr>
          <w:rFonts w:eastAsia="Arial" w:cs="Arial"/>
          <w:color w:val="000000" w:themeColor="accent6"/>
          <w:lang w:val="en-AU"/>
        </w:rPr>
        <w:t>first q</w:t>
      </w:r>
      <w:r w:rsidRPr="008D1918" w:rsidR="2DF64590">
        <w:rPr>
          <w:rFonts w:eastAsia="Arial" w:cs="Arial"/>
          <w:color w:val="000000" w:themeColor="accent6"/>
          <w:lang w:val="en-AU"/>
        </w:rPr>
        <w:t xml:space="preserve">uarter </w:t>
      </w:r>
      <w:r w:rsidRPr="008D1918" w:rsidR="00E9331A">
        <w:rPr>
          <w:rFonts w:eastAsia="Arial" w:cs="Arial"/>
          <w:color w:val="000000" w:themeColor="accent6"/>
          <w:lang w:val="en-AU"/>
        </w:rPr>
        <w:t>of</w:t>
      </w:r>
      <w:r w:rsidRPr="008D1918" w:rsidR="2DF64590">
        <w:rPr>
          <w:rFonts w:eastAsia="Arial" w:cs="Arial"/>
          <w:color w:val="000000" w:themeColor="accent6"/>
          <w:lang w:val="en-AU"/>
        </w:rPr>
        <w:t xml:space="preserve"> 2025</w:t>
      </w:r>
      <w:r w:rsidRPr="008D1918" w:rsidR="008F4B70">
        <w:rPr>
          <w:rFonts w:eastAsia="Arial" w:cs="Arial"/>
          <w:color w:val="000000" w:themeColor="accent6"/>
          <w:lang w:val="en-AU"/>
        </w:rPr>
        <w:t>–</w:t>
      </w:r>
      <w:r w:rsidRPr="008D1918" w:rsidR="2DF64590">
        <w:rPr>
          <w:rFonts w:eastAsia="Arial" w:cs="Arial"/>
          <w:color w:val="000000" w:themeColor="accent6"/>
          <w:lang w:val="en-AU"/>
        </w:rPr>
        <w:t xml:space="preserve">26 </w:t>
      </w:r>
      <w:r w:rsidRPr="008D1918" w:rsidR="00E9331A">
        <w:rPr>
          <w:rFonts w:eastAsia="Arial" w:cs="Arial"/>
          <w:color w:val="000000" w:themeColor="accent6"/>
          <w:lang w:val="en-AU"/>
        </w:rPr>
        <w:t>(</w:t>
      </w:r>
      <w:r w:rsidRPr="008D1918" w:rsidR="2DF64590">
        <w:rPr>
          <w:rFonts w:eastAsia="Arial" w:cs="Arial"/>
          <w:color w:val="000000" w:themeColor="accent6"/>
          <w:lang w:val="en-AU"/>
        </w:rPr>
        <w:t>1 July 2025 to 30 September 2025</w:t>
      </w:r>
      <w:r w:rsidRPr="008D1918" w:rsidR="00E9331A">
        <w:rPr>
          <w:rFonts w:eastAsia="Arial" w:cs="Arial"/>
          <w:color w:val="000000" w:themeColor="accent6"/>
          <w:lang w:val="en-AU"/>
        </w:rPr>
        <w:t>)</w:t>
      </w:r>
      <w:r w:rsidRPr="008D1918" w:rsidR="00EE1B0D">
        <w:rPr>
          <w:rFonts w:eastAsia="Arial" w:cs="Arial"/>
          <w:color w:val="000000" w:themeColor="accent6"/>
          <w:lang w:val="en-AU"/>
        </w:rPr>
        <w:t xml:space="preserve"> for</w:t>
      </w:r>
      <w:r w:rsidRPr="008D1918" w:rsidR="2DF64590">
        <w:rPr>
          <w:rFonts w:eastAsia="Arial" w:cs="Arial"/>
          <w:color w:val="000000" w:themeColor="accent6"/>
          <w:lang w:val="en-AU"/>
        </w:rPr>
        <w:t xml:space="preserve"> </w:t>
      </w:r>
      <w:r w:rsidRPr="008D1918" w:rsidR="725B335A">
        <w:rPr>
          <w:rFonts w:eastAsia="Arial" w:cs="Arial"/>
          <w:color w:val="000000" w:themeColor="accent6"/>
          <w:lang w:val="en-AU"/>
        </w:rPr>
        <w:t>participants aged</w:t>
      </w:r>
      <w:r w:rsidRPr="008D1918" w:rsidR="2DF64590">
        <w:rPr>
          <w:rFonts w:eastAsia="Arial" w:cs="Arial"/>
          <w:color w:val="000000" w:themeColor="accent6"/>
          <w:lang w:val="en-AU"/>
        </w:rPr>
        <w:t xml:space="preserve"> 0</w:t>
      </w:r>
      <w:r w:rsidRPr="008D1918" w:rsidR="008F4B70">
        <w:rPr>
          <w:rFonts w:eastAsia="Arial" w:cs="Arial"/>
          <w:color w:val="000000" w:themeColor="accent6"/>
          <w:lang w:val="en-AU"/>
        </w:rPr>
        <w:t>–</w:t>
      </w:r>
      <w:r w:rsidRPr="008D1918" w:rsidR="2DF64590">
        <w:rPr>
          <w:rFonts w:eastAsia="Arial" w:cs="Arial"/>
          <w:color w:val="000000" w:themeColor="accent6"/>
          <w:lang w:val="en-AU"/>
        </w:rPr>
        <w:t xml:space="preserve">8 years shows 93% </w:t>
      </w:r>
      <w:r w:rsidRPr="008D1918">
        <w:rPr>
          <w:rFonts w:eastAsia="Arial" w:cs="Arial"/>
          <w:color w:val="000000" w:themeColor="accent6"/>
          <w:lang w:val="en-AU"/>
        </w:rPr>
        <w:t xml:space="preserve">use </w:t>
      </w:r>
      <w:r w:rsidRPr="008D1918" w:rsidR="2DF64590">
        <w:rPr>
          <w:rFonts w:eastAsia="Arial" w:cs="Arial"/>
          <w:color w:val="000000" w:themeColor="accent6"/>
          <w:lang w:val="en-AU"/>
        </w:rPr>
        <w:t xml:space="preserve">of Core supports and 45% for Capacity Building supports. For </w:t>
      </w:r>
      <w:r w:rsidRPr="008D1918" w:rsidR="00001990">
        <w:rPr>
          <w:rFonts w:eastAsia="Arial" w:cs="Arial"/>
          <w:color w:val="000000" w:themeColor="accent6"/>
          <w:lang w:val="en-AU"/>
        </w:rPr>
        <w:t>participants aged</w:t>
      </w:r>
      <w:r w:rsidRPr="008D1918" w:rsidR="2DF64590">
        <w:rPr>
          <w:rFonts w:eastAsia="Arial" w:cs="Arial"/>
          <w:color w:val="000000" w:themeColor="accent6"/>
          <w:lang w:val="en-AU"/>
        </w:rPr>
        <w:t xml:space="preserve"> 9</w:t>
      </w:r>
      <w:r w:rsidRPr="008D1918" w:rsidR="008F4B70">
        <w:rPr>
          <w:rFonts w:eastAsia="Arial" w:cs="Arial"/>
          <w:color w:val="000000" w:themeColor="accent6"/>
          <w:lang w:val="en-AU"/>
        </w:rPr>
        <w:t>–</w:t>
      </w:r>
      <w:r w:rsidRPr="008D1918" w:rsidR="2DF64590">
        <w:rPr>
          <w:rFonts w:eastAsia="Arial" w:cs="Arial"/>
          <w:color w:val="000000" w:themeColor="accent6"/>
          <w:lang w:val="en-AU"/>
        </w:rPr>
        <w:t xml:space="preserve">14 years in the same quarter, Core support </w:t>
      </w:r>
      <w:r w:rsidRPr="008D1918">
        <w:rPr>
          <w:rFonts w:eastAsia="Arial" w:cs="Arial"/>
          <w:color w:val="000000" w:themeColor="accent6"/>
          <w:lang w:val="en-AU"/>
        </w:rPr>
        <w:t xml:space="preserve">use </w:t>
      </w:r>
      <w:r w:rsidRPr="008D1918" w:rsidR="00001990">
        <w:rPr>
          <w:rFonts w:eastAsia="Arial" w:cs="Arial"/>
          <w:color w:val="000000" w:themeColor="accent6"/>
          <w:lang w:val="en-AU"/>
        </w:rPr>
        <w:t xml:space="preserve">was </w:t>
      </w:r>
      <w:r w:rsidRPr="008D1918" w:rsidR="2DF64590">
        <w:rPr>
          <w:rFonts w:eastAsia="Arial" w:cs="Arial"/>
          <w:color w:val="000000" w:themeColor="accent6"/>
          <w:lang w:val="en-AU"/>
        </w:rPr>
        <w:t xml:space="preserve">72% and Capacity Building </w:t>
      </w:r>
      <w:r w:rsidRPr="008D1918" w:rsidR="00001990">
        <w:rPr>
          <w:rFonts w:eastAsia="Arial" w:cs="Arial"/>
          <w:color w:val="000000" w:themeColor="accent6"/>
          <w:lang w:val="en-AU"/>
        </w:rPr>
        <w:t xml:space="preserve">was </w:t>
      </w:r>
      <w:r w:rsidRPr="008D1918" w:rsidR="2DF64590">
        <w:rPr>
          <w:rFonts w:eastAsia="Arial" w:cs="Arial"/>
          <w:color w:val="000000" w:themeColor="accent6"/>
          <w:lang w:val="en-AU"/>
        </w:rPr>
        <w:t>42%.</w:t>
      </w:r>
    </w:p>
    <w:p w:rsidRPr="008D1918" w:rsidR="2DF64590" w:rsidP="003A0756" w:rsidRDefault="2DF64590" w14:paraId="779ECA1B" w14:textId="51E7FCA6">
      <w:pPr>
        <w:rPr>
          <w:rFonts w:eastAsia="Arial" w:cs="Arial"/>
          <w:color w:val="000000" w:themeColor="accent6"/>
          <w:lang w:val="en-AU"/>
        </w:rPr>
      </w:pPr>
      <w:r w:rsidRPr="008D1918">
        <w:rPr>
          <w:rFonts w:eastAsia="Arial" w:cs="Arial"/>
          <w:color w:val="000000" w:themeColor="accent6"/>
          <w:lang w:val="en-AU"/>
        </w:rPr>
        <w:t xml:space="preserve">The </w:t>
      </w:r>
      <w:hyperlink r:id="rId90">
        <w:r w:rsidRPr="008D1918">
          <w:rPr>
            <w:rStyle w:val="Hyperlink"/>
            <w:rFonts w:eastAsia="Arial" w:cs="Arial"/>
            <w:lang w:val="en-AU"/>
          </w:rPr>
          <w:t>NDIS Provider Finder</w:t>
        </w:r>
      </w:hyperlink>
      <w:r w:rsidRPr="008D1918">
        <w:rPr>
          <w:rFonts w:eastAsia="Arial" w:cs="Arial"/>
          <w:color w:val="000000" w:themeColor="accent6"/>
          <w:lang w:val="en-AU"/>
        </w:rPr>
        <w:t xml:space="preserve"> </w:t>
      </w:r>
      <w:r w:rsidR="003B258D">
        <w:rPr>
          <w:rFonts w:eastAsia="Arial" w:cs="Arial"/>
          <w:color w:val="000000" w:themeColor="accent6"/>
          <w:lang w:val="en-AU"/>
        </w:rPr>
        <w:t>(</w:t>
      </w:r>
      <w:hyperlink w:history="1" r:id="rId91">
        <w:r w:rsidRPr="00277726" w:rsidR="003B258D">
          <w:rPr>
            <w:rStyle w:val="Hyperlink"/>
            <w:rFonts w:eastAsia="Arial" w:cs="Arial"/>
            <w:lang w:val="en-AU"/>
          </w:rPr>
          <w:t>https://www.ndis.gov.au/participants/working-providers/finding-providers/provider-finder</w:t>
        </w:r>
      </w:hyperlink>
      <w:r w:rsidR="003B258D">
        <w:rPr>
          <w:rFonts w:eastAsia="Arial" w:cs="Arial"/>
          <w:color w:val="000000" w:themeColor="accent6"/>
          <w:lang w:val="en-AU"/>
        </w:rPr>
        <w:t xml:space="preserve">) </w:t>
      </w:r>
      <w:r w:rsidRPr="008D1918">
        <w:rPr>
          <w:rFonts w:eastAsia="Arial" w:cs="Arial"/>
          <w:color w:val="000000" w:themeColor="accent6"/>
          <w:lang w:val="en-AU"/>
        </w:rPr>
        <w:t>indicates there are 24 providers registered for early childhood therapy services in Broken Hill. Of these</w:t>
      </w:r>
      <w:r w:rsidRPr="008D1918" w:rsidR="003A0756">
        <w:rPr>
          <w:rFonts w:eastAsia="Arial" w:cs="Arial"/>
          <w:color w:val="000000" w:themeColor="accent6"/>
          <w:lang w:val="en-AU"/>
        </w:rPr>
        <w:t>,</w:t>
      </w:r>
      <w:r w:rsidRPr="008D1918">
        <w:rPr>
          <w:rFonts w:eastAsia="Arial" w:cs="Arial"/>
          <w:color w:val="000000" w:themeColor="accent6"/>
          <w:lang w:val="en-AU"/>
        </w:rPr>
        <w:t xml:space="preserve"> only </w:t>
      </w:r>
      <w:r w:rsidRPr="008D1918" w:rsidR="00FD4ECE">
        <w:rPr>
          <w:rFonts w:eastAsia="Arial" w:cs="Arial"/>
          <w:color w:val="000000" w:themeColor="accent6"/>
          <w:lang w:val="en-AU"/>
        </w:rPr>
        <w:t>2</w:t>
      </w:r>
      <w:r w:rsidRPr="008D1918">
        <w:rPr>
          <w:rFonts w:eastAsia="Arial" w:cs="Arial"/>
          <w:color w:val="000000" w:themeColor="accent6"/>
          <w:lang w:val="en-AU"/>
        </w:rPr>
        <w:t xml:space="preserve"> providers are based in Broken Hill</w:t>
      </w:r>
      <w:r w:rsidRPr="008D1918" w:rsidR="007A3309">
        <w:rPr>
          <w:rFonts w:eastAsia="Arial" w:cs="Arial"/>
          <w:color w:val="000000" w:themeColor="accent6"/>
          <w:lang w:val="en-AU"/>
        </w:rPr>
        <w:t>,</w:t>
      </w:r>
      <w:r w:rsidRPr="008D1918">
        <w:rPr>
          <w:rFonts w:eastAsia="Arial" w:cs="Arial"/>
          <w:color w:val="000000" w:themeColor="accent6"/>
          <w:lang w:val="en-AU"/>
        </w:rPr>
        <w:t xml:space="preserve"> with the remaining providers based across </w:t>
      </w:r>
      <w:r w:rsidRPr="008D1918" w:rsidR="004C5D95">
        <w:rPr>
          <w:rFonts w:eastAsia="Arial" w:cs="Arial"/>
          <w:color w:val="000000" w:themeColor="accent6"/>
          <w:lang w:val="en-AU"/>
        </w:rPr>
        <w:t xml:space="preserve">New South Wales, Victoria and South Australia, </w:t>
      </w:r>
      <w:r w:rsidRPr="008D1918">
        <w:rPr>
          <w:rFonts w:eastAsia="Arial" w:cs="Arial"/>
          <w:color w:val="000000" w:themeColor="accent6"/>
          <w:lang w:val="en-AU"/>
        </w:rPr>
        <w:t>with some providers specialising in fly-in-fly-out service delivery.</w:t>
      </w:r>
    </w:p>
    <w:p w:rsidRPr="008D1918" w:rsidR="2DF64590" w:rsidP="003A0756" w:rsidRDefault="2DF64590" w14:paraId="5CBE859A" w14:textId="125C7295">
      <w:pPr>
        <w:rPr>
          <w:rFonts w:eastAsia="Arial" w:cs="Arial"/>
          <w:color w:val="000000" w:themeColor="accent6"/>
          <w:lang w:val="en-AU"/>
        </w:rPr>
      </w:pPr>
      <w:r w:rsidRPr="008D1918">
        <w:rPr>
          <w:rFonts w:eastAsia="Arial" w:cs="Arial"/>
          <w:color w:val="000000" w:themeColor="accent6"/>
          <w:lang w:val="en-AU"/>
        </w:rPr>
        <w:t>For participants to access providers outside Broken Hill, the closest M</w:t>
      </w:r>
      <w:r w:rsidRPr="008D1918" w:rsidR="00C063F5">
        <w:rPr>
          <w:rFonts w:eastAsia="Arial" w:cs="Arial"/>
          <w:color w:val="000000" w:themeColor="accent6"/>
          <w:lang w:val="en-AU"/>
        </w:rPr>
        <w:t>M</w:t>
      </w:r>
      <w:r w:rsidRPr="008D1918" w:rsidR="0018162F">
        <w:rPr>
          <w:rFonts w:eastAsia="Arial" w:cs="Arial"/>
          <w:color w:val="000000" w:themeColor="accent6"/>
          <w:lang w:val="en-AU"/>
        </w:rPr>
        <w:t> </w:t>
      </w:r>
      <w:r w:rsidRPr="008D1918">
        <w:rPr>
          <w:rFonts w:eastAsia="Arial" w:cs="Arial"/>
          <w:color w:val="000000" w:themeColor="accent6"/>
          <w:lang w:val="en-AU"/>
        </w:rPr>
        <w:t>1</w:t>
      </w:r>
      <w:r w:rsidRPr="008D1918" w:rsidR="0018162F">
        <w:rPr>
          <w:rFonts w:eastAsia="Arial" w:cs="Arial"/>
          <w:color w:val="000000" w:themeColor="accent6"/>
          <w:lang w:val="en-AU"/>
        </w:rPr>
        <w:t>–</w:t>
      </w:r>
      <w:r w:rsidRPr="008D1918">
        <w:rPr>
          <w:rFonts w:eastAsia="Arial" w:cs="Arial"/>
          <w:color w:val="000000" w:themeColor="accent6"/>
          <w:lang w:val="en-AU"/>
        </w:rPr>
        <w:t>2 location is Adelaide</w:t>
      </w:r>
      <w:r w:rsidRPr="008D1918" w:rsidR="00356658">
        <w:rPr>
          <w:rFonts w:eastAsia="Arial" w:cs="Arial"/>
          <w:color w:val="000000" w:themeColor="accent6"/>
          <w:lang w:val="en-AU"/>
        </w:rPr>
        <w:t>,</w:t>
      </w:r>
      <w:r w:rsidRPr="008D1918">
        <w:rPr>
          <w:rFonts w:eastAsia="Arial" w:cs="Arial"/>
          <w:color w:val="000000" w:themeColor="accent6"/>
          <w:lang w:val="en-AU"/>
        </w:rPr>
        <w:t xml:space="preserve"> S</w:t>
      </w:r>
      <w:r w:rsidRPr="008D1918" w:rsidR="00356658">
        <w:rPr>
          <w:rFonts w:eastAsia="Arial" w:cs="Arial"/>
          <w:color w:val="000000" w:themeColor="accent6"/>
          <w:lang w:val="en-AU"/>
        </w:rPr>
        <w:t xml:space="preserve">outh </w:t>
      </w:r>
      <w:r w:rsidRPr="008D1918">
        <w:rPr>
          <w:rFonts w:eastAsia="Arial" w:cs="Arial"/>
          <w:color w:val="000000" w:themeColor="accent6"/>
          <w:lang w:val="en-AU"/>
        </w:rPr>
        <w:t>A</w:t>
      </w:r>
      <w:r w:rsidRPr="008D1918" w:rsidR="00356658">
        <w:rPr>
          <w:rFonts w:eastAsia="Arial" w:cs="Arial"/>
          <w:color w:val="000000" w:themeColor="accent6"/>
          <w:lang w:val="en-AU"/>
        </w:rPr>
        <w:t>ustralia</w:t>
      </w:r>
      <w:r w:rsidRPr="008D1918">
        <w:rPr>
          <w:rFonts w:eastAsia="Arial" w:cs="Arial"/>
          <w:color w:val="000000" w:themeColor="accent6"/>
          <w:lang w:val="en-AU"/>
        </w:rPr>
        <w:t>, approximately a 5</w:t>
      </w:r>
      <w:r w:rsidRPr="008D1918" w:rsidR="009F2007">
        <w:rPr>
          <w:rFonts w:eastAsia="Arial" w:cs="Arial"/>
          <w:color w:val="000000" w:themeColor="accent6"/>
          <w:lang w:val="en-AU"/>
        </w:rPr>
        <w:t xml:space="preserve"> to </w:t>
      </w:r>
      <w:r w:rsidRPr="008D1918">
        <w:rPr>
          <w:rFonts w:eastAsia="Arial" w:cs="Arial"/>
          <w:color w:val="000000" w:themeColor="accent6"/>
          <w:lang w:val="en-AU"/>
        </w:rPr>
        <w:t>6</w:t>
      </w:r>
      <w:r w:rsidRPr="008D1918" w:rsidR="009F2007">
        <w:rPr>
          <w:rFonts w:eastAsia="Arial" w:cs="Arial"/>
          <w:color w:val="000000" w:themeColor="accent6"/>
          <w:lang w:val="en-AU"/>
        </w:rPr>
        <w:t>-</w:t>
      </w:r>
      <w:r w:rsidRPr="008D1918">
        <w:rPr>
          <w:rFonts w:eastAsia="Arial" w:cs="Arial"/>
          <w:color w:val="000000" w:themeColor="accent6"/>
          <w:lang w:val="en-AU"/>
        </w:rPr>
        <w:t>hour drive or Mildura</w:t>
      </w:r>
      <w:r w:rsidRPr="008D1918" w:rsidR="008A038D">
        <w:rPr>
          <w:rFonts w:eastAsia="Arial" w:cs="Arial"/>
          <w:color w:val="000000" w:themeColor="accent6"/>
          <w:lang w:val="en-AU"/>
        </w:rPr>
        <w:t>, Victoria,</w:t>
      </w:r>
      <w:r w:rsidRPr="008D1918">
        <w:rPr>
          <w:rFonts w:eastAsia="Arial" w:cs="Arial"/>
          <w:color w:val="000000" w:themeColor="accent6"/>
          <w:lang w:val="en-AU"/>
        </w:rPr>
        <w:t xml:space="preserve"> which is a MM</w:t>
      </w:r>
      <w:r w:rsidRPr="008D1918" w:rsidR="0018162F">
        <w:rPr>
          <w:rFonts w:eastAsia="Arial" w:cs="Arial"/>
          <w:color w:val="000000" w:themeColor="accent6"/>
          <w:lang w:val="en-AU"/>
        </w:rPr>
        <w:t> </w:t>
      </w:r>
      <w:r w:rsidRPr="008D1918">
        <w:rPr>
          <w:rFonts w:eastAsia="Arial" w:cs="Arial"/>
          <w:color w:val="000000" w:themeColor="accent6"/>
          <w:lang w:val="en-AU"/>
        </w:rPr>
        <w:t xml:space="preserve">3 and approximately </w:t>
      </w:r>
      <w:r w:rsidRPr="008D1918" w:rsidR="00CA7ECA">
        <w:rPr>
          <w:rFonts w:eastAsia="Arial" w:cs="Arial"/>
          <w:color w:val="000000" w:themeColor="accent6"/>
          <w:lang w:val="en-AU"/>
        </w:rPr>
        <w:t xml:space="preserve">a </w:t>
      </w:r>
      <w:r w:rsidRPr="008D1918">
        <w:rPr>
          <w:rFonts w:eastAsia="Arial" w:cs="Arial"/>
          <w:color w:val="000000" w:themeColor="accent6"/>
          <w:lang w:val="en-AU"/>
        </w:rPr>
        <w:t>3</w:t>
      </w:r>
      <w:r w:rsidRPr="008D1918" w:rsidR="009F2007">
        <w:rPr>
          <w:rFonts w:eastAsia="Arial" w:cs="Arial"/>
          <w:color w:val="000000" w:themeColor="accent6"/>
          <w:lang w:val="en-AU"/>
        </w:rPr>
        <w:t>-</w:t>
      </w:r>
      <w:r w:rsidRPr="008D1918" w:rsidR="006F1D9D">
        <w:rPr>
          <w:rFonts w:eastAsia="Arial" w:cs="Arial"/>
          <w:color w:val="000000" w:themeColor="accent6"/>
          <w:lang w:val="en-AU"/>
        </w:rPr>
        <w:t>hour</w:t>
      </w:r>
      <w:r w:rsidRPr="008D1918">
        <w:rPr>
          <w:rFonts w:eastAsia="Arial" w:cs="Arial"/>
          <w:color w:val="000000" w:themeColor="accent6"/>
          <w:lang w:val="en-AU"/>
        </w:rPr>
        <w:t xml:space="preserve"> drive. Early childhood service providers travelling from Adelaide or Mildura would only be able to claim up to 30 minutes travel for their services if the location wasn’t reclassified through the ITM policy.</w:t>
      </w:r>
    </w:p>
    <w:p w:rsidRPr="008D1918" w:rsidR="2DF64590" w:rsidP="003A0756" w:rsidRDefault="2DF64590" w14:paraId="6AB73AEA" w14:textId="7FA48B4D">
      <w:pPr>
        <w:rPr>
          <w:rFonts w:eastAsia="Arial" w:cs="Arial"/>
          <w:color w:val="000000" w:themeColor="accent6"/>
          <w:lang w:val="en-AU"/>
        </w:rPr>
      </w:pPr>
      <w:r w:rsidRPr="008D1918">
        <w:rPr>
          <w:rFonts w:eastAsia="Arial" w:cs="Arial"/>
          <w:color w:val="000000" w:themeColor="accent6"/>
          <w:lang w:val="en-AU"/>
        </w:rPr>
        <w:t>The SEIFA</w:t>
      </w:r>
      <w:r w:rsidRPr="008D1918" w:rsidR="009F2007">
        <w:rPr>
          <w:rFonts w:eastAsia="Arial" w:cs="Arial"/>
          <w:color w:val="000000" w:themeColor="accent6"/>
          <w:lang w:val="en-AU"/>
        </w:rPr>
        <w:t>-</w:t>
      </w:r>
      <w:r w:rsidRPr="008D1918">
        <w:rPr>
          <w:rFonts w:eastAsia="Arial" w:cs="Arial"/>
          <w:color w:val="000000" w:themeColor="accent6"/>
          <w:lang w:val="en-AU"/>
        </w:rPr>
        <w:t>IRSD decile score at the SA2 level for Broken Hill is 2, indicating high relative disadvantage.</w:t>
      </w:r>
    </w:p>
    <w:p w:rsidRPr="008D1918" w:rsidR="2DF64590" w:rsidP="003A0756" w:rsidRDefault="2DF64590" w14:paraId="22A874F3" w14:textId="6681181F">
      <w:pPr>
        <w:rPr>
          <w:rFonts w:eastAsia="Arial" w:cs="Arial"/>
          <w:color w:val="000000" w:themeColor="accent6"/>
          <w:lang w:val="en-AU"/>
        </w:rPr>
      </w:pPr>
      <w:r w:rsidRPr="008D1918">
        <w:rPr>
          <w:rFonts w:eastAsia="Arial" w:cs="Arial"/>
          <w:color w:val="000000" w:themeColor="accent6"/>
          <w:lang w:val="en-AU"/>
        </w:rPr>
        <w:t xml:space="preserve">By acknowledging the service delivery challenges faced by locations such as Broken Hill, which are unlikely to change as they are reflective of the geographic location, </w:t>
      </w:r>
      <w:r w:rsidRPr="008D1918">
        <w:rPr>
          <w:rFonts w:eastAsia="Arial" w:cs="Arial"/>
          <w:color w:val="000000" w:themeColor="accent6"/>
          <w:lang w:val="en-AU"/>
        </w:rPr>
        <w:t xml:space="preserve">broader workforce, market and socio-economic influences, the </w:t>
      </w:r>
      <w:r w:rsidRPr="008D1918" w:rsidR="001A0245">
        <w:rPr>
          <w:rFonts w:eastAsia="Arial" w:cs="Arial"/>
          <w:color w:val="000000" w:themeColor="accent6"/>
          <w:lang w:val="en-AU"/>
        </w:rPr>
        <w:t>ITM</w:t>
      </w:r>
      <w:r w:rsidRPr="008D1918">
        <w:rPr>
          <w:rFonts w:eastAsia="Arial" w:cs="Arial"/>
          <w:color w:val="000000" w:themeColor="accent6"/>
          <w:lang w:val="en-AU"/>
        </w:rPr>
        <w:t xml:space="preserve"> continues to address the original policy intent.</w:t>
      </w:r>
    </w:p>
    <w:p w:rsidRPr="008D1918" w:rsidR="2DF64590" w:rsidP="00041468" w:rsidRDefault="2DF64590" w14:paraId="659095C0" w14:textId="01874B56">
      <w:pPr>
        <w:pStyle w:val="StyleStyle112pt"/>
        <w:rPr>
          <w:rFonts w:eastAsia="Arial"/>
        </w:rPr>
      </w:pPr>
      <w:bookmarkStart w:name="_Toc223542228" w:id="2308"/>
      <w:bookmarkStart w:name="_Toc223604412" w:id="2309"/>
      <w:bookmarkStart w:name="_Toc223604623" w:id="2310"/>
      <w:bookmarkStart w:name="_Toc223604868" w:id="2311"/>
      <w:bookmarkStart w:name="_Toc223618709" w:id="2312"/>
      <w:bookmarkStart w:name="_Toc223702938" w:id="2313"/>
      <w:bookmarkStart w:name="_Toc227318830" w:id="2314"/>
      <w:bookmarkStart w:name="_Toc227337198" w:id="2315"/>
      <w:r w:rsidRPr="008D1918">
        <w:rPr>
          <w:rFonts w:eastAsia="Arial"/>
        </w:rPr>
        <w:t xml:space="preserve">Refining the </w:t>
      </w:r>
      <w:bookmarkEnd w:id="2308"/>
      <w:bookmarkEnd w:id="2309"/>
      <w:bookmarkEnd w:id="2310"/>
      <w:bookmarkEnd w:id="2311"/>
      <w:bookmarkEnd w:id="2312"/>
      <w:bookmarkEnd w:id="2313"/>
      <w:r w:rsidRPr="008D1918" w:rsidR="00F30958">
        <w:rPr>
          <w:rFonts w:eastAsia="Arial"/>
        </w:rPr>
        <w:t>ITM</w:t>
      </w:r>
      <w:bookmarkEnd w:id="2314"/>
      <w:bookmarkEnd w:id="2315"/>
    </w:p>
    <w:p w:rsidRPr="008D1918" w:rsidR="2DF64590" w:rsidP="009D7EC7" w:rsidRDefault="2DF64590" w14:paraId="0635FFE3" w14:textId="0635A27B">
      <w:pPr>
        <w:rPr>
          <w:rFonts w:eastAsia="Arial" w:cs="Arial"/>
          <w:color w:val="000000" w:themeColor="accent6"/>
          <w:lang w:val="en-AU"/>
        </w:rPr>
      </w:pPr>
      <w:r w:rsidRPr="008D1918">
        <w:rPr>
          <w:rFonts w:eastAsia="Arial" w:cs="Arial"/>
          <w:color w:val="000000" w:themeColor="accent6"/>
          <w:lang w:val="en-AU"/>
        </w:rPr>
        <w:t xml:space="preserve">Stakeholders identified that the current </w:t>
      </w:r>
      <w:r w:rsidRPr="008D1918" w:rsidR="00F30958">
        <w:rPr>
          <w:rFonts w:eastAsia="Arial" w:cs="Arial"/>
          <w:color w:val="000000" w:themeColor="accent6"/>
          <w:lang w:val="en-AU"/>
        </w:rPr>
        <w:t>ITM</w:t>
      </w:r>
      <w:r w:rsidRPr="008D1918">
        <w:rPr>
          <w:rFonts w:eastAsia="Arial" w:cs="Arial"/>
          <w:color w:val="000000" w:themeColor="accent6"/>
          <w:lang w:val="en-AU"/>
        </w:rPr>
        <w:t xml:space="preserve"> policy is limited to a focus on geographic constraints and lacks the sensitivity to capture local market dynamics or thin market issues, with several localities identified as experiencing ongoing market challenges. There was strong consensus regarding the need for a more transparent, data-driven and nationally consistent approach to addressing challenges in rural and remote areas beyond the remit of the existing </w:t>
      </w:r>
      <w:r w:rsidRPr="008D1918" w:rsidR="001A0245">
        <w:rPr>
          <w:rFonts w:eastAsia="Arial" w:cs="Arial"/>
          <w:color w:val="000000" w:themeColor="accent6"/>
          <w:lang w:val="en-AU"/>
        </w:rPr>
        <w:t>ITM</w:t>
      </w:r>
      <w:r w:rsidRPr="008D1918">
        <w:rPr>
          <w:rFonts w:eastAsia="Arial" w:cs="Arial"/>
          <w:color w:val="000000" w:themeColor="accent6"/>
          <w:lang w:val="en-AU"/>
        </w:rPr>
        <w:t>.</w:t>
      </w:r>
    </w:p>
    <w:p w:rsidRPr="008D1918" w:rsidR="2DF64590" w:rsidP="00354F83" w:rsidRDefault="2DF64590" w14:paraId="31A93A85" w14:textId="281CCA9C">
      <w:pPr>
        <w:pStyle w:val="LittleH5differentcontext"/>
      </w:pPr>
      <w:r w:rsidRPr="008D1918">
        <w:t xml:space="preserve">Locations by </w:t>
      </w:r>
      <w:r w:rsidRPr="008D1918" w:rsidR="00A906E0">
        <w:t>MMM</w:t>
      </w:r>
      <w:r w:rsidRPr="008D1918" w:rsidR="00AA306C">
        <w:t xml:space="preserve"> classification</w:t>
      </w:r>
    </w:p>
    <w:p w:rsidRPr="008D1918" w:rsidR="2DF64590" w:rsidP="005A783B" w:rsidRDefault="2DF64590" w14:paraId="66B56BE2" w14:textId="4D682F81">
      <w:pPr>
        <w:rPr>
          <w:rFonts w:eastAsia="Arial" w:cs="Arial"/>
          <w:color w:val="000000" w:themeColor="accent6"/>
          <w:lang w:val="en-AU"/>
        </w:rPr>
      </w:pPr>
      <w:r w:rsidRPr="008D1918">
        <w:rPr>
          <w:rFonts w:eastAsia="Arial" w:cs="Arial"/>
          <w:color w:val="000000" w:themeColor="accent6"/>
          <w:lang w:val="en-AU"/>
        </w:rPr>
        <w:t>M</w:t>
      </w:r>
      <w:r w:rsidRPr="008D1918" w:rsidR="00C063F5">
        <w:rPr>
          <w:rFonts w:eastAsia="Arial" w:cs="Arial"/>
          <w:color w:val="000000" w:themeColor="accent6"/>
          <w:lang w:val="en-AU"/>
        </w:rPr>
        <w:t>M</w:t>
      </w:r>
      <w:r w:rsidRPr="008D1918">
        <w:rPr>
          <w:rFonts w:eastAsia="Arial" w:cs="Arial"/>
          <w:color w:val="000000" w:themeColor="accent6"/>
          <w:lang w:val="en-AU"/>
        </w:rPr>
        <w:t xml:space="preserve"> 4 and </w:t>
      </w:r>
      <w:r w:rsidRPr="008D1918" w:rsidR="00F911BA">
        <w:rPr>
          <w:rFonts w:eastAsia="Arial" w:cs="Arial"/>
          <w:color w:val="000000" w:themeColor="accent6"/>
          <w:lang w:val="en-AU"/>
        </w:rPr>
        <w:t xml:space="preserve">MM </w:t>
      </w:r>
      <w:r w:rsidRPr="008D1918">
        <w:rPr>
          <w:rFonts w:eastAsia="Arial" w:cs="Arial"/>
          <w:color w:val="000000" w:themeColor="accent6"/>
          <w:lang w:val="en-AU"/>
        </w:rPr>
        <w:t xml:space="preserve">5 </w:t>
      </w:r>
      <w:r w:rsidRPr="008D1918" w:rsidR="00F911BA">
        <w:rPr>
          <w:rFonts w:eastAsia="Arial" w:cs="Arial"/>
          <w:color w:val="000000" w:themeColor="accent6"/>
          <w:lang w:val="en-AU"/>
        </w:rPr>
        <w:t>locations</w:t>
      </w:r>
      <w:r w:rsidRPr="008D1918">
        <w:rPr>
          <w:rFonts w:eastAsia="Arial" w:cs="Arial"/>
          <w:color w:val="000000" w:themeColor="accent6"/>
          <w:lang w:val="en-AU"/>
        </w:rPr>
        <w:t xml:space="preserve"> have been </w:t>
      </w:r>
      <w:r w:rsidRPr="008D1918" w:rsidR="007B0474">
        <w:rPr>
          <w:rFonts w:eastAsia="Arial" w:cs="Arial"/>
          <w:color w:val="000000" w:themeColor="accent6"/>
          <w:lang w:val="en-AU"/>
        </w:rPr>
        <w:t xml:space="preserve">highlighted </w:t>
      </w:r>
      <w:r w:rsidRPr="008D1918">
        <w:rPr>
          <w:rFonts w:eastAsia="Arial" w:cs="Arial"/>
          <w:color w:val="000000" w:themeColor="accent6"/>
          <w:lang w:val="en-AU"/>
        </w:rPr>
        <w:t>th</w:t>
      </w:r>
      <w:r w:rsidRPr="008D1918" w:rsidR="007B0474">
        <w:rPr>
          <w:rFonts w:eastAsia="Arial" w:cs="Arial"/>
          <w:color w:val="000000" w:themeColor="accent6"/>
          <w:lang w:val="en-AU"/>
        </w:rPr>
        <w:t>r</w:t>
      </w:r>
      <w:r w:rsidRPr="008D1918">
        <w:rPr>
          <w:rFonts w:eastAsia="Arial" w:cs="Arial"/>
          <w:color w:val="000000" w:themeColor="accent6"/>
          <w:lang w:val="en-AU"/>
        </w:rPr>
        <w:t>ough both consultation and data analysis as areas where markets may require further intervention.</w:t>
      </w:r>
    </w:p>
    <w:p w:rsidRPr="008D1918" w:rsidR="2DF64590" w:rsidP="005A783B" w:rsidRDefault="2DF64590" w14:paraId="0F36E07D" w14:textId="1127FFF1">
      <w:pPr>
        <w:rPr>
          <w:rFonts w:eastAsia="Arial" w:cs="Arial"/>
          <w:color w:val="000000" w:themeColor="accent6"/>
          <w:lang w:val="en-AU"/>
        </w:rPr>
      </w:pPr>
      <w:r w:rsidRPr="008D1918">
        <w:rPr>
          <w:rFonts w:eastAsia="Arial" w:cs="Arial"/>
          <w:color w:val="000000" w:themeColor="accent6"/>
          <w:lang w:val="en-AU"/>
        </w:rPr>
        <w:t>Stakeholders identified M</w:t>
      </w:r>
      <w:r w:rsidRPr="008D1918" w:rsidR="00C063F5">
        <w:rPr>
          <w:rFonts w:eastAsia="Arial" w:cs="Arial"/>
          <w:color w:val="000000" w:themeColor="accent6"/>
          <w:lang w:val="en-AU"/>
        </w:rPr>
        <w:t>M</w:t>
      </w:r>
      <w:r w:rsidRPr="008D1918" w:rsidR="005A783B">
        <w:rPr>
          <w:rFonts w:eastAsia="Arial" w:cs="Arial"/>
          <w:color w:val="000000" w:themeColor="accent6"/>
          <w:lang w:val="en-AU"/>
        </w:rPr>
        <w:t> </w:t>
      </w:r>
      <w:r w:rsidRPr="008D1918">
        <w:rPr>
          <w:rFonts w:eastAsia="Arial" w:cs="Arial"/>
          <w:color w:val="000000" w:themeColor="accent6"/>
          <w:lang w:val="en-AU"/>
        </w:rPr>
        <w:t>4 and M</w:t>
      </w:r>
      <w:r w:rsidRPr="008D1918" w:rsidR="00C063F5">
        <w:rPr>
          <w:rFonts w:eastAsia="Arial" w:cs="Arial"/>
          <w:color w:val="000000" w:themeColor="accent6"/>
          <w:lang w:val="en-AU"/>
        </w:rPr>
        <w:t>M</w:t>
      </w:r>
      <w:r w:rsidRPr="008D1918" w:rsidR="005A783B">
        <w:rPr>
          <w:rFonts w:eastAsia="Arial" w:cs="Arial"/>
          <w:color w:val="000000" w:themeColor="accent6"/>
          <w:lang w:val="en-AU"/>
        </w:rPr>
        <w:t> </w:t>
      </w:r>
      <w:r w:rsidRPr="008D1918">
        <w:rPr>
          <w:rFonts w:eastAsia="Arial" w:cs="Arial"/>
          <w:color w:val="000000" w:themeColor="accent6"/>
          <w:lang w:val="en-AU"/>
        </w:rPr>
        <w:t xml:space="preserve">5 locations </w:t>
      </w:r>
      <w:r w:rsidRPr="008D1918" w:rsidR="006F3136">
        <w:rPr>
          <w:rFonts w:eastAsia="Arial" w:cs="Arial"/>
          <w:color w:val="000000" w:themeColor="accent6"/>
          <w:lang w:val="en-AU"/>
        </w:rPr>
        <w:t>near</w:t>
      </w:r>
      <w:r w:rsidRPr="008D1918">
        <w:rPr>
          <w:rFonts w:eastAsia="Arial" w:cs="Arial"/>
          <w:color w:val="000000" w:themeColor="accent6"/>
          <w:lang w:val="en-AU"/>
        </w:rPr>
        <w:t xml:space="preserve"> M</w:t>
      </w:r>
      <w:r w:rsidRPr="008D1918" w:rsidR="00C063F5">
        <w:rPr>
          <w:rFonts w:eastAsia="Arial" w:cs="Arial"/>
          <w:color w:val="000000" w:themeColor="accent6"/>
          <w:lang w:val="en-AU"/>
        </w:rPr>
        <w:t>M</w:t>
      </w:r>
      <w:r w:rsidRPr="008D1918" w:rsidR="001B4EB2">
        <w:rPr>
          <w:rFonts w:eastAsia="Arial" w:cs="Arial"/>
          <w:color w:val="000000" w:themeColor="accent6"/>
          <w:lang w:val="en-AU"/>
        </w:rPr>
        <w:t> </w:t>
      </w:r>
      <w:r w:rsidRPr="008D1918">
        <w:rPr>
          <w:rFonts w:eastAsia="Arial" w:cs="Arial"/>
          <w:color w:val="000000" w:themeColor="accent6"/>
          <w:lang w:val="en-AU"/>
        </w:rPr>
        <w:t>6</w:t>
      </w:r>
      <w:r w:rsidRPr="008D1918" w:rsidR="001B4EB2">
        <w:rPr>
          <w:rFonts w:eastAsia="Arial" w:cs="Arial"/>
          <w:color w:val="000000" w:themeColor="accent6"/>
          <w:lang w:val="en-AU"/>
        </w:rPr>
        <w:t>–</w:t>
      </w:r>
      <w:r w:rsidRPr="008D1918">
        <w:rPr>
          <w:rFonts w:eastAsia="Arial" w:cs="Arial"/>
          <w:color w:val="000000" w:themeColor="accent6"/>
          <w:lang w:val="en-AU"/>
        </w:rPr>
        <w:t xml:space="preserve">7 locations, but also locations that were not adjacent to remote areas. Stakeholders </w:t>
      </w:r>
      <w:r w:rsidRPr="008D1918" w:rsidR="00A04D66">
        <w:rPr>
          <w:rFonts w:eastAsia="Arial" w:cs="Arial"/>
          <w:color w:val="000000" w:themeColor="accent6"/>
          <w:lang w:val="en-AU"/>
        </w:rPr>
        <w:t xml:space="preserve">advised </w:t>
      </w:r>
      <w:r w:rsidRPr="008D1918">
        <w:rPr>
          <w:rFonts w:eastAsia="Arial" w:cs="Arial"/>
          <w:color w:val="000000" w:themeColor="accent6"/>
          <w:lang w:val="en-AU"/>
        </w:rPr>
        <w:t>that travel distances to regional centres was a major factor driving thin markets even when the location was within a cluster of M</w:t>
      </w:r>
      <w:r w:rsidRPr="008D1918" w:rsidR="00C063F5">
        <w:rPr>
          <w:rFonts w:eastAsia="Arial" w:cs="Arial"/>
          <w:color w:val="000000" w:themeColor="accent6"/>
          <w:lang w:val="en-AU"/>
        </w:rPr>
        <w:t>M</w:t>
      </w:r>
      <w:r w:rsidRPr="008D1918" w:rsidR="005A783B">
        <w:rPr>
          <w:rFonts w:eastAsia="Arial" w:cs="Arial"/>
          <w:color w:val="000000" w:themeColor="accent6"/>
          <w:lang w:val="en-AU"/>
        </w:rPr>
        <w:t> </w:t>
      </w:r>
      <w:r w:rsidRPr="008D1918">
        <w:rPr>
          <w:rFonts w:eastAsia="Arial" w:cs="Arial"/>
          <w:color w:val="000000" w:themeColor="accent6"/>
          <w:lang w:val="en-AU"/>
        </w:rPr>
        <w:t xml:space="preserve">4 and 5 localities. For </w:t>
      </w:r>
      <w:r w:rsidRPr="008D1918" w:rsidR="006F1D9D">
        <w:rPr>
          <w:rFonts w:eastAsia="Arial" w:cs="Arial"/>
          <w:color w:val="000000" w:themeColor="accent6"/>
          <w:lang w:val="en-AU"/>
        </w:rPr>
        <w:t>example,</w:t>
      </w:r>
      <w:r w:rsidRPr="008D1918">
        <w:rPr>
          <w:rFonts w:eastAsia="Arial" w:cs="Arial"/>
          <w:color w:val="000000" w:themeColor="accent6"/>
          <w:lang w:val="en-AU"/>
        </w:rPr>
        <w:t xml:space="preserve"> Koj</w:t>
      </w:r>
      <w:r w:rsidRPr="008D1918" w:rsidR="000B702D">
        <w:rPr>
          <w:rFonts w:eastAsia="Arial" w:cs="Arial"/>
          <w:color w:val="000000" w:themeColor="accent6"/>
          <w:lang w:val="en-AU"/>
        </w:rPr>
        <w:t>o</w:t>
      </w:r>
      <w:r w:rsidRPr="008D1918">
        <w:rPr>
          <w:rFonts w:eastAsia="Arial" w:cs="Arial"/>
          <w:color w:val="000000" w:themeColor="accent6"/>
          <w:lang w:val="en-AU"/>
        </w:rPr>
        <w:t>nup (MM</w:t>
      </w:r>
      <w:r w:rsidRPr="008D1918" w:rsidR="001B4EB2">
        <w:rPr>
          <w:rFonts w:eastAsia="Arial" w:cs="Arial"/>
          <w:color w:val="000000" w:themeColor="accent6"/>
          <w:lang w:val="en-AU"/>
        </w:rPr>
        <w:t> </w:t>
      </w:r>
      <w:r w:rsidRPr="008D1918">
        <w:rPr>
          <w:rFonts w:eastAsia="Arial" w:cs="Arial"/>
          <w:color w:val="000000" w:themeColor="accent6"/>
          <w:lang w:val="en-AU"/>
        </w:rPr>
        <w:t>5) in W</w:t>
      </w:r>
      <w:r w:rsidRPr="008D1918" w:rsidR="007D3C27">
        <w:rPr>
          <w:rFonts w:eastAsia="Arial" w:cs="Arial"/>
          <w:color w:val="000000" w:themeColor="accent6"/>
          <w:lang w:val="en-AU"/>
        </w:rPr>
        <w:t xml:space="preserve">estern </w:t>
      </w:r>
      <w:r w:rsidRPr="008D1918">
        <w:rPr>
          <w:rFonts w:eastAsia="Arial" w:cs="Arial"/>
          <w:color w:val="000000" w:themeColor="accent6"/>
          <w:lang w:val="en-AU"/>
        </w:rPr>
        <w:t>A</w:t>
      </w:r>
      <w:r w:rsidRPr="008D1918" w:rsidR="007D3C27">
        <w:rPr>
          <w:rFonts w:eastAsia="Arial" w:cs="Arial"/>
          <w:color w:val="000000" w:themeColor="accent6"/>
          <w:lang w:val="en-AU"/>
        </w:rPr>
        <w:t>ustralia</w:t>
      </w:r>
      <w:r w:rsidRPr="008D1918" w:rsidR="00A04D66">
        <w:rPr>
          <w:rFonts w:eastAsia="Arial" w:cs="Arial"/>
          <w:color w:val="000000" w:themeColor="accent6"/>
          <w:lang w:val="en-AU"/>
        </w:rPr>
        <w:t>,</w:t>
      </w:r>
      <w:r w:rsidRPr="008D1918">
        <w:rPr>
          <w:rFonts w:eastAsia="Arial" w:cs="Arial"/>
          <w:color w:val="000000" w:themeColor="accent6"/>
          <w:lang w:val="en-AU"/>
        </w:rPr>
        <w:t xml:space="preserve"> which is 183 km or approximately 130 minutes' drive from Bunbury (MM</w:t>
      </w:r>
      <w:r w:rsidRPr="008D1918" w:rsidR="001B4EB2">
        <w:rPr>
          <w:rFonts w:eastAsia="Arial" w:cs="Arial"/>
          <w:color w:val="000000" w:themeColor="accent6"/>
          <w:lang w:val="en-AU"/>
        </w:rPr>
        <w:t> </w:t>
      </w:r>
      <w:r w:rsidRPr="008D1918">
        <w:rPr>
          <w:rFonts w:eastAsia="Arial" w:cs="Arial"/>
          <w:color w:val="000000" w:themeColor="accent6"/>
          <w:lang w:val="en-AU"/>
        </w:rPr>
        <w:t>2) in W</w:t>
      </w:r>
      <w:r w:rsidRPr="008D1918" w:rsidR="007D3C27">
        <w:rPr>
          <w:rFonts w:eastAsia="Arial" w:cs="Arial"/>
          <w:color w:val="000000" w:themeColor="accent6"/>
          <w:lang w:val="en-AU"/>
        </w:rPr>
        <w:t xml:space="preserve">estern </w:t>
      </w:r>
      <w:r w:rsidRPr="008D1918">
        <w:rPr>
          <w:rFonts w:eastAsia="Arial" w:cs="Arial"/>
          <w:color w:val="000000" w:themeColor="accent6"/>
          <w:lang w:val="en-AU"/>
        </w:rPr>
        <w:t>A</w:t>
      </w:r>
      <w:r w:rsidRPr="008D1918" w:rsidR="007D3C27">
        <w:rPr>
          <w:rFonts w:eastAsia="Arial" w:cs="Arial"/>
          <w:color w:val="000000" w:themeColor="accent6"/>
          <w:lang w:val="en-AU"/>
        </w:rPr>
        <w:t>ustralia</w:t>
      </w:r>
      <w:r w:rsidRPr="008D1918">
        <w:rPr>
          <w:rFonts w:eastAsia="Arial" w:cs="Arial"/>
          <w:color w:val="000000" w:themeColor="accent6"/>
          <w:lang w:val="en-AU"/>
        </w:rPr>
        <w:t>.</w:t>
      </w:r>
    </w:p>
    <w:p w:rsidRPr="008D1918" w:rsidR="2DF64590" w:rsidP="005A783B" w:rsidRDefault="2DF64590" w14:paraId="23886F35" w14:textId="66C21C5A">
      <w:pPr>
        <w:rPr>
          <w:rFonts w:eastAsia="Arial" w:cs="Arial"/>
          <w:color w:val="000000" w:themeColor="accent6"/>
          <w:lang w:val="en-AU"/>
        </w:rPr>
      </w:pPr>
      <w:r w:rsidRPr="008D1918">
        <w:rPr>
          <w:rFonts w:eastAsia="Arial" w:cs="Arial"/>
          <w:color w:val="000000" w:themeColor="accent6"/>
          <w:lang w:val="en-AU"/>
        </w:rPr>
        <w:t xml:space="preserve">Data analysis as per </w:t>
      </w:r>
      <w:r w:rsidRPr="008D1918" w:rsidR="007629B6">
        <w:rPr>
          <w:rFonts w:eastAsia="Arial" w:cs="Arial"/>
          <w:color w:val="000000" w:themeColor="accent6"/>
          <w:lang w:val="en-AU"/>
        </w:rPr>
        <w:t>S</w:t>
      </w:r>
      <w:r w:rsidRPr="008D1918">
        <w:rPr>
          <w:rFonts w:eastAsia="Arial" w:cs="Arial"/>
          <w:color w:val="000000" w:themeColor="accent6"/>
          <w:lang w:val="en-AU"/>
        </w:rPr>
        <w:t>ection</w:t>
      </w:r>
      <w:r w:rsidRPr="008D1918" w:rsidR="007629B6">
        <w:rPr>
          <w:rFonts w:eastAsia="Arial" w:cs="Arial"/>
          <w:color w:val="000000" w:themeColor="accent6"/>
          <w:lang w:val="en-AU"/>
        </w:rPr>
        <w:t xml:space="preserve"> 12.3.</w:t>
      </w:r>
      <w:r w:rsidRPr="008D1918" w:rsidR="00E44776">
        <w:rPr>
          <w:rFonts w:eastAsia="Arial" w:cs="Arial"/>
          <w:color w:val="000000" w:themeColor="accent6"/>
          <w:lang w:val="en-AU"/>
        </w:rPr>
        <w:t>2</w:t>
      </w:r>
      <w:r w:rsidRPr="008D1918">
        <w:rPr>
          <w:rFonts w:eastAsia="Arial" w:cs="Arial"/>
          <w:color w:val="000000" w:themeColor="accent6"/>
          <w:lang w:val="en-AU"/>
        </w:rPr>
        <w:t xml:space="preserve"> supports focusing on M</w:t>
      </w:r>
      <w:r w:rsidRPr="008D1918" w:rsidR="00C063F5">
        <w:rPr>
          <w:rFonts w:eastAsia="Arial" w:cs="Arial"/>
          <w:color w:val="000000" w:themeColor="accent6"/>
          <w:lang w:val="en-AU"/>
        </w:rPr>
        <w:t>M</w:t>
      </w:r>
      <w:r w:rsidRPr="008D1918" w:rsidR="001B4EB2">
        <w:rPr>
          <w:rFonts w:eastAsia="Arial" w:cs="Arial"/>
          <w:color w:val="000000" w:themeColor="accent6"/>
          <w:lang w:val="en-AU"/>
        </w:rPr>
        <w:t> </w:t>
      </w:r>
      <w:r w:rsidRPr="008D1918">
        <w:rPr>
          <w:rFonts w:eastAsia="Arial" w:cs="Arial"/>
          <w:color w:val="000000" w:themeColor="accent6"/>
          <w:lang w:val="en-AU"/>
        </w:rPr>
        <w:t>4</w:t>
      </w:r>
      <w:r w:rsidRPr="008D1918" w:rsidR="001B4EB2">
        <w:rPr>
          <w:rFonts w:eastAsia="Arial" w:cs="Arial"/>
          <w:color w:val="000000" w:themeColor="accent6"/>
          <w:lang w:val="en-AU"/>
        </w:rPr>
        <w:t>–</w:t>
      </w:r>
      <w:r w:rsidRPr="008D1918">
        <w:rPr>
          <w:rFonts w:eastAsia="Arial" w:cs="Arial"/>
          <w:color w:val="000000" w:themeColor="accent6"/>
          <w:lang w:val="en-AU"/>
        </w:rPr>
        <w:t>5, with M</w:t>
      </w:r>
      <w:r w:rsidRPr="008D1918" w:rsidR="00C063F5">
        <w:rPr>
          <w:rFonts w:eastAsia="Arial" w:cs="Arial"/>
          <w:color w:val="000000" w:themeColor="accent6"/>
          <w:lang w:val="en-AU"/>
        </w:rPr>
        <w:t>M</w:t>
      </w:r>
      <w:r w:rsidRPr="008D1918" w:rsidR="001B4EB2">
        <w:rPr>
          <w:rFonts w:eastAsia="Arial" w:cs="Arial"/>
          <w:color w:val="000000" w:themeColor="accent6"/>
          <w:lang w:val="en-AU"/>
        </w:rPr>
        <w:t> </w:t>
      </w:r>
      <w:r w:rsidRPr="008D1918">
        <w:rPr>
          <w:rFonts w:eastAsia="Arial" w:cs="Arial"/>
          <w:color w:val="000000" w:themeColor="accent6"/>
          <w:lang w:val="en-AU"/>
        </w:rPr>
        <w:t>5 locations in particular, identified as having lower scores or ratings in numerous metrics, including plan utilisation and plan activation.</w:t>
      </w:r>
    </w:p>
    <w:p w:rsidRPr="008D1918" w:rsidR="2DF64590" w:rsidP="00354F83" w:rsidRDefault="2DF64590" w14:paraId="368E3C2B" w14:textId="478BB8D7">
      <w:pPr>
        <w:pStyle w:val="LittleH5differentcontext"/>
      </w:pPr>
      <w:r w:rsidRPr="008D1918">
        <w:t xml:space="preserve">Provider data and plan </w:t>
      </w:r>
      <w:r w:rsidRPr="008D1918" w:rsidR="00237092">
        <w:t>use</w:t>
      </w:r>
    </w:p>
    <w:p w:rsidRPr="008D1918" w:rsidR="2DF64590" w:rsidP="005A783B" w:rsidRDefault="2DF64590" w14:paraId="30B546CA" w14:textId="4E21A311">
      <w:pPr>
        <w:rPr>
          <w:rFonts w:eastAsia="Arial" w:cs="Arial"/>
          <w:color w:val="000000" w:themeColor="accent6"/>
          <w:lang w:val="en-AU"/>
        </w:rPr>
      </w:pPr>
      <w:r w:rsidRPr="008D1918">
        <w:rPr>
          <w:rFonts w:eastAsia="Arial" w:cs="Arial"/>
          <w:color w:val="000000" w:themeColor="accent6"/>
          <w:lang w:val="en-AU"/>
        </w:rPr>
        <w:t xml:space="preserve">Throughout the consultation, plan </w:t>
      </w:r>
      <w:r w:rsidRPr="008D1918" w:rsidR="00237092">
        <w:rPr>
          <w:rFonts w:eastAsia="Arial" w:cs="Arial"/>
          <w:color w:val="000000" w:themeColor="accent6"/>
          <w:lang w:val="en-AU"/>
        </w:rPr>
        <w:t xml:space="preserve">use </w:t>
      </w:r>
      <w:r w:rsidRPr="008D1918">
        <w:rPr>
          <w:rFonts w:eastAsia="Arial" w:cs="Arial"/>
          <w:color w:val="000000" w:themeColor="accent6"/>
          <w:lang w:val="en-AU"/>
        </w:rPr>
        <w:t xml:space="preserve">was consistently identified as a more meaningful indicator of market functioning than counts of providers servicing a location. Analysis of utilisation data indicates that, on average, plan </w:t>
      </w:r>
      <w:r w:rsidRPr="008D1918" w:rsidR="00237092">
        <w:rPr>
          <w:rFonts w:eastAsia="Arial" w:cs="Arial"/>
          <w:color w:val="000000" w:themeColor="accent6"/>
          <w:lang w:val="en-AU"/>
        </w:rPr>
        <w:t xml:space="preserve">use </w:t>
      </w:r>
      <w:r w:rsidRPr="008D1918">
        <w:rPr>
          <w:rFonts w:eastAsia="Arial" w:cs="Arial"/>
          <w:color w:val="000000" w:themeColor="accent6"/>
          <w:lang w:val="en-AU"/>
        </w:rPr>
        <w:t>is lower in M</w:t>
      </w:r>
      <w:r w:rsidRPr="008D1918" w:rsidR="00C063F5">
        <w:rPr>
          <w:rFonts w:eastAsia="Arial" w:cs="Arial"/>
          <w:color w:val="000000" w:themeColor="accent6"/>
          <w:lang w:val="en-AU"/>
        </w:rPr>
        <w:t>M</w:t>
      </w:r>
      <w:r w:rsidRPr="008D1918" w:rsidR="005A783B">
        <w:rPr>
          <w:rFonts w:eastAsia="Arial" w:cs="Arial"/>
          <w:color w:val="000000" w:themeColor="accent6"/>
          <w:lang w:val="en-AU"/>
        </w:rPr>
        <w:t> </w:t>
      </w:r>
      <w:r w:rsidRPr="008D1918">
        <w:rPr>
          <w:rFonts w:eastAsia="Arial" w:cs="Arial"/>
          <w:color w:val="000000" w:themeColor="accent6"/>
          <w:lang w:val="en-AU"/>
        </w:rPr>
        <w:t>5 locations than M</w:t>
      </w:r>
      <w:r w:rsidRPr="008D1918" w:rsidR="00C063F5">
        <w:rPr>
          <w:rFonts w:eastAsia="Arial" w:cs="Arial"/>
          <w:color w:val="000000" w:themeColor="accent6"/>
          <w:lang w:val="en-AU"/>
        </w:rPr>
        <w:t>M</w:t>
      </w:r>
      <w:r w:rsidRPr="008D1918" w:rsidR="005A783B">
        <w:rPr>
          <w:rFonts w:eastAsia="Arial" w:cs="Arial"/>
          <w:color w:val="000000" w:themeColor="accent6"/>
          <w:lang w:val="en-AU"/>
        </w:rPr>
        <w:t> </w:t>
      </w:r>
      <w:r w:rsidRPr="008D1918">
        <w:rPr>
          <w:rFonts w:eastAsia="Arial" w:cs="Arial"/>
          <w:color w:val="000000" w:themeColor="accent6"/>
          <w:lang w:val="en-AU"/>
        </w:rPr>
        <w:t>6 locations, despite there being no evidence of materially lower provider numbers in M</w:t>
      </w:r>
      <w:r w:rsidRPr="008D1918" w:rsidR="00C063F5">
        <w:rPr>
          <w:rFonts w:eastAsia="Arial" w:cs="Arial"/>
          <w:color w:val="000000" w:themeColor="accent6"/>
          <w:lang w:val="en-AU"/>
        </w:rPr>
        <w:t>M</w:t>
      </w:r>
      <w:r w:rsidRPr="008D1918" w:rsidR="005A783B">
        <w:rPr>
          <w:rFonts w:eastAsia="Arial" w:cs="Arial"/>
          <w:color w:val="000000" w:themeColor="accent6"/>
          <w:lang w:val="en-AU"/>
        </w:rPr>
        <w:t> </w:t>
      </w:r>
      <w:r w:rsidRPr="008D1918">
        <w:rPr>
          <w:rFonts w:eastAsia="Arial" w:cs="Arial"/>
          <w:color w:val="000000" w:themeColor="accent6"/>
          <w:lang w:val="en-AU"/>
        </w:rPr>
        <w:t xml:space="preserve">5 </w:t>
      </w:r>
      <w:r w:rsidRPr="008D1918" w:rsidR="00E44776">
        <w:rPr>
          <w:rFonts w:eastAsia="Arial" w:cs="Arial"/>
          <w:color w:val="000000" w:themeColor="accent6"/>
          <w:lang w:val="en-AU"/>
        </w:rPr>
        <w:t>locations</w:t>
      </w:r>
      <w:r w:rsidRPr="008D1918">
        <w:rPr>
          <w:rFonts w:eastAsia="Arial" w:cs="Arial"/>
          <w:color w:val="000000" w:themeColor="accent6"/>
          <w:lang w:val="en-AU"/>
        </w:rPr>
        <w:t>. This suggests that provider presence alone is not a reliable proxy for effective access to supports.</w:t>
      </w:r>
    </w:p>
    <w:p w:rsidRPr="008D1918" w:rsidR="2DF64590" w:rsidP="005A783B" w:rsidRDefault="2DF64590" w14:paraId="27B6F533" w14:textId="3AA58FC9">
      <w:pPr>
        <w:rPr>
          <w:rFonts w:eastAsia="Arial" w:cs="Arial"/>
          <w:color w:val="000000" w:themeColor="accent6"/>
          <w:lang w:val="en-AU"/>
        </w:rPr>
      </w:pPr>
      <w:r w:rsidRPr="008D1918">
        <w:rPr>
          <w:rFonts w:eastAsia="Arial" w:cs="Arial"/>
          <w:color w:val="000000" w:themeColor="accent6"/>
          <w:lang w:val="en-AU"/>
        </w:rPr>
        <w:t xml:space="preserve">Lower </w:t>
      </w:r>
      <w:r w:rsidRPr="008D1918" w:rsidR="00B949CD">
        <w:rPr>
          <w:rFonts w:eastAsia="Arial" w:cs="Arial"/>
          <w:color w:val="000000" w:themeColor="accent6"/>
          <w:lang w:val="en-AU"/>
        </w:rPr>
        <w:t>plan use</w:t>
      </w:r>
      <w:r w:rsidRPr="008D1918">
        <w:rPr>
          <w:rFonts w:eastAsia="Arial" w:cs="Arial"/>
          <w:color w:val="000000" w:themeColor="accent6"/>
          <w:lang w:val="en-AU"/>
        </w:rPr>
        <w:t xml:space="preserve"> in M</w:t>
      </w:r>
      <w:r w:rsidRPr="008D1918" w:rsidR="00C063F5">
        <w:rPr>
          <w:rFonts w:eastAsia="Arial" w:cs="Arial"/>
          <w:color w:val="000000" w:themeColor="accent6"/>
          <w:lang w:val="en-AU"/>
        </w:rPr>
        <w:t>M</w:t>
      </w:r>
      <w:r w:rsidRPr="008D1918" w:rsidR="005A783B">
        <w:rPr>
          <w:rFonts w:eastAsia="Arial" w:cs="Arial"/>
          <w:color w:val="000000" w:themeColor="accent6"/>
          <w:lang w:val="en-AU"/>
        </w:rPr>
        <w:t> </w:t>
      </w:r>
      <w:r w:rsidRPr="008D1918">
        <w:rPr>
          <w:rFonts w:eastAsia="Arial" w:cs="Arial"/>
          <w:color w:val="000000" w:themeColor="accent6"/>
          <w:lang w:val="en-AU"/>
        </w:rPr>
        <w:t>5 locations is likely driven by a combination of factors, including misalignment between the frequency of services delivered and underlying participant demand. Notably, there are substantially more participants living in M</w:t>
      </w:r>
      <w:r w:rsidRPr="008D1918" w:rsidR="00C063F5">
        <w:rPr>
          <w:rFonts w:eastAsia="Arial" w:cs="Arial"/>
          <w:color w:val="000000" w:themeColor="accent6"/>
          <w:lang w:val="en-AU"/>
        </w:rPr>
        <w:t>M</w:t>
      </w:r>
      <w:r w:rsidRPr="008D1918" w:rsidR="00F815B3">
        <w:rPr>
          <w:rFonts w:eastAsia="Arial" w:cs="Arial"/>
          <w:color w:val="000000" w:themeColor="accent6"/>
          <w:lang w:val="en-AU"/>
        </w:rPr>
        <w:t> </w:t>
      </w:r>
      <w:r w:rsidRPr="008D1918">
        <w:rPr>
          <w:rFonts w:eastAsia="Arial" w:cs="Arial"/>
          <w:color w:val="000000" w:themeColor="accent6"/>
          <w:lang w:val="en-AU"/>
        </w:rPr>
        <w:t>5 locations than in M</w:t>
      </w:r>
      <w:r w:rsidRPr="008D1918" w:rsidR="00C063F5">
        <w:rPr>
          <w:rFonts w:eastAsia="Arial" w:cs="Arial"/>
          <w:color w:val="000000" w:themeColor="accent6"/>
          <w:lang w:val="en-AU"/>
        </w:rPr>
        <w:t>M</w:t>
      </w:r>
      <w:r w:rsidRPr="008D1918" w:rsidR="00F815B3">
        <w:rPr>
          <w:rFonts w:eastAsia="Arial" w:cs="Arial"/>
          <w:color w:val="000000" w:themeColor="accent6"/>
          <w:lang w:val="en-AU"/>
        </w:rPr>
        <w:t> </w:t>
      </w:r>
      <w:r w:rsidRPr="008D1918">
        <w:rPr>
          <w:rFonts w:eastAsia="Arial" w:cs="Arial"/>
          <w:color w:val="000000" w:themeColor="accent6"/>
          <w:lang w:val="en-AU"/>
        </w:rPr>
        <w:t>6 locations, approximately 44,540 compared to 6,492 respectively, while the geographic area covered by M</w:t>
      </w:r>
      <w:r w:rsidRPr="008D1918" w:rsidR="00C063F5">
        <w:rPr>
          <w:rFonts w:eastAsia="Arial" w:cs="Arial"/>
          <w:color w:val="000000" w:themeColor="accent6"/>
          <w:lang w:val="en-AU"/>
        </w:rPr>
        <w:t>M</w:t>
      </w:r>
      <w:r w:rsidRPr="008D1918" w:rsidR="00F815B3">
        <w:rPr>
          <w:rFonts w:eastAsia="Arial" w:cs="Arial"/>
          <w:color w:val="000000" w:themeColor="accent6"/>
          <w:lang w:val="en-AU"/>
        </w:rPr>
        <w:t> </w:t>
      </w:r>
      <w:r w:rsidRPr="008D1918">
        <w:rPr>
          <w:rFonts w:eastAsia="Arial" w:cs="Arial"/>
          <w:color w:val="000000" w:themeColor="accent6"/>
          <w:lang w:val="en-AU"/>
        </w:rPr>
        <w:t>5 locations is also marginally larger. These factors increase service delivery complexity and may contribute to reduced utilisation outcomes.</w:t>
      </w:r>
    </w:p>
    <w:p w:rsidRPr="008D1918" w:rsidR="2DF64590" w:rsidP="005A783B" w:rsidRDefault="2DF64590" w14:paraId="7A8FD623" w14:textId="634D34A4">
      <w:pPr>
        <w:rPr>
          <w:rFonts w:eastAsia="Arial" w:cs="Arial"/>
          <w:color w:val="000000" w:themeColor="accent6"/>
          <w:lang w:val="en-AU"/>
        </w:rPr>
      </w:pPr>
      <w:r w:rsidRPr="008D1918">
        <w:rPr>
          <w:rFonts w:eastAsia="Arial" w:cs="Arial"/>
          <w:color w:val="000000" w:themeColor="accent6"/>
          <w:lang w:val="en-AU"/>
        </w:rPr>
        <w:t xml:space="preserve">While </w:t>
      </w:r>
      <w:r w:rsidRPr="008D1918" w:rsidR="00B949CD">
        <w:rPr>
          <w:rFonts w:eastAsia="Arial" w:cs="Arial"/>
          <w:color w:val="000000" w:themeColor="accent6"/>
          <w:lang w:val="en-AU"/>
        </w:rPr>
        <w:t xml:space="preserve">plan use </w:t>
      </w:r>
      <w:r w:rsidRPr="008D1918">
        <w:rPr>
          <w:rFonts w:eastAsia="Arial" w:cs="Arial"/>
          <w:color w:val="000000" w:themeColor="accent6"/>
          <w:lang w:val="en-AU"/>
        </w:rPr>
        <w:t>outcomes in M</w:t>
      </w:r>
      <w:r w:rsidRPr="008D1918" w:rsidR="00C063F5">
        <w:rPr>
          <w:rFonts w:eastAsia="Arial" w:cs="Arial"/>
          <w:color w:val="000000" w:themeColor="accent6"/>
          <w:lang w:val="en-AU"/>
        </w:rPr>
        <w:t>M</w:t>
      </w:r>
      <w:r w:rsidRPr="008D1918" w:rsidR="00F815B3">
        <w:rPr>
          <w:rFonts w:eastAsia="Arial" w:cs="Arial"/>
          <w:color w:val="000000" w:themeColor="accent6"/>
          <w:lang w:val="en-AU"/>
        </w:rPr>
        <w:t> </w:t>
      </w:r>
      <w:r w:rsidRPr="008D1918">
        <w:rPr>
          <w:rFonts w:eastAsia="Arial" w:cs="Arial"/>
          <w:color w:val="000000" w:themeColor="accent6"/>
          <w:lang w:val="en-AU"/>
        </w:rPr>
        <w:t>4 locations are higher than in M</w:t>
      </w:r>
      <w:r w:rsidRPr="008D1918" w:rsidR="00C063F5">
        <w:rPr>
          <w:rFonts w:eastAsia="Arial" w:cs="Arial"/>
          <w:color w:val="000000" w:themeColor="accent6"/>
          <w:lang w:val="en-AU"/>
        </w:rPr>
        <w:t>M</w:t>
      </w:r>
      <w:r w:rsidRPr="008D1918" w:rsidR="00F815B3">
        <w:rPr>
          <w:rFonts w:eastAsia="Arial" w:cs="Arial"/>
          <w:color w:val="000000" w:themeColor="accent6"/>
          <w:lang w:val="en-AU"/>
        </w:rPr>
        <w:t> </w:t>
      </w:r>
      <w:r w:rsidRPr="008D1918">
        <w:rPr>
          <w:rFonts w:eastAsia="Arial" w:cs="Arial"/>
          <w:color w:val="000000" w:themeColor="accent6"/>
          <w:lang w:val="en-AU"/>
        </w:rPr>
        <w:t>5 locations, performance remains below that observed in M</w:t>
      </w:r>
      <w:r w:rsidRPr="008D1918" w:rsidR="00C063F5">
        <w:rPr>
          <w:rFonts w:eastAsia="Arial" w:cs="Arial"/>
          <w:color w:val="000000" w:themeColor="accent6"/>
          <w:lang w:val="en-AU"/>
        </w:rPr>
        <w:t>M</w:t>
      </w:r>
      <w:r w:rsidRPr="008D1918" w:rsidR="00F815B3">
        <w:rPr>
          <w:rFonts w:eastAsia="Arial" w:cs="Arial"/>
          <w:color w:val="000000" w:themeColor="accent6"/>
          <w:lang w:val="en-AU"/>
        </w:rPr>
        <w:t> </w:t>
      </w:r>
      <w:r w:rsidRPr="008D1918">
        <w:rPr>
          <w:rFonts w:eastAsia="Arial" w:cs="Arial"/>
          <w:color w:val="000000" w:themeColor="accent6"/>
          <w:lang w:val="en-AU"/>
        </w:rPr>
        <w:t>1 to M</w:t>
      </w:r>
      <w:r w:rsidRPr="008D1918" w:rsidR="00C063F5">
        <w:rPr>
          <w:rFonts w:eastAsia="Arial" w:cs="Arial"/>
          <w:color w:val="000000" w:themeColor="accent6"/>
          <w:lang w:val="en-AU"/>
        </w:rPr>
        <w:t>M</w:t>
      </w:r>
      <w:r w:rsidRPr="008D1918" w:rsidR="00F815B3">
        <w:rPr>
          <w:rFonts w:eastAsia="Arial" w:cs="Arial"/>
          <w:color w:val="000000" w:themeColor="accent6"/>
          <w:lang w:val="en-AU"/>
        </w:rPr>
        <w:t> </w:t>
      </w:r>
      <w:r w:rsidRPr="008D1918">
        <w:rPr>
          <w:rFonts w:eastAsia="Arial" w:cs="Arial"/>
          <w:color w:val="000000" w:themeColor="accent6"/>
          <w:lang w:val="en-AU"/>
        </w:rPr>
        <w:t>3 locations. This indicates that market challenges are not confined to the most remote settings and may persist in some regional areas.</w:t>
      </w:r>
    </w:p>
    <w:p w:rsidRPr="008D1918" w:rsidR="2DF64590" w:rsidP="005A783B" w:rsidRDefault="2DF64590" w14:paraId="6FE48724" w14:textId="498EDFEA">
      <w:pPr>
        <w:rPr>
          <w:rFonts w:eastAsia="Arial" w:cs="Arial"/>
          <w:color w:val="000000" w:themeColor="accent6"/>
          <w:lang w:val="en-AU"/>
        </w:rPr>
      </w:pPr>
      <w:r w:rsidRPr="008D1918">
        <w:rPr>
          <w:rFonts w:eastAsia="Arial" w:cs="Arial"/>
          <w:color w:val="000000" w:themeColor="accent6"/>
          <w:lang w:val="en-AU"/>
        </w:rPr>
        <w:t xml:space="preserve">Plan </w:t>
      </w:r>
      <w:r w:rsidRPr="008D1918" w:rsidR="00B949CD">
        <w:rPr>
          <w:rFonts w:eastAsia="Arial" w:cs="Arial"/>
          <w:color w:val="000000" w:themeColor="accent6"/>
          <w:lang w:val="en-AU"/>
        </w:rPr>
        <w:t>use</w:t>
      </w:r>
      <w:r w:rsidRPr="008D1918">
        <w:rPr>
          <w:rFonts w:eastAsia="Arial" w:cs="Arial"/>
          <w:color w:val="000000" w:themeColor="accent6"/>
          <w:lang w:val="en-AU"/>
        </w:rPr>
        <w:t xml:space="preserve"> is therefore considered a robust primary metric for identifying market stress and for informing consideration of locations that may require additional policy or market interventions.</w:t>
      </w:r>
    </w:p>
    <w:p w:rsidRPr="008D1918" w:rsidR="2DF64590" w:rsidP="005A783B" w:rsidRDefault="2DF64590" w14:paraId="09B8241C" w14:textId="438376D3">
      <w:pPr>
        <w:rPr>
          <w:rFonts w:eastAsia="Arial" w:cs="Arial"/>
          <w:color w:val="000000" w:themeColor="accent6"/>
          <w:lang w:val="en-AU"/>
        </w:rPr>
      </w:pPr>
      <w:r w:rsidRPr="008D1918">
        <w:rPr>
          <w:rFonts w:eastAsia="Arial" w:cs="Arial"/>
          <w:color w:val="000000" w:themeColor="accent6"/>
          <w:lang w:val="en-AU"/>
        </w:rPr>
        <w:t xml:space="preserve">Analysis of plan utilisation data over consecutive years has indicated that using average utilisation at the SA2 level, provides more reliable utilisation data rather than at a SAL level, due to participant population numbers. With fluctuations in plan </w:t>
      </w:r>
      <w:r w:rsidRPr="008D1918" w:rsidR="00C82604">
        <w:rPr>
          <w:rFonts w:eastAsia="Arial" w:cs="Arial"/>
          <w:color w:val="000000" w:themeColor="accent6"/>
          <w:lang w:val="en-AU"/>
        </w:rPr>
        <w:t xml:space="preserve">use </w:t>
      </w:r>
      <w:r w:rsidRPr="008D1918">
        <w:rPr>
          <w:rFonts w:eastAsia="Arial" w:cs="Arial"/>
          <w:color w:val="000000" w:themeColor="accent6"/>
          <w:lang w:val="en-AU"/>
        </w:rPr>
        <w:t xml:space="preserve">evident across years, using a </w:t>
      </w:r>
      <w:r w:rsidRPr="008D1918" w:rsidR="00186248">
        <w:rPr>
          <w:rFonts w:eastAsia="Arial" w:cs="Arial"/>
          <w:color w:val="000000" w:themeColor="accent6"/>
          <w:lang w:val="en-AU"/>
        </w:rPr>
        <w:t>3</w:t>
      </w:r>
      <w:r w:rsidRPr="008D1918">
        <w:rPr>
          <w:rFonts w:eastAsia="Arial" w:cs="Arial"/>
          <w:color w:val="000000" w:themeColor="accent6"/>
          <w:lang w:val="en-AU"/>
        </w:rPr>
        <w:t>-year rolling average helps to counteract yearly fluctuations which may occur due to participant priorities, numbers of first plans or other factors, and identifies areas with trends of lower utilisation.</w:t>
      </w:r>
    </w:p>
    <w:p w:rsidRPr="008D1918" w:rsidR="2DF64590" w:rsidP="005A783B" w:rsidRDefault="2DF64590" w14:paraId="57048D14" w14:textId="411536CA">
      <w:pPr>
        <w:rPr>
          <w:rFonts w:eastAsia="Arial" w:cs="Arial"/>
          <w:color w:val="000000" w:themeColor="accent6"/>
          <w:lang w:val="en-AU"/>
        </w:rPr>
      </w:pPr>
      <w:r w:rsidRPr="008D1918">
        <w:rPr>
          <w:rFonts w:eastAsia="Arial" w:cs="Arial"/>
          <w:color w:val="000000" w:themeColor="accent6"/>
          <w:lang w:val="en-AU"/>
        </w:rPr>
        <w:t>Based on analysis covering the period from 1 July 2022 to 30 June 2025, a utilisation threshold of 60</w:t>
      </w:r>
      <w:r w:rsidRPr="008D1918" w:rsidR="005A783B">
        <w:rPr>
          <w:rFonts w:eastAsia="Arial" w:cs="Arial"/>
          <w:color w:val="000000" w:themeColor="accent6"/>
          <w:lang w:val="en-AU"/>
        </w:rPr>
        <w:t>%</w:t>
      </w:r>
      <w:r w:rsidRPr="008D1918">
        <w:rPr>
          <w:rFonts w:eastAsia="Arial" w:cs="Arial"/>
          <w:color w:val="000000" w:themeColor="accent6"/>
          <w:lang w:val="en-AU"/>
        </w:rPr>
        <w:t xml:space="preserve"> has been identified as an appropriate indicator of potential market stress. This threshold is materially below the national average </w:t>
      </w:r>
      <w:r w:rsidRPr="008D1918" w:rsidR="00A94F10">
        <w:rPr>
          <w:rFonts w:eastAsia="Arial" w:cs="Arial"/>
          <w:color w:val="000000" w:themeColor="accent6"/>
          <w:lang w:val="en-AU"/>
        </w:rPr>
        <w:t xml:space="preserve">plan usage </w:t>
      </w:r>
      <w:r w:rsidRPr="008D1918">
        <w:rPr>
          <w:rFonts w:eastAsia="Arial" w:cs="Arial"/>
          <w:color w:val="000000" w:themeColor="accent6"/>
          <w:lang w:val="en-AU"/>
        </w:rPr>
        <w:t>rate of 76</w:t>
      </w:r>
      <w:r w:rsidRPr="008D1918" w:rsidR="005A783B">
        <w:rPr>
          <w:rFonts w:eastAsia="Arial" w:cs="Arial"/>
          <w:color w:val="000000" w:themeColor="accent6"/>
          <w:lang w:val="en-AU"/>
        </w:rPr>
        <w:t>%</w:t>
      </w:r>
      <w:r w:rsidRPr="008D1918">
        <w:rPr>
          <w:rFonts w:eastAsia="Arial" w:cs="Arial"/>
          <w:color w:val="000000" w:themeColor="accent6"/>
          <w:lang w:val="en-AU"/>
        </w:rPr>
        <w:t>, while remaining broadly consistent with utilisation levels observed in existing M</w:t>
      </w:r>
      <w:r w:rsidRPr="008D1918" w:rsidR="00C063F5">
        <w:rPr>
          <w:rFonts w:eastAsia="Arial" w:cs="Arial"/>
          <w:color w:val="000000" w:themeColor="accent6"/>
          <w:lang w:val="en-AU"/>
        </w:rPr>
        <w:t>M</w:t>
      </w:r>
      <w:r w:rsidRPr="008D1918" w:rsidR="005A783B">
        <w:rPr>
          <w:rFonts w:eastAsia="Arial" w:cs="Arial"/>
          <w:color w:val="000000" w:themeColor="accent6"/>
          <w:lang w:val="en-AU"/>
        </w:rPr>
        <w:t> </w:t>
      </w:r>
      <w:r w:rsidRPr="008D1918">
        <w:rPr>
          <w:rFonts w:eastAsia="Arial" w:cs="Arial"/>
          <w:color w:val="000000" w:themeColor="accent6"/>
          <w:lang w:val="en-AU"/>
        </w:rPr>
        <w:t xml:space="preserve">5 </w:t>
      </w:r>
      <w:r w:rsidRPr="008D1918" w:rsidR="001A0245">
        <w:rPr>
          <w:rFonts w:eastAsia="Arial" w:cs="Arial"/>
          <w:color w:val="000000" w:themeColor="accent6"/>
          <w:lang w:val="en-AU"/>
        </w:rPr>
        <w:t>ITM</w:t>
      </w:r>
      <w:r w:rsidRPr="008D1918">
        <w:rPr>
          <w:rFonts w:eastAsia="Arial" w:cs="Arial"/>
          <w:color w:val="000000" w:themeColor="accent6"/>
          <w:lang w:val="en-AU"/>
        </w:rPr>
        <w:t xml:space="preserve"> locations.</w:t>
      </w:r>
    </w:p>
    <w:p w:rsidRPr="008D1918" w:rsidR="2DF64590" w:rsidP="005A783B" w:rsidRDefault="2DF64590" w14:paraId="56FC72E1" w14:textId="65E3BE1E">
      <w:pPr>
        <w:rPr>
          <w:rFonts w:eastAsia="Arial" w:cs="Arial"/>
          <w:color w:val="000000" w:themeColor="accent6"/>
          <w:lang w:val="en-AU"/>
        </w:rPr>
      </w:pPr>
      <w:r w:rsidRPr="008D1918">
        <w:rPr>
          <w:rFonts w:eastAsia="Arial" w:cs="Arial"/>
          <w:color w:val="000000" w:themeColor="accent6"/>
          <w:lang w:val="en-AU"/>
        </w:rPr>
        <w:t xml:space="preserve">Analysis of provider‑to‑participant ratios at the </w:t>
      </w:r>
      <w:r w:rsidRPr="008D1918" w:rsidR="009A0C23">
        <w:rPr>
          <w:rFonts w:eastAsia="Arial" w:cs="Arial"/>
          <w:color w:val="000000" w:themeColor="accent6"/>
          <w:lang w:val="en-AU"/>
        </w:rPr>
        <w:t>SAL</w:t>
      </w:r>
      <w:r w:rsidRPr="008D1918">
        <w:rPr>
          <w:rFonts w:eastAsia="Arial" w:cs="Arial"/>
          <w:color w:val="000000" w:themeColor="accent6"/>
          <w:lang w:val="en-AU"/>
        </w:rPr>
        <w:t xml:space="preserve"> level was also undertaken</w:t>
      </w:r>
      <w:r w:rsidRPr="008D1918" w:rsidR="00F815B3">
        <w:rPr>
          <w:rFonts w:eastAsia="Arial" w:cs="Arial"/>
          <w:color w:val="000000" w:themeColor="accent6"/>
          <w:lang w:val="en-AU"/>
        </w:rPr>
        <w:t>,</w:t>
      </w:r>
      <w:r w:rsidRPr="008D1918">
        <w:rPr>
          <w:rFonts w:eastAsia="Arial" w:cs="Arial"/>
          <w:color w:val="000000" w:themeColor="accent6"/>
          <w:lang w:val="en-AU"/>
        </w:rPr>
        <w:t xml:space="preserve"> however, no consistent relationship was observed between provider ratios and utilisation outcomes at this level. This further supports the use of utilisation as the preferred metric for assessing market performance.</w:t>
      </w:r>
    </w:p>
    <w:p w:rsidRPr="008D1918" w:rsidR="2DF64590" w:rsidP="00354F83" w:rsidRDefault="2DF64590" w14:paraId="30BCB43A" w14:textId="3C6DEAFA">
      <w:pPr>
        <w:pStyle w:val="LittleH5differentcontext"/>
      </w:pPr>
      <w:r w:rsidRPr="008D1918">
        <w:t>Travel factors</w:t>
      </w:r>
    </w:p>
    <w:p w:rsidRPr="008D1918" w:rsidR="2DF64590" w:rsidP="00F815B3" w:rsidRDefault="2DF64590" w14:paraId="219F1722" w14:textId="62197B70">
      <w:pPr>
        <w:rPr>
          <w:rFonts w:eastAsia="Arial" w:cs="Arial"/>
          <w:color w:val="000000" w:themeColor="accent6"/>
          <w:lang w:val="en-AU"/>
        </w:rPr>
      </w:pPr>
      <w:r w:rsidRPr="008D1918">
        <w:rPr>
          <w:rFonts w:eastAsia="Arial" w:cs="Arial"/>
          <w:color w:val="000000" w:themeColor="accent6"/>
          <w:lang w:val="en-AU"/>
        </w:rPr>
        <w:t>The PAPL sets out the conditions under which providers may claim travel costs when delivering supports. Providers can claim for labour (time) and non-labour (such as road tolls, parking fees and the running costs of the vehicle). In M</w:t>
      </w:r>
      <w:r w:rsidRPr="008D1918" w:rsidR="00C063F5">
        <w:rPr>
          <w:rFonts w:eastAsia="Arial" w:cs="Arial"/>
          <w:color w:val="000000" w:themeColor="accent6"/>
          <w:lang w:val="en-AU"/>
        </w:rPr>
        <w:t>M</w:t>
      </w:r>
      <w:r w:rsidRPr="008D1918" w:rsidR="004263A5">
        <w:rPr>
          <w:rFonts w:eastAsia="Arial" w:cs="Arial"/>
          <w:color w:val="000000" w:themeColor="accent6"/>
          <w:lang w:val="en-AU"/>
        </w:rPr>
        <w:t> </w:t>
      </w:r>
      <w:r w:rsidRPr="008D1918">
        <w:rPr>
          <w:rFonts w:eastAsia="Arial" w:cs="Arial"/>
          <w:color w:val="000000" w:themeColor="accent6"/>
          <w:lang w:val="en-AU"/>
        </w:rPr>
        <w:t>1</w:t>
      </w:r>
      <w:r w:rsidRPr="008D1918" w:rsidR="004263A5">
        <w:rPr>
          <w:rFonts w:eastAsia="Arial" w:cs="Arial"/>
          <w:color w:val="000000" w:themeColor="accent6"/>
          <w:lang w:val="en-AU"/>
        </w:rPr>
        <w:t>–</w:t>
      </w:r>
      <w:r w:rsidRPr="008D1918">
        <w:rPr>
          <w:rFonts w:eastAsia="Arial" w:cs="Arial"/>
          <w:color w:val="000000" w:themeColor="accent6"/>
          <w:lang w:val="en-AU"/>
        </w:rPr>
        <w:t>3 areas providers can claim up to 30 minutes of travel (labour time) to and from each participant. In M</w:t>
      </w:r>
      <w:r w:rsidRPr="008D1918" w:rsidR="00C063F5">
        <w:rPr>
          <w:rFonts w:eastAsia="Arial" w:cs="Arial"/>
          <w:color w:val="000000" w:themeColor="accent6"/>
          <w:lang w:val="en-AU"/>
        </w:rPr>
        <w:t>M</w:t>
      </w:r>
      <w:r w:rsidRPr="008D1918" w:rsidR="004263A5">
        <w:rPr>
          <w:rFonts w:eastAsia="Arial" w:cs="Arial"/>
          <w:color w:val="000000" w:themeColor="accent6"/>
          <w:lang w:val="en-AU"/>
        </w:rPr>
        <w:t> </w:t>
      </w:r>
      <w:r w:rsidRPr="008D1918">
        <w:rPr>
          <w:rFonts w:eastAsia="Arial" w:cs="Arial"/>
          <w:color w:val="000000" w:themeColor="accent6"/>
          <w:lang w:val="en-AU"/>
        </w:rPr>
        <w:t>4</w:t>
      </w:r>
      <w:r w:rsidRPr="008D1918" w:rsidR="004263A5">
        <w:rPr>
          <w:rFonts w:eastAsia="Arial" w:cs="Arial"/>
          <w:color w:val="000000" w:themeColor="accent6"/>
          <w:lang w:val="en-AU"/>
        </w:rPr>
        <w:t>–</w:t>
      </w:r>
      <w:r w:rsidRPr="008D1918">
        <w:rPr>
          <w:rFonts w:eastAsia="Arial" w:cs="Arial"/>
          <w:color w:val="000000" w:themeColor="accent6"/>
          <w:lang w:val="en-AU"/>
        </w:rPr>
        <w:t>5 locations providers can claim up to 60 minutes of travel (labour time). Provider travel in remote (M</w:t>
      </w:r>
      <w:r w:rsidRPr="008D1918" w:rsidR="00C063F5">
        <w:rPr>
          <w:rFonts w:eastAsia="Arial" w:cs="Arial"/>
          <w:color w:val="000000" w:themeColor="accent6"/>
          <w:lang w:val="en-AU"/>
        </w:rPr>
        <w:t>M</w:t>
      </w:r>
      <w:r w:rsidRPr="008D1918" w:rsidR="004263A5">
        <w:rPr>
          <w:rFonts w:eastAsia="Arial" w:cs="Arial"/>
          <w:color w:val="000000" w:themeColor="accent6"/>
          <w:lang w:val="en-AU"/>
        </w:rPr>
        <w:t> </w:t>
      </w:r>
      <w:r w:rsidRPr="008D1918">
        <w:rPr>
          <w:rFonts w:eastAsia="Arial" w:cs="Arial"/>
          <w:color w:val="000000" w:themeColor="accent6"/>
          <w:lang w:val="en-AU"/>
        </w:rPr>
        <w:t>6) and very remote (M</w:t>
      </w:r>
      <w:r w:rsidRPr="008D1918" w:rsidR="00C063F5">
        <w:rPr>
          <w:rFonts w:eastAsia="Arial" w:cs="Arial"/>
          <w:color w:val="000000" w:themeColor="accent6"/>
          <w:lang w:val="en-AU"/>
        </w:rPr>
        <w:t>M</w:t>
      </w:r>
      <w:r w:rsidRPr="008D1918" w:rsidR="004263A5">
        <w:rPr>
          <w:rFonts w:eastAsia="Arial" w:cs="Arial"/>
          <w:color w:val="000000" w:themeColor="accent6"/>
          <w:lang w:val="en-AU"/>
        </w:rPr>
        <w:t> </w:t>
      </w:r>
      <w:r w:rsidRPr="008D1918">
        <w:rPr>
          <w:rFonts w:eastAsia="Arial" w:cs="Arial"/>
          <w:color w:val="000000" w:themeColor="accent6"/>
          <w:lang w:val="en-AU"/>
        </w:rPr>
        <w:t xml:space="preserve">7) areas allows providers to enter specific arrangements for labour costs (time) incurred. In all locations the price </w:t>
      </w:r>
      <w:r w:rsidR="00716800">
        <w:rPr>
          <w:rFonts w:eastAsia="Arial" w:cs="Arial"/>
          <w:color w:val="000000" w:themeColor="accent6"/>
          <w:lang w:val="en-AU"/>
        </w:rPr>
        <w:t>for</w:t>
      </w:r>
      <w:r w:rsidRPr="008D1918">
        <w:rPr>
          <w:rFonts w:eastAsia="Arial" w:cs="Arial"/>
          <w:color w:val="000000" w:themeColor="accent6"/>
          <w:lang w:val="en-AU"/>
        </w:rPr>
        <w:t xml:space="preserve"> therapy supports labour travel (time) is 50% of the relevant hourly rate. </w:t>
      </w:r>
    </w:p>
    <w:p w:rsidRPr="008D1918" w:rsidR="2DF64590" w:rsidP="00F815B3" w:rsidRDefault="2DF64590" w14:paraId="1EFB1636" w14:textId="4D1FBD1F">
      <w:pPr>
        <w:rPr>
          <w:rFonts w:eastAsia="Arial" w:cs="Arial"/>
          <w:color w:val="000000" w:themeColor="accent6"/>
          <w:lang w:val="en-AU"/>
        </w:rPr>
      </w:pPr>
      <w:r w:rsidRPr="008D1918">
        <w:rPr>
          <w:rFonts w:eastAsia="Arial" w:cs="Arial"/>
          <w:color w:val="000000" w:themeColor="accent6"/>
          <w:lang w:val="en-AU"/>
        </w:rPr>
        <w:t>Travel times exceeding 60 minutes between M</w:t>
      </w:r>
      <w:r w:rsidRPr="008D1918" w:rsidR="00C063F5">
        <w:rPr>
          <w:rFonts w:eastAsia="Arial" w:cs="Arial"/>
          <w:color w:val="000000" w:themeColor="accent6"/>
          <w:lang w:val="en-AU"/>
        </w:rPr>
        <w:t>M</w:t>
      </w:r>
      <w:r w:rsidRPr="008D1918" w:rsidR="004263A5">
        <w:rPr>
          <w:rFonts w:eastAsia="Arial" w:cs="Arial"/>
          <w:color w:val="000000" w:themeColor="accent6"/>
          <w:lang w:val="en-AU"/>
        </w:rPr>
        <w:t> </w:t>
      </w:r>
      <w:r w:rsidRPr="008D1918">
        <w:rPr>
          <w:rFonts w:eastAsia="Arial" w:cs="Arial"/>
          <w:color w:val="000000" w:themeColor="accent6"/>
          <w:lang w:val="en-AU"/>
        </w:rPr>
        <w:t>4 or M</w:t>
      </w:r>
      <w:r w:rsidRPr="008D1918" w:rsidR="00C063F5">
        <w:rPr>
          <w:rFonts w:eastAsia="Arial" w:cs="Arial"/>
          <w:color w:val="000000" w:themeColor="accent6"/>
          <w:lang w:val="en-AU"/>
        </w:rPr>
        <w:t>M</w:t>
      </w:r>
      <w:r w:rsidRPr="008D1918" w:rsidR="004263A5">
        <w:rPr>
          <w:rFonts w:eastAsia="Arial" w:cs="Arial"/>
          <w:color w:val="000000" w:themeColor="accent6"/>
          <w:lang w:val="en-AU"/>
        </w:rPr>
        <w:t> </w:t>
      </w:r>
      <w:r w:rsidRPr="008D1918">
        <w:rPr>
          <w:rFonts w:eastAsia="Arial" w:cs="Arial"/>
          <w:color w:val="000000" w:themeColor="accent6"/>
          <w:lang w:val="en-AU"/>
        </w:rPr>
        <w:t>5 locations and the nearest M</w:t>
      </w:r>
      <w:r w:rsidRPr="008D1918" w:rsidR="00C063F5">
        <w:rPr>
          <w:rFonts w:eastAsia="Arial" w:cs="Arial"/>
          <w:color w:val="000000" w:themeColor="accent6"/>
          <w:lang w:val="en-AU"/>
        </w:rPr>
        <w:t>M</w:t>
      </w:r>
      <w:r w:rsidRPr="008D1918" w:rsidR="004263A5">
        <w:rPr>
          <w:rFonts w:eastAsia="Arial" w:cs="Arial"/>
          <w:color w:val="000000" w:themeColor="accent6"/>
          <w:lang w:val="en-AU"/>
        </w:rPr>
        <w:t> </w:t>
      </w:r>
      <w:r w:rsidRPr="008D1918">
        <w:rPr>
          <w:rFonts w:eastAsia="Arial" w:cs="Arial"/>
          <w:color w:val="000000" w:themeColor="accent6"/>
          <w:lang w:val="en-AU"/>
        </w:rPr>
        <w:t>1–3 centre were identified as a key contributor to service access challenges. Data analysis also suggests there are increased costs associated with travel to M</w:t>
      </w:r>
      <w:r w:rsidRPr="008D1918" w:rsidR="00C063F5">
        <w:rPr>
          <w:rFonts w:eastAsia="Arial" w:cs="Arial"/>
          <w:color w:val="000000" w:themeColor="accent6"/>
          <w:lang w:val="en-AU"/>
        </w:rPr>
        <w:t>M</w:t>
      </w:r>
      <w:r w:rsidRPr="008D1918" w:rsidR="004263A5">
        <w:rPr>
          <w:rFonts w:eastAsia="Arial" w:cs="Arial"/>
          <w:color w:val="000000" w:themeColor="accent6"/>
          <w:lang w:val="en-AU"/>
        </w:rPr>
        <w:t> </w:t>
      </w:r>
      <w:r w:rsidRPr="008D1918">
        <w:rPr>
          <w:rFonts w:eastAsia="Arial" w:cs="Arial"/>
          <w:color w:val="000000" w:themeColor="accent6"/>
          <w:lang w:val="en-AU"/>
        </w:rPr>
        <w:t>4</w:t>
      </w:r>
      <w:r w:rsidRPr="008D1918" w:rsidR="004263A5">
        <w:rPr>
          <w:rFonts w:eastAsia="Arial" w:cs="Arial"/>
          <w:color w:val="000000" w:themeColor="accent6"/>
          <w:lang w:val="en-AU"/>
        </w:rPr>
        <w:t>–</w:t>
      </w:r>
      <w:r w:rsidRPr="008D1918">
        <w:rPr>
          <w:rFonts w:eastAsia="Arial" w:cs="Arial"/>
          <w:color w:val="000000" w:themeColor="accent6"/>
          <w:lang w:val="en-AU"/>
        </w:rPr>
        <w:t xml:space="preserve">7 locations.  </w:t>
      </w:r>
    </w:p>
    <w:p w:rsidRPr="008D1918" w:rsidR="2DF64590" w:rsidP="00F815B3" w:rsidRDefault="2DF64590" w14:paraId="0540A380" w14:textId="0F66E7A1">
      <w:pPr>
        <w:rPr>
          <w:rFonts w:eastAsia="Arial" w:cs="Arial"/>
          <w:color w:val="000000" w:themeColor="accent6"/>
          <w:lang w:val="en-AU"/>
        </w:rPr>
      </w:pPr>
      <w:r w:rsidRPr="008D1918">
        <w:rPr>
          <w:rFonts w:eastAsia="Arial" w:cs="Arial"/>
          <w:color w:val="000000" w:themeColor="accent6"/>
          <w:lang w:val="en-AU"/>
        </w:rPr>
        <w:t>A travel time threshold of more than 70 minutes between an M</w:t>
      </w:r>
      <w:r w:rsidRPr="008D1918" w:rsidR="00C063F5">
        <w:rPr>
          <w:rFonts w:eastAsia="Arial" w:cs="Arial"/>
          <w:color w:val="000000" w:themeColor="accent6"/>
          <w:lang w:val="en-AU"/>
        </w:rPr>
        <w:t>M</w:t>
      </w:r>
      <w:r w:rsidRPr="008D1918" w:rsidR="00F815B3">
        <w:rPr>
          <w:rFonts w:eastAsia="Arial" w:cs="Arial"/>
          <w:color w:val="000000" w:themeColor="accent6"/>
          <w:lang w:val="en-AU"/>
        </w:rPr>
        <w:t> </w:t>
      </w:r>
      <w:r w:rsidRPr="008D1918">
        <w:rPr>
          <w:rFonts w:eastAsia="Arial" w:cs="Arial"/>
          <w:color w:val="000000" w:themeColor="accent6"/>
          <w:lang w:val="en-AU"/>
        </w:rPr>
        <w:t>4 or M</w:t>
      </w:r>
      <w:r w:rsidRPr="008D1918" w:rsidR="00C063F5">
        <w:rPr>
          <w:rFonts w:eastAsia="Arial" w:cs="Arial"/>
          <w:color w:val="000000" w:themeColor="accent6"/>
          <w:lang w:val="en-AU"/>
        </w:rPr>
        <w:t>M</w:t>
      </w:r>
      <w:r w:rsidRPr="008D1918" w:rsidR="00F815B3">
        <w:rPr>
          <w:rFonts w:eastAsia="Arial" w:cs="Arial"/>
          <w:color w:val="000000" w:themeColor="accent6"/>
          <w:lang w:val="en-AU"/>
        </w:rPr>
        <w:t> </w:t>
      </w:r>
      <w:r w:rsidRPr="008D1918">
        <w:rPr>
          <w:rFonts w:eastAsia="Arial" w:cs="Arial"/>
          <w:color w:val="000000" w:themeColor="accent6"/>
          <w:lang w:val="en-AU"/>
        </w:rPr>
        <w:t>5 location and the nearest M</w:t>
      </w:r>
      <w:r w:rsidRPr="008D1918" w:rsidR="00C063F5">
        <w:rPr>
          <w:rFonts w:eastAsia="Arial" w:cs="Arial"/>
          <w:color w:val="000000" w:themeColor="accent6"/>
          <w:lang w:val="en-AU"/>
        </w:rPr>
        <w:t>M</w:t>
      </w:r>
      <w:r w:rsidRPr="008D1918" w:rsidR="00F815B3">
        <w:rPr>
          <w:rFonts w:eastAsia="Arial" w:cs="Arial"/>
          <w:color w:val="000000" w:themeColor="accent6"/>
          <w:lang w:val="en-AU"/>
        </w:rPr>
        <w:t> </w:t>
      </w:r>
      <w:r w:rsidRPr="008D1918">
        <w:rPr>
          <w:rFonts w:eastAsia="Arial" w:cs="Arial"/>
          <w:color w:val="000000" w:themeColor="accent6"/>
          <w:lang w:val="en-AU"/>
        </w:rPr>
        <w:t xml:space="preserve">1–3 centre is proposed as an indicator of potential market stress. Potential locations were identified through a mapping of the </w:t>
      </w:r>
      <w:r w:rsidRPr="008D1918" w:rsidR="00C063F5">
        <w:rPr>
          <w:rFonts w:eastAsia="Arial" w:cs="Arial"/>
          <w:color w:val="000000" w:themeColor="accent6"/>
          <w:lang w:val="en-AU"/>
        </w:rPr>
        <w:t>M</w:t>
      </w:r>
      <w:r w:rsidRPr="008D1918">
        <w:rPr>
          <w:rFonts w:eastAsia="Arial" w:cs="Arial"/>
          <w:color w:val="000000" w:themeColor="accent6"/>
          <w:lang w:val="en-AU"/>
        </w:rPr>
        <w:t>M</w:t>
      </w:r>
      <w:r w:rsidRPr="008D1918" w:rsidR="00F815B3">
        <w:rPr>
          <w:rFonts w:eastAsia="Arial" w:cs="Arial"/>
          <w:color w:val="000000" w:themeColor="accent6"/>
          <w:lang w:val="en-AU"/>
        </w:rPr>
        <w:t> </w:t>
      </w:r>
      <w:r w:rsidRPr="008D1918">
        <w:rPr>
          <w:rFonts w:eastAsia="Arial" w:cs="Arial"/>
          <w:color w:val="000000" w:themeColor="accent6"/>
          <w:lang w:val="en-AU"/>
        </w:rPr>
        <w:t>4 and 5 SA2 localities with the most participants, to the nearest M</w:t>
      </w:r>
      <w:r w:rsidRPr="008D1918" w:rsidR="00C063F5">
        <w:rPr>
          <w:rFonts w:eastAsia="Arial" w:cs="Arial"/>
          <w:color w:val="000000" w:themeColor="accent6"/>
          <w:lang w:val="en-AU"/>
        </w:rPr>
        <w:t>M</w:t>
      </w:r>
      <w:r w:rsidRPr="008D1918" w:rsidR="00F815B3">
        <w:rPr>
          <w:rFonts w:eastAsia="Arial" w:cs="Arial"/>
          <w:color w:val="000000" w:themeColor="accent6"/>
          <w:lang w:val="en-AU"/>
        </w:rPr>
        <w:t> </w:t>
      </w:r>
      <w:r w:rsidRPr="008D1918">
        <w:rPr>
          <w:rFonts w:eastAsia="Arial" w:cs="Arial"/>
          <w:color w:val="000000" w:themeColor="accent6"/>
          <w:lang w:val="en-AU"/>
        </w:rPr>
        <w:t>1</w:t>
      </w:r>
      <w:r w:rsidRPr="008D1918" w:rsidR="00F815B3">
        <w:rPr>
          <w:rFonts w:eastAsia="Arial" w:cs="Arial"/>
          <w:color w:val="000000" w:themeColor="accent6"/>
          <w:lang w:val="en-AU"/>
        </w:rPr>
        <w:t>–</w:t>
      </w:r>
      <w:r w:rsidRPr="008D1918">
        <w:rPr>
          <w:rFonts w:eastAsia="Arial" w:cs="Arial"/>
          <w:color w:val="000000" w:themeColor="accent6"/>
          <w:lang w:val="en-AU"/>
        </w:rPr>
        <w:t>3 location.</w:t>
      </w:r>
    </w:p>
    <w:p w:rsidRPr="008D1918" w:rsidR="2DF64590" w:rsidP="00F815B3" w:rsidRDefault="2DF64590" w14:paraId="6FF4482E" w14:textId="79D0C15C">
      <w:pPr>
        <w:rPr>
          <w:rFonts w:eastAsia="Arial" w:cs="Arial"/>
          <w:color w:val="000000" w:themeColor="accent6"/>
          <w:lang w:val="en-AU"/>
        </w:rPr>
      </w:pPr>
      <w:r w:rsidRPr="008D1918">
        <w:rPr>
          <w:rFonts w:eastAsia="Arial" w:cs="Arial"/>
          <w:color w:val="000000" w:themeColor="accent6"/>
          <w:lang w:val="en-AU"/>
        </w:rPr>
        <w:t xml:space="preserve">As part of the analysis, a number of geospatial tools and methods were explored, however Google Maps was deemed the most appropriate and reliable option available. </w:t>
      </w:r>
      <w:r w:rsidRPr="008D1918" w:rsidR="004535DC">
        <w:rPr>
          <w:rFonts w:eastAsia="Arial" w:cs="Arial"/>
          <w:color w:val="000000" w:themeColor="accent6"/>
          <w:lang w:val="en-AU"/>
        </w:rPr>
        <w:t>It is also</w:t>
      </w:r>
      <w:r w:rsidRPr="008D1918">
        <w:rPr>
          <w:rFonts w:eastAsia="Arial" w:cs="Arial"/>
          <w:color w:val="000000" w:themeColor="accent6"/>
          <w:lang w:val="en-AU"/>
        </w:rPr>
        <w:t xml:space="preserve"> available for public use and is likely to be the tool used by participants and providers travelling to receive or deliver services.</w:t>
      </w:r>
    </w:p>
    <w:p w:rsidRPr="008D1918" w:rsidR="2DF64590" w:rsidP="00354F83" w:rsidRDefault="2DF64590" w14:paraId="4A592D6D" w14:textId="47C6FD9F">
      <w:pPr>
        <w:pStyle w:val="LittleH5differentcontext"/>
      </w:pPr>
      <w:r w:rsidRPr="008D1918">
        <w:t>Socio</w:t>
      </w:r>
      <w:r w:rsidRPr="008D1918" w:rsidR="0082079A">
        <w:t>-</w:t>
      </w:r>
      <w:r w:rsidRPr="008D1918">
        <w:t>economic considerations</w:t>
      </w:r>
    </w:p>
    <w:p w:rsidRPr="008D1918" w:rsidR="2DF64590" w:rsidP="00DA1618" w:rsidRDefault="2DF64590" w14:paraId="0B09B747" w14:textId="40403405">
      <w:pPr>
        <w:rPr>
          <w:rFonts w:eastAsia="Arial" w:cs="Arial"/>
          <w:color w:val="000000" w:themeColor="accent6"/>
          <w:lang w:val="en-AU"/>
        </w:rPr>
      </w:pPr>
      <w:r w:rsidRPr="008D1918">
        <w:rPr>
          <w:rFonts w:eastAsia="Arial" w:cs="Arial"/>
          <w:color w:val="000000" w:themeColor="accent6"/>
          <w:lang w:val="en-AU"/>
        </w:rPr>
        <w:t xml:space="preserve">Stakeholders consistently mentioned the need to factor in socio-economic data into decisions around isolated towns or towns that are likely to be experiencing market challenges. As identified in </w:t>
      </w:r>
      <w:r w:rsidRPr="008D1918" w:rsidR="00EE15C0">
        <w:rPr>
          <w:rFonts w:eastAsia="Arial" w:cs="Arial"/>
          <w:color w:val="000000" w:themeColor="accent6"/>
          <w:lang w:val="en-AU"/>
        </w:rPr>
        <w:t>S</w:t>
      </w:r>
      <w:r w:rsidRPr="008D1918">
        <w:rPr>
          <w:rFonts w:eastAsia="Arial" w:cs="Arial"/>
          <w:color w:val="000000" w:themeColor="accent6"/>
          <w:lang w:val="en-AU"/>
        </w:rPr>
        <w:t>ection</w:t>
      </w:r>
      <w:r w:rsidRPr="008D1918" w:rsidR="00EE15C0">
        <w:rPr>
          <w:rFonts w:eastAsia="Arial" w:cs="Arial"/>
          <w:color w:val="000000" w:themeColor="accent6"/>
          <w:lang w:val="en-AU"/>
        </w:rPr>
        <w:t xml:space="preserve"> 12.3.4,</w:t>
      </w:r>
      <w:r w:rsidRPr="008D1918">
        <w:rPr>
          <w:rFonts w:eastAsia="Arial" w:cs="Arial"/>
          <w:color w:val="000000" w:themeColor="accent6"/>
          <w:lang w:val="en-AU"/>
        </w:rPr>
        <w:t xml:space="preserve"> the use of</w:t>
      </w:r>
      <w:r w:rsidRPr="008D1918" w:rsidR="00DA1618">
        <w:rPr>
          <w:rFonts w:eastAsia="Arial" w:cs="Arial"/>
          <w:color w:val="000000" w:themeColor="accent6"/>
          <w:lang w:val="en-AU"/>
        </w:rPr>
        <w:t xml:space="preserve"> </w:t>
      </w:r>
      <w:r w:rsidRPr="008D1918">
        <w:rPr>
          <w:rFonts w:eastAsia="Arial" w:cs="Arial"/>
          <w:color w:val="000000" w:themeColor="accent6"/>
          <w:lang w:val="en-AU"/>
        </w:rPr>
        <w:t>SEIFA</w:t>
      </w:r>
      <w:r w:rsidRPr="008D1918" w:rsidR="00DA1618">
        <w:rPr>
          <w:rFonts w:eastAsia="Arial" w:cs="Arial"/>
          <w:color w:val="000000" w:themeColor="accent6"/>
          <w:lang w:val="en-AU"/>
        </w:rPr>
        <w:t xml:space="preserve"> </w:t>
      </w:r>
      <w:r w:rsidRPr="008D1918">
        <w:rPr>
          <w:rFonts w:eastAsia="Arial" w:cs="Arial"/>
          <w:color w:val="000000" w:themeColor="accent6"/>
          <w:lang w:val="en-AU"/>
        </w:rPr>
        <w:t>within government was explored, with the</w:t>
      </w:r>
      <w:r w:rsidRPr="008D1918" w:rsidR="00DA1618">
        <w:rPr>
          <w:rFonts w:eastAsia="Arial" w:cs="Arial"/>
          <w:color w:val="000000" w:themeColor="accent6"/>
          <w:lang w:val="en-AU"/>
        </w:rPr>
        <w:t xml:space="preserve"> </w:t>
      </w:r>
      <w:r w:rsidRPr="008D1918">
        <w:rPr>
          <w:rFonts w:eastAsia="Arial" w:cs="Arial"/>
          <w:color w:val="000000" w:themeColor="accent6"/>
          <w:lang w:val="en-AU"/>
        </w:rPr>
        <w:t>IRSD</w:t>
      </w:r>
      <w:r w:rsidRPr="008D1918" w:rsidR="00DA1618">
        <w:rPr>
          <w:rFonts w:eastAsia="Arial" w:cs="Arial"/>
          <w:color w:val="000000" w:themeColor="accent6"/>
          <w:lang w:val="en-AU"/>
        </w:rPr>
        <w:t xml:space="preserve"> </w:t>
      </w:r>
      <w:r w:rsidRPr="008D1918">
        <w:rPr>
          <w:rFonts w:eastAsia="Arial" w:cs="Arial"/>
          <w:color w:val="000000" w:themeColor="accent6"/>
          <w:lang w:val="en-AU"/>
        </w:rPr>
        <w:t xml:space="preserve">being the recommended index. The IRSD avoids distortion caused by pockets of advantage and aligns most closely with the </w:t>
      </w:r>
      <w:r w:rsidRPr="008D1918" w:rsidR="00411DC5">
        <w:rPr>
          <w:rFonts w:eastAsia="Arial" w:cs="Arial"/>
          <w:color w:val="000000" w:themeColor="accent6"/>
          <w:lang w:val="en-AU"/>
        </w:rPr>
        <w:t>ITM</w:t>
      </w:r>
      <w:r w:rsidRPr="008D1918">
        <w:rPr>
          <w:rFonts w:eastAsia="Arial" w:cs="Arial"/>
          <w:color w:val="000000" w:themeColor="accent6"/>
          <w:lang w:val="en-AU"/>
        </w:rPr>
        <w:t xml:space="preserve"> regarding market under supply, low workforce capability and poorer social outcomes. A lower score measures underlying indicators of socio-economic disadvantage at a population level (</w:t>
      </w:r>
      <w:r w:rsidRPr="008D1918" w:rsidR="00411DC5">
        <w:rPr>
          <w:rFonts w:eastAsia="Arial" w:cs="Arial"/>
          <w:color w:val="000000" w:themeColor="accent6"/>
          <w:lang w:val="en-AU"/>
        </w:rPr>
        <w:t xml:space="preserve">for example, </w:t>
      </w:r>
      <w:r w:rsidRPr="008D1918">
        <w:rPr>
          <w:rFonts w:eastAsia="Arial" w:cs="Arial"/>
          <w:color w:val="000000" w:themeColor="accent6"/>
          <w:lang w:val="en-AU"/>
        </w:rPr>
        <w:t>education, unemployment, income levels) which is used for understanding the operating environment of service markets. As the IRSD is a decile score of 1</w:t>
      </w:r>
      <w:r w:rsidRPr="008D1918" w:rsidR="00411DC5">
        <w:rPr>
          <w:rFonts w:eastAsia="Arial" w:cs="Arial"/>
          <w:color w:val="000000" w:themeColor="accent6"/>
          <w:lang w:val="en-AU"/>
        </w:rPr>
        <w:t xml:space="preserve"> </w:t>
      </w:r>
      <w:r w:rsidRPr="008D1918">
        <w:rPr>
          <w:rFonts w:eastAsia="Arial" w:cs="Arial"/>
          <w:color w:val="000000" w:themeColor="accent6"/>
          <w:lang w:val="en-AU"/>
        </w:rPr>
        <w:t>= most disadvantaged to 10</w:t>
      </w:r>
      <w:r w:rsidRPr="008D1918" w:rsidR="00411DC5">
        <w:rPr>
          <w:rFonts w:eastAsia="Arial" w:cs="Arial"/>
          <w:color w:val="000000" w:themeColor="accent6"/>
          <w:lang w:val="en-AU"/>
        </w:rPr>
        <w:t xml:space="preserve"> </w:t>
      </w:r>
      <w:r w:rsidRPr="008D1918">
        <w:rPr>
          <w:rFonts w:eastAsia="Arial" w:cs="Arial"/>
          <w:color w:val="000000" w:themeColor="accent6"/>
          <w:lang w:val="en-AU"/>
        </w:rPr>
        <w:t xml:space="preserve">= least disadvantaged, a score of 5 or below is considered likely to capture more disadvantaged locations than those above 6. </w:t>
      </w:r>
    </w:p>
    <w:p w:rsidRPr="008D1918" w:rsidR="2DF64590" w:rsidP="00354F83" w:rsidRDefault="2DF64590" w14:paraId="54716E69" w14:textId="7A187F9A">
      <w:pPr>
        <w:pStyle w:val="LittleH5differentcontext"/>
      </w:pPr>
      <w:r w:rsidRPr="008D1918">
        <w:t>Combining factors to identify locations experiencing market stress</w:t>
      </w:r>
    </w:p>
    <w:p w:rsidRPr="008D1918" w:rsidR="2DF64590" w:rsidP="00570E97" w:rsidRDefault="00230C92" w14:paraId="5365EFE8" w14:textId="48FDA41A">
      <w:pPr>
        <w:rPr>
          <w:rFonts w:eastAsia="Arial" w:cs="Arial"/>
          <w:color w:val="000000" w:themeColor="accent6"/>
          <w:lang w:val="en-AU"/>
        </w:rPr>
      </w:pPr>
      <w:r w:rsidRPr="008D1918">
        <w:rPr>
          <w:rFonts w:eastAsia="Arial" w:cs="Arial"/>
          <w:color w:val="000000" w:themeColor="accent6"/>
          <w:lang w:val="en-AU"/>
        </w:rPr>
        <w:t xml:space="preserve">A multi-criteria framework </w:t>
      </w:r>
      <w:r w:rsidRPr="008D1918" w:rsidR="2DF64590">
        <w:rPr>
          <w:rFonts w:eastAsia="Arial" w:cs="Arial"/>
          <w:color w:val="000000" w:themeColor="accent6"/>
          <w:lang w:val="en-AU"/>
        </w:rPr>
        <w:t xml:space="preserve">is recommended to identify locations which are likely to be experiencing thin market challenges. </w:t>
      </w:r>
    </w:p>
    <w:p w:rsidRPr="008D1918" w:rsidR="2DF64590" w:rsidP="00570E97" w:rsidRDefault="2DF64590" w14:paraId="0940DD44" w14:textId="4B7CE685">
      <w:pPr>
        <w:rPr>
          <w:rFonts w:eastAsia="Arial" w:cs="Arial"/>
          <w:color w:val="000000" w:themeColor="accent6"/>
          <w:lang w:val="en-AU"/>
        </w:rPr>
      </w:pPr>
      <w:r w:rsidRPr="008D1918">
        <w:rPr>
          <w:rFonts w:eastAsia="Arial" w:cs="Arial"/>
          <w:color w:val="000000" w:themeColor="accent6"/>
          <w:lang w:val="en-AU"/>
        </w:rPr>
        <w:t xml:space="preserve">Comprehensive analysis of data, from 1 July 2022 to 30 June 2025, has been completed based on the factors identified above, namely: </w:t>
      </w:r>
    </w:p>
    <w:p w:rsidRPr="008D1918" w:rsidR="00411DC5" w:rsidP="009F6459" w:rsidRDefault="001D4342" w14:paraId="3AB4D18C" w14:textId="27773B80">
      <w:pPr>
        <w:pStyle w:val="ListParagraph"/>
        <w:numPr>
          <w:ilvl w:val="0"/>
          <w:numId w:val="41"/>
        </w:numPr>
        <w:ind w:left="714" w:hanging="357"/>
        <w:contextualSpacing w:val="0"/>
        <w:rPr>
          <w:rFonts w:eastAsia="Arial" w:cs="Arial"/>
          <w:color w:val="000000" w:themeColor="accent6"/>
          <w:lang w:val="en-AU"/>
        </w:rPr>
      </w:pPr>
      <w:r>
        <w:rPr>
          <w:rFonts w:eastAsia="Arial" w:cs="Arial"/>
          <w:color w:val="000000" w:themeColor="accent6"/>
          <w:lang w:val="en-AU"/>
        </w:rPr>
        <w:t>L</w:t>
      </w:r>
      <w:r w:rsidRPr="008D1918" w:rsidR="2DF64590">
        <w:rPr>
          <w:rFonts w:eastAsia="Arial" w:cs="Arial"/>
          <w:color w:val="000000" w:themeColor="accent6"/>
          <w:lang w:val="en-AU"/>
        </w:rPr>
        <w:t>ocation classified as a M</w:t>
      </w:r>
      <w:r w:rsidRPr="008D1918" w:rsidR="00C063F5">
        <w:rPr>
          <w:rFonts w:eastAsia="Arial" w:cs="Arial"/>
          <w:color w:val="000000" w:themeColor="accent6"/>
          <w:lang w:val="en-AU"/>
        </w:rPr>
        <w:t>M</w:t>
      </w:r>
      <w:r w:rsidRPr="008D1918" w:rsidR="00846F42">
        <w:rPr>
          <w:rFonts w:eastAsia="Arial" w:cs="Arial"/>
          <w:color w:val="000000" w:themeColor="accent6"/>
          <w:lang w:val="en-AU"/>
        </w:rPr>
        <w:t> </w:t>
      </w:r>
      <w:r w:rsidRPr="008D1918" w:rsidR="2DF64590">
        <w:rPr>
          <w:rFonts w:eastAsia="Arial" w:cs="Arial"/>
          <w:color w:val="000000" w:themeColor="accent6"/>
          <w:lang w:val="en-AU"/>
        </w:rPr>
        <w:t>4 and/or MM</w:t>
      </w:r>
      <w:r w:rsidRPr="008D1918" w:rsidR="00846F42">
        <w:rPr>
          <w:rFonts w:eastAsia="Arial" w:cs="Arial"/>
          <w:color w:val="000000" w:themeColor="accent6"/>
          <w:lang w:val="en-AU"/>
        </w:rPr>
        <w:t> </w:t>
      </w:r>
      <w:r w:rsidRPr="008D1918" w:rsidR="2DF64590">
        <w:rPr>
          <w:rFonts w:eastAsia="Arial" w:cs="Arial"/>
          <w:color w:val="000000" w:themeColor="accent6"/>
          <w:lang w:val="en-AU"/>
        </w:rPr>
        <w:t>5</w:t>
      </w:r>
    </w:p>
    <w:p w:rsidRPr="008D1918" w:rsidR="00411DC5" w:rsidP="009F6459" w:rsidRDefault="001D4342" w14:paraId="2034EB3F" w14:textId="1D605718">
      <w:pPr>
        <w:pStyle w:val="ListParagraph"/>
        <w:numPr>
          <w:ilvl w:val="0"/>
          <w:numId w:val="41"/>
        </w:numPr>
        <w:ind w:left="714" w:hanging="357"/>
        <w:contextualSpacing w:val="0"/>
        <w:rPr>
          <w:rFonts w:eastAsia="Arial" w:cs="Arial"/>
          <w:color w:val="000000" w:themeColor="accent6"/>
          <w:lang w:val="en-AU"/>
        </w:rPr>
      </w:pPr>
      <w:r>
        <w:rPr>
          <w:rFonts w:eastAsia="Arial" w:cs="Arial"/>
          <w:color w:val="000000" w:themeColor="accent6"/>
          <w:lang w:val="en-AU"/>
        </w:rPr>
        <w:t>A</w:t>
      </w:r>
      <w:r w:rsidRPr="008D1918" w:rsidR="2DF64590">
        <w:rPr>
          <w:rFonts w:eastAsia="Arial" w:cs="Arial"/>
          <w:color w:val="000000" w:themeColor="accent6"/>
          <w:lang w:val="en-AU"/>
        </w:rPr>
        <w:t>verage SA2 plan utilisation over 3 years is 60% or less (</w:t>
      </w:r>
      <w:r w:rsidRPr="008D1918" w:rsidR="005C2036">
        <w:rPr>
          <w:rFonts w:eastAsia="Arial" w:cs="Arial"/>
          <w:color w:val="000000" w:themeColor="accent6"/>
          <w:lang w:val="en-AU"/>
        </w:rPr>
        <w:t xml:space="preserve">calculated </w:t>
      </w:r>
      <w:r w:rsidRPr="008D1918" w:rsidR="2DF64590">
        <w:rPr>
          <w:rFonts w:eastAsia="Arial" w:cs="Arial"/>
          <w:color w:val="000000" w:themeColor="accent6"/>
          <w:lang w:val="en-AU"/>
        </w:rPr>
        <w:t>using only MM</w:t>
      </w:r>
      <w:r w:rsidRPr="008D1918" w:rsidR="00846F42">
        <w:rPr>
          <w:rFonts w:eastAsia="Arial" w:cs="Arial"/>
          <w:color w:val="000000" w:themeColor="accent6"/>
          <w:lang w:val="en-AU"/>
        </w:rPr>
        <w:t> </w:t>
      </w:r>
      <w:r w:rsidRPr="008D1918" w:rsidR="2DF64590">
        <w:rPr>
          <w:rFonts w:eastAsia="Arial" w:cs="Arial"/>
          <w:color w:val="000000" w:themeColor="accent6"/>
          <w:lang w:val="en-AU"/>
        </w:rPr>
        <w:t xml:space="preserve">4/5 locations) </w:t>
      </w:r>
    </w:p>
    <w:p w:rsidRPr="008D1918" w:rsidR="00411DC5" w:rsidP="009F6459" w:rsidRDefault="001D4342" w14:paraId="746DEB04" w14:textId="07593311">
      <w:pPr>
        <w:pStyle w:val="ListParagraph"/>
        <w:numPr>
          <w:ilvl w:val="0"/>
          <w:numId w:val="41"/>
        </w:numPr>
        <w:ind w:left="714" w:hanging="357"/>
        <w:contextualSpacing w:val="0"/>
        <w:rPr>
          <w:rFonts w:eastAsia="Arial" w:cs="Arial"/>
          <w:color w:val="000000" w:themeColor="accent6"/>
          <w:lang w:val="en-AU"/>
        </w:rPr>
      </w:pPr>
      <w:r>
        <w:rPr>
          <w:rFonts w:eastAsia="Arial" w:cs="Arial"/>
          <w:color w:val="000000" w:themeColor="accent6"/>
          <w:lang w:val="en-AU"/>
        </w:rPr>
        <w:t>T</w:t>
      </w:r>
      <w:r w:rsidRPr="008D1918" w:rsidR="2DF64590">
        <w:rPr>
          <w:rFonts w:eastAsia="Arial" w:cs="Arial"/>
          <w:color w:val="000000" w:themeColor="accent6"/>
          <w:lang w:val="en-AU"/>
        </w:rPr>
        <w:t>ravel time from a MM 4 or 5 SA2 to the nearest M</w:t>
      </w:r>
      <w:r w:rsidRPr="008D1918" w:rsidR="00C063F5">
        <w:rPr>
          <w:rFonts w:eastAsia="Arial" w:cs="Arial"/>
          <w:color w:val="000000" w:themeColor="accent6"/>
          <w:lang w:val="en-AU"/>
        </w:rPr>
        <w:t>M</w:t>
      </w:r>
      <w:r w:rsidRPr="008D1918" w:rsidR="00846F42">
        <w:rPr>
          <w:rFonts w:eastAsia="Arial" w:cs="Arial"/>
          <w:color w:val="000000" w:themeColor="accent6"/>
          <w:lang w:val="en-AU"/>
        </w:rPr>
        <w:t> </w:t>
      </w:r>
      <w:r w:rsidRPr="008D1918" w:rsidR="2DF64590">
        <w:rPr>
          <w:rFonts w:eastAsia="Arial" w:cs="Arial"/>
          <w:color w:val="000000" w:themeColor="accent6"/>
          <w:lang w:val="en-AU"/>
        </w:rPr>
        <w:t>1</w:t>
      </w:r>
      <w:r w:rsidRPr="008D1918" w:rsidR="00846F42">
        <w:rPr>
          <w:rFonts w:eastAsia="Arial" w:cs="Arial"/>
          <w:color w:val="000000" w:themeColor="accent6"/>
          <w:lang w:val="en-AU"/>
        </w:rPr>
        <w:t>–</w:t>
      </w:r>
      <w:r w:rsidRPr="008D1918" w:rsidR="2DF64590">
        <w:rPr>
          <w:rFonts w:eastAsia="Arial" w:cs="Arial"/>
          <w:color w:val="000000" w:themeColor="accent6"/>
          <w:lang w:val="en-AU"/>
        </w:rPr>
        <w:t>3 is 70 minutes or over (</w:t>
      </w:r>
      <w:r w:rsidRPr="008D1918" w:rsidR="005C2036">
        <w:rPr>
          <w:rFonts w:eastAsia="Arial" w:cs="Arial"/>
          <w:color w:val="000000" w:themeColor="accent6"/>
          <w:lang w:val="en-AU"/>
        </w:rPr>
        <w:t xml:space="preserve">calculated </w:t>
      </w:r>
      <w:r w:rsidRPr="008D1918" w:rsidR="2DF64590">
        <w:rPr>
          <w:rFonts w:eastAsia="Arial" w:cs="Arial"/>
          <w:color w:val="000000" w:themeColor="accent6"/>
          <w:lang w:val="en-AU"/>
        </w:rPr>
        <w:t>using the SA2 location with most participants)</w:t>
      </w:r>
    </w:p>
    <w:p w:rsidRPr="008D1918" w:rsidR="2DF64590" w:rsidP="009F6459" w:rsidRDefault="2DF64590" w14:paraId="5820BE87" w14:textId="553A43F7">
      <w:pPr>
        <w:pStyle w:val="ListParagraph"/>
        <w:numPr>
          <w:ilvl w:val="0"/>
          <w:numId w:val="41"/>
        </w:numPr>
        <w:ind w:left="714" w:hanging="357"/>
        <w:contextualSpacing w:val="0"/>
        <w:rPr>
          <w:rFonts w:eastAsia="Arial" w:cs="Arial"/>
          <w:color w:val="000000" w:themeColor="accent6"/>
          <w:lang w:val="en-AU"/>
        </w:rPr>
      </w:pPr>
      <w:r w:rsidRPr="008D1918">
        <w:rPr>
          <w:rFonts w:eastAsia="Arial" w:cs="Arial"/>
          <w:color w:val="000000" w:themeColor="accent6"/>
          <w:lang w:val="en-AU"/>
        </w:rPr>
        <w:t>SEIFA</w:t>
      </w:r>
      <w:r w:rsidRPr="008D1918" w:rsidR="00B01E55">
        <w:rPr>
          <w:rFonts w:eastAsia="Arial" w:cs="Arial"/>
          <w:color w:val="000000" w:themeColor="accent6"/>
          <w:lang w:val="en-AU"/>
        </w:rPr>
        <w:t>-</w:t>
      </w:r>
      <w:r w:rsidRPr="008D1918">
        <w:rPr>
          <w:rFonts w:eastAsia="Arial" w:cs="Arial"/>
          <w:color w:val="000000" w:themeColor="accent6"/>
          <w:lang w:val="en-AU"/>
        </w:rPr>
        <w:t>IRSD decile score at the SA2 level is 5 or below</w:t>
      </w:r>
      <w:r w:rsidRPr="008D1918" w:rsidR="00570E97">
        <w:rPr>
          <w:rFonts w:eastAsia="Arial" w:cs="Arial"/>
          <w:color w:val="000000" w:themeColor="accent6"/>
          <w:lang w:val="en-AU"/>
        </w:rPr>
        <w:t>.</w:t>
      </w:r>
    </w:p>
    <w:p w:rsidRPr="008D1918" w:rsidR="2DF64590" w:rsidP="00570E97" w:rsidRDefault="2DF64590" w14:paraId="0053D2BD" w14:textId="3190676B">
      <w:pPr>
        <w:rPr>
          <w:rFonts w:eastAsia="Arial" w:cs="Arial"/>
          <w:color w:val="000000" w:themeColor="accent6"/>
          <w:lang w:val="en-AU"/>
        </w:rPr>
      </w:pPr>
      <w:r w:rsidRPr="008D1918">
        <w:rPr>
          <w:rFonts w:eastAsia="Arial" w:cs="Arial"/>
          <w:color w:val="000000" w:themeColor="accent6"/>
          <w:lang w:val="en-AU"/>
        </w:rPr>
        <w:t xml:space="preserve">As a result, 21 SA2 areas have been identified as locations that may benefit from further market intervention based on low </w:t>
      </w:r>
      <w:r w:rsidRPr="008D1918" w:rsidR="00457EB5">
        <w:rPr>
          <w:rFonts w:eastAsia="Arial" w:cs="Arial"/>
          <w:color w:val="000000" w:themeColor="accent6"/>
          <w:lang w:val="en-AU"/>
        </w:rPr>
        <w:t>plan use</w:t>
      </w:r>
      <w:r w:rsidRPr="008D1918">
        <w:rPr>
          <w:rFonts w:eastAsia="Arial" w:cs="Arial"/>
          <w:color w:val="000000" w:themeColor="accent6"/>
          <w:lang w:val="en-AU"/>
        </w:rPr>
        <w:t xml:space="preserve">, travel time and socio-economic </w:t>
      </w:r>
      <w:r w:rsidRPr="008D1918">
        <w:rPr>
          <w:rFonts w:eastAsia="Arial" w:cs="Arial"/>
          <w:color w:val="000000" w:themeColor="accent6"/>
          <w:lang w:val="en-AU"/>
        </w:rPr>
        <w:t>disadvantage. A</w:t>
      </w:r>
      <w:r w:rsidRPr="008D1918" w:rsidR="00411DC5">
        <w:rPr>
          <w:rFonts w:eastAsia="Arial" w:cs="Arial"/>
          <w:color w:val="000000" w:themeColor="accent6"/>
          <w:lang w:val="en-AU"/>
        </w:rPr>
        <w:t>s a</w:t>
      </w:r>
      <w:r w:rsidRPr="008D1918">
        <w:rPr>
          <w:rFonts w:eastAsia="Arial" w:cs="Arial"/>
          <w:color w:val="000000" w:themeColor="accent6"/>
          <w:lang w:val="en-AU"/>
        </w:rPr>
        <w:t>t 30 June 2025, there are 1</w:t>
      </w:r>
      <w:r w:rsidRPr="008D1918" w:rsidR="00F65A71">
        <w:rPr>
          <w:rFonts w:eastAsia="Arial" w:cs="Arial"/>
          <w:color w:val="000000" w:themeColor="accent6"/>
          <w:lang w:val="en-AU"/>
        </w:rPr>
        <w:t>,</w:t>
      </w:r>
      <w:r w:rsidRPr="008D1918">
        <w:rPr>
          <w:rFonts w:eastAsia="Arial" w:cs="Arial"/>
          <w:color w:val="000000" w:themeColor="accent6"/>
          <w:lang w:val="en-AU"/>
        </w:rPr>
        <w:t>728 participants living in these locations.</w:t>
      </w:r>
    </w:p>
    <w:p w:rsidRPr="008D1918" w:rsidR="00EA687A" w:rsidP="00570E97" w:rsidRDefault="0008509F" w14:paraId="5DB79889" w14:textId="1051CAD2">
      <w:pPr>
        <w:rPr>
          <w:rFonts w:eastAsia="Arial" w:cs="Arial"/>
          <w:color w:val="000000" w:themeColor="accent6"/>
          <w:lang w:val="en-AU"/>
        </w:rPr>
      </w:pPr>
      <w:r w:rsidRPr="008D1918">
        <w:rPr>
          <w:rFonts w:eastAsia="Arial" w:cs="Arial"/>
          <w:color w:val="000000" w:themeColor="accent6"/>
        </w:rPr>
        <w:t>These 21 areas would form the basis of the proposed Type 2 Isolated Town category, which is the subject of Recommendation 18 below. The criteria developed in this chapter, plan use below 60%, travel time exceeding 70 minutes to the nearest MM 1–3 centre, and SEIFA-IRSD score of 5 or below, represents a material improvement over the binary ITM and non-ITM classification and create a graduated response that is proportionate to the evidence.</w:t>
      </w:r>
    </w:p>
    <w:p w:rsidRPr="008D1918" w:rsidR="2DF64590" w:rsidP="00354F83" w:rsidRDefault="2DF64590" w14:paraId="289C6DB5" w14:textId="7F821FAC">
      <w:pPr>
        <w:pStyle w:val="LittleH5differentcontext"/>
      </w:pPr>
      <w:bookmarkStart w:name="_Toc223542229" w:id="2316"/>
      <w:bookmarkStart w:name="_Toc223604869" w:id="2317"/>
      <w:r w:rsidRPr="008D1918">
        <w:t xml:space="preserve">Example </w:t>
      </w:r>
      <w:r w:rsidRPr="008D1918" w:rsidR="0083694A">
        <w:t>t</w:t>
      </w:r>
      <w:r w:rsidRPr="008D1918">
        <w:t>wo</w:t>
      </w:r>
      <w:r w:rsidRPr="008D1918" w:rsidR="0083694A">
        <w:t xml:space="preserve"> –</w:t>
      </w:r>
      <w:r w:rsidRPr="008D1918">
        <w:t xml:space="preserve"> St Helens-Scamander</w:t>
      </w:r>
      <w:r w:rsidRPr="008D1918" w:rsidR="0083694A">
        <w:t>,</w:t>
      </w:r>
      <w:r w:rsidRPr="008D1918">
        <w:t xml:space="preserve"> Tasmania</w:t>
      </w:r>
      <w:bookmarkEnd w:id="2316"/>
      <w:bookmarkEnd w:id="2317"/>
    </w:p>
    <w:p w:rsidRPr="008D1918" w:rsidR="2DF64590" w:rsidP="00570E97" w:rsidRDefault="2DF64590" w14:paraId="5C0A0C21" w14:textId="570F0EA1">
      <w:pPr>
        <w:rPr>
          <w:rFonts w:eastAsia="Arial" w:cs="Arial"/>
          <w:color w:val="000000" w:themeColor="accent6"/>
          <w:lang w:val="en-AU"/>
        </w:rPr>
      </w:pPr>
      <w:r w:rsidRPr="008D1918">
        <w:rPr>
          <w:rFonts w:eastAsia="Arial" w:cs="Arial"/>
          <w:color w:val="000000" w:themeColor="accent6"/>
          <w:lang w:val="en-AU"/>
        </w:rPr>
        <w:t xml:space="preserve">St </w:t>
      </w:r>
      <w:r w:rsidRPr="008D1918" w:rsidR="00E04206">
        <w:rPr>
          <w:rFonts w:eastAsia="Arial" w:cs="Arial"/>
          <w:color w:val="000000" w:themeColor="accent6"/>
          <w:lang w:val="en-AU"/>
        </w:rPr>
        <w:t>Helens-</w:t>
      </w:r>
      <w:r w:rsidRPr="008D1918">
        <w:rPr>
          <w:rFonts w:eastAsia="Arial" w:cs="Arial"/>
          <w:color w:val="000000" w:themeColor="accent6"/>
          <w:lang w:val="en-AU"/>
        </w:rPr>
        <w:t xml:space="preserve">Scamander (SA2) in Tasmania is a proposed new Isolated Town and was </w:t>
      </w:r>
      <w:r w:rsidRPr="008D1918" w:rsidR="006F6358">
        <w:rPr>
          <w:rFonts w:eastAsia="Arial" w:cs="Arial"/>
          <w:color w:val="000000" w:themeColor="accent6"/>
          <w:lang w:val="en-AU"/>
        </w:rPr>
        <w:t xml:space="preserve">identified </w:t>
      </w:r>
      <w:r w:rsidRPr="008D1918">
        <w:rPr>
          <w:rFonts w:eastAsia="Arial" w:cs="Arial"/>
          <w:color w:val="000000" w:themeColor="accent6"/>
          <w:lang w:val="en-AU"/>
        </w:rPr>
        <w:t>by stakeholders for consideration. Most of this SA2 is considered rural (M</w:t>
      </w:r>
      <w:r w:rsidRPr="008D1918" w:rsidR="00C063F5">
        <w:rPr>
          <w:rFonts w:eastAsia="Arial" w:cs="Arial"/>
          <w:color w:val="000000" w:themeColor="accent6"/>
          <w:lang w:val="en-AU"/>
        </w:rPr>
        <w:t>M</w:t>
      </w:r>
      <w:r w:rsidRPr="008D1918" w:rsidR="00A227BF">
        <w:rPr>
          <w:rFonts w:eastAsia="Arial" w:cs="Arial"/>
          <w:color w:val="000000" w:themeColor="accent6"/>
          <w:lang w:val="en-AU"/>
        </w:rPr>
        <w:t> </w:t>
      </w:r>
      <w:r w:rsidRPr="008D1918">
        <w:rPr>
          <w:rFonts w:eastAsia="Arial" w:cs="Arial"/>
          <w:color w:val="000000" w:themeColor="accent6"/>
          <w:lang w:val="en-AU"/>
        </w:rPr>
        <w:t>5) with some remote parts (M</w:t>
      </w:r>
      <w:r w:rsidRPr="008D1918" w:rsidR="00C063F5">
        <w:rPr>
          <w:rFonts w:eastAsia="Arial" w:cs="Arial"/>
          <w:color w:val="000000" w:themeColor="accent6"/>
          <w:lang w:val="en-AU"/>
        </w:rPr>
        <w:t>M</w:t>
      </w:r>
      <w:r w:rsidRPr="008D1918" w:rsidR="00A227BF">
        <w:rPr>
          <w:rFonts w:eastAsia="Arial" w:cs="Arial"/>
          <w:color w:val="000000" w:themeColor="accent6"/>
          <w:lang w:val="en-AU"/>
        </w:rPr>
        <w:t> </w:t>
      </w:r>
      <w:r w:rsidRPr="008D1918">
        <w:rPr>
          <w:rFonts w:eastAsia="Arial" w:cs="Arial"/>
          <w:color w:val="000000" w:themeColor="accent6"/>
          <w:lang w:val="en-AU"/>
        </w:rPr>
        <w:t>6). The number of participants residing in the rural area of this SA2 as at 30 June 2025 is 169.</w:t>
      </w:r>
    </w:p>
    <w:p w:rsidRPr="008D1918" w:rsidR="2DF64590" w:rsidP="00570E97" w:rsidRDefault="2DF64590" w14:paraId="3BD3125C" w14:textId="7B8BAD13">
      <w:pPr>
        <w:rPr>
          <w:rFonts w:eastAsia="Arial" w:cs="Arial"/>
          <w:color w:val="000000" w:themeColor="accent6"/>
          <w:lang w:val="en-AU"/>
        </w:rPr>
      </w:pPr>
      <w:r w:rsidRPr="008D1918">
        <w:rPr>
          <w:rFonts w:eastAsia="Arial" w:cs="Arial"/>
          <w:color w:val="000000" w:themeColor="accent6"/>
          <w:lang w:val="en-AU"/>
        </w:rPr>
        <w:t xml:space="preserve">Currently the </w:t>
      </w:r>
      <w:r w:rsidRPr="00CC1AFD" w:rsidR="00CC1AFD">
        <w:rPr>
          <w:rFonts w:eastAsia="Arial" w:cs="Arial"/>
          <w:color w:val="000000" w:themeColor="accent6"/>
          <w:lang w:val="en-AU"/>
        </w:rPr>
        <w:t>maximum</w:t>
      </w:r>
      <w:r w:rsidRPr="008D1918">
        <w:rPr>
          <w:rFonts w:eastAsia="Arial" w:cs="Arial"/>
          <w:color w:val="000000" w:themeColor="accent6"/>
          <w:lang w:val="en-AU"/>
        </w:rPr>
        <w:t xml:space="preserve"> amount of travel time providers can claim is 60 minutes to and from this location. The nearest large regional centre to St Helens-Scamander is Launceston (M</w:t>
      </w:r>
      <w:r w:rsidRPr="008D1918" w:rsidR="00C063F5">
        <w:rPr>
          <w:rFonts w:eastAsia="Arial" w:cs="Arial"/>
          <w:color w:val="000000" w:themeColor="accent6"/>
          <w:lang w:val="en-AU"/>
        </w:rPr>
        <w:t>M</w:t>
      </w:r>
      <w:r w:rsidRPr="008D1918">
        <w:rPr>
          <w:rFonts w:eastAsia="Arial" w:cs="Arial"/>
          <w:color w:val="000000" w:themeColor="accent6"/>
          <w:lang w:val="en-AU"/>
        </w:rPr>
        <w:t xml:space="preserve"> 2) which is approximately 2 hours’ drive or 151 km from St Helens</w:t>
      </w:r>
      <w:r w:rsidRPr="008D1918" w:rsidR="00F65A71">
        <w:rPr>
          <w:rFonts w:eastAsia="Arial" w:cs="Arial"/>
          <w:color w:val="000000" w:themeColor="accent6"/>
          <w:lang w:val="en-AU"/>
        </w:rPr>
        <w:t>-Scamander</w:t>
      </w:r>
      <w:r w:rsidRPr="008D1918">
        <w:rPr>
          <w:rFonts w:eastAsia="Arial" w:cs="Arial"/>
          <w:color w:val="000000" w:themeColor="accent6"/>
          <w:lang w:val="en-AU"/>
        </w:rPr>
        <w:t>.</w:t>
      </w:r>
    </w:p>
    <w:p w:rsidRPr="008D1918" w:rsidR="2DF64590" w:rsidP="00570E97" w:rsidRDefault="2DF64590" w14:paraId="7C096D91" w14:textId="474E6954">
      <w:pPr>
        <w:rPr>
          <w:rFonts w:eastAsia="Arial" w:cs="Arial"/>
          <w:color w:val="000000" w:themeColor="accent6"/>
          <w:lang w:val="en-AU"/>
        </w:rPr>
      </w:pPr>
      <w:r w:rsidRPr="008D1918">
        <w:rPr>
          <w:rFonts w:eastAsia="Arial" w:cs="Arial"/>
          <w:color w:val="000000" w:themeColor="accent6"/>
          <w:lang w:val="en-AU"/>
        </w:rPr>
        <w:t xml:space="preserve">The </w:t>
      </w:r>
      <w:r w:rsidRPr="008D1918" w:rsidR="00186248">
        <w:rPr>
          <w:rFonts w:eastAsia="Arial" w:cs="Arial"/>
          <w:color w:val="000000" w:themeColor="accent6"/>
          <w:lang w:val="en-AU"/>
        </w:rPr>
        <w:t>3</w:t>
      </w:r>
      <w:r w:rsidRPr="008D1918">
        <w:rPr>
          <w:rFonts w:eastAsia="Arial" w:cs="Arial"/>
          <w:color w:val="000000" w:themeColor="accent6"/>
          <w:lang w:val="en-AU"/>
        </w:rPr>
        <w:t>-year combined total plan utilisation average for the 169 participants (1</w:t>
      </w:r>
      <w:r w:rsidRPr="008D1918" w:rsidR="00553421">
        <w:rPr>
          <w:rFonts w:eastAsia="Arial" w:cs="Arial"/>
          <w:color w:val="000000" w:themeColor="accent6"/>
          <w:lang w:val="en-AU"/>
        </w:rPr>
        <w:t> </w:t>
      </w:r>
      <w:r w:rsidRPr="008D1918">
        <w:rPr>
          <w:rFonts w:eastAsia="Arial" w:cs="Arial"/>
          <w:color w:val="000000" w:themeColor="accent6"/>
          <w:lang w:val="en-AU"/>
        </w:rPr>
        <w:t>July 2022</w:t>
      </w:r>
      <w:r w:rsidRPr="008D1918" w:rsidR="00F65A71">
        <w:rPr>
          <w:rFonts w:eastAsia="Arial" w:cs="Arial"/>
          <w:color w:val="000000" w:themeColor="accent6"/>
          <w:lang w:val="en-AU"/>
        </w:rPr>
        <w:t xml:space="preserve"> to </w:t>
      </w:r>
      <w:r w:rsidRPr="008D1918">
        <w:rPr>
          <w:rFonts w:eastAsia="Arial" w:cs="Arial"/>
          <w:color w:val="000000" w:themeColor="accent6"/>
          <w:lang w:val="en-AU"/>
        </w:rPr>
        <w:t>30 June 2025) sits just under 60%</w:t>
      </w:r>
      <w:r w:rsidRPr="008D1918" w:rsidR="00F65A71">
        <w:rPr>
          <w:rFonts w:eastAsia="Arial" w:cs="Arial"/>
          <w:color w:val="000000" w:themeColor="accent6"/>
          <w:lang w:val="en-AU"/>
        </w:rPr>
        <w:t>,</w:t>
      </w:r>
      <w:r w:rsidRPr="008D1918">
        <w:rPr>
          <w:rFonts w:eastAsia="Arial" w:cs="Arial"/>
          <w:color w:val="000000" w:themeColor="accent6"/>
          <w:lang w:val="en-AU"/>
        </w:rPr>
        <w:t xml:space="preserve"> with minimal change observed over the past 3 years, indicating a trend of lower </w:t>
      </w:r>
      <w:r w:rsidRPr="008D1918" w:rsidR="00EA3A0E">
        <w:rPr>
          <w:rFonts w:eastAsia="Arial" w:cs="Arial"/>
          <w:color w:val="000000" w:themeColor="accent6"/>
          <w:lang w:val="en-AU"/>
        </w:rPr>
        <w:t xml:space="preserve">plan use </w:t>
      </w:r>
      <w:r w:rsidRPr="008D1918">
        <w:rPr>
          <w:rFonts w:eastAsia="Arial" w:cs="Arial"/>
          <w:color w:val="000000" w:themeColor="accent6"/>
          <w:lang w:val="en-AU"/>
        </w:rPr>
        <w:t>in this SA2.</w:t>
      </w:r>
    </w:p>
    <w:p w:rsidRPr="008D1918" w:rsidR="2DF64590" w:rsidP="00570E97" w:rsidRDefault="2DF64590" w14:paraId="56B093CB" w14:textId="262BA1DF">
      <w:pPr>
        <w:rPr>
          <w:rFonts w:eastAsia="Arial" w:cs="Arial"/>
          <w:color w:val="000000" w:themeColor="accent6"/>
          <w:lang w:val="en-AU"/>
        </w:rPr>
      </w:pPr>
      <w:r w:rsidRPr="008D1918">
        <w:rPr>
          <w:rFonts w:eastAsia="Arial" w:cs="Arial"/>
          <w:color w:val="000000" w:themeColor="accent6"/>
          <w:lang w:val="en-AU"/>
        </w:rPr>
        <w:t>This location has a SEIFA-IRSD score of 2 (where 1 = most disadvantaged</w:t>
      </w:r>
      <w:r w:rsidRPr="008D1918" w:rsidR="00F65A71">
        <w:rPr>
          <w:rFonts w:eastAsia="Arial" w:cs="Arial"/>
          <w:color w:val="000000" w:themeColor="accent6"/>
          <w:lang w:val="en-AU"/>
        </w:rPr>
        <w:t xml:space="preserve"> and</w:t>
      </w:r>
      <w:r w:rsidRPr="008D1918">
        <w:rPr>
          <w:rFonts w:eastAsia="Arial" w:cs="Arial"/>
          <w:color w:val="000000" w:themeColor="accent6"/>
          <w:lang w:val="en-AU"/>
        </w:rPr>
        <w:t xml:space="preserve"> 10= least disadvantaged) indicating high levels of relative disadvantage.</w:t>
      </w:r>
    </w:p>
    <w:p w:rsidRPr="008D1918" w:rsidR="00601B61" w:rsidP="001D163B" w:rsidRDefault="2DF64590" w14:paraId="3195B806" w14:textId="44CF5EB0">
      <w:pPr>
        <w:rPr>
          <w:rFonts w:eastAsia="Arial" w:cs="Arial"/>
          <w:color w:val="000000" w:themeColor="accent6"/>
          <w:lang w:val="en-AU"/>
        </w:rPr>
      </w:pPr>
      <w:r w:rsidRPr="008D1918">
        <w:rPr>
          <w:rFonts w:eastAsia="Arial" w:cs="Arial"/>
          <w:color w:val="000000" w:themeColor="accent6"/>
          <w:lang w:val="en-AU"/>
        </w:rPr>
        <w:t xml:space="preserve">The combination of these metrics and stakeholder feedback suggests a </w:t>
      </w:r>
      <w:r w:rsidRPr="008D1918" w:rsidR="00D07EA5">
        <w:rPr>
          <w:rFonts w:eastAsia="Arial" w:cs="Arial"/>
          <w:color w:val="000000" w:themeColor="accent6"/>
          <w:lang w:val="en-AU"/>
        </w:rPr>
        <w:t>m</w:t>
      </w:r>
      <w:r w:rsidRPr="008D1918">
        <w:rPr>
          <w:rFonts w:eastAsia="Arial" w:cs="Arial"/>
          <w:color w:val="000000" w:themeColor="accent6"/>
          <w:lang w:val="en-AU"/>
        </w:rPr>
        <w:t>arket lever should be applied in the M</w:t>
      </w:r>
      <w:r w:rsidRPr="008D1918" w:rsidR="00C063F5">
        <w:rPr>
          <w:rFonts w:eastAsia="Arial" w:cs="Arial"/>
          <w:color w:val="000000" w:themeColor="accent6"/>
          <w:lang w:val="en-AU"/>
        </w:rPr>
        <w:t>M</w:t>
      </w:r>
      <w:r w:rsidRPr="008D1918">
        <w:rPr>
          <w:rFonts w:eastAsia="Arial" w:cs="Arial"/>
          <w:color w:val="000000" w:themeColor="accent6"/>
          <w:lang w:val="en-AU"/>
        </w:rPr>
        <w:t xml:space="preserve"> 5 areas of St </w:t>
      </w:r>
      <w:r w:rsidRPr="008D1918" w:rsidR="00A64C58">
        <w:rPr>
          <w:rFonts w:eastAsia="Arial" w:cs="Arial"/>
          <w:color w:val="000000" w:themeColor="accent6"/>
          <w:lang w:val="en-AU"/>
        </w:rPr>
        <w:t>Helens-</w:t>
      </w:r>
      <w:r w:rsidRPr="008D1918">
        <w:rPr>
          <w:rFonts w:eastAsia="Arial" w:cs="Arial"/>
          <w:color w:val="000000" w:themeColor="accent6"/>
          <w:lang w:val="en-AU"/>
        </w:rPr>
        <w:t>Scamander.</w:t>
      </w:r>
      <w:bookmarkStart w:name="_Toc223539786" w:id="2318"/>
      <w:bookmarkStart w:name="_Toc223539999" w:id="2319"/>
      <w:bookmarkStart w:name="_Toc223540467" w:id="2320"/>
      <w:bookmarkStart w:name="_Toc223540683" w:id="2321"/>
      <w:bookmarkStart w:name="_Toc223542230" w:id="2322"/>
    </w:p>
    <w:p w:rsidRPr="008D1918" w:rsidR="2DF64590" w:rsidP="001D163B" w:rsidRDefault="2DF64590" w14:paraId="5A0F501E" w14:textId="2C61736C">
      <w:pPr>
        <w:pStyle w:val="Heading31"/>
        <w:keepNext w:val="0"/>
        <w:ind w:left="1077" w:hanging="720"/>
        <w:rPr>
          <w:rFonts w:eastAsia="Arial" w:cs="Arial"/>
        </w:rPr>
      </w:pPr>
      <w:bookmarkStart w:name="_Toc223604413" w:id="2323"/>
      <w:bookmarkStart w:name="_Toc223604624" w:id="2324"/>
      <w:bookmarkStart w:name="_Toc227337199" w:id="2325"/>
      <w:r w:rsidRPr="008D1918">
        <w:rPr>
          <w:rFonts w:eastAsia="Arial"/>
        </w:rPr>
        <w:t>Recommendations</w:t>
      </w:r>
      <w:bookmarkEnd w:id="2318"/>
      <w:bookmarkEnd w:id="2319"/>
      <w:bookmarkEnd w:id="2320"/>
      <w:bookmarkEnd w:id="2321"/>
      <w:bookmarkEnd w:id="2322"/>
      <w:bookmarkEnd w:id="2323"/>
      <w:bookmarkEnd w:id="2324"/>
      <w:bookmarkEnd w:id="2325"/>
    </w:p>
    <w:p w:rsidRPr="008D1918" w:rsidR="2DF64590" w:rsidP="007A12F2" w:rsidRDefault="2DF64590" w14:paraId="22598EC1" w14:textId="43113F9A">
      <w:pPr>
        <w:pStyle w:val="RecommendationH4"/>
      </w:pPr>
      <w:bookmarkStart w:name="_Toc223542231" w:id="2326"/>
      <w:r w:rsidRPr="008D1918">
        <w:t xml:space="preserve">Recommendation </w:t>
      </w:r>
      <w:r w:rsidRPr="008D1918" w:rsidR="7016C792">
        <w:rPr>
          <w:bCs/>
        </w:rPr>
        <w:t>1</w:t>
      </w:r>
      <w:r w:rsidRPr="008D1918" w:rsidR="0088238E">
        <w:rPr>
          <w:bCs/>
        </w:rPr>
        <w:t>7</w:t>
      </w:r>
      <w:r w:rsidRPr="008D1918">
        <w:t>:</w:t>
      </w:r>
      <w:bookmarkEnd w:id="2326"/>
    </w:p>
    <w:p w:rsidRPr="008D1918" w:rsidR="2DF64590" w:rsidP="0088238E" w:rsidRDefault="2DF64590" w14:paraId="38AD3093" w14:textId="71024227">
      <w:pPr>
        <w:pStyle w:val="Normalrecommendationtext"/>
        <w:spacing w:line="288" w:lineRule="auto"/>
        <w:rPr>
          <w:rFonts w:eastAsia="Arial"/>
          <w:color w:val="6B2876" w:themeColor="accent5"/>
        </w:rPr>
      </w:pPr>
      <w:r w:rsidRPr="008D1918">
        <w:rPr>
          <w:rFonts w:eastAsia="Arial"/>
        </w:rPr>
        <w:t xml:space="preserve">The NDIA should continue publishing the current locations on the </w:t>
      </w:r>
      <w:r w:rsidRPr="008D1918" w:rsidR="0087553B">
        <w:rPr>
          <w:rFonts w:eastAsia="Arial"/>
        </w:rPr>
        <w:t>isolated Towns Modification</w:t>
      </w:r>
      <w:r w:rsidRPr="008D1918">
        <w:rPr>
          <w:rFonts w:eastAsia="Arial"/>
        </w:rPr>
        <w:t xml:space="preserve"> list, with an updated definition to reflect inclusion of ‘surrounded by OR travel through remote areas’. These towns will be referred to as Type 1 Isolated Towns and will continue to have their </w:t>
      </w:r>
      <w:r w:rsidRPr="008D1918" w:rsidR="004E0148">
        <w:rPr>
          <w:rFonts w:eastAsia="Arial"/>
          <w:color w:val="6B2876" w:themeColor="accent5"/>
        </w:rPr>
        <w:t>MM</w:t>
      </w:r>
      <w:r w:rsidRPr="008D1918">
        <w:rPr>
          <w:rFonts w:eastAsia="Arial"/>
          <w:color w:val="6B2876" w:themeColor="accent5"/>
        </w:rPr>
        <w:t xml:space="preserve"> </w:t>
      </w:r>
      <w:r w:rsidRPr="008D1918" w:rsidR="00774938">
        <w:rPr>
          <w:rFonts w:eastAsia="Arial"/>
          <w:color w:val="6B2876" w:themeColor="accent5"/>
        </w:rPr>
        <w:t>category</w:t>
      </w:r>
      <w:r w:rsidRPr="008D1918">
        <w:rPr>
          <w:rFonts w:eastAsia="Arial"/>
          <w:color w:val="6B2876" w:themeColor="accent5"/>
        </w:rPr>
        <w:t xml:space="preserve"> modified to M</w:t>
      </w:r>
      <w:r w:rsidRPr="008D1918" w:rsidR="00C063F5">
        <w:rPr>
          <w:rFonts w:eastAsia="Arial"/>
          <w:color w:val="6B2876" w:themeColor="accent5"/>
        </w:rPr>
        <w:t>M</w:t>
      </w:r>
      <w:r w:rsidRPr="008D1918" w:rsidR="00045EF7">
        <w:rPr>
          <w:rFonts w:eastAsia="Arial"/>
          <w:color w:val="6B2876" w:themeColor="accent5"/>
        </w:rPr>
        <w:t> </w:t>
      </w:r>
      <w:r w:rsidRPr="008D1918">
        <w:rPr>
          <w:rFonts w:eastAsia="Arial"/>
          <w:color w:val="6B2876" w:themeColor="accent5"/>
        </w:rPr>
        <w:t xml:space="preserve">6, resulting in the application of the relevant loading and travel arrangements. The NDIA should also publish the guidelines for managing the Type 1 </w:t>
      </w:r>
      <w:r w:rsidRPr="008D1918" w:rsidR="0087553B">
        <w:rPr>
          <w:rFonts w:eastAsia="Arial"/>
          <w:color w:val="6B2876" w:themeColor="accent5"/>
        </w:rPr>
        <w:t xml:space="preserve">Isolated Towns </w:t>
      </w:r>
      <w:r w:rsidRPr="008D1918" w:rsidR="00EA687A">
        <w:rPr>
          <w:rFonts w:eastAsia="Arial"/>
          <w:color w:val="6B2876" w:themeColor="accent5"/>
        </w:rPr>
        <w:t>Modification</w:t>
      </w:r>
      <w:r w:rsidRPr="008D1918">
        <w:rPr>
          <w:rFonts w:eastAsia="Arial"/>
          <w:color w:val="6B2876" w:themeColor="accent5"/>
        </w:rPr>
        <w:t>, including the process for transitioning locations that no longer meet the policy definition.</w:t>
      </w:r>
    </w:p>
    <w:p w:rsidRPr="008D1918" w:rsidR="2DF64590" w:rsidP="00354F83" w:rsidRDefault="2DF64590" w14:paraId="655CD4CD" w14:textId="3733EED8">
      <w:pPr>
        <w:pStyle w:val="LittleH4differentcontext"/>
      </w:pPr>
      <w:r w:rsidRPr="008D1918">
        <w:t>Updated policy definition Type 1 Isolated Towns Modification</w:t>
      </w:r>
    </w:p>
    <w:p w:rsidRPr="008D1918" w:rsidR="2DF64590" w:rsidP="00F57E43" w:rsidRDefault="2DF64590" w14:paraId="2F530DDB" w14:textId="7E1100E0">
      <w:pPr>
        <w:rPr>
          <w:rFonts w:eastAsia="Arial" w:cs="Arial"/>
          <w:color w:val="000000" w:themeColor="accent6"/>
          <w:lang w:val="en-AU"/>
        </w:rPr>
      </w:pPr>
      <w:r w:rsidRPr="008D1918">
        <w:rPr>
          <w:rFonts w:eastAsia="Arial" w:cs="Arial"/>
          <w:color w:val="000000" w:themeColor="accent6"/>
          <w:lang w:val="en-AU"/>
        </w:rPr>
        <w:t>The town must be classified as M</w:t>
      </w:r>
      <w:r w:rsidRPr="008D1918" w:rsidR="00C063F5">
        <w:rPr>
          <w:rFonts w:eastAsia="Arial" w:cs="Arial"/>
          <w:color w:val="000000" w:themeColor="accent6"/>
          <w:lang w:val="en-AU"/>
        </w:rPr>
        <w:t>M</w:t>
      </w:r>
      <w:r w:rsidRPr="008D1918" w:rsidR="00045EF7">
        <w:rPr>
          <w:rFonts w:eastAsia="Arial" w:cs="Arial"/>
          <w:color w:val="000000" w:themeColor="accent6"/>
          <w:lang w:val="en-AU"/>
        </w:rPr>
        <w:t> </w:t>
      </w:r>
      <w:r w:rsidRPr="008D1918">
        <w:rPr>
          <w:rFonts w:eastAsia="Arial" w:cs="Arial"/>
          <w:color w:val="000000" w:themeColor="accent6"/>
          <w:lang w:val="en-AU"/>
        </w:rPr>
        <w:t>3, M</w:t>
      </w:r>
      <w:r w:rsidRPr="008D1918" w:rsidR="00C063F5">
        <w:rPr>
          <w:rFonts w:eastAsia="Arial" w:cs="Arial"/>
          <w:color w:val="000000" w:themeColor="accent6"/>
          <w:lang w:val="en-AU"/>
        </w:rPr>
        <w:t>M</w:t>
      </w:r>
      <w:r w:rsidRPr="008D1918" w:rsidR="00045EF7">
        <w:rPr>
          <w:rFonts w:eastAsia="Arial" w:cs="Arial"/>
          <w:color w:val="000000" w:themeColor="accent6"/>
          <w:lang w:val="en-AU"/>
        </w:rPr>
        <w:t> </w:t>
      </w:r>
      <w:r w:rsidRPr="008D1918">
        <w:rPr>
          <w:rFonts w:eastAsia="Arial" w:cs="Arial"/>
          <w:color w:val="000000" w:themeColor="accent6"/>
          <w:lang w:val="en-AU"/>
        </w:rPr>
        <w:t>4 and/or M</w:t>
      </w:r>
      <w:r w:rsidRPr="008D1918" w:rsidR="00C063F5">
        <w:rPr>
          <w:rFonts w:eastAsia="Arial" w:cs="Arial"/>
          <w:color w:val="000000" w:themeColor="accent6"/>
          <w:lang w:val="en-AU"/>
        </w:rPr>
        <w:t>M</w:t>
      </w:r>
      <w:r w:rsidRPr="008D1918" w:rsidR="00045EF7">
        <w:rPr>
          <w:rFonts w:eastAsia="Arial" w:cs="Arial"/>
          <w:color w:val="000000" w:themeColor="accent6"/>
          <w:lang w:val="en-AU"/>
        </w:rPr>
        <w:t> </w:t>
      </w:r>
      <w:r w:rsidRPr="008D1918">
        <w:rPr>
          <w:rFonts w:eastAsia="Arial" w:cs="Arial"/>
          <w:color w:val="000000" w:themeColor="accent6"/>
          <w:lang w:val="en-AU"/>
        </w:rPr>
        <w:t>5 AND either fully surrounded by or require travel through a remote (M</w:t>
      </w:r>
      <w:r w:rsidRPr="008D1918" w:rsidR="00C063F5">
        <w:rPr>
          <w:rFonts w:eastAsia="Arial" w:cs="Arial"/>
          <w:color w:val="000000" w:themeColor="accent6"/>
          <w:lang w:val="en-AU"/>
        </w:rPr>
        <w:t>M</w:t>
      </w:r>
      <w:r w:rsidRPr="008D1918" w:rsidR="00045EF7">
        <w:rPr>
          <w:rFonts w:eastAsia="Arial" w:cs="Arial"/>
          <w:color w:val="000000" w:themeColor="accent6"/>
          <w:lang w:val="en-AU"/>
        </w:rPr>
        <w:t> </w:t>
      </w:r>
      <w:r w:rsidRPr="008D1918">
        <w:rPr>
          <w:rFonts w:eastAsia="Arial" w:cs="Arial"/>
          <w:color w:val="000000" w:themeColor="accent6"/>
          <w:lang w:val="en-AU"/>
        </w:rPr>
        <w:t>6) or very remote (M</w:t>
      </w:r>
      <w:r w:rsidRPr="008D1918" w:rsidR="00C063F5">
        <w:rPr>
          <w:rFonts w:eastAsia="Arial" w:cs="Arial"/>
          <w:color w:val="000000" w:themeColor="accent6"/>
          <w:lang w:val="en-AU"/>
        </w:rPr>
        <w:t>M</w:t>
      </w:r>
      <w:r w:rsidRPr="008D1918" w:rsidR="00045EF7">
        <w:rPr>
          <w:rFonts w:eastAsia="Arial" w:cs="Arial"/>
          <w:color w:val="000000" w:themeColor="accent6"/>
          <w:lang w:val="en-AU"/>
        </w:rPr>
        <w:t> </w:t>
      </w:r>
      <w:r w:rsidRPr="008D1918">
        <w:rPr>
          <w:rFonts w:eastAsia="Arial" w:cs="Arial"/>
          <w:color w:val="000000" w:themeColor="accent6"/>
          <w:lang w:val="en-AU"/>
        </w:rPr>
        <w:t>7) area to the nearest town classified as M</w:t>
      </w:r>
      <w:r w:rsidRPr="008D1918" w:rsidR="00C063F5">
        <w:rPr>
          <w:rFonts w:eastAsia="Arial" w:cs="Arial"/>
          <w:color w:val="000000" w:themeColor="accent6"/>
          <w:lang w:val="en-AU"/>
        </w:rPr>
        <w:t>M</w:t>
      </w:r>
      <w:r w:rsidRPr="008D1918" w:rsidR="00045EF7">
        <w:rPr>
          <w:rFonts w:eastAsia="Arial" w:cs="Arial"/>
          <w:color w:val="000000" w:themeColor="accent6"/>
          <w:lang w:val="en-AU"/>
        </w:rPr>
        <w:t> </w:t>
      </w:r>
      <w:r w:rsidRPr="008D1918">
        <w:rPr>
          <w:rFonts w:eastAsia="Arial" w:cs="Arial"/>
          <w:color w:val="000000" w:themeColor="accent6"/>
          <w:lang w:val="en-AU"/>
        </w:rPr>
        <w:t>1 or M</w:t>
      </w:r>
      <w:r w:rsidRPr="008D1918" w:rsidR="00C063F5">
        <w:rPr>
          <w:rFonts w:eastAsia="Arial" w:cs="Arial"/>
          <w:color w:val="000000" w:themeColor="accent6"/>
          <w:lang w:val="en-AU"/>
        </w:rPr>
        <w:t>M</w:t>
      </w:r>
      <w:r w:rsidRPr="008D1918" w:rsidR="00045EF7">
        <w:rPr>
          <w:rFonts w:eastAsia="Arial" w:cs="Arial"/>
          <w:color w:val="000000" w:themeColor="accent6"/>
          <w:lang w:val="en-AU"/>
        </w:rPr>
        <w:t> </w:t>
      </w:r>
      <w:r w:rsidRPr="008D1918">
        <w:rPr>
          <w:rFonts w:eastAsia="Arial" w:cs="Arial"/>
          <w:color w:val="000000" w:themeColor="accent6"/>
          <w:lang w:val="en-AU"/>
        </w:rPr>
        <w:t>2.</w:t>
      </w:r>
    </w:p>
    <w:p w:rsidRPr="008D1918" w:rsidR="00EA687A" w:rsidP="00F57E43" w:rsidRDefault="2DF64590" w14:paraId="256D10F3" w14:textId="1921D6AD">
      <w:pPr>
        <w:rPr>
          <w:rFonts w:eastAsia="Arial" w:cs="Arial"/>
          <w:color w:val="000000" w:themeColor="accent6"/>
          <w:lang w:val="en-AU"/>
        </w:rPr>
      </w:pPr>
      <w:r w:rsidRPr="008D1918">
        <w:rPr>
          <w:rFonts w:eastAsia="Arial" w:cs="Arial"/>
          <w:color w:val="000000" w:themeColor="accent6"/>
          <w:lang w:val="en-AU"/>
        </w:rPr>
        <w:t xml:space="preserve">Note: Gunbalanya in </w:t>
      </w:r>
      <w:r w:rsidRPr="008D1918" w:rsidR="00733444">
        <w:rPr>
          <w:rFonts w:eastAsia="Arial" w:cs="Arial"/>
          <w:color w:val="000000" w:themeColor="accent6"/>
          <w:lang w:val="en-AU"/>
        </w:rPr>
        <w:t>the</w:t>
      </w:r>
      <w:r w:rsidRPr="008D1918">
        <w:rPr>
          <w:rFonts w:eastAsia="Arial" w:cs="Arial"/>
          <w:color w:val="000000" w:themeColor="accent6"/>
          <w:lang w:val="en-AU"/>
        </w:rPr>
        <w:t xml:space="preserve"> Northern Territory should be included as an existing ITM.</w:t>
      </w:r>
    </w:p>
    <w:p w:rsidRPr="008D1918" w:rsidR="00B24841" w:rsidP="007A12F2" w:rsidRDefault="00B24841" w14:paraId="0309FC12" w14:textId="168C1CFE">
      <w:pPr>
        <w:pStyle w:val="RecommendationH5"/>
      </w:pPr>
      <w:r w:rsidRPr="008D1918">
        <w:t xml:space="preserve">Recommendation </w:t>
      </w:r>
      <w:r w:rsidRPr="008D1918">
        <w:rPr>
          <w:bCs/>
        </w:rPr>
        <w:t>18</w:t>
      </w:r>
      <w:r w:rsidRPr="008D1918">
        <w:t>:</w:t>
      </w:r>
    </w:p>
    <w:p w:rsidRPr="008D1918" w:rsidR="00973BD7" w:rsidP="00973BD7" w:rsidRDefault="2DF64590" w14:paraId="40B89DD4" w14:textId="207F1093">
      <w:pPr>
        <w:ind w:left="567"/>
        <w:rPr>
          <w:rFonts w:eastAsia="Arial"/>
          <w:color w:val="6B2876" w:themeColor="accent5"/>
          <w:lang w:val="en-AU"/>
        </w:rPr>
      </w:pPr>
      <w:r w:rsidRPr="008D1918">
        <w:rPr>
          <w:rFonts w:eastAsia="Arial"/>
          <w:color w:val="6B2876" w:themeColor="accent5"/>
          <w:lang w:val="en-AU"/>
        </w:rPr>
        <w:t>The NDIA should publish a Type 2</w:t>
      </w:r>
      <w:r w:rsidRPr="008D1918" w:rsidR="00AE4EED">
        <w:rPr>
          <w:rFonts w:eastAsia="Arial"/>
          <w:color w:val="6B2876" w:themeColor="accent5"/>
          <w:lang w:val="en-AU"/>
        </w:rPr>
        <w:t xml:space="preserve"> </w:t>
      </w:r>
      <w:r w:rsidRPr="008D1918" w:rsidR="0087553B">
        <w:rPr>
          <w:rFonts w:eastAsia="Arial"/>
          <w:color w:val="6B2876" w:themeColor="accent5"/>
          <w:lang w:val="en-AU"/>
        </w:rPr>
        <w:t>Isolated Towns Modification</w:t>
      </w:r>
      <w:r w:rsidRPr="008D1918">
        <w:rPr>
          <w:rFonts w:eastAsia="Arial"/>
          <w:color w:val="6B2876" w:themeColor="accent5"/>
          <w:lang w:val="en-AU"/>
        </w:rPr>
        <w:t xml:space="preserve"> </w:t>
      </w:r>
      <w:r w:rsidRPr="008D1918" w:rsidR="00C2272B">
        <w:rPr>
          <w:rFonts w:eastAsia="Arial"/>
          <w:color w:val="6B2876" w:themeColor="accent5"/>
          <w:lang w:val="en-AU"/>
        </w:rPr>
        <w:t xml:space="preserve">on </w:t>
      </w:r>
      <w:r w:rsidRPr="008D1918" w:rsidR="00817B5F">
        <w:rPr>
          <w:rFonts w:eastAsia="Arial"/>
          <w:color w:val="6B2876" w:themeColor="accent5"/>
          <w:lang w:val="en-AU"/>
        </w:rPr>
        <w:t>the NDIS</w:t>
      </w:r>
      <w:r w:rsidRPr="008D1918" w:rsidR="00B24841">
        <w:rPr>
          <w:rFonts w:eastAsia="Arial"/>
          <w:color w:val="6B2876" w:themeColor="accent5"/>
          <w:lang w:val="en-AU"/>
        </w:rPr>
        <w:t xml:space="preserve"> </w:t>
      </w:r>
      <w:r w:rsidRPr="008D1918" w:rsidR="00C2272B">
        <w:rPr>
          <w:rFonts w:eastAsia="Arial"/>
          <w:color w:val="6B2876" w:themeColor="accent5"/>
          <w:lang w:val="en-AU"/>
        </w:rPr>
        <w:t>website</w:t>
      </w:r>
      <w:r w:rsidRPr="008D1918">
        <w:rPr>
          <w:rFonts w:eastAsia="Arial"/>
          <w:color w:val="6B2876" w:themeColor="accent5"/>
          <w:lang w:val="en-AU"/>
        </w:rPr>
        <w:t xml:space="preserve">, including the policy definition, guidelines for management and locations that meet the criteria. </w:t>
      </w:r>
      <w:r w:rsidRPr="008D1918" w:rsidR="00C2272B">
        <w:rPr>
          <w:rFonts w:eastAsia="Arial"/>
          <w:color w:val="6B2876" w:themeColor="accent5"/>
          <w:lang w:val="en-AU"/>
        </w:rPr>
        <w:t>P</w:t>
      </w:r>
      <w:r w:rsidRPr="008D1918" w:rsidR="00973BD7">
        <w:rPr>
          <w:rFonts w:eastAsia="Arial"/>
          <w:color w:val="6B2876" w:themeColor="accent5"/>
          <w:lang w:val="en-AU"/>
        </w:rPr>
        <w:t xml:space="preserve">roviders in a Type 2 Isolated Towns location </w:t>
      </w:r>
      <w:r w:rsidRPr="008D1918" w:rsidR="00C2272B">
        <w:rPr>
          <w:rFonts w:eastAsia="Arial"/>
          <w:color w:val="6B2876" w:themeColor="accent5"/>
          <w:lang w:val="en-AU"/>
        </w:rPr>
        <w:t xml:space="preserve">should </w:t>
      </w:r>
      <w:r w:rsidRPr="008D1918" w:rsidR="00973BD7">
        <w:rPr>
          <w:rFonts w:eastAsia="Arial"/>
          <w:color w:val="6B2876" w:themeColor="accent5"/>
          <w:lang w:val="en-AU"/>
        </w:rPr>
        <w:t xml:space="preserve">be eligible to negotiate travel costs as part of their service agreements with participants, but no additional loading applies. </w:t>
      </w:r>
    </w:p>
    <w:p w:rsidRPr="008D1918" w:rsidR="2DF64590" w:rsidP="009E0C08" w:rsidRDefault="2DF64590" w14:paraId="02B1ABD2" w14:textId="0322840A">
      <w:pPr>
        <w:ind w:left="567"/>
        <w:rPr>
          <w:rFonts w:eastAsia="Arial"/>
          <w:color w:val="6B2876" w:themeColor="accent5"/>
          <w:lang w:val="en-AU"/>
        </w:rPr>
      </w:pPr>
      <w:r w:rsidRPr="008D1918">
        <w:rPr>
          <w:rFonts w:eastAsia="Arial"/>
          <w:color w:val="6B2876" w:themeColor="accent5"/>
          <w:lang w:val="en-AU"/>
        </w:rPr>
        <w:t>For a location to be listed on the Type 2</w:t>
      </w:r>
      <w:r w:rsidRPr="008D1918" w:rsidR="00D57402">
        <w:rPr>
          <w:rFonts w:eastAsia="Arial"/>
          <w:color w:val="6B2876" w:themeColor="accent5"/>
          <w:lang w:val="en-AU"/>
        </w:rPr>
        <w:t xml:space="preserve"> </w:t>
      </w:r>
      <w:r w:rsidRPr="008D1918" w:rsidR="0087553B">
        <w:rPr>
          <w:rFonts w:eastAsia="Arial"/>
          <w:color w:val="6B2876" w:themeColor="accent5"/>
          <w:lang w:val="en-AU"/>
        </w:rPr>
        <w:t>Isolated Towns Modification</w:t>
      </w:r>
      <w:r w:rsidRPr="008D1918">
        <w:rPr>
          <w:rFonts w:eastAsia="Arial"/>
          <w:color w:val="6B2876" w:themeColor="accent5"/>
          <w:lang w:val="en-AU"/>
        </w:rPr>
        <w:t xml:space="preserve">, it must have been identified as needing additional support based on low utilisation, travel time and socio-economic disadvantage, specifically meeting the following criteria: </w:t>
      </w:r>
    </w:p>
    <w:p w:rsidRPr="008D1918" w:rsidR="2DF64590" w:rsidP="009F6459" w:rsidRDefault="2DF64590" w14:paraId="1D770091" w14:textId="14A03B3A">
      <w:pPr>
        <w:pStyle w:val="ListParagraph"/>
        <w:numPr>
          <w:ilvl w:val="0"/>
          <w:numId w:val="22"/>
        </w:numPr>
        <w:ind w:left="1134" w:hanging="357"/>
        <w:contextualSpacing w:val="0"/>
        <w:rPr>
          <w:rFonts w:eastAsia="Arial" w:cs="Arial"/>
          <w:color w:val="6B2976"/>
          <w:lang w:val="en-AU"/>
        </w:rPr>
      </w:pPr>
      <w:r w:rsidRPr="008D1918">
        <w:rPr>
          <w:rFonts w:eastAsia="Arial" w:cs="Arial"/>
          <w:color w:val="6B2976"/>
          <w:lang w:val="en-AU"/>
        </w:rPr>
        <w:t>The location must be classified as a M</w:t>
      </w:r>
      <w:r w:rsidRPr="008D1918" w:rsidR="00C063F5">
        <w:rPr>
          <w:rFonts w:eastAsia="Arial" w:cs="Arial"/>
          <w:color w:val="6B2976"/>
          <w:lang w:val="en-AU"/>
        </w:rPr>
        <w:t>M</w:t>
      </w:r>
      <w:r w:rsidRPr="008D1918" w:rsidR="006758F7">
        <w:rPr>
          <w:rFonts w:eastAsia="Arial" w:cs="Arial"/>
          <w:color w:val="6B2976"/>
          <w:lang w:val="en-AU"/>
        </w:rPr>
        <w:t> </w:t>
      </w:r>
      <w:r w:rsidRPr="008D1918">
        <w:rPr>
          <w:rFonts w:eastAsia="Arial" w:cs="Arial"/>
          <w:color w:val="6B2976"/>
          <w:lang w:val="en-AU"/>
        </w:rPr>
        <w:t>4 and/or M</w:t>
      </w:r>
      <w:r w:rsidRPr="008D1918" w:rsidR="00C063F5">
        <w:rPr>
          <w:rFonts w:eastAsia="Arial" w:cs="Arial"/>
          <w:color w:val="6B2976"/>
          <w:lang w:val="en-AU"/>
        </w:rPr>
        <w:t>M</w:t>
      </w:r>
      <w:r w:rsidRPr="008D1918" w:rsidR="006758F7">
        <w:rPr>
          <w:rFonts w:eastAsia="Arial" w:cs="Arial"/>
          <w:color w:val="6B2976"/>
          <w:lang w:val="en-AU"/>
        </w:rPr>
        <w:t> </w:t>
      </w:r>
      <w:r w:rsidRPr="008D1918">
        <w:rPr>
          <w:rFonts w:eastAsia="Arial" w:cs="Arial"/>
          <w:color w:val="6B2976"/>
          <w:lang w:val="en-AU"/>
        </w:rPr>
        <w:t>5</w:t>
      </w:r>
      <w:r w:rsidRPr="008D1918" w:rsidR="00B24841">
        <w:rPr>
          <w:rFonts w:eastAsia="Arial" w:cs="Arial"/>
          <w:color w:val="6B2976"/>
          <w:lang w:val="en-AU"/>
        </w:rPr>
        <w:t>;</w:t>
      </w:r>
      <w:r w:rsidRPr="008D1918">
        <w:rPr>
          <w:rFonts w:eastAsia="Arial" w:cs="Arial"/>
          <w:color w:val="6B2976"/>
          <w:lang w:val="en-AU"/>
        </w:rPr>
        <w:t xml:space="preserve"> </w:t>
      </w:r>
      <w:r w:rsidRPr="008D1918" w:rsidR="001D4678">
        <w:rPr>
          <w:rFonts w:eastAsia="Arial" w:cs="Arial"/>
          <w:color w:val="6B2976"/>
          <w:lang w:val="en-AU"/>
        </w:rPr>
        <w:t>and</w:t>
      </w:r>
    </w:p>
    <w:p w:rsidRPr="008D1918" w:rsidR="00B24841" w:rsidP="009F6459" w:rsidRDefault="00B24841" w14:paraId="209112CA" w14:textId="20DA5682">
      <w:pPr>
        <w:pStyle w:val="ListParagraph"/>
        <w:numPr>
          <w:ilvl w:val="0"/>
          <w:numId w:val="22"/>
        </w:numPr>
        <w:ind w:left="1134" w:hanging="357"/>
        <w:contextualSpacing w:val="0"/>
        <w:rPr>
          <w:rFonts w:eastAsia="Arial"/>
          <w:color w:val="6B2876" w:themeColor="accent5"/>
          <w:lang w:val="en-AU"/>
        </w:rPr>
      </w:pPr>
      <w:r w:rsidRPr="008D1918">
        <w:rPr>
          <w:rFonts w:eastAsia="Arial" w:cs="Arial"/>
          <w:color w:val="6B2976"/>
          <w:lang w:val="en-AU"/>
        </w:rPr>
        <w:t>The average Statistical Area 2 plan utilisation over 3 years is 60% or less (</w:t>
      </w:r>
      <w:r w:rsidRPr="008D1918" w:rsidR="00D57402">
        <w:rPr>
          <w:rFonts w:eastAsia="Arial" w:cs="Arial"/>
          <w:color w:val="6B2976"/>
          <w:lang w:val="en-AU"/>
        </w:rPr>
        <w:t>c</w:t>
      </w:r>
      <w:r w:rsidRPr="008D1918">
        <w:rPr>
          <w:rFonts w:eastAsia="Arial" w:cs="Arial"/>
          <w:color w:val="6B2976"/>
          <w:lang w:val="en-AU"/>
        </w:rPr>
        <w:t>alculated using only M</w:t>
      </w:r>
      <w:r w:rsidRPr="008D1918" w:rsidR="00C063F5">
        <w:rPr>
          <w:rFonts w:eastAsia="Arial" w:cs="Arial"/>
          <w:color w:val="6B2976"/>
          <w:lang w:val="en-AU"/>
        </w:rPr>
        <w:t>M</w:t>
      </w:r>
      <w:r w:rsidRPr="008D1918">
        <w:rPr>
          <w:rFonts w:eastAsia="Arial" w:cs="Arial"/>
          <w:color w:val="6B2976"/>
          <w:lang w:val="en-AU"/>
        </w:rPr>
        <w:t xml:space="preserve"> 4/5 locations); </w:t>
      </w:r>
      <w:r w:rsidRPr="008D1918" w:rsidR="001D4678">
        <w:rPr>
          <w:rFonts w:eastAsia="Arial"/>
          <w:color w:val="6B2876" w:themeColor="accent5"/>
          <w:lang w:val="en-AU"/>
        </w:rPr>
        <w:t>and</w:t>
      </w:r>
    </w:p>
    <w:p w:rsidRPr="008D1918" w:rsidR="2DF64590" w:rsidP="009F6459" w:rsidRDefault="2DF64590" w14:paraId="2E6BB83A" w14:textId="512982DC">
      <w:pPr>
        <w:pStyle w:val="ListParagraph"/>
        <w:numPr>
          <w:ilvl w:val="0"/>
          <w:numId w:val="22"/>
        </w:numPr>
        <w:ind w:left="1134" w:hanging="357"/>
        <w:contextualSpacing w:val="0"/>
        <w:rPr>
          <w:rFonts w:eastAsia="Arial" w:cs="Arial"/>
          <w:color w:val="6B2976"/>
          <w:lang w:val="en-AU"/>
        </w:rPr>
      </w:pPr>
      <w:r w:rsidRPr="008D1918">
        <w:rPr>
          <w:rFonts w:eastAsia="Arial" w:cs="Arial"/>
          <w:color w:val="6B2976"/>
          <w:lang w:val="en-AU"/>
        </w:rPr>
        <w:t>Travel time from a M</w:t>
      </w:r>
      <w:r w:rsidRPr="008D1918" w:rsidR="00C063F5">
        <w:rPr>
          <w:rFonts w:eastAsia="Arial" w:cs="Arial"/>
          <w:color w:val="6B2976"/>
          <w:lang w:val="en-AU"/>
        </w:rPr>
        <w:t>M</w:t>
      </w:r>
      <w:r w:rsidRPr="008D1918" w:rsidR="006758F7">
        <w:rPr>
          <w:rFonts w:eastAsia="Arial" w:cs="Arial"/>
          <w:color w:val="6B2976"/>
          <w:lang w:val="en-AU"/>
        </w:rPr>
        <w:t> </w:t>
      </w:r>
      <w:r w:rsidRPr="008D1918">
        <w:rPr>
          <w:rFonts w:eastAsia="Arial" w:cs="Arial"/>
          <w:color w:val="6B2976"/>
          <w:lang w:val="en-AU"/>
        </w:rPr>
        <w:t>4</w:t>
      </w:r>
      <w:r w:rsidRPr="008D1918" w:rsidR="00D57402">
        <w:rPr>
          <w:rFonts w:eastAsia="Arial" w:cs="Arial"/>
          <w:color w:val="6B2976"/>
          <w:lang w:val="en-AU"/>
        </w:rPr>
        <w:t>/</w:t>
      </w:r>
      <w:r w:rsidRPr="008D1918">
        <w:rPr>
          <w:rFonts w:eastAsia="Arial" w:cs="Arial"/>
          <w:color w:val="6B2976"/>
          <w:lang w:val="en-AU"/>
        </w:rPr>
        <w:t>5 S</w:t>
      </w:r>
      <w:r w:rsidRPr="008D1918" w:rsidR="00446668">
        <w:rPr>
          <w:rFonts w:eastAsia="Arial" w:cs="Arial"/>
          <w:color w:val="6B2976"/>
          <w:lang w:val="en-AU"/>
        </w:rPr>
        <w:t xml:space="preserve">tatistical Area </w:t>
      </w:r>
      <w:r w:rsidRPr="008D1918">
        <w:rPr>
          <w:rFonts w:eastAsia="Arial" w:cs="Arial"/>
          <w:color w:val="6B2976"/>
          <w:lang w:val="en-AU"/>
        </w:rPr>
        <w:t>2 to the nearest M</w:t>
      </w:r>
      <w:r w:rsidRPr="008D1918" w:rsidR="00C063F5">
        <w:rPr>
          <w:rFonts w:eastAsia="Arial" w:cs="Arial"/>
          <w:color w:val="6B2976"/>
          <w:lang w:val="en-AU"/>
        </w:rPr>
        <w:t>M</w:t>
      </w:r>
      <w:r w:rsidRPr="008D1918" w:rsidR="006758F7">
        <w:rPr>
          <w:rFonts w:eastAsia="Arial" w:cs="Arial"/>
          <w:color w:val="6B2976"/>
          <w:lang w:val="en-AU"/>
        </w:rPr>
        <w:t> </w:t>
      </w:r>
      <w:r w:rsidRPr="008D1918">
        <w:rPr>
          <w:rFonts w:eastAsia="Arial" w:cs="Arial"/>
          <w:color w:val="6B2976"/>
          <w:lang w:val="en-AU"/>
        </w:rPr>
        <w:t xml:space="preserve">1/2/3 is 70 minutes or </w:t>
      </w:r>
      <w:r w:rsidRPr="008D1918" w:rsidR="00D57402">
        <w:rPr>
          <w:rFonts w:eastAsia="Arial" w:cs="Arial"/>
          <w:color w:val="6B2976"/>
          <w:lang w:val="en-AU"/>
        </w:rPr>
        <w:t xml:space="preserve">more </w:t>
      </w:r>
      <w:r w:rsidRPr="008D1918">
        <w:rPr>
          <w:rFonts w:eastAsia="Arial" w:cs="Arial"/>
          <w:color w:val="6B2976"/>
          <w:lang w:val="en-AU"/>
        </w:rPr>
        <w:t>(</w:t>
      </w:r>
      <w:r w:rsidRPr="008D1918" w:rsidR="00D57402">
        <w:rPr>
          <w:rFonts w:eastAsia="Arial" w:cs="Arial"/>
          <w:color w:val="6B2976"/>
          <w:lang w:val="en-AU"/>
        </w:rPr>
        <w:t>c</w:t>
      </w:r>
      <w:r w:rsidRPr="008D1918">
        <w:rPr>
          <w:rFonts w:eastAsia="Arial" w:cs="Arial"/>
          <w:color w:val="6B2976"/>
          <w:lang w:val="en-AU"/>
        </w:rPr>
        <w:t xml:space="preserve">alculated using the </w:t>
      </w:r>
      <w:r w:rsidRPr="008D1918" w:rsidR="00446668">
        <w:rPr>
          <w:rFonts w:eastAsia="Arial" w:cs="Arial"/>
          <w:color w:val="6B2976"/>
          <w:lang w:val="en-AU"/>
        </w:rPr>
        <w:t xml:space="preserve">Statistical Area 2 </w:t>
      </w:r>
      <w:r w:rsidRPr="008D1918">
        <w:rPr>
          <w:rFonts w:eastAsia="Arial" w:cs="Arial"/>
          <w:color w:val="6B2976"/>
          <w:lang w:val="en-AU"/>
        </w:rPr>
        <w:t>location with most participants</w:t>
      </w:r>
      <w:r w:rsidRPr="008D1918" w:rsidR="00B24841">
        <w:rPr>
          <w:rFonts w:eastAsia="Arial" w:cs="Arial"/>
          <w:color w:val="6B2976"/>
          <w:lang w:val="en-AU"/>
        </w:rPr>
        <w:t>);</w:t>
      </w:r>
      <w:r w:rsidRPr="008D1918">
        <w:rPr>
          <w:rFonts w:eastAsia="Arial" w:cs="Arial"/>
          <w:color w:val="6B2976"/>
          <w:lang w:val="en-AU"/>
        </w:rPr>
        <w:t xml:space="preserve"> </w:t>
      </w:r>
      <w:r w:rsidRPr="008D1918" w:rsidR="001D4678">
        <w:rPr>
          <w:rFonts w:eastAsia="Arial" w:cs="Arial"/>
          <w:color w:val="6B2976"/>
          <w:lang w:val="en-AU"/>
        </w:rPr>
        <w:t>and</w:t>
      </w:r>
    </w:p>
    <w:p w:rsidRPr="008D1918" w:rsidR="2DF64590" w:rsidP="009F6459" w:rsidRDefault="2DF64590" w14:paraId="7BB355E5" w14:textId="6A178F75">
      <w:pPr>
        <w:pStyle w:val="ListParagraph"/>
        <w:numPr>
          <w:ilvl w:val="0"/>
          <w:numId w:val="22"/>
        </w:numPr>
        <w:ind w:left="1134" w:hanging="357"/>
        <w:contextualSpacing w:val="0"/>
        <w:rPr>
          <w:rFonts w:eastAsia="Arial" w:cs="Arial"/>
          <w:color w:val="6B2976"/>
          <w:lang w:val="en-AU"/>
        </w:rPr>
      </w:pPr>
      <w:r w:rsidRPr="008D1918">
        <w:rPr>
          <w:rFonts w:eastAsia="Arial" w:cs="Arial"/>
          <w:color w:val="6B2976"/>
          <w:lang w:val="en-AU"/>
        </w:rPr>
        <w:t xml:space="preserve">The Socio-Economic Indexes for Areas – Index of Relative Socio-Economic Disadvantage decile score at the </w:t>
      </w:r>
      <w:r w:rsidRPr="008D1918" w:rsidR="00B24841">
        <w:rPr>
          <w:rFonts w:eastAsia="Arial" w:cs="Arial"/>
          <w:color w:val="6B2976"/>
          <w:lang w:val="en-AU"/>
        </w:rPr>
        <w:t>Statistical Area 2</w:t>
      </w:r>
      <w:r w:rsidRPr="008D1918">
        <w:rPr>
          <w:rFonts w:eastAsia="Arial" w:cs="Arial"/>
          <w:color w:val="6B2976"/>
          <w:lang w:val="en-AU"/>
        </w:rPr>
        <w:t xml:space="preserve"> level is 5 or below</w:t>
      </w:r>
      <w:r w:rsidRPr="008D1918" w:rsidR="009E0C08">
        <w:rPr>
          <w:rFonts w:eastAsia="Arial" w:cs="Arial"/>
          <w:color w:val="6B2976"/>
          <w:lang w:val="en-AU"/>
        </w:rPr>
        <w:t>.</w:t>
      </w:r>
    </w:p>
    <w:p w:rsidRPr="008D1918" w:rsidR="2DF64590" w:rsidP="007A12F2" w:rsidRDefault="2DF64590" w14:paraId="5DD13D5E" w14:textId="50697220">
      <w:pPr>
        <w:pStyle w:val="RecommendationH5"/>
      </w:pPr>
      <w:r w:rsidRPr="008D1918">
        <w:t xml:space="preserve">Recommendation </w:t>
      </w:r>
      <w:r w:rsidRPr="008D1918" w:rsidR="0065196D">
        <w:t>19</w:t>
      </w:r>
      <w:r w:rsidRPr="008D1918">
        <w:t>:</w:t>
      </w:r>
    </w:p>
    <w:p w:rsidRPr="008D1918" w:rsidR="2DF64590" w:rsidP="00251CCC" w:rsidRDefault="2DF64590" w14:paraId="22E066B4" w14:textId="6BAA509F">
      <w:pPr>
        <w:ind w:left="567"/>
        <w:rPr>
          <w:rFonts w:eastAsia="Arial"/>
          <w:color w:val="6B2876" w:themeColor="accent5"/>
          <w:lang w:val="en-AU"/>
        </w:rPr>
      </w:pPr>
      <w:r w:rsidRPr="008D1918">
        <w:rPr>
          <w:rFonts w:eastAsia="Arial"/>
          <w:color w:val="6B2876" w:themeColor="accent5"/>
          <w:lang w:val="en-AU"/>
        </w:rPr>
        <w:t xml:space="preserve">The NDIA should monitor and evaluate market levers implemented for locations in the Type 2 </w:t>
      </w:r>
      <w:r w:rsidRPr="008D1918" w:rsidR="0087553B">
        <w:rPr>
          <w:rFonts w:eastAsia="Arial"/>
          <w:color w:val="6B2876" w:themeColor="accent5"/>
          <w:lang w:val="en-AU"/>
        </w:rPr>
        <w:t>Isolated Towns Modification</w:t>
      </w:r>
      <w:r w:rsidRPr="008D1918">
        <w:rPr>
          <w:rFonts w:eastAsia="Arial"/>
          <w:color w:val="6B2876" w:themeColor="accent5"/>
          <w:lang w:val="en-AU"/>
        </w:rPr>
        <w:t xml:space="preserve"> for the duration of the </w:t>
      </w:r>
      <w:r w:rsidRPr="008D1918" w:rsidR="4815141F">
        <w:rPr>
          <w:rFonts w:eastAsia="Arial"/>
          <w:color w:val="6B2876" w:themeColor="accent5"/>
          <w:lang w:val="en-AU"/>
        </w:rPr>
        <w:t>adjustment</w:t>
      </w:r>
      <w:r w:rsidRPr="008D1918">
        <w:rPr>
          <w:rFonts w:eastAsia="Arial"/>
          <w:color w:val="6B2876" w:themeColor="accent5"/>
          <w:lang w:val="en-AU"/>
        </w:rPr>
        <w:t>. This will allow further investigation to understand the impact of changes made and any unintended consequences of the market intervention</w:t>
      </w:r>
      <w:r w:rsidRPr="008D1918" w:rsidR="00C2272B">
        <w:rPr>
          <w:rFonts w:eastAsia="Arial"/>
          <w:color w:val="6B2876" w:themeColor="accent5"/>
          <w:lang w:val="en-AU"/>
        </w:rPr>
        <w:t xml:space="preserve"> to inform future guidance and advice</w:t>
      </w:r>
    </w:p>
    <w:p w:rsidRPr="008D1918" w:rsidR="2DF64590" w:rsidP="46E1B68B" w:rsidRDefault="2DF64590" w14:paraId="17802A55" w14:textId="5A755EED">
      <w:pPr>
        <w:spacing w:after="0" w:line="240" w:lineRule="auto"/>
        <w:rPr>
          <w:rFonts w:eastAsia="Arial" w:cs="Arial"/>
          <w:lang w:val="en-AU"/>
        </w:rPr>
      </w:pPr>
      <w:r w:rsidRPr="008D1918">
        <w:rPr>
          <w:rFonts w:eastAsia="Arial" w:cs="Arial"/>
          <w:lang w:val="en-AU"/>
        </w:rPr>
        <w:br w:type="page"/>
      </w:r>
    </w:p>
    <w:p w:rsidRPr="008D1918" w:rsidR="006C387A" w:rsidP="006C387A" w:rsidRDefault="006C387A" w14:paraId="4ACFD889" w14:textId="1F7C10B2">
      <w:pPr>
        <w:pStyle w:val="Heading2"/>
        <w:rPr>
          <w:lang w:val="en-AU"/>
        </w:rPr>
      </w:pPr>
      <w:bookmarkStart w:name="_Toc223539787" w:id="2327"/>
      <w:bookmarkStart w:name="_Toc223540000" w:id="2328"/>
      <w:bookmarkStart w:name="_Toc223540468" w:id="2329"/>
      <w:bookmarkStart w:name="_Toc223540684" w:id="2330"/>
      <w:bookmarkStart w:name="_Toc223542232" w:id="2331"/>
      <w:bookmarkStart w:name="_Toc223604414" w:id="2332"/>
      <w:bookmarkStart w:name="_Toc223604625" w:id="2333"/>
      <w:bookmarkStart w:name="_Toc227337200" w:id="2334"/>
      <w:r w:rsidRPr="008D1918">
        <w:rPr>
          <w:lang w:val="en-AU"/>
        </w:rPr>
        <w:t xml:space="preserve">Appendix A: </w:t>
      </w:r>
      <w:r w:rsidRPr="008D1918" w:rsidR="004D118B">
        <w:rPr>
          <w:lang w:val="en-AU"/>
        </w:rPr>
        <w:t>DSW Cost Model</w:t>
      </w:r>
      <w:bookmarkEnd w:id="2327"/>
      <w:bookmarkEnd w:id="2328"/>
      <w:bookmarkEnd w:id="2329"/>
      <w:bookmarkEnd w:id="2330"/>
      <w:bookmarkEnd w:id="2331"/>
      <w:bookmarkEnd w:id="2332"/>
      <w:bookmarkEnd w:id="2333"/>
      <w:bookmarkEnd w:id="2334"/>
    </w:p>
    <w:p w:rsidRPr="008D1918" w:rsidR="00396E66" w:rsidP="00354F83" w:rsidRDefault="00396E66" w14:paraId="5C9D46BC" w14:textId="67DDD5FE">
      <w:pPr>
        <w:pStyle w:val="AppendixH3"/>
      </w:pPr>
      <w:r w:rsidRPr="008D1918">
        <w:t>DSW Cost Model detailed breakdown</w:t>
      </w:r>
    </w:p>
    <w:p w:rsidRPr="008D1918" w:rsidR="004D118B" w:rsidP="004D118B" w:rsidRDefault="004D118B" w14:paraId="69D284BC" w14:textId="7FE3DB58">
      <w:pPr>
        <w:rPr>
          <w:lang w:val="en-AU"/>
        </w:rPr>
      </w:pPr>
      <w:r w:rsidRPr="008D1918">
        <w:rPr>
          <w:lang w:val="en-AU"/>
        </w:rPr>
        <w:t>The NDIA uses the DSW Cost Model to estimate the cost that</w:t>
      </w:r>
      <w:r w:rsidRPr="008D1918" w:rsidR="00514B24">
        <w:rPr>
          <w:lang w:val="en-AU"/>
        </w:rPr>
        <w:t xml:space="preserve"> </w:t>
      </w:r>
      <w:r w:rsidRPr="008D1918">
        <w:rPr>
          <w:lang w:val="en-AU"/>
        </w:rPr>
        <w:t>a reasonably efficient</w:t>
      </w:r>
      <w:r w:rsidRPr="008D1918" w:rsidR="00433E74">
        <w:rPr>
          <w:lang w:val="en-AU"/>
        </w:rPr>
        <w:t xml:space="preserve"> </w:t>
      </w:r>
      <w:r w:rsidRPr="008D1918">
        <w:rPr>
          <w:lang w:val="en-AU"/>
        </w:rPr>
        <w:t>provider would incur in delivering a billable hour of support. Its primary aim is to ensure that pricing</w:t>
      </w:r>
      <w:r w:rsidRPr="008D1918" w:rsidR="00C2272B">
        <w:rPr>
          <w:lang w:val="en-AU"/>
        </w:rPr>
        <w:t xml:space="preserve"> recommendations</w:t>
      </w:r>
      <w:r w:rsidRPr="008D1918">
        <w:rPr>
          <w:lang w:val="en-AU"/>
        </w:rPr>
        <w:t xml:space="preserve"> reflect the cost</w:t>
      </w:r>
      <w:r w:rsidRPr="008D1918" w:rsidR="00DC7220">
        <w:rPr>
          <w:lang w:val="en-AU"/>
        </w:rPr>
        <w:t>-</w:t>
      </w:r>
      <w:r w:rsidRPr="008D1918">
        <w:rPr>
          <w:lang w:val="en-AU"/>
        </w:rPr>
        <w:t>of</w:t>
      </w:r>
      <w:r w:rsidRPr="008D1918" w:rsidR="00DC7220">
        <w:rPr>
          <w:lang w:val="en-AU"/>
        </w:rPr>
        <w:t>-</w:t>
      </w:r>
      <w:r w:rsidRPr="008D1918">
        <w:rPr>
          <w:lang w:val="en-AU"/>
        </w:rPr>
        <w:t>service delivery.</w:t>
      </w:r>
    </w:p>
    <w:p w:rsidRPr="008D1918" w:rsidR="004D118B" w:rsidP="00354F83" w:rsidRDefault="004D118B" w14:paraId="4C3B13D6" w14:textId="5D186CB9">
      <w:pPr>
        <w:pStyle w:val="AppendixH4"/>
        <w:rPr>
          <w:bCs/>
        </w:rPr>
      </w:pPr>
      <w:r w:rsidRPr="008D1918">
        <w:t>Parameters of the DSW Cost Model</w:t>
      </w:r>
      <w:r w:rsidRPr="008D1918">
        <w:rPr>
          <w:bCs/>
        </w:rPr>
        <w:t> </w:t>
      </w:r>
    </w:p>
    <w:p w:rsidRPr="008D1918" w:rsidR="004D118B" w:rsidP="004D118B" w:rsidRDefault="004D118B" w14:paraId="1174D608" w14:textId="6E9ECEF3">
      <w:pPr>
        <w:rPr>
          <w:lang w:val="en-AU"/>
        </w:rPr>
      </w:pPr>
      <w:r w:rsidRPr="008D1918">
        <w:rPr>
          <w:lang w:val="en-AU"/>
        </w:rPr>
        <w:t>In 2022, the NDIA simplified the DSW Cost Model. The simplification was prompted by a recognition that the model’s specificity could inadvertently encourage rigid adherence to its parameters as de facto targets, potentially restricting innovation and adaptability of providers. By</w:t>
      </w:r>
      <w:r w:rsidRPr="008D1918" w:rsidR="00514B24">
        <w:rPr>
          <w:lang w:val="en-AU"/>
        </w:rPr>
        <w:t xml:space="preserve"> </w:t>
      </w:r>
      <w:r w:rsidRPr="008D1918">
        <w:rPr>
          <w:lang w:val="en-AU"/>
        </w:rPr>
        <w:t>consolidating</w:t>
      </w:r>
      <w:r w:rsidRPr="008D1918" w:rsidR="00514B24">
        <w:rPr>
          <w:lang w:val="en-AU"/>
        </w:rPr>
        <w:t xml:space="preserve"> </w:t>
      </w:r>
      <w:r w:rsidRPr="008D1918">
        <w:rPr>
          <w:lang w:val="en-AU"/>
        </w:rPr>
        <w:t xml:space="preserve">the cost categories into direct worker employment costs, operational overheads and corporate overheads, the NDIA aimed to reflect the nuanced ways providers manage their resources. The current parameters of the </w:t>
      </w:r>
      <w:r w:rsidRPr="008D1918" w:rsidR="00987B3B">
        <w:rPr>
          <w:lang w:val="en-AU"/>
        </w:rPr>
        <w:t>DSW C</w:t>
      </w:r>
      <w:r w:rsidRPr="008D1918">
        <w:rPr>
          <w:lang w:val="en-AU"/>
        </w:rPr>
        <w:t xml:space="preserve">ost </w:t>
      </w:r>
      <w:r w:rsidRPr="008D1918" w:rsidR="00987B3B">
        <w:rPr>
          <w:lang w:val="en-AU"/>
        </w:rPr>
        <w:t>M</w:t>
      </w:r>
      <w:r w:rsidRPr="008D1918">
        <w:rPr>
          <w:lang w:val="en-AU"/>
        </w:rPr>
        <w:t>odel are outlined below: </w:t>
      </w:r>
    </w:p>
    <w:p w:rsidRPr="008D1918" w:rsidR="004D118B" w:rsidP="009F6459" w:rsidRDefault="004D118B" w14:paraId="4A43A9DA" w14:textId="76FD62AD">
      <w:pPr>
        <w:numPr>
          <w:ilvl w:val="0"/>
          <w:numId w:val="17"/>
        </w:numPr>
        <w:rPr>
          <w:lang w:val="en-AU"/>
        </w:rPr>
      </w:pPr>
      <w:r w:rsidRPr="008D1918">
        <w:rPr>
          <w:b/>
          <w:bCs/>
          <w:lang w:val="en-AU"/>
        </w:rPr>
        <w:t>Base salary and shift loadings:</w:t>
      </w:r>
      <w:r w:rsidRPr="008D1918" w:rsidR="00521700">
        <w:rPr>
          <w:lang w:val="en-AU"/>
        </w:rPr>
        <w:t xml:space="preserve"> </w:t>
      </w:r>
      <w:r w:rsidRPr="008D1918">
        <w:rPr>
          <w:lang w:val="en-AU"/>
        </w:rPr>
        <w:t>The cost model is based on permanent worker costs. These are linked to </w:t>
      </w:r>
      <w:r w:rsidRPr="008D1918" w:rsidR="00987B3B">
        <w:rPr>
          <w:lang w:val="en-AU"/>
        </w:rPr>
        <w:t xml:space="preserve">the </w:t>
      </w:r>
      <w:r w:rsidRPr="008D1918">
        <w:rPr>
          <w:i/>
          <w:iCs/>
          <w:lang w:val="en-AU"/>
        </w:rPr>
        <w:t>Social, Community, Home Care and Disability Services Industry Award 2010</w:t>
      </w:r>
      <w:r w:rsidRPr="008D1918">
        <w:rPr>
          <w:lang w:val="en-AU"/>
        </w:rPr>
        <w:t> (SCHADS Award) wage levels 2.3, 2.4/3.1, 3.2 and 4.4.</w:t>
      </w:r>
    </w:p>
    <w:p w:rsidRPr="008D1918" w:rsidR="004D118B" w:rsidP="009F6459" w:rsidRDefault="004D118B" w14:paraId="20D7EBD6" w14:textId="3E308401">
      <w:pPr>
        <w:numPr>
          <w:ilvl w:val="0"/>
          <w:numId w:val="18"/>
        </w:numPr>
        <w:rPr>
          <w:lang w:val="en-AU"/>
        </w:rPr>
      </w:pPr>
      <w:r w:rsidRPr="008D1918">
        <w:rPr>
          <w:b/>
          <w:bCs/>
          <w:lang w:val="en-AU"/>
        </w:rPr>
        <w:t>Direct</w:t>
      </w:r>
      <w:r w:rsidRPr="008D1918" w:rsidR="00521700">
        <w:rPr>
          <w:b/>
          <w:bCs/>
          <w:lang w:val="en-AU"/>
        </w:rPr>
        <w:t xml:space="preserve"> </w:t>
      </w:r>
      <w:r w:rsidRPr="008D1918">
        <w:rPr>
          <w:b/>
          <w:bCs/>
          <w:lang w:val="en-AU"/>
        </w:rPr>
        <w:t>on-costs:</w:t>
      </w:r>
      <w:r w:rsidRPr="008D1918" w:rsidR="00521700">
        <w:rPr>
          <w:lang w:val="en-AU"/>
        </w:rPr>
        <w:t xml:space="preserve"> </w:t>
      </w:r>
      <w:r w:rsidRPr="008D1918">
        <w:rPr>
          <w:lang w:val="en-AU"/>
        </w:rPr>
        <w:t xml:space="preserve">Includes </w:t>
      </w:r>
      <w:r w:rsidRPr="008D1918" w:rsidR="00FD0BF5">
        <w:rPr>
          <w:lang w:val="en-AU"/>
        </w:rPr>
        <w:t>s</w:t>
      </w:r>
      <w:r w:rsidRPr="008D1918">
        <w:rPr>
          <w:lang w:val="en-AU"/>
        </w:rPr>
        <w:t xml:space="preserve">uperannuation entitlements (12% from 1 July 2025), </w:t>
      </w:r>
      <w:r w:rsidRPr="008D1918" w:rsidR="00FD0BF5">
        <w:rPr>
          <w:lang w:val="en-AU"/>
        </w:rPr>
        <w:t>a</w:t>
      </w:r>
      <w:r w:rsidRPr="008D1918">
        <w:rPr>
          <w:lang w:val="en-AU"/>
        </w:rPr>
        <w:t xml:space="preserve">nnual </w:t>
      </w:r>
      <w:r w:rsidRPr="008D1918" w:rsidR="00FD0BF5">
        <w:rPr>
          <w:lang w:val="en-AU"/>
        </w:rPr>
        <w:t>l</w:t>
      </w:r>
      <w:r w:rsidRPr="008D1918">
        <w:rPr>
          <w:lang w:val="en-AU"/>
        </w:rPr>
        <w:t xml:space="preserve">eave entitlements (20 days), </w:t>
      </w:r>
      <w:r w:rsidRPr="008D1918" w:rsidR="00FD0BF5">
        <w:rPr>
          <w:lang w:val="en-AU"/>
        </w:rPr>
        <w:t>p</w:t>
      </w:r>
      <w:r w:rsidRPr="008D1918">
        <w:rPr>
          <w:lang w:val="en-AU"/>
        </w:rPr>
        <w:t xml:space="preserve">ersonal </w:t>
      </w:r>
      <w:r w:rsidRPr="008D1918" w:rsidR="00FD0BF5">
        <w:rPr>
          <w:lang w:val="en-AU"/>
        </w:rPr>
        <w:t>l</w:t>
      </w:r>
      <w:r w:rsidRPr="008D1918">
        <w:rPr>
          <w:lang w:val="en-AU"/>
        </w:rPr>
        <w:t xml:space="preserve">eave entitlements including </w:t>
      </w:r>
      <w:r w:rsidRPr="008D1918" w:rsidR="00FD0BF5">
        <w:rPr>
          <w:lang w:val="en-AU"/>
        </w:rPr>
        <w:t>d</w:t>
      </w:r>
      <w:r w:rsidRPr="008D1918" w:rsidR="00BD3F22">
        <w:rPr>
          <w:lang w:val="en-AU"/>
        </w:rPr>
        <w:t xml:space="preserve">omestic </w:t>
      </w:r>
      <w:r w:rsidRPr="008D1918">
        <w:rPr>
          <w:lang w:val="en-AU"/>
        </w:rPr>
        <w:t xml:space="preserve">and </w:t>
      </w:r>
      <w:r w:rsidRPr="008D1918" w:rsidR="00FD0BF5">
        <w:rPr>
          <w:lang w:val="en-AU"/>
        </w:rPr>
        <w:t>f</w:t>
      </w:r>
      <w:r w:rsidRPr="008D1918" w:rsidR="00BD3F22">
        <w:rPr>
          <w:lang w:val="en-AU"/>
        </w:rPr>
        <w:t xml:space="preserve">amily </w:t>
      </w:r>
      <w:r w:rsidRPr="008D1918" w:rsidR="00FD0BF5">
        <w:rPr>
          <w:lang w:val="en-AU"/>
        </w:rPr>
        <w:t>v</w:t>
      </w:r>
      <w:r w:rsidRPr="008D1918" w:rsidR="00BD3F22">
        <w:rPr>
          <w:lang w:val="en-AU"/>
        </w:rPr>
        <w:t xml:space="preserve">iolence </w:t>
      </w:r>
      <w:r w:rsidRPr="008D1918">
        <w:rPr>
          <w:lang w:val="en-AU"/>
        </w:rPr>
        <w:t xml:space="preserve">leave (10.3 days), </w:t>
      </w:r>
      <w:r w:rsidRPr="008D1918" w:rsidR="00FD0BF5">
        <w:rPr>
          <w:lang w:val="en-AU"/>
        </w:rPr>
        <w:t>l</w:t>
      </w:r>
      <w:r w:rsidRPr="008D1918">
        <w:rPr>
          <w:lang w:val="en-AU"/>
        </w:rPr>
        <w:t xml:space="preserve">ong </w:t>
      </w:r>
      <w:r w:rsidRPr="008D1918" w:rsidR="00FD0BF5">
        <w:rPr>
          <w:lang w:val="en-AU"/>
        </w:rPr>
        <w:t>s</w:t>
      </w:r>
      <w:r w:rsidRPr="008D1918">
        <w:rPr>
          <w:lang w:val="en-AU"/>
        </w:rPr>
        <w:t xml:space="preserve">ervice </w:t>
      </w:r>
      <w:r w:rsidRPr="008D1918" w:rsidR="00FD0BF5">
        <w:rPr>
          <w:lang w:val="en-AU"/>
        </w:rPr>
        <w:t>l</w:t>
      </w:r>
      <w:r w:rsidRPr="008D1918">
        <w:rPr>
          <w:lang w:val="en-AU"/>
        </w:rPr>
        <w:t xml:space="preserve">eave entitlements (4.3 days), and </w:t>
      </w:r>
      <w:r w:rsidRPr="008D1918" w:rsidR="00FD0BF5">
        <w:rPr>
          <w:lang w:val="en-AU"/>
        </w:rPr>
        <w:t>e</w:t>
      </w:r>
      <w:r w:rsidRPr="008D1918">
        <w:rPr>
          <w:lang w:val="en-AU"/>
        </w:rPr>
        <w:t xml:space="preserve">mployee </w:t>
      </w:r>
      <w:r w:rsidRPr="008D1918" w:rsidR="00FD0BF5">
        <w:rPr>
          <w:lang w:val="en-AU"/>
        </w:rPr>
        <w:t>a</w:t>
      </w:r>
      <w:r w:rsidRPr="008D1918">
        <w:rPr>
          <w:lang w:val="en-AU"/>
        </w:rPr>
        <w:t>llowances. </w:t>
      </w:r>
    </w:p>
    <w:p w:rsidRPr="008D1918" w:rsidR="004D118B" w:rsidP="009F6459" w:rsidRDefault="004D118B" w14:paraId="167F29D7" w14:textId="778FD172">
      <w:pPr>
        <w:numPr>
          <w:ilvl w:val="0"/>
          <w:numId w:val="19"/>
        </w:numPr>
        <w:rPr>
          <w:lang w:val="en-AU"/>
        </w:rPr>
      </w:pPr>
      <w:r w:rsidRPr="008D1918">
        <w:rPr>
          <w:b/>
          <w:bCs/>
          <w:lang w:val="en-AU"/>
        </w:rPr>
        <w:t>Operational overheads:</w:t>
      </w:r>
      <w:r w:rsidRPr="008D1918">
        <w:rPr>
          <w:lang w:val="en-AU"/>
        </w:rPr>
        <w:t xml:space="preserve"> Covers supervision, quality and safeguarding, training, and workforce rostering costs, alongside provisions for utilisation rates and the mix of permanent versus casual staff</w:t>
      </w:r>
      <w:r w:rsidRPr="008D1918" w:rsidR="006C2051">
        <w:rPr>
          <w:lang w:val="en-AU"/>
        </w:rPr>
        <w:t>,</w:t>
      </w:r>
      <w:r w:rsidRPr="008D1918">
        <w:rPr>
          <w:lang w:val="en-AU"/>
        </w:rPr>
        <w:t xml:space="preserve"> and the extent to which overtime is utilised.</w:t>
      </w:r>
    </w:p>
    <w:p w:rsidRPr="008D1918" w:rsidR="004D118B" w:rsidP="009F6459" w:rsidRDefault="004D118B" w14:paraId="2774E051" w14:textId="6644E7FD">
      <w:pPr>
        <w:numPr>
          <w:ilvl w:val="0"/>
          <w:numId w:val="20"/>
        </w:numPr>
        <w:rPr>
          <w:lang w:val="en-AU"/>
        </w:rPr>
      </w:pPr>
      <w:r w:rsidRPr="008D1918">
        <w:rPr>
          <w:b/>
          <w:bCs/>
          <w:lang w:val="en-AU"/>
        </w:rPr>
        <w:t>Corporate overheads:</w:t>
      </w:r>
      <w:r w:rsidRPr="008D1918">
        <w:rPr>
          <w:lang w:val="en-AU"/>
        </w:rPr>
        <w:t xml:space="preserve"> Accounts for essential business functions such as accounting, human resources, information technology, legal and marketing.</w:t>
      </w:r>
    </w:p>
    <w:p w:rsidRPr="008D1918" w:rsidR="004D118B" w:rsidP="009F6459" w:rsidRDefault="004D118B" w14:paraId="49CE5AA4" w14:textId="51938FB7">
      <w:pPr>
        <w:numPr>
          <w:ilvl w:val="0"/>
          <w:numId w:val="21"/>
        </w:numPr>
        <w:rPr>
          <w:lang w:val="en-AU"/>
        </w:rPr>
      </w:pPr>
      <w:r w:rsidRPr="008D1918">
        <w:rPr>
          <w:b/>
          <w:bCs/>
          <w:lang w:val="en-AU"/>
        </w:rPr>
        <w:t>Margin:</w:t>
      </w:r>
      <w:r w:rsidRPr="008D1918">
        <w:rPr>
          <w:lang w:val="en-AU"/>
        </w:rPr>
        <w:t xml:space="preserve"> </w:t>
      </w:r>
      <w:r w:rsidRPr="008D1918" w:rsidR="006C2051">
        <w:rPr>
          <w:lang w:val="en-AU"/>
        </w:rPr>
        <w:t>R</w:t>
      </w:r>
      <w:r w:rsidRPr="008D1918">
        <w:rPr>
          <w:lang w:val="en-AU"/>
        </w:rPr>
        <w:t>epresents</w:t>
      </w:r>
      <w:r w:rsidRPr="008D1918" w:rsidR="006A7C3E">
        <w:rPr>
          <w:lang w:val="en-AU"/>
        </w:rPr>
        <w:t xml:space="preserve"> </w:t>
      </w:r>
      <w:r w:rsidRPr="008D1918">
        <w:rPr>
          <w:lang w:val="en-AU"/>
        </w:rPr>
        <w:t>the return the provider makes because of the provision of working capital to the business.</w:t>
      </w:r>
    </w:p>
    <w:p w:rsidRPr="008D1918" w:rsidR="004D118B" w:rsidP="004D118B" w:rsidRDefault="004D118B" w14:paraId="0C782FE8" w14:textId="24FD37BF">
      <w:pPr>
        <w:rPr>
          <w:lang w:val="en-AU"/>
        </w:rPr>
      </w:pPr>
      <w:r w:rsidRPr="008D1918">
        <w:rPr>
          <w:lang w:val="en-AU"/>
        </w:rPr>
        <w:t>The DSW Cost Model is driven</w:t>
      </w:r>
      <w:r w:rsidRPr="008D1918" w:rsidR="006A7C3E">
        <w:rPr>
          <w:lang w:val="en-AU"/>
        </w:rPr>
        <w:t xml:space="preserve"> </w:t>
      </w:r>
      <w:r w:rsidRPr="008D1918">
        <w:rPr>
          <w:lang w:val="en-AU"/>
        </w:rPr>
        <w:t>by the relevant SCHADS Award wage movements,</w:t>
      </w:r>
      <w:r w:rsidRPr="008D1918" w:rsidR="006A7C3E">
        <w:rPr>
          <w:lang w:val="en-AU"/>
        </w:rPr>
        <w:t xml:space="preserve"> </w:t>
      </w:r>
      <w:r w:rsidRPr="008D1918">
        <w:rPr>
          <w:lang w:val="en-AU"/>
        </w:rPr>
        <w:t>operat</w:t>
      </w:r>
      <w:r w:rsidRPr="008D1918" w:rsidR="00DE146C">
        <w:rPr>
          <w:lang w:val="en-AU"/>
        </w:rPr>
        <w:t>ing</w:t>
      </w:r>
      <w:r w:rsidRPr="008D1918" w:rsidR="006A7C3E">
        <w:rPr>
          <w:lang w:val="en-AU"/>
        </w:rPr>
        <w:t xml:space="preserve"> </w:t>
      </w:r>
      <w:r w:rsidRPr="008D1918">
        <w:rPr>
          <w:lang w:val="en-AU"/>
        </w:rPr>
        <w:t>on a multiplicative basis where operational and corporate overheads, as well as profit margins, are</w:t>
      </w:r>
      <w:r w:rsidRPr="008D1918" w:rsidR="006A7C3E">
        <w:rPr>
          <w:lang w:val="en-AU"/>
        </w:rPr>
        <w:t xml:space="preserve"> </w:t>
      </w:r>
      <w:r w:rsidRPr="008D1918">
        <w:rPr>
          <w:lang w:val="en-AU"/>
        </w:rPr>
        <w:t>determined</w:t>
      </w:r>
      <w:r w:rsidRPr="008D1918" w:rsidR="006A7C3E">
        <w:rPr>
          <w:lang w:val="en-AU"/>
        </w:rPr>
        <w:t xml:space="preserve"> </w:t>
      </w:r>
      <w:r w:rsidRPr="008D1918">
        <w:rPr>
          <w:lang w:val="en-AU"/>
        </w:rPr>
        <w:t>as a percentage of the direct costs, including wages and</w:t>
      </w:r>
      <w:r w:rsidRPr="008D1918" w:rsidR="006A7C3E">
        <w:rPr>
          <w:lang w:val="en-AU"/>
        </w:rPr>
        <w:t xml:space="preserve"> </w:t>
      </w:r>
      <w:r w:rsidRPr="008D1918">
        <w:rPr>
          <w:lang w:val="en-AU"/>
        </w:rPr>
        <w:t>on-costs. Any changes in the wage rates directly affects the entire model’s cost structures.</w:t>
      </w:r>
    </w:p>
    <w:p w:rsidRPr="008D1918" w:rsidR="004D118B" w:rsidP="004D118B" w:rsidRDefault="00C2272B" w14:paraId="79D28117" w14:textId="5D097FFA">
      <w:pPr>
        <w:rPr>
          <w:lang w:val="en-AU"/>
        </w:rPr>
      </w:pPr>
      <w:r w:rsidRPr="008D1918">
        <w:rPr>
          <w:lang w:val="en-AU"/>
        </w:rPr>
        <w:t>T</w:t>
      </w:r>
      <w:r w:rsidRPr="008D1918" w:rsidR="004D118B">
        <w:rPr>
          <w:lang w:val="en-AU"/>
        </w:rPr>
        <w:t>he model is an important approximation, considered alongside market dynamics, award conditions and regulatory requirements such as minimum wages and superannuation contributions</w:t>
      </w:r>
      <w:r w:rsidRPr="008D1918">
        <w:rPr>
          <w:lang w:val="en-AU"/>
        </w:rPr>
        <w:t>, used to developing pricing guidance</w:t>
      </w:r>
      <w:r w:rsidRPr="008D1918" w:rsidR="004D118B">
        <w:rPr>
          <w:lang w:val="en-AU"/>
        </w:rPr>
        <w:t>.</w:t>
      </w:r>
    </w:p>
    <w:p w:rsidRPr="008D1918" w:rsidR="004D118B" w:rsidP="00354F83" w:rsidRDefault="004D118B" w14:paraId="1BAF36D6" w14:textId="52BD47DD">
      <w:pPr>
        <w:pStyle w:val="AppendixH4"/>
      </w:pPr>
      <w:r w:rsidRPr="008D1918">
        <w:t>Applicable industrial award</w:t>
      </w:r>
    </w:p>
    <w:p w:rsidRPr="008D1918" w:rsidR="004D118B" w:rsidP="004D118B" w:rsidRDefault="004D118B" w14:paraId="2BD75D60" w14:textId="353AD5F2">
      <w:pPr>
        <w:rPr>
          <w:lang w:val="en-AU"/>
        </w:rPr>
      </w:pPr>
      <w:r w:rsidRPr="008D1918">
        <w:rPr>
          <w:lang w:val="en-AU"/>
        </w:rPr>
        <w:t xml:space="preserve">The NDIA recognises that some DSWs are classified as Home Care Employees and others are classified as Social and Community Services Employees under the SCHADS Award. The </w:t>
      </w:r>
      <w:r w:rsidRPr="008D1918" w:rsidR="004243CD">
        <w:rPr>
          <w:lang w:val="en-AU"/>
        </w:rPr>
        <w:t xml:space="preserve">DSW </w:t>
      </w:r>
      <w:r w:rsidRPr="008D1918">
        <w:rPr>
          <w:lang w:val="en-AU"/>
        </w:rPr>
        <w:t>Cost Model take</w:t>
      </w:r>
      <w:r w:rsidRPr="008D1918" w:rsidR="004243CD">
        <w:rPr>
          <w:lang w:val="en-AU"/>
        </w:rPr>
        <w:t>s</w:t>
      </w:r>
      <w:r w:rsidRPr="008D1918">
        <w:rPr>
          <w:lang w:val="en-AU"/>
        </w:rPr>
        <w:t xml:space="preserve"> its parameters from the Social and Community Services Employees section for the SCHADS Award, which has the more generous provisions. The NDIA also recognises that some </w:t>
      </w:r>
      <w:r w:rsidRPr="008D1918" w:rsidR="004243CD">
        <w:rPr>
          <w:lang w:val="en-AU"/>
        </w:rPr>
        <w:t>DSW</w:t>
      </w:r>
      <w:r w:rsidRPr="008D1918">
        <w:rPr>
          <w:lang w:val="en-AU"/>
        </w:rPr>
        <w:t>s are employed under Enterprise Bargaining Agreements (EBAs). However, these EBAs must leave the worker no worse off overall than they would be under the relevant Award. Any</w:t>
      </w:r>
      <w:r w:rsidRPr="008D1918" w:rsidR="006A7C3E">
        <w:rPr>
          <w:lang w:val="en-AU"/>
        </w:rPr>
        <w:t xml:space="preserve"> </w:t>
      </w:r>
      <w:r w:rsidRPr="008D1918">
        <w:rPr>
          <w:lang w:val="en-AU"/>
        </w:rPr>
        <w:t>additional</w:t>
      </w:r>
      <w:r w:rsidRPr="008D1918" w:rsidR="006A7C3E">
        <w:rPr>
          <w:lang w:val="en-AU"/>
        </w:rPr>
        <w:t xml:space="preserve"> </w:t>
      </w:r>
      <w:r w:rsidRPr="008D1918">
        <w:rPr>
          <w:lang w:val="en-AU"/>
        </w:rPr>
        <w:t>benefits offered by EBAs over the Award have been agreed to by providers and are often offset by productivity gains. The NDIA therefore considers the conditions set out in the Social and Community Services Employees section of the SCHADS Award to be the most appropriate foundation</w:t>
      </w:r>
      <w:r w:rsidRPr="008D1918" w:rsidR="006A7C3E">
        <w:rPr>
          <w:lang w:val="en-AU"/>
        </w:rPr>
        <w:t xml:space="preserve"> </w:t>
      </w:r>
      <w:r w:rsidRPr="008D1918">
        <w:rPr>
          <w:lang w:val="en-AU"/>
        </w:rPr>
        <w:t>for the DSW Cost Model.</w:t>
      </w:r>
    </w:p>
    <w:p w:rsidRPr="008D1918" w:rsidR="004D118B" w:rsidP="004D118B" w:rsidRDefault="004D118B" w14:paraId="0025F71B" w14:textId="0E067E03">
      <w:pPr>
        <w:rPr>
          <w:lang w:val="en-AU"/>
        </w:rPr>
      </w:pPr>
      <w:r w:rsidRPr="008D1918">
        <w:rPr>
          <w:lang w:val="en-AU"/>
        </w:rPr>
        <w:t xml:space="preserve">The NDIA recognises that providers must employ </w:t>
      </w:r>
      <w:r w:rsidRPr="008D1918" w:rsidR="004243CD">
        <w:rPr>
          <w:lang w:val="en-AU"/>
        </w:rPr>
        <w:t>DSW</w:t>
      </w:r>
      <w:r w:rsidRPr="008D1918">
        <w:rPr>
          <w:lang w:val="en-AU"/>
        </w:rPr>
        <w:t>s with different skill levels and levels of experience to meet the</w:t>
      </w:r>
      <w:r w:rsidRPr="008D1918" w:rsidR="006A7C3E">
        <w:rPr>
          <w:lang w:val="en-AU"/>
        </w:rPr>
        <w:t xml:space="preserve"> </w:t>
      </w:r>
      <w:r w:rsidRPr="008D1918">
        <w:rPr>
          <w:lang w:val="en-AU"/>
        </w:rPr>
        <w:t>different needs</w:t>
      </w:r>
      <w:r w:rsidRPr="008D1918" w:rsidR="006A7C3E">
        <w:rPr>
          <w:lang w:val="en-AU"/>
        </w:rPr>
        <w:t xml:space="preserve"> </w:t>
      </w:r>
      <w:r w:rsidRPr="008D1918">
        <w:rPr>
          <w:lang w:val="en-AU"/>
        </w:rPr>
        <w:t xml:space="preserve">of participants. The </w:t>
      </w:r>
      <w:r w:rsidRPr="008D1918" w:rsidR="006F0D08">
        <w:rPr>
          <w:lang w:val="en-AU"/>
        </w:rPr>
        <w:t>DSW</w:t>
      </w:r>
      <w:r w:rsidRPr="008D1918">
        <w:rPr>
          <w:lang w:val="en-AU"/>
        </w:rPr>
        <w:t xml:space="preserve"> Cost Model therefore has different sets of cost assumptions for </w:t>
      </w:r>
      <w:r w:rsidRPr="008D1918" w:rsidR="00186248">
        <w:rPr>
          <w:lang w:val="en-AU"/>
        </w:rPr>
        <w:t xml:space="preserve">4 </w:t>
      </w:r>
      <w:r w:rsidRPr="008D1918">
        <w:rPr>
          <w:lang w:val="en-AU"/>
        </w:rPr>
        <w:t>types of workers that will be referred to as DSW Level 1, DSW Level 2, DSW Level 3 and DSW Level 4.</w:t>
      </w:r>
    </w:p>
    <w:p w:rsidRPr="008D1918" w:rsidR="00396E66" w:rsidP="00354F83" w:rsidRDefault="00396E66" w14:paraId="3E990850" w14:textId="441DCDD9">
      <w:pPr>
        <w:pStyle w:val="AppendixH3"/>
      </w:pPr>
      <w:r w:rsidRPr="008D1918">
        <w:t>DSW provider data</w:t>
      </w:r>
    </w:p>
    <w:p w:rsidRPr="008D1918" w:rsidR="00E6032C" w:rsidP="00354F83" w:rsidRDefault="00E6032C" w14:paraId="268B7113" w14:textId="77777777">
      <w:pPr>
        <w:pStyle w:val="AppendixH4"/>
        <w:rPr>
          <w:rFonts w:eastAsia="Arial"/>
        </w:rPr>
      </w:pPr>
      <w:r w:rsidRPr="008D1918">
        <w:rPr>
          <w:rFonts w:eastAsia="Arial"/>
        </w:rPr>
        <w:t>Provider distribution by geographic areas</w:t>
      </w:r>
    </w:p>
    <w:p w:rsidRPr="008D1918" w:rsidR="00E6032C" w:rsidP="00E6032C" w:rsidRDefault="00E6032C" w14:paraId="4E7D9D80" w14:textId="1F9B28CC">
      <w:pPr>
        <w:rPr>
          <w:lang w:val="en-AU"/>
        </w:rPr>
      </w:pPr>
      <w:r w:rsidRPr="008D1918">
        <w:rPr>
          <w:lang w:val="en-AU"/>
        </w:rPr>
        <w:t>Patterns in provider growth across geographic areas reflect broader market expansion and the emergence of new service delivery models. As shown in</w:t>
      </w:r>
      <w:r w:rsidRPr="008D1918" w:rsidR="00FE5913">
        <w:rPr>
          <w:lang w:val="en-AU"/>
        </w:rPr>
        <w:t xml:space="preserve"> </w:t>
      </w:r>
      <w:r w:rsidRPr="008D1918" w:rsidR="00FE5913">
        <w:rPr>
          <w:lang w:val="en-AU"/>
        </w:rPr>
        <w:fldChar w:fldCharType="begin"/>
      </w:r>
      <w:r w:rsidRPr="008D1918" w:rsidR="00FE5913">
        <w:rPr>
          <w:lang w:val="en-AU"/>
        </w:rPr>
        <w:instrText xml:space="preserve"> REF _Ref227134301 \h </w:instrText>
      </w:r>
      <w:r w:rsidRPr="008D1918" w:rsidR="00D70AC0">
        <w:rPr>
          <w:lang w:val="en-AU"/>
        </w:rPr>
        <w:instrText xml:space="preserve"> \* MERGEFORMAT </w:instrText>
      </w:r>
      <w:r w:rsidRPr="008D1918" w:rsidR="00FE5913">
        <w:rPr>
          <w:lang w:val="en-AU"/>
        </w:rPr>
      </w:r>
      <w:r w:rsidRPr="008D1918" w:rsidR="00FE5913">
        <w:rPr>
          <w:lang w:val="en-AU"/>
        </w:rPr>
        <w:fldChar w:fldCharType="separate"/>
      </w:r>
      <w:r w:rsidRPr="008D1918" w:rsidR="008F56A2">
        <w:t xml:space="preserve">Table </w:t>
      </w:r>
      <w:r w:rsidR="008F56A2">
        <w:rPr>
          <w:noProof/>
        </w:rPr>
        <w:t>57</w:t>
      </w:r>
      <w:r w:rsidRPr="008D1918" w:rsidR="00FE5913">
        <w:rPr>
          <w:lang w:val="en-AU"/>
        </w:rPr>
        <w:fldChar w:fldCharType="end"/>
      </w:r>
      <w:r w:rsidRPr="008D1918">
        <w:rPr>
          <w:lang w:val="en-AU"/>
        </w:rPr>
        <w:t xml:space="preserve"> </w:t>
      </w:r>
      <w:r w:rsidRPr="008D1918" w:rsidR="00FE5913">
        <w:rPr>
          <w:lang w:val="en-AU"/>
        </w:rPr>
        <w:t xml:space="preserve">and </w:t>
      </w:r>
      <w:r w:rsidRPr="008D1918" w:rsidR="00FE5913">
        <w:rPr>
          <w:lang w:val="en-AU"/>
        </w:rPr>
        <w:fldChar w:fldCharType="begin"/>
      </w:r>
      <w:r w:rsidRPr="008D1918" w:rsidR="00FE5913">
        <w:rPr>
          <w:lang w:val="en-AU"/>
        </w:rPr>
        <w:instrText xml:space="preserve"> REF _Ref227134303 \h </w:instrText>
      </w:r>
      <w:r w:rsidRPr="008D1918" w:rsidR="00D70AC0">
        <w:rPr>
          <w:lang w:val="en-AU"/>
        </w:rPr>
        <w:instrText xml:space="preserve"> \* MERGEFORMAT </w:instrText>
      </w:r>
      <w:r w:rsidRPr="008D1918" w:rsidR="00FE5913">
        <w:rPr>
          <w:lang w:val="en-AU"/>
        </w:rPr>
      </w:r>
      <w:r w:rsidRPr="008D1918" w:rsidR="00FE5913">
        <w:rPr>
          <w:lang w:val="en-AU"/>
        </w:rPr>
        <w:fldChar w:fldCharType="separate"/>
      </w:r>
      <w:r w:rsidRPr="008D1918" w:rsidR="008F56A2">
        <w:t xml:space="preserve">Table </w:t>
      </w:r>
      <w:r w:rsidR="008F56A2">
        <w:rPr>
          <w:noProof/>
        </w:rPr>
        <w:t>58</w:t>
      </w:r>
      <w:r w:rsidRPr="008D1918" w:rsidR="00FE5913">
        <w:rPr>
          <w:lang w:val="en-AU"/>
        </w:rPr>
        <w:fldChar w:fldCharType="end"/>
      </w:r>
      <w:r w:rsidRPr="008D1918">
        <w:rPr>
          <w:lang w:val="en-AU"/>
        </w:rPr>
        <w:t>, provider numbers increased across all geographic areas between January 2023 and December 2025. Growth was strongest in remote and very remote areas, where provider numbers rose most rapidly in proportional terms, driven primarily by unregistered providers.</w:t>
      </w:r>
    </w:p>
    <w:p w:rsidRPr="008D1918" w:rsidR="00E6032C" w:rsidP="00E6032C" w:rsidRDefault="00E6032C" w14:paraId="441008CC" w14:textId="1D0BF2CD">
      <w:pPr>
        <w:rPr>
          <w:lang w:val="en-AU"/>
        </w:rPr>
      </w:pPr>
      <w:r w:rsidRPr="008D1918">
        <w:rPr>
          <w:lang w:val="en-AU"/>
        </w:rPr>
        <w:t>In remote areas the number of unregistered providers has grown by 3</w:t>
      </w:r>
      <w:r w:rsidRPr="008D1918" w:rsidR="00D70AC0">
        <w:rPr>
          <w:lang w:val="en-AU"/>
        </w:rPr>
        <w:t>2</w:t>
      </w:r>
      <w:r w:rsidRPr="008D1918">
        <w:rPr>
          <w:lang w:val="en-AU"/>
        </w:rPr>
        <w:t xml:space="preserve">% over the observation period, while growth in very remote areas grew by 26%. This coincided with a sharp decline in market share of the top 10 providers in those areas, suggesting </w:t>
      </w:r>
      <w:r w:rsidR="008938DF">
        <w:rPr>
          <w:lang w:val="en-AU"/>
        </w:rPr>
        <w:t>the</w:t>
      </w:r>
      <w:r w:rsidRPr="008D1918" w:rsidR="008938DF">
        <w:rPr>
          <w:lang w:val="en-AU"/>
        </w:rPr>
        <w:t xml:space="preserve"> </w:t>
      </w:r>
      <w:r w:rsidRPr="008D1918">
        <w:rPr>
          <w:lang w:val="en-AU"/>
        </w:rPr>
        <w:t xml:space="preserve">entry of new providers is reshaping market composition, even in thin markets. </w:t>
      </w:r>
    </w:p>
    <w:p w:rsidRPr="008D1918" w:rsidR="00E6032C" w:rsidP="00E6032C" w:rsidRDefault="00E6032C" w14:paraId="362E5705" w14:textId="0815ECC4">
      <w:pPr>
        <w:rPr>
          <w:lang w:val="en-AU"/>
        </w:rPr>
      </w:pPr>
      <w:r w:rsidRPr="008D1918">
        <w:rPr>
          <w:lang w:val="en-AU"/>
        </w:rPr>
        <w:t xml:space="preserve">While the entry of new providers may enhance access and flexibility, it also raises considerations for service quality and continuity, particularly for participants with complex needs. Many of the newer providers operate at small scale, and the viability of these delivery models under current price settings, especially in areas where </w:t>
      </w:r>
      <w:r w:rsidRPr="008D1918">
        <w:rPr>
          <w:lang w:val="en-AU"/>
        </w:rPr>
        <w:t>workforce supply is constrained, warrants monitoring through the NDIA’s market stewardship function.</w:t>
      </w:r>
    </w:p>
    <w:p w:rsidRPr="008D1918" w:rsidR="00E6032C" w:rsidP="00E6032C" w:rsidRDefault="00E6032C" w14:paraId="2ACD3DA6" w14:textId="7CEAE8DE">
      <w:pPr>
        <w:pStyle w:val="Caption"/>
        <w:rPr>
          <w:rFonts w:eastAsia="DengXian" w:cs="Cordia New"/>
          <w:i w:val="0"/>
          <w:color w:val="6B2876"/>
        </w:rPr>
      </w:pPr>
      <w:bookmarkStart w:name="_Ref227134301" w:id="2335"/>
      <w:r w:rsidRPr="008D1918">
        <w:t xml:space="preserve">Table </w:t>
      </w:r>
      <w:r>
        <w:fldChar w:fldCharType="begin"/>
      </w:r>
      <w:r>
        <w:instrText>SEQ Table \* ARABIC</w:instrText>
      </w:r>
      <w:r>
        <w:fldChar w:fldCharType="separate"/>
      </w:r>
      <w:r w:rsidR="008F56A2">
        <w:rPr>
          <w:noProof/>
        </w:rPr>
        <w:t>57</w:t>
      </w:r>
      <w:r>
        <w:fldChar w:fldCharType="end"/>
      </w:r>
      <w:bookmarkEnd w:id="2335"/>
      <w:r w:rsidRPr="008D1918">
        <w:t xml:space="preserve">: </w:t>
      </w:r>
      <w:r w:rsidRPr="008D1918" w:rsidR="0082079A">
        <w:t>N</w:t>
      </w:r>
      <w:r w:rsidRPr="008D1918">
        <w:t>umber of registered providers by remoteness for DSW-related supports,</w:t>
      </w:r>
      <w:r w:rsidRPr="008D1918" w:rsidDel="00025590">
        <w:t xml:space="preserve"> </w:t>
      </w:r>
      <w:r w:rsidRPr="008D1918">
        <w:t>January 2023 to December 2025</w:t>
      </w:r>
    </w:p>
    <w:tbl>
      <w:tblPr>
        <w:tblStyle w:val="GridTable4-Accent121"/>
        <w:tblW w:w="0" w:type="auto"/>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814"/>
        <w:gridCol w:w="1191"/>
        <w:gridCol w:w="1191"/>
        <w:gridCol w:w="1191"/>
        <w:gridCol w:w="1191"/>
        <w:gridCol w:w="1191"/>
        <w:gridCol w:w="1191"/>
      </w:tblGrid>
      <w:tr w:rsidRPr="008D1918" w:rsidR="00A238C6" w14:paraId="0F7A59D3"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1814" w:type="dxa"/>
            <w:vAlign w:val="center"/>
          </w:tcPr>
          <w:p w:rsidRPr="008D1918" w:rsidR="00E6032C" w:rsidRDefault="00E6032C" w14:paraId="1EC2D330" w14:textId="77777777">
            <w:pPr>
              <w:spacing w:after="60"/>
              <w:rPr>
                <w:rFonts w:cs="Calibri"/>
                <w:sz w:val="20"/>
                <w:szCs w:val="20"/>
                <w:lang w:val="en-AU" w:eastAsia="en-AU"/>
              </w:rPr>
            </w:pPr>
            <w:r w:rsidRPr="008D1918">
              <w:rPr>
                <w:sz w:val="20"/>
                <w:szCs w:val="20"/>
                <w:lang w:val="en-AU"/>
              </w:rPr>
              <w:t>Remoteness</w:t>
            </w:r>
          </w:p>
        </w:tc>
        <w:tc>
          <w:tcPr>
            <w:tcW w:w="1191" w:type="dxa"/>
          </w:tcPr>
          <w:p w:rsidRPr="008D1918" w:rsidR="00E6032C" w:rsidRDefault="00E6032C" w14:paraId="332C8FA9" w14:textId="77777777">
            <w:pPr>
              <w:spacing w:after="60"/>
              <w:jc w:val="right"/>
              <w:rPr>
                <w:rFonts w:cs="Calibri"/>
                <w:sz w:val="20"/>
                <w:szCs w:val="20"/>
                <w:lang w:val="en-AU" w:eastAsia="en-AU"/>
              </w:rPr>
            </w:pPr>
            <w:r w:rsidRPr="008D1918">
              <w:rPr>
                <w:sz w:val="20"/>
                <w:szCs w:val="20"/>
                <w:lang w:val="en-AU"/>
              </w:rPr>
              <w:t>January – June</w:t>
            </w:r>
            <w:r w:rsidRPr="008D1918">
              <w:rPr>
                <w:lang w:val="en-AU"/>
              </w:rPr>
              <w:br/>
            </w:r>
            <w:r w:rsidRPr="008D1918">
              <w:rPr>
                <w:sz w:val="20"/>
                <w:szCs w:val="20"/>
                <w:lang w:val="en-AU"/>
              </w:rPr>
              <w:t>2023</w:t>
            </w:r>
          </w:p>
        </w:tc>
        <w:tc>
          <w:tcPr>
            <w:tcW w:w="1191" w:type="dxa"/>
          </w:tcPr>
          <w:p w:rsidRPr="008D1918" w:rsidR="00E6032C" w:rsidRDefault="00E6032C" w14:paraId="4F901B36" w14:textId="77777777">
            <w:pPr>
              <w:spacing w:before="60" w:after="60"/>
              <w:jc w:val="right"/>
              <w:rPr>
                <w:rFonts w:cs="Calibri"/>
                <w:sz w:val="20"/>
                <w:szCs w:val="20"/>
                <w:lang w:val="en-AU" w:eastAsia="en-AU"/>
              </w:rPr>
            </w:pPr>
            <w:r w:rsidRPr="008D1918">
              <w:rPr>
                <w:sz w:val="20"/>
                <w:szCs w:val="20"/>
                <w:lang w:val="en-AU"/>
              </w:rPr>
              <w:t>July – December</w:t>
            </w:r>
            <w:r w:rsidRPr="008D1918">
              <w:rPr>
                <w:lang w:val="en-AU"/>
              </w:rPr>
              <w:br/>
            </w:r>
            <w:r w:rsidRPr="008D1918">
              <w:rPr>
                <w:sz w:val="20"/>
                <w:szCs w:val="20"/>
                <w:lang w:val="en-AU"/>
              </w:rPr>
              <w:t>2023</w:t>
            </w:r>
          </w:p>
        </w:tc>
        <w:tc>
          <w:tcPr>
            <w:tcW w:w="1191" w:type="dxa"/>
          </w:tcPr>
          <w:p w:rsidRPr="008D1918" w:rsidR="00E6032C" w:rsidRDefault="00E6032C" w14:paraId="6670D822" w14:textId="77777777">
            <w:pPr>
              <w:spacing w:after="60"/>
              <w:jc w:val="right"/>
              <w:rPr>
                <w:rFonts w:cs="Calibri"/>
                <w:sz w:val="20"/>
                <w:szCs w:val="20"/>
                <w:lang w:val="en-AU" w:eastAsia="en-AU"/>
              </w:rPr>
            </w:pPr>
            <w:r w:rsidRPr="008D1918">
              <w:rPr>
                <w:sz w:val="20"/>
                <w:szCs w:val="20"/>
                <w:lang w:val="en-AU"/>
              </w:rPr>
              <w:t>January – June</w:t>
            </w:r>
            <w:r w:rsidRPr="008D1918">
              <w:rPr>
                <w:lang w:val="en-AU"/>
              </w:rPr>
              <w:br/>
            </w:r>
            <w:r w:rsidRPr="008D1918">
              <w:rPr>
                <w:sz w:val="20"/>
                <w:szCs w:val="20"/>
                <w:lang w:val="en-AU"/>
              </w:rPr>
              <w:t>2024</w:t>
            </w:r>
          </w:p>
        </w:tc>
        <w:tc>
          <w:tcPr>
            <w:tcW w:w="1191" w:type="dxa"/>
          </w:tcPr>
          <w:p w:rsidRPr="008D1918" w:rsidR="00E6032C" w:rsidRDefault="00E6032C" w14:paraId="12207150" w14:textId="77777777">
            <w:pPr>
              <w:spacing w:before="60" w:after="60"/>
              <w:jc w:val="right"/>
              <w:rPr>
                <w:rFonts w:cs="Calibri"/>
                <w:sz w:val="20"/>
                <w:szCs w:val="20"/>
                <w:lang w:val="en-AU" w:eastAsia="en-AU"/>
              </w:rPr>
            </w:pPr>
            <w:r w:rsidRPr="008D1918">
              <w:rPr>
                <w:sz w:val="20"/>
                <w:szCs w:val="20"/>
                <w:lang w:val="en-AU"/>
              </w:rPr>
              <w:t>July – December</w:t>
            </w:r>
            <w:r w:rsidRPr="008D1918">
              <w:rPr>
                <w:lang w:val="en-AU"/>
              </w:rPr>
              <w:br/>
            </w:r>
            <w:r w:rsidRPr="008D1918">
              <w:rPr>
                <w:sz w:val="20"/>
                <w:szCs w:val="20"/>
                <w:lang w:val="en-AU"/>
              </w:rPr>
              <w:t>2024</w:t>
            </w:r>
          </w:p>
        </w:tc>
        <w:tc>
          <w:tcPr>
            <w:tcW w:w="1191" w:type="dxa"/>
          </w:tcPr>
          <w:p w:rsidRPr="008D1918" w:rsidR="00E6032C" w:rsidRDefault="00E6032C" w14:paraId="01A7BF31" w14:textId="77777777">
            <w:pPr>
              <w:spacing w:after="60"/>
              <w:jc w:val="right"/>
              <w:rPr>
                <w:rFonts w:cs="Calibri"/>
                <w:sz w:val="20"/>
                <w:szCs w:val="20"/>
                <w:lang w:val="en-AU" w:eastAsia="en-AU"/>
              </w:rPr>
            </w:pPr>
            <w:r w:rsidRPr="008D1918">
              <w:rPr>
                <w:sz w:val="20"/>
                <w:szCs w:val="20"/>
                <w:lang w:val="en-AU"/>
              </w:rPr>
              <w:t>January – June</w:t>
            </w:r>
            <w:r w:rsidRPr="008D1918">
              <w:rPr>
                <w:lang w:val="en-AU"/>
              </w:rPr>
              <w:br/>
            </w:r>
            <w:r w:rsidRPr="008D1918">
              <w:rPr>
                <w:sz w:val="20"/>
                <w:szCs w:val="20"/>
                <w:lang w:val="en-AU"/>
              </w:rPr>
              <w:t>2025</w:t>
            </w:r>
          </w:p>
        </w:tc>
        <w:tc>
          <w:tcPr>
            <w:tcW w:w="1191" w:type="dxa"/>
          </w:tcPr>
          <w:p w:rsidRPr="008D1918" w:rsidR="00E6032C" w:rsidRDefault="00E6032C" w14:paraId="1B5E65F6" w14:textId="77777777">
            <w:pPr>
              <w:spacing w:before="60" w:after="60"/>
              <w:jc w:val="right"/>
              <w:rPr>
                <w:rFonts w:cs="Calibri"/>
                <w:sz w:val="20"/>
                <w:szCs w:val="20"/>
                <w:lang w:val="en-AU" w:eastAsia="en-AU"/>
              </w:rPr>
            </w:pPr>
            <w:r w:rsidRPr="008D1918">
              <w:rPr>
                <w:sz w:val="20"/>
                <w:szCs w:val="20"/>
                <w:lang w:val="en-AU"/>
              </w:rPr>
              <w:t>July – December</w:t>
            </w:r>
            <w:r w:rsidRPr="008D1918">
              <w:rPr>
                <w:lang w:val="en-AU"/>
              </w:rPr>
              <w:br/>
            </w:r>
            <w:r w:rsidRPr="008D1918">
              <w:rPr>
                <w:sz w:val="20"/>
                <w:szCs w:val="20"/>
                <w:lang w:val="en-AU"/>
              </w:rPr>
              <w:t>2025</w:t>
            </w:r>
          </w:p>
        </w:tc>
      </w:tr>
      <w:tr w:rsidRPr="008D1918" w:rsidR="00A238C6" w14:paraId="450EAC76" w14:textId="77777777">
        <w:trPr>
          <w:cnfStyle w:val="000000100000" w:firstRow="0" w:lastRow="0" w:firstColumn="0" w:lastColumn="0" w:oddVBand="0" w:evenVBand="0" w:oddHBand="1" w:evenHBand="0" w:firstRowFirstColumn="0" w:firstRowLastColumn="0" w:lastRowFirstColumn="0" w:lastRowLastColumn="0"/>
          <w:trHeight w:val="397"/>
        </w:trPr>
        <w:tc>
          <w:tcPr>
            <w:tcW w:w="1814" w:type="dxa"/>
            <w:vAlign w:val="center"/>
          </w:tcPr>
          <w:p w:rsidRPr="008D1918" w:rsidR="00E6032C" w:rsidRDefault="00E6032C" w14:paraId="63D4AF42" w14:textId="77777777">
            <w:pPr>
              <w:spacing w:before="60" w:after="60"/>
              <w:rPr>
                <w:rFonts w:cs="Calibri"/>
                <w:sz w:val="20"/>
                <w:szCs w:val="20"/>
                <w:lang w:val="en-AU" w:eastAsia="en-AU"/>
              </w:rPr>
            </w:pPr>
            <w:r w:rsidRPr="008D1918">
              <w:rPr>
                <w:sz w:val="20"/>
                <w:szCs w:val="20"/>
                <w:lang w:val="en-AU"/>
              </w:rPr>
              <w:t>Non-remote</w:t>
            </w:r>
          </w:p>
        </w:tc>
        <w:tc>
          <w:tcPr>
            <w:tcW w:w="1191" w:type="dxa"/>
            <w:vAlign w:val="center"/>
          </w:tcPr>
          <w:p w:rsidRPr="008D1918" w:rsidR="00E6032C" w:rsidRDefault="00E6032C" w14:paraId="715450A0" w14:textId="77777777">
            <w:pPr>
              <w:spacing w:before="60" w:after="60"/>
              <w:jc w:val="right"/>
              <w:rPr>
                <w:rFonts w:cs="Calibri"/>
                <w:color w:val="000000"/>
                <w:sz w:val="20"/>
                <w:szCs w:val="20"/>
                <w:lang w:val="en-AU" w:eastAsia="en-AU"/>
              </w:rPr>
            </w:pPr>
            <w:r w:rsidRPr="008D1918">
              <w:rPr>
                <w:sz w:val="20"/>
                <w:szCs w:val="20"/>
                <w:lang w:val="en-AU"/>
              </w:rPr>
              <w:t>8,802</w:t>
            </w:r>
          </w:p>
        </w:tc>
        <w:tc>
          <w:tcPr>
            <w:tcW w:w="1191" w:type="dxa"/>
            <w:vAlign w:val="center"/>
          </w:tcPr>
          <w:p w:rsidRPr="008D1918" w:rsidR="00E6032C" w:rsidRDefault="00E6032C" w14:paraId="4AA603F5" w14:textId="77777777">
            <w:pPr>
              <w:spacing w:before="60" w:after="60"/>
              <w:jc w:val="right"/>
              <w:rPr>
                <w:rFonts w:cs="Calibri"/>
                <w:color w:val="000000"/>
                <w:sz w:val="20"/>
                <w:szCs w:val="20"/>
                <w:lang w:val="en-AU" w:eastAsia="en-AU"/>
              </w:rPr>
            </w:pPr>
            <w:r w:rsidRPr="008D1918">
              <w:rPr>
                <w:sz w:val="20"/>
                <w:szCs w:val="20"/>
                <w:lang w:val="en-AU"/>
              </w:rPr>
              <w:t>8,608</w:t>
            </w:r>
          </w:p>
        </w:tc>
        <w:tc>
          <w:tcPr>
            <w:tcW w:w="1191" w:type="dxa"/>
            <w:vAlign w:val="center"/>
          </w:tcPr>
          <w:p w:rsidRPr="008D1918" w:rsidR="00E6032C" w:rsidRDefault="00E6032C" w14:paraId="5DF2B554" w14:textId="77777777">
            <w:pPr>
              <w:spacing w:before="60" w:after="60"/>
              <w:jc w:val="right"/>
              <w:rPr>
                <w:rFonts w:cs="Calibri"/>
                <w:color w:val="000000"/>
                <w:sz w:val="20"/>
                <w:szCs w:val="20"/>
                <w:lang w:val="en-AU" w:eastAsia="en-AU"/>
              </w:rPr>
            </w:pPr>
            <w:r w:rsidRPr="008D1918">
              <w:rPr>
                <w:sz w:val="20"/>
                <w:szCs w:val="20"/>
                <w:lang w:val="en-AU"/>
              </w:rPr>
              <w:t>9,469</w:t>
            </w:r>
          </w:p>
        </w:tc>
        <w:tc>
          <w:tcPr>
            <w:tcW w:w="1191" w:type="dxa"/>
            <w:vAlign w:val="center"/>
          </w:tcPr>
          <w:p w:rsidRPr="008D1918" w:rsidR="00E6032C" w:rsidRDefault="00E6032C" w14:paraId="432343DD" w14:textId="77777777">
            <w:pPr>
              <w:spacing w:before="60" w:after="60"/>
              <w:jc w:val="right"/>
              <w:rPr>
                <w:rFonts w:cs="Calibri"/>
                <w:color w:val="000000"/>
                <w:sz w:val="20"/>
                <w:szCs w:val="20"/>
                <w:lang w:val="en-AU" w:eastAsia="en-AU"/>
              </w:rPr>
            </w:pPr>
            <w:r w:rsidRPr="008D1918">
              <w:rPr>
                <w:sz w:val="20"/>
                <w:szCs w:val="20"/>
                <w:lang w:val="en-AU"/>
              </w:rPr>
              <w:t>10,340</w:t>
            </w:r>
          </w:p>
        </w:tc>
        <w:tc>
          <w:tcPr>
            <w:tcW w:w="1191" w:type="dxa"/>
            <w:vAlign w:val="center"/>
          </w:tcPr>
          <w:p w:rsidRPr="008D1918" w:rsidR="00E6032C" w:rsidRDefault="00E6032C" w14:paraId="3AEF41CA" w14:textId="77777777">
            <w:pPr>
              <w:spacing w:before="60" w:after="60"/>
              <w:jc w:val="right"/>
              <w:rPr>
                <w:rFonts w:cs="Calibri"/>
                <w:sz w:val="20"/>
                <w:szCs w:val="20"/>
                <w:lang w:val="en-AU"/>
              </w:rPr>
            </w:pPr>
            <w:r w:rsidRPr="008D1918">
              <w:rPr>
                <w:sz w:val="20"/>
                <w:szCs w:val="20"/>
                <w:lang w:val="en-AU"/>
              </w:rPr>
              <w:t>10,879</w:t>
            </w:r>
          </w:p>
        </w:tc>
        <w:tc>
          <w:tcPr>
            <w:tcW w:w="1191" w:type="dxa"/>
            <w:vAlign w:val="center"/>
          </w:tcPr>
          <w:p w:rsidRPr="008D1918" w:rsidR="00E6032C" w:rsidRDefault="00E6032C" w14:paraId="07BBA752" w14:textId="77777777">
            <w:pPr>
              <w:spacing w:before="60" w:after="60"/>
              <w:jc w:val="right"/>
              <w:rPr>
                <w:rFonts w:cs="Calibri"/>
                <w:sz w:val="20"/>
                <w:szCs w:val="20"/>
                <w:lang w:val="en-AU"/>
              </w:rPr>
            </w:pPr>
            <w:r w:rsidRPr="008D1918">
              <w:rPr>
                <w:sz w:val="20"/>
                <w:szCs w:val="20"/>
                <w:lang w:val="en-AU"/>
              </w:rPr>
              <w:t>12,430</w:t>
            </w:r>
          </w:p>
        </w:tc>
      </w:tr>
      <w:tr w:rsidRPr="008D1918" w:rsidR="00E6032C" w14:paraId="4A323BDE" w14:textId="77777777">
        <w:trPr>
          <w:trHeight w:val="397"/>
        </w:trPr>
        <w:tc>
          <w:tcPr>
            <w:tcW w:w="1814" w:type="dxa"/>
            <w:vAlign w:val="center"/>
          </w:tcPr>
          <w:p w:rsidRPr="008D1918" w:rsidR="00E6032C" w:rsidRDefault="00E6032C" w14:paraId="5EFB0322" w14:textId="77777777">
            <w:pPr>
              <w:spacing w:before="60" w:after="60"/>
              <w:rPr>
                <w:rFonts w:cs="Calibri"/>
                <w:sz w:val="20"/>
                <w:szCs w:val="20"/>
                <w:lang w:val="en-AU" w:eastAsia="en-AU"/>
              </w:rPr>
            </w:pPr>
            <w:r w:rsidRPr="008D1918">
              <w:rPr>
                <w:sz w:val="20"/>
                <w:szCs w:val="20"/>
                <w:lang w:val="en-AU"/>
              </w:rPr>
              <w:t>Remote</w:t>
            </w:r>
          </w:p>
        </w:tc>
        <w:tc>
          <w:tcPr>
            <w:tcW w:w="1191" w:type="dxa"/>
            <w:vAlign w:val="center"/>
          </w:tcPr>
          <w:p w:rsidRPr="008D1918" w:rsidR="00E6032C" w:rsidRDefault="00E6032C" w14:paraId="5EB40824" w14:textId="77777777">
            <w:pPr>
              <w:spacing w:before="60" w:after="60"/>
              <w:jc w:val="right"/>
              <w:rPr>
                <w:rFonts w:cs="Calibri"/>
                <w:color w:val="000000"/>
                <w:sz w:val="20"/>
                <w:szCs w:val="20"/>
                <w:lang w:val="en-AU" w:eastAsia="en-AU"/>
              </w:rPr>
            </w:pPr>
            <w:r w:rsidRPr="008D1918">
              <w:rPr>
                <w:sz w:val="20"/>
                <w:szCs w:val="20"/>
                <w:lang w:val="en-AU"/>
              </w:rPr>
              <w:t>380</w:t>
            </w:r>
          </w:p>
        </w:tc>
        <w:tc>
          <w:tcPr>
            <w:tcW w:w="1191" w:type="dxa"/>
            <w:vAlign w:val="center"/>
          </w:tcPr>
          <w:p w:rsidRPr="008D1918" w:rsidR="00E6032C" w:rsidRDefault="00E6032C" w14:paraId="3BA93049" w14:textId="77777777">
            <w:pPr>
              <w:spacing w:before="60" w:after="60"/>
              <w:jc w:val="right"/>
              <w:rPr>
                <w:rFonts w:cs="Calibri"/>
                <w:color w:val="000000"/>
                <w:sz w:val="20"/>
                <w:szCs w:val="20"/>
                <w:lang w:val="en-AU" w:eastAsia="en-AU"/>
              </w:rPr>
            </w:pPr>
            <w:r w:rsidRPr="008D1918">
              <w:rPr>
                <w:sz w:val="20"/>
                <w:szCs w:val="20"/>
                <w:lang w:val="en-AU"/>
              </w:rPr>
              <w:t>388</w:t>
            </w:r>
          </w:p>
        </w:tc>
        <w:tc>
          <w:tcPr>
            <w:tcW w:w="1191" w:type="dxa"/>
            <w:vAlign w:val="center"/>
          </w:tcPr>
          <w:p w:rsidRPr="008D1918" w:rsidR="00E6032C" w:rsidRDefault="00E6032C" w14:paraId="64AE26E0" w14:textId="77777777">
            <w:pPr>
              <w:spacing w:before="60" w:after="60"/>
              <w:jc w:val="right"/>
              <w:rPr>
                <w:rFonts w:cs="Calibri"/>
                <w:color w:val="000000"/>
                <w:sz w:val="20"/>
                <w:szCs w:val="20"/>
                <w:lang w:val="en-AU" w:eastAsia="en-AU"/>
              </w:rPr>
            </w:pPr>
            <w:r w:rsidRPr="008D1918">
              <w:rPr>
                <w:sz w:val="20"/>
                <w:szCs w:val="20"/>
                <w:lang w:val="en-AU"/>
              </w:rPr>
              <w:t>517</w:t>
            </w:r>
          </w:p>
        </w:tc>
        <w:tc>
          <w:tcPr>
            <w:tcW w:w="1191" w:type="dxa"/>
            <w:vAlign w:val="center"/>
          </w:tcPr>
          <w:p w:rsidRPr="008D1918" w:rsidR="00E6032C" w:rsidRDefault="00E6032C" w14:paraId="08164EB9" w14:textId="77777777">
            <w:pPr>
              <w:spacing w:before="60" w:after="60"/>
              <w:jc w:val="right"/>
              <w:rPr>
                <w:rFonts w:cs="Calibri"/>
                <w:color w:val="000000"/>
                <w:sz w:val="20"/>
                <w:szCs w:val="20"/>
                <w:lang w:val="en-AU" w:eastAsia="en-AU"/>
              </w:rPr>
            </w:pPr>
            <w:r w:rsidRPr="008D1918">
              <w:rPr>
                <w:sz w:val="20"/>
                <w:szCs w:val="20"/>
                <w:lang w:val="en-AU"/>
              </w:rPr>
              <w:t>516</w:t>
            </w:r>
          </w:p>
        </w:tc>
        <w:tc>
          <w:tcPr>
            <w:tcW w:w="1191" w:type="dxa"/>
            <w:vAlign w:val="center"/>
          </w:tcPr>
          <w:p w:rsidRPr="008D1918" w:rsidR="00E6032C" w:rsidRDefault="00E6032C" w14:paraId="5AD6BF89" w14:textId="77777777">
            <w:pPr>
              <w:spacing w:before="60" w:after="60"/>
              <w:jc w:val="right"/>
              <w:rPr>
                <w:rFonts w:cs="Calibri"/>
                <w:sz w:val="20"/>
                <w:szCs w:val="20"/>
                <w:lang w:val="en-AU"/>
              </w:rPr>
            </w:pPr>
            <w:r w:rsidRPr="008D1918">
              <w:rPr>
                <w:sz w:val="20"/>
                <w:szCs w:val="20"/>
                <w:lang w:val="en-AU"/>
              </w:rPr>
              <w:t>443</w:t>
            </w:r>
          </w:p>
        </w:tc>
        <w:tc>
          <w:tcPr>
            <w:tcW w:w="1191" w:type="dxa"/>
            <w:vAlign w:val="center"/>
          </w:tcPr>
          <w:p w:rsidRPr="008D1918" w:rsidR="00E6032C" w:rsidRDefault="00E6032C" w14:paraId="7B7ECAAD" w14:textId="77777777">
            <w:pPr>
              <w:spacing w:before="60" w:after="60"/>
              <w:jc w:val="right"/>
              <w:rPr>
                <w:rFonts w:cs="Calibri"/>
                <w:sz w:val="20"/>
                <w:szCs w:val="20"/>
                <w:lang w:val="en-AU"/>
              </w:rPr>
            </w:pPr>
            <w:r w:rsidRPr="008D1918">
              <w:rPr>
                <w:sz w:val="20"/>
                <w:szCs w:val="20"/>
                <w:lang w:val="en-AU"/>
              </w:rPr>
              <w:t>482</w:t>
            </w:r>
          </w:p>
        </w:tc>
      </w:tr>
      <w:tr w:rsidRPr="008D1918" w:rsidR="00A238C6" w14:paraId="7556BE51" w14:textId="77777777">
        <w:trPr>
          <w:cnfStyle w:val="000000100000" w:firstRow="0" w:lastRow="0" w:firstColumn="0" w:lastColumn="0" w:oddVBand="0" w:evenVBand="0" w:oddHBand="1" w:evenHBand="0" w:firstRowFirstColumn="0" w:firstRowLastColumn="0" w:lastRowFirstColumn="0" w:lastRowLastColumn="0"/>
          <w:trHeight w:val="397"/>
        </w:trPr>
        <w:tc>
          <w:tcPr>
            <w:tcW w:w="1814" w:type="dxa"/>
            <w:vAlign w:val="center"/>
          </w:tcPr>
          <w:p w:rsidRPr="008D1918" w:rsidR="00E6032C" w:rsidRDefault="00E6032C" w14:paraId="042F9895" w14:textId="77777777">
            <w:pPr>
              <w:spacing w:before="60" w:after="60"/>
              <w:rPr>
                <w:rFonts w:cs="Cordia New"/>
                <w:b/>
                <w:sz w:val="20"/>
                <w:szCs w:val="20"/>
                <w:lang w:val="en-AU"/>
              </w:rPr>
            </w:pPr>
            <w:r w:rsidRPr="008D1918">
              <w:rPr>
                <w:sz w:val="20"/>
                <w:szCs w:val="20"/>
                <w:lang w:val="en-AU"/>
              </w:rPr>
              <w:t>Very remote</w:t>
            </w:r>
          </w:p>
        </w:tc>
        <w:tc>
          <w:tcPr>
            <w:tcW w:w="1191" w:type="dxa"/>
            <w:vAlign w:val="center"/>
          </w:tcPr>
          <w:p w:rsidRPr="008D1918" w:rsidR="00E6032C" w:rsidRDefault="00E6032C" w14:paraId="30FD32F1" w14:textId="77777777">
            <w:pPr>
              <w:spacing w:before="60" w:after="60"/>
              <w:jc w:val="right"/>
              <w:rPr>
                <w:rFonts w:cs="Cordia New"/>
                <w:b/>
                <w:sz w:val="20"/>
                <w:szCs w:val="20"/>
                <w:lang w:val="en-AU"/>
              </w:rPr>
            </w:pPr>
            <w:r w:rsidRPr="008D1918">
              <w:rPr>
                <w:sz w:val="20"/>
                <w:szCs w:val="20"/>
                <w:lang w:val="en-AU"/>
              </w:rPr>
              <w:t>227</w:t>
            </w:r>
          </w:p>
        </w:tc>
        <w:tc>
          <w:tcPr>
            <w:tcW w:w="1191" w:type="dxa"/>
            <w:vAlign w:val="center"/>
          </w:tcPr>
          <w:p w:rsidRPr="008D1918" w:rsidR="00E6032C" w:rsidRDefault="00E6032C" w14:paraId="7C9824D5" w14:textId="77777777">
            <w:pPr>
              <w:spacing w:before="60" w:after="60"/>
              <w:jc w:val="right"/>
              <w:rPr>
                <w:rFonts w:cs="Cordia New"/>
                <w:b/>
                <w:sz w:val="20"/>
                <w:szCs w:val="20"/>
                <w:lang w:val="en-AU"/>
              </w:rPr>
            </w:pPr>
            <w:r w:rsidRPr="008D1918">
              <w:rPr>
                <w:sz w:val="20"/>
                <w:szCs w:val="20"/>
                <w:lang w:val="en-AU"/>
              </w:rPr>
              <w:t>236</w:t>
            </w:r>
          </w:p>
        </w:tc>
        <w:tc>
          <w:tcPr>
            <w:tcW w:w="1191" w:type="dxa"/>
            <w:vAlign w:val="center"/>
          </w:tcPr>
          <w:p w:rsidRPr="008D1918" w:rsidR="00E6032C" w:rsidRDefault="00E6032C" w14:paraId="73CA050C" w14:textId="77777777">
            <w:pPr>
              <w:spacing w:before="60" w:after="60"/>
              <w:jc w:val="right"/>
              <w:rPr>
                <w:rFonts w:cs="Cordia New"/>
                <w:b/>
                <w:sz w:val="20"/>
                <w:szCs w:val="20"/>
                <w:lang w:val="en-AU"/>
              </w:rPr>
            </w:pPr>
            <w:r w:rsidRPr="008D1918">
              <w:rPr>
                <w:sz w:val="20"/>
                <w:szCs w:val="20"/>
                <w:lang w:val="en-AU"/>
              </w:rPr>
              <w:t>266</w:t>
            </w:r>
          </w:p>
        </w:tc>
        <w:tc>
          <w:tcPr>
            <w:tcW w:w="1191" w:type="dxa"/>
            <w:vAlign w:val="center"/>
          </w:tcPr>
          <w:p w:rsidRPr="008D1918" w:rsidR="00E6032C" w:rsidRDefault="00E6032C" w14:paraId="28309F5D" w14:textId="77777777">
            <w:pPr>
              <w:spacing w:before="60" w:after="60"/>
              <w:jc w:val="right"/>
              <w:rPr>
                <w:rFonts w:cs="Cordia New"/>
                <w:b/>
                <w:sz w:val="20"/>
                <w:szCs w:val="20"/>
                <w:lang w:val="en-AU"/>
              </w:rPr>
            </w:pPr>
            <w:r w:rsidRPr="008D1918">
              <w:rPr>
                <w:sz w:val="20"/>
                <w:szCs w:val="20"/>
                <w:lang w:val="en-AU"/>
              </w:rPr>
              <w:t>260</w:t>
            </w:r>
          </w:p>
        </w:tc>
        <w:tc>
          <w:tcPr>
            <w:tcW w:w="1191" w:type="dxa"/>
            <w:vAlign w:val="center"/>
          </w:tcPr>
          <w:p w:rsidRPr="008D1918" w:rsidR="00E6032C" w:rsidRDefault="00E6032C" w14:paraId="6C5E6BF4" w14:textId="77777777">
            <w:pPr>
              <w:spacing w:before="60" w:after="60"/>
              <w:jc w:val="right"/>
              <w:rPr>
                <w:rFonts w:cs="Cordia New"/>
                <w:b/>
                <w:sz w:val="20"/>
                <w:szCs w:val="20"/>
                <w:lang w:val="en-AU"/>
              </w:rPr>
            </w:pPr>
            <w:r w:rsidRPr="008D1918">
              <w:rPr>
                <w:sz w:val="20"/>
                <w:szCs w:val="20"/>
                <w:lang w:val="en-AU"/>
              </w:rPr>
              <w:t>273</w:t>
            </w:r>
          </w:p>
        </w:tc>
        <w:tc>
          <w:tcPr>
            <w:tcW w:w="1191" w:type="dxa"/>
            <w:vAlign w:val="center"/>
          </w:tcPr>
          <w:p w:rsidRPr="008D1918" w:rsidR="00E6032C" w:rsidRDefault="00E6032C" w14:paraId="7D60602E" w14:textId="77777777">
            <w:pPr>
              <w:spacing w:before="60" w:after="60"/>
              <w:jc w:val="right"/>
              <w:rPr>
                <w:rFonts w:cs="Cordia New"/>
                <w:b/>
                <w:sz w:val="20"/>
                <w:szCs w:val="20"/>
                <w:lang w:val="en-AU"/>
              </w:rPr>
            </w:pPr>
            <w:r w:rsidRPr="008D1918">
              <w:rPr>
                <w:sz w:val="20"/>
                <w:szCs w:val="20"/>
                <w:lang w:val="en-AU"/>
              </w:rPr>
              <w:t>299</w:t>
            </w:r>
          </w:p>
        </w:tc>
      </w:tr>
      <w:tr w:rsidRPr="008D1918" w:rsidR="00E6032C" w14:paraId="281042F5" w14:textId="77777777">
        <w:trPr>
          <w:trHeight w:val="397"/>
        </w:trPr>
        <w:tc>
          <w:tcPr>
            <w:tcW w:w="1814" w:type="dxa"/>
            <w:vAlign w:val="center"/>
          </w:tcPr>
          <w:p w:rsidRPr="008D1918" w:rsidR="00E6032C" w:rsidRDefault="00E6032C" w14:paraId="1BD02223" w14:textId="77777777">
            <w:pPr>
              <w:spacing w:before="60" w:after="60"/>
              <w:rPr>
                <w:rFonts w:cs="Calibri"/>
                <w:b/>
                <w:sz w:val="20"/>
                <w:szCs w:val="20"/>
                <w:lang w:val="en-AU" w:eastAsia="en-AU"/>
              </w:rPr>
            </w:pPr>
            <w:r w:rsidRPr="008D1918">
              <w:rPr>
                <w:b/>
                <w:sz w:val="20"/>
                <w:szCs w:val="20"/>
                <w:lang w:val="en-AU"/>
              </w:rPr>
              <w:t>Total for registered</w:t>
            </w:r>
          </w:p>
        </w:tc>
        <w:tc>
          <w:tcPr>
            <w:tcW w:w="1191" w:type="dxa"/>
            <w:vAlign w:val="center"/>
          </w:tcPr>
          <w:p w:rsidRPr="008D1918" w:rsidR="00E6032C" w:rsidRDefault="00E6032C" w14:paraId="1ABA642C" w14:textId="77777777">
            <w:pPr>
              <w:spacing w:before="60" w:after="60"/>
              <w:jc w:val="right"/>
              <w:rPr>
                <w:rFonts w:cs="Calibri"/>
                <w:b/>
                <w:sz w:val="20"/>
                <w:szCs w:val="20"/>
                <w:lang w:val="en-AU"/>
              </w:rPr>
            </w:pPr>
            <w:r w:rsidRPr="008D1918">
              <w:rPr>
                <w:b/>
                <w:sz w:val="20"/>
                <w:szCs w:val="20"/>
                <w:lang w:val="en-AU"/>
              </w:rPr>
              <w:t>8,888</w:t>
            </w:r>
          </w:p>
        </w:tc>
        <w:tc>
          <w:tcPr>
            <w:tcW w:w="1191" w:type="dxa"/>
            <w:vAlign w:val="center"/>
          </w:tcPr>
          <w:p w:rsidRPr="008D1918" w:rsidR="00E6032C" w:rsidRDefault="00E6032C" w14:paraId="7BA19C16" w14:textId="77777777">
            <w:pPr>
              <w:spacing w:before="60" w:after="60"/>
              <w:jc w:val="right"/>
              <w:rPr>
                <w:rFonts w:cs="Calibri"/>
                <w:b/>
                <w:sz w:val="20"/>
                <w:szCs w:val="20"/>
                <w:lang w:val="en-AU"/>
              </w:rPr>
            </w:pPr>
            <w:r w:rsidRPr="008D1918">
              <w:rPr>
                <w:b/>
                <w:sz w:val="20"/>
                <w:szCs w:val="20"/>
                <w:lang w:val="en-AU"/>
              </w:rPr>
              <w:t>8,693</w:t>
            </w:r>
          </w:p>
        </w:tc>
        <w:tc>
          <w:tcPr>
            <w:tcW w:w="1191" w:type="dxa"/>
            <w:vAlign w:val="center"/>
          </w:tcPr>
          <w:p w:rsidRPr="008D1918" w:rsidR="00E6032C" w:rsidRDefault="00E6032C" w14:paraId="01EDE95D" w14:textId="77777777">
            <w:pPr>
              <w:spacing w:before="60" w:after="60"/>
              <w:jc w:val="right"/>
              <w:rPr>
                <w:rFonts w:cs="Calibri"/>
                <w:b/>
                <w:sz w:val="20"/>
                <w:szCs w:val="20"/>
                <w:lang w:val="en-AU"/>
              </w:rPr>
            </w:pPr>
            <w:r w:rsidRPr="008D1918">
              <w:rPr>
                <w:b/>
                <w:sz w:val="20"/>
                <w:szCs w:val="20"/>
                <w:lang w:val="en-AU"/>
              </w:rPr>
              <w:t>9,568</w:t>
            </w:r>
          </w:p>
        </w:tc>
        <w:tc>
          <w:tcPr>
            <w:tcW w:w="1191" w:type="dxa"/>
            <w:vAlign w:val="center"/>
          </w:tcPr>
          <w:p w:rsidRPr="008D1918" w:rsidR="00E6032C" w:rsidRDefault="00E6032C" w14:paraId="1F1E4185" w14:textId="77777777">
            <w:pPr>
              <w:spacing w:before="60" w:after="60"/>
              <w:jc w:val="right"/>
              <w:rPr>
                <w:rFonts w:cs="Calibri"/>
                <w:b/>
                <w:sz w:val="20"/>
                <w:szCs w:val="20"/>
                <w:lang w:val="en-AU"/>
              </w:rPr>
            </w:pPr>
            <w:r w:rsidRPr="008D1918">
              <w:rPr>
                <w:b/>
                <w:sz w:val="20"/>
                <w:szCs w:val="20"/>
                <w:lang w:val="en-AU"/>
              </w:rPr>
              <w:t>10,439</w:t>
            </w:r>
          </w:p>
        </w:tc>
        <w:tc>
          <w:tcPr>
            <w:tcW w:w="1191" w:type="dxa"/>
            <w:vAlign w:val="center"/>
          </w:tcPr>
          <w:p w:rsidRPr="008D1918" w:rsidR="00E6032C" w:rsidRDefault="00E6032C" w14:paraId="66C44FA7" w14:textId="77777777">
            <w:pPr>
              <w:spacing w:before="60" w:after="60"/>
              <w:jc w:val="right"/>
              <w:rPr>
                <w:rFonts w:cs="Calibri"/>
                <w:b/>
                <w:sz w:val="20"/>
                <w:szCs w:val="20"/>
                <w:lang w:val="en-AU"/>
              </w:rPr>
            </w:pPr>
            <w:r w:rsidRPr="008D1918">
              <w:rPr>
                <w:b/>
                <w:sz w:val="20"/>
                <w:szCs w:val="20"/>
                <w:lang w:val="en-AU"/>
              </w:rPr>
              <w:t>10,993</w:t>
            </w:r>
          </w:p>
        </w:tc>
        <w:tc>
          <w:tcPr>
            <w:tcW w:w="1191" w:type="dxa"/>
            <w:vAlign w:val="center"/>
          </w:tcPr>
          <w:p w:rsidRPr="008D1918" w:rsidR="00E6032C" w:rsidRDefault="00E6032C" w14:paraId="14309D53" w14:textId="77777777">
            <w:pPr>
              <w:spacing w:before="60" w:after="60"/>
              <w:jc w:val="right"/>
              <w:rPr>
                <w:rFonts w:cs="Calibri"/>
                <w:b/>
                <w:sz w:val="20"/>
                <w:szCs w:val="20"/>
                <w:lang w:val="en-AU"/>
              </w:rPr>
            </w:pPr>
            <w:r w:rsidRPr="008D1918">
              <w:rPr>
                <w:b/>
                <w:sz w:val="20"/>
                <w:szCs w:val="20"/>
                <w:lang w:val="en-AU"/>
              </w:rPr>
              <w:t>12,555</w:t>
            </w:r>
          </w:p>
        </w:tc>
      </w:tr>
    </w:tbl>
    <w:p w:rsidRPr="008D1918" w:rsidR="00E6032C" w:rsidP="00E6032C" w:rsidRDefault="00E6032C" w14:paraId="12E587A0" w14:textId="77777777">
      <w:pPr>
        <w:spacing w:before="60" w:after="12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E6032C" w:rsidP="00E6032C" w:rsidRDefault="00E6032C" w14:paraId="0A90B7B5" w14:textId="258213B2">
      <w:pPr>
        <w:pStyle w:val="Caption"/>
        <w:rPr>
          <w:rFonts w:eastAsia="DengXian" w:cs="Cordia New"/>
          <w:i w:val="0"/>
          <w:color w:val="6B2876"/>
        </w:rPr>
      </w:pPr>
      <w:bookmarkStart w:name="_Ref227134303" w:id="2336"/>
      <w:r w:rsidRPr="008D1918">
        <w:t xml:space="preserve">Table </w:t>
      </w:r>
      <w:r>
        <w:fldChar w:fldCharType="begin"/>
      </w:r>
      <w:r>
        <w:instrText>SEQ Table \* ARABIC</w:instrText>
      </w:r>
      <w:r>
        <w:fldChar w:fldCharType="separate"/>
      </w:r>
      <w:r w:rsidR="008F56A2">
        <w:rPr>
          <w:noProof/>
        </w:rPr>
        <w:t>58</w:t>
      </w:r>
      <w:r>
        <w:fldChar w:fldCharType="end"/>
      </w:r>
      <w:bookmarkEnd w:id="2336"/>
      <w:r w:rsidRPr="008D1918">
        <w:t xml:space="preserve">: </w:t>
      </w:r>
      <w:r w:rsidRPr="008D1918" w:rsidR="0082079A">
        <w:t>N</w:t>
      </w:r>
      <w:r w:rsidRPr="008D1918">
        <w:t>umber of unregistered providers by remoteness for DSW-related supports, January 2023 to December 2025</w:t>
      </w:r>
    </w:p>
    <w:tbl>
      <w:tblPr>
        <w:tblStyle w:val="GridTable4-Accent121"/>
        <w:tblW w:w="0" w:type="auto"/>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814"/>
        <w:gridCol w:w="1191"/>
        <w:gridCol w:w="1191"/>
        <w:gridCol w:w="1191"/>
        <w:gridCol w:w="1191"/>
        <w:gridCol w:w="1191"/>
        <w:gridCol w:w="1191"/>
      </w:tblGrid>
      <w:tr w:rsidRPr="008D1918" w:rsidR="00A238C6" w14:paraId="14ACB481"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1814" w:type="dxa"/>
            <w:vAlign w:val="center"/>
          </w:tcPr>
          <w:p w:rsidRPr="008D1918" w:rsidR="00E6032C" w:rsidRDefault="00E6032C" w14:paraId="6CE43F2B" w14:textId="77777777">
            <w:pPr>
              <w:spacing w:before="60" w:after="0"/>
              <w:rPr>
                <w:rFonts w:cs="Cordia New"/>
                <w:sz w:val="20"/>
                <w:szCs w:val="20"/>
                <w:lang w:val="en-AU" w:eastAsia="en-AU"/>
              </w:rPr>
            </w:pPr>
            <w:r w:rsidRPr="008D1918">
              <w:rPr>
                <w:sz w:val="20"/>
                <w:szCs w:val="20"/>
                <w:lang w:val="en-AU"/>
              </w:rPr>
              <w:t>Remoteness</w:t>
            </w:r>
          </w:p>
        </w:tc>
        <w:tc>
          <w:tcPr>
            <w:tcW w:w="1191" w:type="dxa"/>
          </w:tcPr>
          <w:p w:rsidRPr="008D1918" w:rsidR="00E6032C" w:rsidRDefault="00E6032C" w14:paraId="0B58391A" w14:textId="77777777">
            <w:pPr>
              <w:spacing w:before="60" w:after="60"/>
              <w:jc w:val="right"/>
              <w:rPr>
                <w:rFonts w:cs="Cordia New"/>
                <w:sz w:val="20"/>
                <w:szCs w:val="20"/>
                <w:lang w:val="en-AU" w:eastAsia="en-AU"/>
              </w:rPr>
            </w:pPr>
            <w:r w:rsidRPr="008D1918">
              <w:rPr>
                <w:sz w:val="20"/>
                <w:szCs w:val="20"/>
                <w:lang w:val="en-AU"/>
              </w:rPr>
              <w:t>January – June</w:t>
            </w:r>
            <w:r w:rsidRPr="008D1918">
              <w:rPr>
                <w:lang w:val="en-AU"/>
              </w:rPr>
              <w:br/>
            </w:r>
            <w:r w:rsidRPr="008D1918" w:rsidDel="00A96426">
              <w:rPr>
                <w:rFonts w:cs="Times New Roman"/>
                <w:sz w:val="20"/>
                <w:szCs w:val="20"/>
                <w:lang w:val="en-AU"/>
              </w:rPr>
              <w:t>2023</w:t>
            </w:r>
          </w:p>
        </w:tc>
        <w:tc>
          <w:tcPr>
            <w:tcW w:w="1191" w:type="dxa"/>
          </w:tcPr>
          <w:p w:rsidRPr="008D1918" w:rsidR="00E6032C" w:rsidRDefault="00E6032C" w14:paraId="52936440" w14:textId="77777777">
            <w:pPr>
              <w:spacing w:before="60" w:after="60"/>
              <w:jc w:val="right"/>
              <w:rPr>
                <w:rFonts w:cs="Cordia New"/>
                <w:sz w:val="20"/>
                <w:szCs w:val="20"/>
                <w:lang w:val="en-AU" w:eastAsia="en-AU"/>
              </w:rPr>
            </w:pPr>
            <w:r w:rsidRPr="008D1918">
              <w:rPr>
                <w:sz w:val="20"/>
                <w:szCs w:val="20"/>
                <w:lang w:val="en-AU"/>
              </w:rPr>
              <w:t>July – December</w:t>
            </w:r>
            <w:r w:rsidRPr="008D1918">
              <w:rPr>
                <w:lang w:val="en-AU"/>
              </w:rPr>
              <w:br/>
            </w:r>
            <w:r w:rsidRPr="008D1918" w:rsidDel="00A96426">
              <w:rPr>
                <w:sz w:val="20"/>
                <w:szCs w:val="20"/>
                <w:lang w:val="en-AU"/>
              </w:rPr>
              <w:t>2023</w:t>
            </w:r>
          </w:p>
        </w:tc>
        <w:tc>
          <w:tcPr>
            <w:tcW w:w="1191" w:type="dxa"/>
          </w:tcPr>
          <w:p w:rsidRPr="008D1918" w:rsidR="00E6032C" w:rsidRDefault="00E6032C" w14:paraId="7B79C1DD" w14:textId="77777777">
            <w:pPr>
              <w:spacing w:before="60" w:after="60"/>
              <w:jc w:val="right"/>
              <w:rPr>
                <w:rFonts w:cs="Cordia New"/>
                <w:sz w:val="20"/>
                <w:szCs w:val="20"/>
                <w:lang w:val="en-AU" w:eastAsia="en-AU"/>
              </w:rPr>
            </w:pPr>
            <w:r w:rsidRPr="008D1918">
              <w:rPr>
                <w:sz w:val="20"/>
                <w:szCs w:val="20"/>
                <w:lang w:val="en-AU"/>
              </w:rPr>
              <w:t>January – June</w:t>
            </w:r>
            <w:r w:rsidRPr="008D1918">
              <w:rPr>
                <w:lang w:val="en-AU"/>
              </w:rPr>
              <w:br/>
            </w:r>
            <w:r w:rsidRPr="008D1918" w:rsidDel="00A96426">
              <w:rPr>
                <w:sz w:val="20"/>
                <w:szCs w:val="20"/>
                <w:lang w:val="en-AU"/>
              </w:rPr>
              <w:t>2024</w:t>
            </w:r>
          </w:p>
        </w:tc>
        <w:tc>
          <w:tcPr>
            <w:tcW w:w="1191" w:type="dxa"/>
          </w:tcPr>
          <w:p w:rsidRPr="008D1918" w:rsidR="00E6032C" w:rsidRDefault="00E6032C" w14:paraId="090F3A98" w14:textId="77777777">
            <w:pPr>
              <w:spacing w:before="60" w:after="60"/>
              <w:jc w:val="right"/>
              <w:rPr>
                <w:rFonts w:cs="Cordia New"/>
                <w:sz w:val="20"/>
                <w:szCs w:val="20"/>
                <w:lang w:val="en-AU" w:eastAsia="en-AU"/>
              </w:rPr>
            </w:pPr>
            <w:r w:rsidRPr="008D1918">
              <w:rPr>
                <w:sz w:val="20"/>
                <w:szCs w:val="20"/>
                <w:lang w:val="en-AU"/>
              </w:rPr>
              <w:t>July – December</w:t>
            </w:r>
            <w:r w:rsidRPr="008D1918">
              <w:rPr>
                <w:lang w:val="en-AU"/>
              </w:rPr>
              <w:br/>
            </w:r>
            <w:r w:rsidRPr="008D1918" w:rsidDel="00A96426">
              <w:rPr>
                <w:sz w:val="20"/>
                <w:szCs w:val="20"/>
                <w:lang w:val="en-AU"/>
              </w:rPr>
              <w:t>2024</w:t>
            </w:r>
          </w:p>
        </w:tc>
        <w:tc>
          <w:tcPr>
            <w:tcW w:w="1191" w:type="dxa"/>
          </w:tcPr>
          <w:p w:rsidRPr="008D1918" w:rsidR="00E6032C" w:rsidRDefault="00E6032C" w14:paraId="28477DB6" w14:textId="77777777">
            <w:pPr>
              <w:spacing w:before="60" w:after="60"/>
              <w:jc w:val="right"/>
              <w:rPr>
                <w:rFonts w:cs="Cordia New"/>
                <w:sz w:val="20"/>
                <w:szCs w:val="20"/>
                <w:lang w:val="en-AU" w:eastAsia="en-AU"/>
              </w:rPr>
            </w:pPr>
            <w:r w:rsidRPr="008D1918">
              <w:rPr>
                <w:sz w:val="20"/>
                <w:szCs w:val="20"/>
                <w:lang w:val="en-AU"/>
              </w:rPr>
              <w:t>January – June</w:t>
            </w:r>
            <w:r w:rsidRPr="008D1918">
              <w:rPr>
                <w:lang w:val="en-AU"/>
              </w:rPr>
              <w:br/>
            </w:r>
            <w:r w:rsidRPr="008D1918" w:rsidDel="00A96426">
              <w:rPr>
                <w:sz w:val="20"/>
                <w:szCs w:val="20"/>
                <w:lang w:val="en-AU"/>
              </w:rPr>
              <w:t>2025</w:t>
            </w:r>
          </w:p>
        </w:tc>
        <w:tc>
          <w:tcPr>
            <w:tcW w:w="1191" w:type="dxa"/>
          </w:tcPr>
          <w:p w:rsidRPr="008D1918" w:rsidR="00E6032C" w:rsidRDefault="00E6032C" w14:paraId="59AE7433" w14:textId="77777777">
            <w:pPr>
              <w:spacing w:before="60" w:after="60"/>
              <w:jc w:val="right"/>
              <w:rPr>
                <w:rFonts w:cs="Cordia New"/>
                <w:sz w:val="20"/>
                <w:szCs w:val="20"/>
                <w:lang w:val="en-AU" w:eastAsia="en-AU"/>
              </w:rPr>
            </w:pPr>
            <w:r w:rsidRPr="008D1918">
              <w:rPr>
                <w:sz w:val="20"/>
                <w:szCs w:val="20"/>
                <w:lang w:val="en-AU"/>
              </w:rPr>
              <w:t>July – December</w:t>
            </w:r>
            <w:r w:rsidRPr="008D1918">
              <w:rPr>
                <w:lang w:val="en-AU"/>
              </w:rPr>
              <w:br/>
            </w:r>
            <w:r w:rsidRPr="008D1918" w:rsidDel="00A96426">
              <w:rPr>
                <w:sz w:val="20"/>
                <w:szCs w:val="20"/>
                <w:lang w:val="en-AU"/>
              </w:rPr>
              <w:t>2025</w:t>
            </w:r>
          </w:p>
        </w:tc>
      </w:tr>
      <w:tr w:rsidRPr="008D1918" w:rsidR="00A238C6" w14:paraId="7767BCD1" w14:textId="77777777">
        <w:trPr>
          <w:cnfStyle w:val="000000100000" w:firstRow="0" w:lastRow="0" w:firstColumn="0" w:lastColumn="0" w:oddVBand="0" w:evenVBand="0" w:oddHBand="1" w:evenHBand="0" w:firstRowFirstColumn="0" w:firstRowLastColumn="0" w:lastRowFirstColumn="0" w:lastRowLastColumn="0"/>
          <w:trHeight w:val="397"/>
        </w:trPr>
        <w:tc>
          <w:tcPr>
            <w:tcW w:w="1814" w:type="dxa"/>
            <w:vAlign w:val="center"/>
          </w:tcPr>
          <w:p w:rsidRPr="008D1918" w:rsidR="00E6032C" w:rsidRDefault="00E6032C" w14:paraId="40956286" w14:textId="77777777">
            <w:pPr>
              <w:spacing w:before="60" w:after="60"/>
              <w:rPr>
                <w:rFonts w:cs="Cordia New"/>
                <w:sz w:val="20"/>
                <w:szCs w:val="20"/>
                <w:lang w:val="en-AU"/>
              </w:rPr>
            </w:pPr>
            <w:r w:rsidRPr="008D1918">
              <w:rPr>
                <w:sz w:val="20"/>
                <w:szCs w:val="20"/>
                <w:lang w:val="en-AU"/>
              </w:rPr>
              <w:t>Non-remote</w:t>
            </w:r>
          </w:p>
        </w:tc>
        <w:tc>
          <w:tcPr>
            <w:tcW w:w="1191" w:type="dxa"/>
            <w:vAlign w:val="center"/>
          </w:tcPr>
          <w:p w:rsidRPr="008D1918" w:rsidR="00E6032C" w:rsidRDefault="00E6032C" w14:paraId="3DF18838" w14:textId="77777777">
            <w:pPr>
              <w:spacing w:before="60" w:after="60"/>
              <w:jc w:val="right"/>
              <w:rPr>
                <w:rFonts w:cs="Cordia New"/>
                <w:sz w:val="20"/>
                <w:szCs w:val="20"/>
                <w:lang w:val="en-AU"/>
              </w:rPr>
            </w:pPr>
            <w:r w:rsidRPr="008D1918">
              <w:rPr>
                <w:sz w:val="20"/>
                <w:szCs w:val="20"/>
                <w:lang w:val="en-AU"/>
              </w:rPr>
              <w:t>103,028</w:t>
            </w:r>
          </w:p>
        </w:tc>
        <w:tc>
          <w:tcPr>
            <w:tcW w:w="1191" w:type="dxa"/>
            <w:vAlign w:val="center"/>
          </w:tcPr>
          <w:p w:rsidRPr="008D1918" w:rsidR="00E6032C" w:rsidRDefault="00E6032C" w14:paraId="7603A881" w14:textId="77777777">
            <w:pPr>
              <w:spacing w:before="60" w:after="60"/>
              <w:jc w:val="right"/>
              <w:rPr>
                <w:rFonts w:cs="Cordia New"/>
                <w:sz w:val="20"/>
                <w:szCs w:val="20"/>
                <w:lang w:val="en-AU"/>
              </w:rPr>
            </w:pPr>
            <w:r w:rsidRPr="008D1918">
              <w:rPr>
                <w:sz w:val="20"/>
                <w:szCs w:val="20"/>
                <w:lang w:val="en-AU"/>
              </w:rPr>
              <w:t>113,419</w:t>
            </w:r>
          </w:p>
        </w:tc>
        <w:tc>
          <w:tcPr>
            <w:tcW w:w="1191" w:type="dxa"/>
            <w:vAlign w:val="center"/>
          </w:tcPr>
          <w:p w:rsidRPr="008D1918" w:rsidR="00E6032C" w:rsidRDefault="00E6032C" w14:paraId="056446BE" w14:textId="77777777">
            <w:pPr>
              <w:spacing w:before="60" w:after="60"/>
              <w:jc w:val="right"/>
              <w:rPr>
                <w:rFonts w:cs="Cordia New"/>
                <w:sz w:val="20"/>
                <w:szCs w:val="20"/>
                <w:lang w:val="en-AU"/>
              </w:rPr>
            </w:pPr>
            <w:r w:rsidRPr="008D1918">
              <w:rPr>
                <w:sz w:val="20"/>
                <w:szCs w:val="20"/>
                <w:lang w:val="en-AU"/>
              </w:rPr>
              <w:t>120,924</w:t>
            </w:r>
          </w:p>
        </w:tc>
        <w:tc>
          <w:tcPr>
            <w:tcW w:w="1191" w:type="dxa"/>
            <w:vAlign w:val="center"/>
          </w:tcPr>
          <w:p w:rsidRPr="008D1918" w:rsidR="00E6032C" w:rsidRDefault="00E6032C" w14:paraId="72FA8D75" w14:textId="77777777">
            <w:pPr>
              <w:spacing w:before="60" w:after="60"/>
              <w:jc w:val="right"/>
              <w:rPr>
                <w:rFonts w:cs="Cordia New"/>
                <w:sz w:val="20"/>
                <w:szCs w:val="20"/>
                <w:lang w:val="en-AU"/>
              </w:rPr>
            </w:pPr>
            <w:r w:rsidRPr="008D1918">
              <w:rPr>
                <w:sz w:val="20"/>
                <w:szCs w:val="20"/>
                <w:lang w:val="en-AU"/>
              </w:rPr>
              <w:t>125,628</w:t>
            </w:r>
          </w:p>
        </w:tc>
        <w:tc>
          <w:tcPr>
            <w:tcW w:w="1191" w:type="dxa"/>
            <w:vAlign w:val="center"/>
          </w:tcPr>
          <w:p w:rsidRPr="008D1918" w:rsidR="00E6032C" w:rsidRDefault="00E6032C" w14:paraId="1111C8AD" w14:textId="77777777">
            <w:pPr>
              <w:spacing w:before="60" w:after="60"/>
              <w:jc w:val="right"/>
              <w:rPr>
                <w:rFonts w:cs="Cordia New"/>
                <w:sz w:val="20"/>
                <w:szCs w:val="20"/>
                <w:lang w:val="en-AU"/>
              </w:rPr>
            </w:pPr>
            <w:r w:rsidRPr="008D1918">
              <w:rPr>
                <w:sz w:val="20"/>
                <w:szCs w:val="20"/>
                <w:lang w:val="en-AU"/>
              </w:rPr>
              <w:t>125,959</w:t>
            </w:r>
          </w:p>
        </w:tc>
        <w:tc>
          <w:tcPr>
            <w:tcW w:w="1191" w:type="dxa"/>
            <w:vAlign w:val="center"/>
          </w:tcPr>
          <w:p w:rsidRPr="008D1918" w:rsidR="00E6032C" w:rsidRDefault="00E6032C" w14:paraId="724C6265" w14:textId="77777777">
            <w:pPr>
              <w:spacing w:before="60" w:after="60"/>
              <w:jc w:val="right"/>
              <w:rPr>
                <w:rFonts w:cs="Cordia New"/>
                <w:sz w:val="20"/>
                <w:szCs w:val="20"/>
                <w:lang w:val="en-AU"/>
              </w:rPr>
            </w:pPr>
            <w:r w:rsidRPr="008D1918">
              <w:rPr>
                <w:sz w:val="20"/>
                <w:szCs w:val="20"/>
                <w:lang w:val="en-AU"/>
              </w:rPr>
              <w:t>131,802</w:t>
            </w:r>
          </w:p>
        </w:tc>
      </w:tr>
      <w:tr w:rsidRPr="008D1918" w:rsidR="00E6032C" w14:paraId="706A4CD9" w14:textId="77777777">
        <w:trPr>
          <w:trHeight w:val="397"/>
        </w:trPr>
        <w:tc>
          <w:tcPr>
            <w:tcW w:w="1814" w:type="dxa"/>
            <w:vAlign w:val="center"/>
          </w:tcPr>
          <w:p w:rsidRPr="008D1918" w:rsidR="00E6032C" w:rsidRDefault="00E6032C" w14:paraId="61C38F24" w14:textId="77777777">
            <w:pPr>
              <w:spacing w:before="60" w:after="60"/>
              <w:rPr>
                <w:rFonts w:cs="Cordia New"/>
                <w:sz w:val="20"/>
                <w:szCs w:val="20"/>
                <w:lang w:val="en-AU"/>
              </w:rPr>
            </w:pPr>
            <w:r w:rsidRPr="008D1918">
              <w:rPr>
                <w:sz w:val="20"/>
                <w:szCs w:val="20"/>
                <w:lang w:val="en-AU"/>
              </w:rPr>
              <w:t>Remote</w:t>
            </w:r>
          </w:p>
        </w:tc>
        <w:tc>
          <w:tcPr>
            <w:tcW w:w="1191" w:type="dxa"/>
            <w:vAlign w:val="center"/>
          </w:tcPr>
          <w:p w:rsidRPr="008D1918" w:rsidR="00E6032C" w:rsidRDefault="00E6032C" w14:paraId="2657439A" w14:textId="77777777">
            <w:pPr>
              <w:spacing w:before="60" w:after="60"/>
              <w:jc w:val="right"/>
              <w:rPr>
                <w:rFonts w:cs="Cordia New"/>
                <w:sz w:val="20"/>
                <w:szCs w:val="20"/>
                <w:lang w:val="en-AU"/>
              </w:rPr>
            </w:pPr>
            <w:r w:rsidRPr="008D1918">
              <w:rPr>
                <w:sz w:val="20"/>
                <w:szCs w:val="20"/>
                <w:lang w:val="en-AU"/>
              </w:rPr>
              <w:t>1,199</w:t>
            </w:r>
          </w:p>
        </w:tc>
        <w:tc>
          <w:tcPr>
            <w:tcW w:w="1191" w:type="dxa"/>
            <w:vAlign w:val="center"/>
          </w:tcPr>
          <w:p w:rsidRPr="008D1918" w:rsidR="00E6032C" w:rsidRDefault="00E6032C" w14:paraId="7CC93785" w14:textId="77777777">
            <w:pPr>
              <w:spacing w:before="60" w:after="60"/>
              <w:jc w:val="right"/>
              <w:rPr>
                <w:rFonts w:cs="Cordia New"/>
                <w:sz w:val="20"/>
                <w:szCs w:val="20"/>
                <w:lang w:val="en-AU"/>
              </w:rPr>
            </w:pPr>
            <w:r w:rsidRPr="008D1918">
              <w:rPr>
                <w:sz w:val="20"/>
                <w:szCs w:val="20"/>
                <w:lang w:val="en-AU"/>
              </w:rPr>
              <w:t>1,374</w:t>
            </w:r>
          </w:p>
        </w:tc>
        <w:tc>
          <w:tcPr>
            <w:tcW w:w="1191" w:type="dxa"/>
            <w:vAlign w:val="center"/>
          </w:tcPr>
          <w:p w:rsidRPr="008D1918" w:rsidR="00E6032C" w:rsidRDefault="00E6032C" w14:paraId="4E63DB95" w14:textId="77777777">
            <w:pPr>
              <w:spacing w:before="60" w:after="60"/>
              <w:jc w:val="right"/>
              <w:rPr>
                <w:rFonts w:cs="Cordia New"/>
                <w:sz w:val="20"/>
                <w:szCs w:val="20"/>
                <w:lang w:val="en-AU"/>
              </w:rPr>
            </w:pPr>
            <w:r w:rsidRPr="008D1918">
              <w:rPr>
                <w:sz w:val="20"/>
                <w:szCs w:val="20"/>
                <w:lang w:val="en-AU"/>
              </w:rPr>
              <w:t>2,117</w:t>
            </w:r>
          </w:p>
        </w:tc>
        <w:tc>
          <w:tcPr>
            <w:tcW w:w="1191" w:type="dxa"/>
            <w:vAlign w:val="center"/>
          </w:tcPr>
          <w:p w:rsidRPr="008D1918" w:rsidR="00E6032C" w:rsidRDefault="00E6032C" w14:paraId="67EBBD1E" w14:textId="77777777">
            <w:pPr>
              <w:spacing w:before="60" w:after="60"/>
              <w:jc w:val="right"/>
              <w:rPr>
                <w:rFonts w:cs="Cordia New"/>
                <w:sz w:val="20"/>
                <w:szCs w:val="20"/>
                <w:lang w:val="en-AU"/>
              </w:rPr>
            </w:pPr>
            <w:r w:rsidRPr="008D1918">
              <w:rPr>
                <w:sz w:val="20"/>
                <w:szCs w:val="20"/>
                <w:lang w:val="en-AU"/>
              </w:rPr>
              <w:t>1,991</w:t>
            </w:r>
          </w:p>
        </w:tc>
        <w:tc>
          <w:tcPr>
            <w:tcW w:w="1191" w:type="dxa"/>
            <w:vAlign w:val="center"/>
          </w:tcPr>
          <w:p w:rsidRPr="008D1918" w:rsidR="00E6032C" w:rsidRDefault="00E6032C" w14:paraId="59C30781" w14:textId="77777777">
            <w:pPr>
              <w:spacing w:before="60" w:after="60"/>
              <w:jc w:val="right"/>
              <w:rPr>
                <w:rFonts w:cs="Cordia New"/>
                <w:sz w:val="20"/>
                <w:szCs w:val="20"/>
                <w:lang w:val="en-AU"/>
              </w:rPr>
            </w:pPr>
            <w:r w:rsidRPr="008D1918">
              <w:rPr>
                <w:sz w:val="20"/>
                <w:szCs w:val="20"/>
                <w:lang w:val="en-AU"/>
              </w:rPr>
              <w:t>1,477</w:t>
            </w:r>
          </w:p>
        </w:tc>
        <w:tc>
          <w:tcPr>
            <w:tcW w:w="1191" w:type="dxa"/>
            <w:vAlign w:val="center"/>
          </w:tcPr>
          <w:p w:rsidRPr="008D1918" w:rsidR="00E6032C" w:rsidRDefault="00E6032C" w14:paraId="2A03D760" w14:textId="77777777">
            <w:pPr>
              <w:spacing w:before="60" w:after="60"/>
              <w:jc w:val="right"/>
              <w:rPr>
                <w:rFonts w:cs="Cordia New"/>
                <w:sz w:val="20"/>
                <w:szCs w:val="20"/>
                <w:lang w:val="en-AU"/>
              </w:rPr>
            </w:pPr>
            <w:r w:rsidRPr="008D1918">
              <w:rPr>
                <w:sz w:val="20"/>
                <w:szCs w:val="20"/>
                <w:lang w:val="en-AU"/>
              </w:rPr>
              <w:t>1,579</w:t>
            </w:r>
          </w:p>
        </w:tc>
      </w:tr>
      <w:tr w:rsidRPr="008D1918" w:rsidR="00A238C6" w14:paraId="3103EDFC" w14:textId="77777777">
        <w:trPr>
          <w:cnfStyle w:val="000000100000" w:firstRow="0" w:lastRow="0" w:firstColumn="0" w:lastColumn="0" w:oddVBand="0" w:evenVBand="0" w:oddHBand="1" w:evenHBand="0" w:firstRowFirstColumn="0" w:firstRowLastColumn="0" w:lastRowFirstColumn="0" w:lastRowLastColumn="0"/>
          <w:trHeight w:val="397"/>
        </w:trPr>
        <w:tc>
          <w:tcPr>
            <w:tcW w:w="1814" w:type="dxa"/>
            <w:vAlign w:val="center"/>
          </w:tcPr>
          <w:p w:rsidRPr="008D1918" w:rsidR="00E6032C" w:rsidRDefault="00E6032C" w14:paraId="39130BE8" w14:textId="77777777">
            <w:pPr>
              <w:spacing w:before="60" w:after="60"/>
              <w:rPr>
                <w:rFonts w:cs="Cordia New"/>
                <w:sz w:val="20"/>
                <w:szCs w:val="20"/>
                <w:lang w:val="en-AU"/>
              </w:rPr>
            </w:pPr>
            <w:r w:rsidRPr="008D1918">
              <w:rPr>
                <w:sz w:val="20"/>
                <w:szCs w:val="20"/>
                <w:lang w:val="en-AU"/>
              </w:rPr>
              <w:t>Very remote</w:t>
            </w:r>
          </w:p>
        </w:tc>
        <w:tc>
          <w:tcPr>
            <w:tcW w:w="1191" w:type="dxa"/>
            <w:vAlign w:val="center"/>
          </w:tcPr>
          <w:p w:rsidRPr="008D1918" w:rsidR="00E6032C" w:rsidRDefault="00E6032C" w14:paraId="2ABC8C7D" w14:textId="77777777">
            <w:pPr>
              <w:spacing w:before="60" w:after="60"/>
              <w:jc w:val="right"/>
              <w:rPr>
                <w:rFonts w:cs="Cordia New"/>
                <w:sz w:val="20"/>
                <w:szCs w:val="20"/>
                <w:lang w:val="en-AU"/>
              </w:rPr>
            </w:pPr>
            <w:r w:rsidRPr="008D1918">
              <w:rPr>
                <w:sz w:val="20"/>
                <w:szCs w:val="20"/>
                <w:lang w:val="en-AU"/>
              </w:rPr>
              <w:t>582</w:t>
            </w:r>
          </w:p>
        </w:tc>
        <w:tc>
          <w:tcPr>
            <w:tcW w:w="1191" w:type="dxa"/>
            <w:vAlign w:val="center"/>
          </w:tcPr>
          <w:p w:rsidRPr="008D1918" w:rsidR="00E6032C" w:rsidRDefault="00E6032C" w14:paraId="1E665CA5" w14:textId="77777777">
            <w:pPr>
              <w:spacing w:before="60" w:after="60"/>
              <w:jc w:val="right"/>
              <w:rPr>
                <w:rFonts w:cs="Cordia New"/>
                <w:sz w:val="20"/>
                <w:szCs w:val="20"/>
                <w:lang w:val="en-AU"/>
              </w:rPr>
            </w:pPr>
            <w:r w:rsidRPr="008D1918">
              <w:rPr>
                <w:sz w:val="20"/>
                <w:szCs w:val="20"/>
                <w:lang w:val="en-AU"/>
              </w:rPr>
              <w:t>622</w:t>
            </w:r>
          </w:p>
        </w:tc>
        <w:tc>
          <w:tcPr>
            <w:tcW w:w="1191" w:type="dxa"/>
            <w:vAlign w:val="center"/>
          </w:tcPr>
          <w:p w:rsidRPr="008D1918" w:rsidR="00E6032C" w:rsidRDefault="00E6032C" w14:paraId="57FCF97C" w14:textId="77777777">
            <w:pPr>
              <w:spacing w:before="60" w:after="60"/>
              <w:jc w:val="right"/>
              <w:rPr>
                <w:rFonts w:cs="Cordia New"/>
                <w:sz w:val="20"/>
                <w:szCs w:val="20"/>
                <w:lang w:val="en-AU"/>
              </w:rPr>
            </w:pPr>
            <w:r w:rsidRPr="008D1918">
              <w:rPr>
                <w:sz w:val="20"/>
                <w:szCs w:val="20"/>
                <w:lang w:val="en-AU"/>
              </w:rPr>
              <w:t>689</w:t>
            </w:r>
          </w:p>
        </w:tc>
        <w:tc>
          <w:tcPr>
            <w:tcW w:w="1191" w:type="dxa"/>
            <w:vAlign w:val="center"/>
          </w:tcPr>
          <w:p w:rsidRPr="008D1918" w:rsidR="00E6032C" w:rsidRDefault="00E6032C" w14:paraId="1EFBF832" w14:textId="77777777">
            <w:pPr>
              <w:spacing w:before="60" w:after="60"/>
              <w:jc w:val="right"/>
              <w:rPr>
                <w:rFonts w:cs="Cordia New"/>
                <w:sz w:val="20"/>
                <w:szCs w:val="20"/>
                <w:lang w:val="en-AU"/>
              </w:rPr>
            </w:pPr>
            <w:r w:rsidRPr="008D1918">
              <w:rPr>
                <w:sz w:val="20"/>
                <w:szCs w:val="20"/>
                <w:lang w:val="en-AU"/>
              </w:rPr>
              <w:t>757</w:t>
            </w:r>
          </w:p>
        </w:tc>
        <w:tc>
          <w:tcPr>
            <w:tcW w:w="1191" w:type="dxa"/>
            <w:vAlign w:val="center"/>
          </w:tcPr>
          <w:p w:rsidRPr="008D1918" w:rsidR="00E6032C" w:rsidRDefault="00E6032C" w14:paraId="436D4A17" w14:textId="77777777">
            <w:pPr>
              <w:spacing w:before="60" w:after="60"/>
              <w:jc w:val="right"/>
              <w:rPr>
                <w:rFonts w:cs="Cordia New"/>
                <w:sz w:val="20"/>
                <w:szCs w:val="20"/>
                <w:lang w:val="en-AU"/>
              </w:rPr>
            </w:pPr>
            <w:r w:rsidRPr="008D1918">
              <w:rPr>
                <w:sz w:val="20"/>
                <w:szCs w:val="20"/>
                <w:lang w:val="en-AU"/>
              </w:rPr>
              <w:t>678</w:t>
            </w:r>
          </w:p>
        </w:tc>
        <w:tc>
          <w:tcPr>
            <w:tcW w:w="1191" w:type="dxa"/>
            <w:vAlign w:val="center"/>
          </w:tcPr>
          <w:p w:rsidRPr="008D1918" w:rsidR="00E6032C" w:rsidRDefault="00E6032C" w14:paraId="52C02979" w14:textId="77777777">
            <w:pPr>
              <w:spacing w:before="60" w:after="60"/>
              <w:jc w:val="right"/>
              <w:rPr>
                <w:rFonts w:cs="Cordia New"/>
                <w:sz w:val="20"/>
                <w:szCs w:val="20"/>
                <w:lang w:val="en-AU"/>
              </w:rPr>
            </w:pPr>
            <w:r w:rsidRPr="008D1918">
              <w:rPr>
                <w:sz w:val="20"/>
                <w:szCs w:val="20"/>
                <w:lang w:val="en-AU"/>
              </w:rPr>
              <w:t>728</w:t>
            </w:r>
          </w:p>
        </w:tc>
      </w:tr>
      <w:tr w:rsidRPr="008D1918" w:rsidR="00E6032C" w14:paraId="6A57840B" w14:textId="77777777">
        <w:trPr>
          <w:trHeight w:val="397"/>
        </w:trPr>
        <w:tc>
          <w:tcPr>
            <w:tcW w:w="1814" w:type="dxa"/>
            <w:vAlign w:val="center"/>
          </w:tcPr>
          <w:p w:rsidRPr="008D1918" w:rsidR="00E6032C" w:rsidRDefault="00E6032C" w14:paraId="7ECDAD04" w14:textId="77777777">
            <w:pPr>
              <w:spacing w:before="60" w:after="60"/>
              <w:rPr>
                <w:rFonts w:cs="Cordia New"/>
                <w:b/>
                <w:sz w:val="20"/>
                <w:szCs w:val="20"/>
                <w:lang w:val="en-AU" w:eastAsia="en-AU"/>
              </w:rPr>
            </w:pPr>
            <w:r w:rsidRPr="008D1918">
              <w:rPr>
                <w:b/>
                <w:bCs/>
                <w:sz w:val="20"/>
                <w:szCs w:val="20"/>
                <w:lang w:val="en-AU"/>
              </w:rPr>
              <w:t>Total for unregistered</w:t>
            </w:r>
          </w:p>
        </w:tc>
        <w:tc>
          <w:tcPr>
            <w:tcW w:w="1191" w:type="dxa"/>
            <w:vAlign w:val="center"/>
          </w:tcPr>
          <w:p w:rsidRPr="008D1918" w:rsidR="00E6032C" w:rsidRDefault="00E6032C" w14:paraId="337375CE" w14:textId="77777777">
            <w:pPr>
              <w:spacing w:before="60" w:after="60"/>
              <w:jc w:val="right"/>
              <w:rPr>
                <w:rFonts w:cs="Cordia New"/>
                <w:b/>
                <w:sz w:val="20"/>
                <w:szCs w:val="20"/>
                <w:lang w:val="en-AU"/>
              </w:rPr>
            </w:pPr>
            <w:r w:rsidRPr="008D1918">
              <w:rPr>
                <w:b/>
                <w:sz w:val="20"/>
                <w:szCs w:val="20"/>
                <w:lang w:val="en-AU"/>
              </w:rPr>
              <w:t>104,</w:t>
            </w:r>
            <w:r w:rsidRPr="008D1918">
              <w:rPr>
                <w:b/>
                <w:bCs/>
                <w:sz w:val="20"/>
                <w:szCs w:val="20"/>
                <w:lang w:val="en-AU"/>
              </w:rPr>
              <w:t>263</w:t>
            </w:r>
          </w:p>
        </w:tc>
        <w:tc>
          <w:tcPr>
            <w:tcW w:w="1191" w:type="dxa"/>
            <w:vAlign w:val="center"/>
          </w:tcPr>
          <w:p w:rsidRPr="008D1918" w:rsidR="00E6032C" w:rsidRDefault="00E6032C" w14:paraId="6F7B2358" w14:textId="77777777">
            <w:pPr>
              <w:spacing w:before="60" w:after="60"/>
              <w:jc w:val="right"/>
              <w:rPr>
                <w:rFonts w:cs="Cordia New"/>
                <w:b/>
                <w:sz w:val="20"/>
                <w:szCs w:val="20"/>
                <w:lang w:val="en-AU"/>
              </w:rPr>
            </w:pPr>
            <w:r w:rsidRPr="008D1918">
              <w:rPr>
                <w:b/>
                <w:sz w:val="20"/>
                <w:szCs w:val="20"/>
                <w:lang w:val="en-AU"/>
              </w:rPr>
              <w:t>114,</w:t>
            </w:r>
            <w:r w:rsidRPr="008D1918">
              <w:rPr>
                <w:b/>
                <w:bCs/>
                <w:sz w:val="20"/>
                <w:szCs w:val="20"/>
                <w:lang w:val="en-AU"/>
              </w:rPr>
              <w:t>777</w:t>
            </w:r>
          </w:p>
        </w:tc>
        <w:tc>
          <w:tcPr>
            <w:tcW w:w="1191" w:type="dxa"/>
            <w:vAlign w:val="center"/>
          </w:tcPr>
          <w:p w:rsidRPr="008D1918" w:rsidR="00E6032C" w:rsidRDefault="00E6032C" w14:paraId="6207DA0F" w14:textId="77777777">
            <w:pPr>
              <w:spacing w:before="60" w:after="60"/>
              <w:jc w:val="right"/>
              <w:rPr>
                <w:rFonts w:cs="Cordia New"/>
                <w:b/>
                <w:sz w:val="20"/>
                <w:szCs w:val="20"/>
                <w:lang w:val="en-AU"/>
              </w:rPr>
            </w:pPr>
            <w:r w:rsidRPr="008D1918">
              <w:rPr>
                <w:b/>
                <w:sz w:val="20"/>
                <w:szCs w:val="20"/>
                <w:lang w:val="en-AU"/>
              </w:rPr>
              <w:t>122,</w:t>
            </w:r>
            <w:r w:rsidRPr="008D1918">
              <w:rPr>
                <w:b/>
                <w:bCs/>
                <w:sz w:val="20"/>
                <w:szCs w:val="20"/>
                <w:lang w:val="en-AU"/>
              </w:rPr>
              <w:t>518</w:t>
            </w:r>
          </w:p>
        </w:tc>
        <w:tc>
          <w:tcPr>
            <w:tcW w:w="1191" w:type="dxa"/>
            <w:vAlign w:val="center"/>
          </w:tcPr>
          <w:p w:rsidRPr="008D1918" w:rsidR="00E6032C" w:rsidRDefault="00E6032C" w14:paraId="62454B49" w14:textId="77777777">
            <w:pPr>
              <w:spacing w:before="60" w:after="60"/>
              <w:jc w:val="right"/>
              <w:rPr>
                <w:rFonts w:cs="Cordia New"/>
                <w:b/>
                <w:sz w:val="20"/>
                <w:szCs w:val="20"/>
                <w:lang w:val="en-AU"/>
              </w:rPr>
            </w:pPr>
            <w:r w:rsidRPr="008D1918">
              <w:rPr>
                <w:b/>
                <w:sz w:val="20"/>
                <w:szCs w:val="20"/>
                <w:lang w:val="en-AU"/>
              </w:rPr>
              <w:t>127,</w:t>
            </w:r>
            <w:r w:rsidRPr="008D1918">
              <w:rPr>
                <w:b/>
                <w:bCs/>
                <w:sz w:val="20"/>
                <w:szCs w:val="20"/>
                <w:lang w:val="en-AU"/>
              </w:rPr>
              <w:t>217</w:t>
            </w:r>
          </w:p>
        </w:tc>
        <w:tc>
          <w:tcPr>
            <w:tcW w:w="1191" w:type="dxa"/>
            <w:vAlign w:val="center"/>
          </w:tcPr>
          <w:p w:rsidRPr="008D1918" w:rsidR="00E6032C" w:rsidRDefault="00E6032C" w14:paraId="1766278F" w14:textId="77777777">
            <w:pPr>
              <w:spacing w:before="60" w:after="60"/>
              <w:jc w:val="right"/>
              <w:rPr>
                <w:rFonts w:cs="Cordia New"/>
                <w:b/>
                <w:sz w:val="20"/>
                <w:szCs w:val="20"/>
                <w:lang w:val="en-AU"/>
              </w:rPr>
            </w:pPr>
            <w:r w:rsidRPr="008D1918">
              <w:rPr>
                <w:b/>
                <w:sz w:val="20"/>
                <w:szCs w:val="20"/>
                <w:lang w:val="en-AU"/>
              </w:rPr>
              <w:t>127,</w:t>
            </w:r>
            <w:r w:rsidRPr="008D1918">
              <w:rPr>
                <w:b/>
                <w:bCs/>
                <w:sz w:val="20"/>
                <w:szCs w:val="20"/>
                <w:lang w:val="en-AU"/>
              </w:rPr>
              <w:t>434</w:t>
            </w:r>
          </w:p>
        </w:tc>
        <w:tc>
          <w:tcPr>
            <w:tcW w:w="1191" w:type="dxa"/>
            <w:vAlign w:val="center"/>
          </w:tcPr>
          <w:p w:rsidRPr="008D1918" w:rsidR="00E6032C" w:rsidRDefault="00E6032C" w14:paraId="45084BFA" w14:textId="77777777">
            <w:pPr>
              <w:spacing w:before="60" w:after="60"/>
              <w:jc w:val="right"/>
              <w:rPr>
                <w:rFonts w:cs="Cordia New"/>
                <w:b/>
                <w:sz w:val="20"/>
                <w:szCs w:val="20"/>
                <w:lang w:val="en-AU"/>
              </w:rPr>
            </w:pPr>
            <w:r w:rsidRPr="008D1918">
              <w:rPr>
                <w:b/>
                <w:sz w:val="20"/>
                <w:szCs w:val="20"/>
                <w:lang w:val="en-AU"/>
              </w:rPr>
              <w:t>133,</w:t>
            </w:r>
            <w:r w:rsidRPr="008D1918">
              <w:rPr>
                <w:b/>
                <w:bCs/>
                <w:sz w:val="20"/>
                <w:szCs w:val="20"/>
                <w:lang w:val="en-AU"/>
              </w:rPr>
              <w:t>348</w:t>
            </w:r>
          </w:p>
        </w:tc>
      </w:tr>
    </w:tbl>
    <w:p w:rsidRPr="008D1918" w:rsidR="00E6032C" w:rsidP="00E6032C" w:rsidRDefault="00E6032C" w14:paraId="3A718C1D" w14:textId="77777777">
      <w:pPr>
        <w:spacing w:before="60" w:after="120" w:line="240" w:lineRule="atLeast"/>
        <w:rPr>
          <w:rFonts w:cs="Calibri"/>
          <w:b/>
          <w:sz w:val="20"/>
          <w:szCs w:val="18"/>
          <w:lang w:val="en-AU" w:eastAsia="en-AU"/>
        </w:rPr>
      </w:pPr>
      <w:r w:rsidRPr="008D1918">
        <w:rPr>
          <w:rFonts w:cs="Calibri"/>
          <w:b/>
          <w:sz w:val="20"/>
          <w:szCs w:val="18"/>
          <w:lang w:val="en-AU" w:eastAsia="en-AU"/>
        </w:rPr>
        <w:t>Source: NDIS internal administrative data</w:t>
      </w:r>
    </w:p>
    <w:p w:rsidRPr="008D1918" w:rsidR="00E6032C" w:rsidP="00E6032C" w:rsidRDefault="00E6032C" w14:paraId="31190084" w14:textId="59CF2D30">
      <w:pPr>
        <w:spacing w:before="120" w:after="360" w:line="240" w:lineRule="atLeast"/>
        <w:rPr>
          <w:rFonts w:cs="Calibri"/>
          <w:b/>
          <w:sz w:val="20"/>
          <w:szCs w:val="18"/>
          <w:lang w:val="en-AU" w:eastAsia="en-AU"/>
        </w:rPr>
      </w:pPr>
      <w:r w:rsidRPr="008D1918">
        <w:rPr>
          <w:rFonts w:cs="Arial" w:eastAsiaTheme="minorEastAsia"/>
          <w:sz w:val="20"/>
          <w:szCs w:val="18"/>
          <w:lang w:val="en-AU"/>
        </w:rPr>
        <w:t xml:space="preserve">Note: The total of registered and unregistered providers and the total across remoteness may not match the overall provider counts due to </w:t>
      </w:r>
      <w:r w:rsidRPr="008D1918" w:rsidR="00186248">
        <w:rPr>
          <w:rFonts w:cs="Arial" w:eastAsiaTheme="minorEastAsia"/>
          <w:sz w:val="20"/>
          <w:szCs w:val="18"/>
          <w:lang w:val="en-AU"/>
        </w:rPr>
        <w:t xml:space="preserve">3 </w:t>
      </w:r>
      <w:r w:rsidRPr="008D1918">
        <w:rPr>
          <w:rFonts w:cs="Arial" w:eastAsiaTheme="minorEastAsia"/>
          <w:sz w:val="20"/>
          <w:szCs w:val="18"/>
          <w:lang w:val="en-AU"/>
        </w:rPr>
        <w:t>main reasons: 1) Remoteness of providers uses participants’ address as a proxy. Providers may be counted more than once if providers provide support to participants located across varying remoteness levels. 2) Registered status of provider may change during the period. 3) Small portion of providers and participants with indeterminate registration status or missing remoteness are included in the overall total.</w:t>
      </w:r>
    </w:p>
    <w:p w:rsidRPr="008D1918" w:rsidR="006C387A" w:rsidP="006C387A" w:rsidRDefault="006C387A" w14:paraId="7CA09A5D" w14:textId="5CB20A72">
      <w:pPr>
        <w:rPr>
          <w:lang w:val="en-AU"/>
        </w:rPr>
      </w:pPr>
      <w:r w:rsidRPr="008D1918">
        <w:rPr>
          <w:lang w:val="en-AU"/>
        </w:rPr>
        <w:br w:type="page"/>
      </w:r>
    </w:p>
    <w:p w:rsidRPr="008D1918" w:rsidR="003C3D65" w:rsidP="00D90888" w:rsidRDefault="003C3D65" w14:paraId="75D5E302" w14:textId="7C058385">
      <w:pPr>
        <w:pStyle w:val="Heading2"/>
        <w:rPr>
          <w:lang w:val="en-AU"/>
        </w:rPr>
      </w:pPr>
      <w:bookmarkStart w:name="_Toc223539788" w:id="2337"/>
      <w:bookmarkStart w:name="_Toc223540001" w:id="2338"/>
      <w:bookmarkStart w:name="_Toc223540469" w:id="2339"/>
      <w:bookmarkStart w:name="_Toc223540685" w:id="2340"/>
      <w:bookmarkStart w:name="_Toc223542233" w:id="2341"/>
      <w:bookmarkStart w:name="_Toc223604415" w:id="2342"/>
      <w:bookmarkStart w:name="_Toc223604626" w:id="2343"/>
      <w:bookmarkStart w:name="_Toc227337201" w:id="2344"/>
      <w:r w:rsidRPr="008D1918">
        <w:rPr>
          <w:lang w:val="en-AU"/>
        </w:rPr>
        <w:t>Appendix B:</w:t>
      </w:r>
      <w:r w:rsidRPr="008D1918" w:rsidR="00E823A9">
        <w:rPr>
          <w:lang w:val="en-AU"/>
        </w:rPr>
        <w:t xml:space="preserve"> </w:t>
      </w:r>
      <w:r w:rsidRPr="008D1918">
        <w:rPr>
          <w:lang w:val="en-AU"/>
        </w:rPr>
        <w:t xml:space="preserve">Details of </w:t>
      </w:r>
      <w:r w:rsidRPr="008D1918" w:rsidR="00C24888">
        <w:rPr>
          <w:lang w:val="en-AU"/>
        </w:rPr>
        <w:t>MBS and PHI</w:t>
      </w:r>
      <w:r w:rsidRPr="008D1918" w:rsidR="00537CA1">
        <w:rPr>
          <w:lang w:val="en-AU"/>
        </w:rPr>
        <w:t xml:space="preserve"> </w:t>
      </w:r>
      <w:r w:rsidRPr="008D1918">
        <w:rPr>
          <w:lang w:val="en-AU"/>
        </w:rPr>
        <w:t>implied hourly price rate conversions</w:t>
      </w:r>
      <w:bookmarkEnd w:id="2337"/>
      <w:bookmarkEnd w:id="2338"/>
      <w:bookmarkEnd w:id="2339"/>
      <w:bookmarkEnd w:id="2340"/>
      <w:bookmarkEnd w:id="2341"/>
      <w:bookmarkEnd w:id="2342"/>
      <w:bookmarkEnd w:id="2343"/>
      <w:bookmarkEnd w:id="2344"/>
    </w:p>
    <w:p w:rsidRPr="008D1918" w:rsidR="00B05103" w:rsidP="00354F83" w:rsidRDefault="00B05103" w14:paraId="21DE47C0" w14:textId="19EB546A">
      <w:pPr>
        <w:pStyle w:val="AppendixH3"/>
      </w:pPr>
      <w:bookmarkStart w:name="_Ref223698102" w:id="2345"/>
      <w:r w:rsidRPr="008D1918">
        <w:t>Benchmarking approach</w:t>
      </w:r>
    </w:p>
    <w:bookmarkEnd w:id="2345"/>
    <w:p w:rsidRPr="008D1918" w:rsidR="00D320D9" w:rsidP="00354F83" w:rsidRDefault="00D320D9" w14:paraId="37BCE438" w14:textId="6C7EC5E2">
      <w:pPr>
        <w:pStyle w:val="AppendixH4"/>
      </w:pPr>
      <w:r w:rsidRPr="008D1918">
        <w:t>Overview</w:t>
      </w:r>
    </w:p>
    <w:p w:rsidRPr="008D1918" w:rsidR="00F16644" w:rsidP="00F16644" w:rsidRDefault="00F16644" w14:paraId="65219CAE" w14:textId="3AEAFB48">
      <w:pPr>
        <w:rPr>
          <w:lang w:val="en-AU"/>
        </w:rPr>
      </w:pPr>
      <w:r w:rsidRPr="00CF6661">
        <w:rPr>
          <w:lang w:val="en-AU"/>
        </w:rPr>
        <w:t xml:space="preserve">Benchmarking is a core input into </w:t>
      </w:r>
      <w:r w:rsidRPr="00CF6661" w:rsidR="004D5AE7">
        <w:rPr>
          <w:lang w:val="en-AU"/>
        </w:rPr>
        <w:t xml:space="preserve">the </w:t>
      </w:r>
      <w:r w:rsidRPr="00CF6661">
        <w:rPr>
          <w:lang w:val="en-AU"/>
        </w:rPr>
        <w:t>NDIA’s assessment of whether NDIS therapy price</w:t>
      </w:r>
      <w:r w:rsidRPr="00CF6661" w:rsidR="00945F8F">
        <w:rPr>
          <w:lang w:val="en-AU"/>
        </w:rPr>
        <w:t>s</w:t>
      </w:r>
      <w:r w:rsidRPr="00CF6661">
        <w:rPr>
          <w:lang w:val="en-AU"/>
        </w:rPr>
        <w:t xml:space="preserve"> are appropriately positioned relative to prices observed in the non-NDIS system that share the therapy workforce with the NDIS. The </w:t>
      </w:r>
      <w:r w:rsidRPr="00CF6661" w:rsidR="004D5AE7">
        <w:rPr>
          <w:lang w:val="en-AU"/>
        </w:rPr>
        <w:t xml:space="preserve">NDIA’s benchmarking </w:t>
      </w:r>
      <w:r w:rsidRPr="00CF6661">
        <w:rPr>
          <w:lang w:val="en-AU"/>
        </w:rPr>
        <w:t>analysis compares NDIS price</w:t>
      </w:r>
      <w:r w:rsidRPr="00CF6661" w:rsidR="00CF6661">
        <w:rPr>
          <w:lang w:val="en-AU"/>
        </w:rPr>
        <w:t>s</w:t>
      </w:r>
      <w:r w:rsidRPr="00CF6661">
        <w:rPr>
          <w:lang w:val="en-AU"/>
        </w:rPr>
        <w:t xml:space="preserve"> to prices charged for similar services in other funding systems, including </w:t>
      </w:r>
      <w:r w:rsidRPr="00CF6661" w:rsidR="00317D6C">
        <w:rPr>
          <w:lang w:val="en-AU"/>
        </w:rPr>
        <w:t xml:space="preserve">the </w:t>
      </w:r>
      <w:r w:rsidRPr="00CF6661">
        <w:rPr>
          <w:lang w:val="en-AU"/>
        </w:rPr>
        <w:t>Medicare</w:t>
      </w:r>
      <w:r w:rsidRPr="00CF6661" w:rsidR="00317D6C">
        <w:rPr>
          <w:lang w:val="en-AU"/>
        </w:rPr>
        <w:t xml:space="preserve"> Benefits Schedule (MBS)</w:t>
      </w:r>
      <w:r w:rsidRPr="00CF6661">
        <w:rPr>
          <w:lang w:val="en-AU"/>
        </w:rPr>
        <w:t xml:space="preserve">, </w:t>
      </w:r>
      <w:r w:rsidRPr="00CF6661" w:rsidR="00317D6C">
        <w:rPr>
          <w:lang w:val="en-AU"/>
        </w:rPr>
        <w:t>private health insurance (</w:t>
      </w:r>
      <w:r w:rsidRPr="00CF6661">
        <w:rPr>
          <w:lang w:val="en-AU"/>
        </w:rPr>
        <w:t>PHI</w:t>
      </w:r>
      <w:r w:rsidRPr="00CF6661" w:rsidR="00317D6C">
        <w:rPr>
          <w:lang w:val="en-AU"/>
        </w:rPr>
        <w:t>)</w:t>
      </w:r>
      <w:r w:rsidRPr="00CF6661">
        <w:rPr>
          <w:lang w:val="en-AU"/>
        </w:rPr>
        <w:t xml:space="preserve"> and selected government injury and compensation schemes.</w:t>
      </w:r>
      <w:r w:rsidRPr="00CF6661" w:rsidR="005E5155">
        <w:rPr>
          <w:lang w:val="en-AU"/>
        </w:rPr>
        <w:t xml:space="preserve"> </w:t>
      </w:r>
      <w:r w:rsidRPr="00CF6661" w:rsidR="00C06F2E">
        <w:rPr>
          <w:lang w:val="en-AU"/>
        </w:rPr>
        <w:t xml:space="preserve">Where used as comparators in this analysis, the full </w:t>
      </w:r>
      <w:r w:rsidRPr="00CF6661" w:rsidR="004E7258">
        <w:rPr>
          <w:lang w:val="en-AU"/>
        </w:rPr>
        <w:t>provider charge</w:t>
      </w:r>
      <w:r w:rsidRPr="008D1918" w:rsidR="00C06F2E">
        <w:rPr>
          <w:lang w:val="en-AU"/>
        </w:rPr>
        <w:t xml:space="preserve"> comprising the </w:t>
      </w:r>
      <w:r w:rsidRPr="008D1918" w:rsidR="009F405F">
        <w:rPr>
          <w:lang w:val="en-AU"/>
        </w:rPr>
        <w:t>S</w:t>
      </w:r>
      <w:r w:rsidRPr="008D1918" w:rsidR="004E7258">
        <w:rPr>
          <w:lang w:val="en-AU"/>
        </w:rPr>
        <w:t xml:space="preserve">cheme subsidy and co-payment </w:t>
      </w:r>
      <w:r w:rsidRPr="008D1918" w:rsidR="006F4BBB">
        <w:rPr>
          <w:lang w:val="en-AU"/>
        </w:rPr>
        <w:t>is applied.</w:t>
      </w:r>
    </w:p>
    <w:p w:rsidRPr="008D1918" w:rsidR="00F16644" w:rsidP="00F16644" w:rsidRDefault="00F16644" w14:paraId="55849BD2" w14:textId="57EE102B">
      <w:pPr>
        <w:rPr>
          <w:lang w:val="en-AU"/>
        </w:rPr>
      </w:pPr>
      <w:r w:rsidRPr="008D1918">
        <w:rPr>
          <w:lang w:val="en-AU"/>
        </w:rPr>
        <w:t xml:space="preserve">Benchmarking is one input into pricing decisions, alongside </w:t>
      </w:r>
      <w:r w:rsidRPr="008D1918" w:rsidR="009F405F">
        <w:rPr>
          <w:lang w:val="en-AU"/>
        </w:rPr>
        <w:t>Scheme</w:t>
      </w:r>
      <w:r w:rsidRPr="008D1918">
        <w:rPr>
          <w:lang w:val="en-AU"/>
        </w:rPr>
        <w:t xml:space="preserve"> statistics, consultation feedback and broader market stewardship considerations. For </w:t>
      </w:r>
      <w:r w:rsidRPr="008D1918" w:rsidR="00126E34">
        <w:rPr>
          <w:lang w:val="en-AU"/>
        </w:rPr>
        <w:t>this</w:t>
      </w:r>
      <w:r w:rsidRPr="008D1918">
        <w:rPr>
          <w:lang w:val="en-AU"/>
        </w:rPr>
        <w:t xml:space="preserve"> APR, the NDIA reviewed more than 16 million therapy transactions across multiple funding systems, building on the expanded methodology introduced in the </w:t>
      </w:r>
      <w:r w:rsidRPr="008D1918" w:rsidR="00126E34">
        <w:rPr>
          <w:lang w:val="en-AU"/>
        </w:rPr>
        <w:t>previous</w:t>
      </w:r>
      <w:r w:rsidRPr="008D1918">
        <w:rPr>
          <w:lang w:val="en-AU"/>
        </w:rPr>
        <w:t xml:space="preserve"> APR. </w:t>
      </w:r>
      <w:r w:rsidRPr="008D1918" w:rsidR="00DD31DB">
        <w:rPr>
          <w:lang w:val="en-AU"/>
        </w:rPr>
        <w:t>Chapter</w:t>
      </w:r>
      <w:r w:rsidRPr="008D1918">
        <w:rPr>
          <w:lang w:val="en-AU"/>
        </w:rPr>
        <w:t xml:space="preserve"> 8 provides detail on the specific datasets used, coverage by therapy type and the criteria applied to include or exclude data sources. In this APR, benchmarking contributes to the evidence base for </w:t>
      </w:r>
      <w:r w:rsidRPr="008D1918" w:rsidR="00FA4539">
        <w:rPr>
          <w:lang w:val="en-AU"/>
        </w:rPr>
        <w:t xml:space="preserve">developing recommendations </w:t>
      </w:r>
      <w:r w:rsidRPr="008D1918">
        <w:rPr>
          <w:lang w:val="en-AU"/>
        </w:rPr>
        <w:t>about whether therapy prices should be maintained, revised, or restructured for the 2026</w:t>
      </w:r>
      <w:r w:rsidRPr="008D1918">
        <w:rPr>
          <w:rFonts w:cs="Arial"/>
          <w:lang w:val="en-AU"/>
        </w:rPr>
        <w:t>–</w:t>
      </w:r>
      <w:r w:rsidRPr="008D1918">
        <w:rPr>
          <w:lang w:val="en-AU"/>
        </w:rPr>
        <w:t xml:space="preserve">27 financial year. </w:t>
      </w:r>
    </w:p>
    <w:p w:rsidRPr="008D1918" w:rsidR="00F16644" w:rsidP="00354F83" w:rsidRDefault="00F16644" w14:paraId="5B5AB49C" w14:textId="77777777">
      <w:pPr>
        <w:pStyle w:val="AppendixH4"/>
      </w:pPr>
      <w:r w:rsidRPr="008D1918">
        <w:t xml:space="preserve">Estimating hourly rates from session-based pricing </w:t>
      </w:r>
    </w:p>
    <w:p w:rsidRPr="008D1918" w:rsidR="00F16644" w:rsidP="00F16644" w:rsidRDefault="00F16644" w14:paraId="41CF9F09" w14:textId="7B1D10A2">
      <w:pPr>
        <w:rPr>
          <w:rFonts w:eastAsia="Segoe UI"/>
          <w:lang w:val="en-AU"/>
        </w:rPr>
      </w:pPr>
      <w:r w:rsidRPr="008D1918">
        <w:rPr>
          <w:rFonts w:eastAsia="Segoe UI"/>
          <w:lang w:val="en-AU"/>
        </w:rPr>
        <w:t>NDIS therapy price</w:t>
      </w:r>
      <w:r w:rsidR="00C24E44">
        <w:rPr>
          <w:rFonts w:eastAsia="Segoe UI"/>
          <w:lang w:val="en-AU"/>
        </w:rPr>
        <w:t>s</w:t>
      </w:r>
      <w:r w:rsidR="00CC7119">
        <w:rPr>
          <w:rFonts w:eastAsia="Segoe UI"/>
          <w:lang w:val="en-AU"/>
        </w:rPr>
        <w:t xml:space="preserve"> </w:t>
      </w:r>
      <w:r w:rsidRPr="008D1918">
        <w:rPr>
          <w:rFonts w:eastAsia="Segoe UI"/>
          <w:lang w:val="en-AU"/>
        </w:rPr>
        <w:t xml:space="preserve">are set on an hourly basis, whereas many comparator systems use session‑based pricing. To enable meaningful comparison, the </w:t>
      </w:r>
      <w:r w:rsidRPr="008D1918" w:rsidR="00D320D9">
        <w:rPr>
          <w:rFonts w:eastAsia="Segoe UI"/>
          <w:lang w:val="en-AU"/>
        </w:rPr>
        <w:t xml:space="preserve">NDIA’s </w:t>
      </w:r>
      <w:r w:rsidRPr="008D1918">
        <w:rPr>
          <w:rFonts w:eastAsia="Segoe UI"/>
          <w:lang w:val="en-AU"/>
        </w:rPr>
        <w:t>benchmarking framework converts session‑based prices into implied hourly rates using estimated session durations.</w:t>
      </w:r>
    </w:p>
    <w:p w:rsidRPr="008D1918" w:rsidR="00F16644" w:rsidP="00F16644" w:rsidRDefault="00F16644" w14:paraId="5514F85B" w14:textId="02C6584B">
      <w:pPr>
        <w:rPr>
          <w:lang w:val="en-AU"/>
        </w:rPr>
      </w:pPr>
      <w:r w:rsidRPr="008D1918">
        <w:rPr>
          <w:lang w:val="en-AU"/>
        </w:rPr>
        <w:t>The NDIA estimates typical session lengths at the 25</w:t>
      </w:r>
      <w:r w:rsidRPr="008D1918">
        <w:rPr>
          <w:vertAlign w:val="superscript"/>
          <w:lang w:val="en-AU"/>
        </w:rPr>
        <w:t xml:space="preserve">th </w:t>
      </w:r>
      <w:r w:rsidRPr="008D1918">
        <w:rPr>
          <w:lang w:val="en-AU"/>
        </w:rPr>
        <w:t>percentile, median and 75</w:t>
      </w:r>
      <w:r w:rsidRPr="008D1918">
        <w:rPr>
          <w:vertAlign w:val="superscript"/>
          <w:lang w:val="en-AU"/>
        </w:rPr>
        <w:t>th</w:t>
      </w:r>
      <w:r w:rsidRPr="008D1918">
        <w:rPr>
          <w:lang w:val="en-AU"/>
        </w:rPr>
        <w:t xml:space="preserve"> percentile for each therapy type across data sources, drawing on transaction data and consultation with allied health peak bodies. These estimates are then used to convert observed MBS and PHI session prices into hourly equivalents with PHI_1 and PHI_2 representing 2 anonymised PHI entities.</w:t>
      </w:r>
    </w:p>
    <w:p w:rsidRPr="008D1918" w:rsidR="00F16644" w:rsidRDefault="00F16644" w14:paraId="3420DD94" w14:textId="40C1A026">
      <w:pPr>
        <w:rPr>
          <w:lang w:val="en-AU"/>
        </w:rPr>
      </w:pPr>
      <w:r w:rsidRPr="008D1918">
        <w:rPr>
          <w:lang w:val="en-AU"/>
        </w:rPr>
        <w:t>Estimated session length assumptions affect the level of implied hourly rates.</w:t>
      </w:r>
      <w:r w:rsidRPr="008D1918" w:rsidR="00C43081">
        <w:rPr>
          <w:lang w:val="en-AU"/>
        </w:rPr>
        <w:t xml:space="preserve"> </w:t>
      </w:r>
      <w:r w:rsidRPr="008D1918">
        <w:rPr>
          <w:lang w:val="en-AU"/>
        </w:rPr>
        <w:t xml:space="preserve">For example, a median MBS price of $58 for supports delivered by a Dietician with an estimated session duration of 30 minutes equates to an hourly rate of $116. At the </w:t>
      </w:r>
      <w:r w:rsidRPr="008D1918">
        <w:rPr>
          <w:lang w:val="en-AU"/>
        </w:rPr>
        <w:t>75</w:t>
      </w:r>
      <w:r w:rsidRPr="008D1918">
        <w:rPr>
          <w:vertAlign w:val="superscript"/>
          <w:lang w:val="en-AU"/>
        </w:rPr>
        <w:t>th</w:t>
      </w:r>
      <w:r w:rsidRPr="008D1918">
        <w:rPr>
          <w:lang w:val="en-AU"/>
        </w:rPr>
        <w:t xml:space="preserve"> percentile, a price of $88 with an estimated 38‑minute session equates to an hourly rate of $1</w:t>
      </w:r>
      <w:r w:rsidRPr="008D1918" w:rsidR="0052331C">
        <w:rPr>
          <w:lang w:val="en-AU"/>
        </w:rPr>
        <w:t>39</w:t>
      </w:r>
      <w:r w:rsidRPr="008D1918">
        <w:rPr>
          <w:lang w:val="en-AU"/>
        </w:rPr>
        <w:t>.</w:t>
      </w:r>
    </w:p>
    <w:p w:rsidRPr="008D1918" w:rsidR="00341996" w:rsidP="001D163B" w:rsidRDefault="00341996" w14:paraId="31A88303" w14:textId="05F9FBDA">
      <w:pPr>
        <w:rPr>
          <w:lang w:val="en-AU"/>
        </w:rPr>
      </w:pPr>
      <w:r w:rsidRPr="008D1918">
        <w:rPr>
          <w:lang w:val="en-AU"/>
        </w:rPr>
        <w:fldChar w:fldCharType="begin"/>
      </w:r>
      <w:r w:rsidRPr="008D1918">
        <w:rPr>
          <w:lang w:val="en-AU"/>
        </w:rPr>
        <w:instrText xml:space="preserve"> REF _Ref227176007 \h </w:instrText>
      </w:r>
      <w:r w:rsidR="008D1918">
        <w:rPr>
          <w:lang w:val="en-AU"/>
        </w:rPr>
        <w:instrText xml:space="preserve"> \* MERGEFORMAT </w:instrText>
      </w:r>
      <w:r w:rsidRPr="008D1918">
        <w:rPr>
          <w:lang w:val="en-AU"/>
        </w:rPr>
      </w:r>
      <w:r w:rsidRPr="008D1918">
        <w:rPr>
          <w:lang w:val="en-AU"/>
        </w:rPr>
        <w:fldChar w:fldCharType="separate"/>
      </w:r>
      <w:r w:rsidRPr="008D1918" w:rsidR="008F56A2">
        <w:t xml:space="preserve">Table </w:t>
      </w:r>
      <w:r w:rsidR="008F56A2">
        <w:rPr>
          <w:noProof/>
        </w:rPr>
        <w:t>59</w:t>
      </w:r>
      <w:r w:rsidRPr="008D1918">
        <w:rPr>
          <w:lang w:val="en-AU"/>
        </w:rPr>
        <w:fldChar w:fldCharType="end"/>
      </w:r>
      <w:r w:rsidRPr="008D1918">
        <w:rPr>
          <w:lang w:val="en-AU"/>
        </w:rPr>
        <w:t xml:space="preserve"> outlines the reference range for the conversion of MBS and PHI session fees to an hourly rate.</w:t>
      </w:r>
    </w:p>
    <w:p w:rsidRPr="008D1918" w:rsidR="00E43565" w:rsidP="00E43565" w:rsidRDefault="00E43565" w14:paraId="7EA26291" w14:textId="5F0849D3">
      <w:pPr>
        <w:pStyle w:val="Caption"/>
        <w:rPr>
          <w:i w:val="0"/>
          <w:iCs w:val="0"/>
        </w:rPr>
      </w:pPr>
      <w:bookmarkStart w:name="_Ref227176007" w:id="2346"/>
      <w:r w:rsidRPr="008D1918">
        <w:t xml:space="preserve">Table </w:t>
      </w:r>
      <w:r>
        <w:fldChar w:fldCharType="begin"/>
      </w:r>
      <w:r>
        <w:instrText>SEQ Table \* ARABIC</w:instrText>
      </w:r>
      <w:r>
        <w:fldChar w:fldCharType="separate"/>
      </w:r>
      <w:r w:rsidR="008F56A2">
        <w:rPr>
          <w:noProof/>
        </w:rPr>
        <w:t>59</w:t>
      </w:r>
      <w:r>
        <w:fldChar w:fldCharType="end"/>
      </w:r>
      <w:bookmarkEnd w:id="2346"/>
      <w:r w:rsidRPr="008D1918">
        <w:t>: MBS</w:t>
      </w:r>
      <w:r w:rsidRPr="008D1918" w:rsidR="002E7BF8">
        <w:t xml:space="preserve"> and </w:t>
      </w:r>
      <w:r w:rsidRPr="008D1918">
        <w:t>PHI session fees with corresponding reference times for conversion to an hourly rate</w:t>
      </w:r>
    </w:p>
    <w:tbl>
      <w:tblPr>
        <w:tblW w:w="10490"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76"/>
        <w:gridCol w:w="704"/>
        <w:gridCol w:w="851"/>
        <w:gridCol w:w="851"/>
        <w:gridCol w:w="851"/>
        <w:gridCol w:w="851"/>
        <w:gridCol w:w="851"/>
        <w:gridCol w:w="851"/>
        <w:gridCol w:w="851"/>
        <w:gridCol w:w="851"/>
        <w:gridCol w:w="851"/>
        <w:gridCol w:w="851"/>
      </w:tblGrid>
      <w:tr w:rsidRPr="008D1918" w:rsidR="00EF189E" w:rsidTr="005C0067" w14:paraId="0C69DED9" w14:textId="77777777">
        <w:trPr>
          <w:trHeight w:val="680"/>
        </w:trPr>
        <w:tc>
          <w:tcPr>
            <w:tcW w:w="1276" w:type="dxa"/>
            <w:shd w:val="clear" w:color="auto" w:fill="6B2876" w:themeFill="text1"/>
            <w:vAlign w:val="center"/>
          </w:tcPr>
          <w:p w:rsidRPr="008D1918" w:rsidR="00E43565" w:rsidP="005C0067" w:rsidRDefault="005C0067" w14:paraId="36AC5002" w14:textId="1DE3D37E">
            <w:pPr>
              <w:spacing w:after="0" w:line="240" w:lineRule="auto"/>
              <w:rPr>
                <w:rFonts w:cs="Arial"/>
                <w:b/>
                <w:color w:val="6B2876" w:themeColor="text1"/>
                <w:sz w:val="14"/>
                <w:szCs w:val="14"/>
                <w:lang w:val="en-AU" w:eastAsia="en-AU"/>
              </w:rPr>
            </w:pPr>
            <w:r w:rsidRPr="008D1918">
              <w:rPr>
                <w:rFonts w:cs="Arial"/>
                <w:b/>
                <w:color w:val="FFFFFF"/>
                <w:sz w:val="14"/>
                <w:szCs w:val="14"/>
                <w:lang w:val="en-AU" w:eastAsia="en-AU"/>
              </w:rPr>
              <w:t>Therapist</w:t>
            </w:r>
          </w:p>
        </w:tc>
        <w:tc>
          <w:tcPr>
            <w:tcW w:w="704" w:type="dxa"/>
            <w:shd w:val="clear" w:color="auto" w:fill="6B2876" w:themeFill="text1"/>
            <w:noWrap/>
            <w:vAlign w:val="center"/>
          </w:tcPr>
          <w:p w:rsidRPr="008D1918" w:rsidR="00E43565" w:rsidP="005C0067" w:rsidRDefault="005C0067" w14:paraId="0B8635F8" w14:textId="5A2A3C65">
            <w:pPr>
              <w:spacing w:after="0" w:line="240" w:lineRule="auto"/>
              <w:jc w:val="center"/>
              <w:rPr>
                <w:rFonts w:cs="Arial"/>
                <w:b/>
                <w:color w:val="6B2876" w:themeColor="text1"/>
                <w:sz w:val="14"/>
                <w:szCs w:val="14"/>
                <w:lang w:val="en-AU" w:eastAsia="en-AU"/>
              </w:rPr>
            </w:pPr>
            <w:r w:rsidRPr="008D1918">
              <w:rPr>
                <w:rFonts w:cs="Arial"/>
                <w:b/>
                <w:color w:val="FFFFFF"/>
                <w:sz w:val="14"/>
                <w:szCs w:val="14"/>
                <w:lang w:val="en-AU" w:eastAsia="en-AU"/>
              </w:rPr>
              <w:t>Source</w:t>
            </w:r>
          </w:p>
        </w:tc>
        <w:tc>
          <w:tcPr>
            <w:tcW w:w="851" w:type="dxa"/>
            <w:shd w:val="clear" w:color="auto" w:fill="6B2876" w:themeFill="text1"/>
            <w:noWrap/>
            <w:vAlign w:val="center"/>
          </w:tcPr>
          <w:p w:rsidRPr="008D1918" w:rsidR="00E43565" w:rsidP="005C0067" w:rsidRDefault="00E43565" w14:paraId="7BC8ED7B" w14:textId="77777777">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Session fee</w:t>
            </w:r>
            <w:r w:rsidRPr="008D1918" w:rsidR="005C0067">
              <w:rPr>
                <w:rFonts w:cs="Arial"/>
                <w:b/>
                <w:color w:val="FFFFFF"/>
                <w:sz w:val="14"/>
                <w:szCs w:val="14"/>
                <w:lang w:val="en-AU" w:eastAsia="en-AU"/>
              </w:rPr>
              <w:t>:</w:t>
            </w:r>
          </w:p>
          <w:p w:rsidRPr="008D1918" w:rsidR="005C0067" w:rsidP="005C0067" w:rsidRDefault="005C0067" w14:paraId="36D12B62" w14:textId="29D04203">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25th</w:t>
            </w:r>
          </w:p>
        </w:tc>
        <w:tc>
          <w:tcPr>
            <w:tcW w:w="851" w:type="dxa"/>
            <w:shd w:val="clear" w:color="auto" w:fill="6B2876" w:themeFill="text1"/>
            <w:noWrap/>
            <w:vAlign w:val="center"/>
          </w:tcPr>
          <w:p w:rsidRPr="008D1918" w:rsidR="00E43565" w:rsidP="005C0067" w:rsidRDefault="00E43565" w14:paraId="24314D5A" w14:textId="77777777">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Session fee</w:t>
            </w:r>
            <w:r w:rsidRPr="008D1918" w:rsidR="005C0067">
              <w:rPr>
                <w:rFonts w:cs="Arial"/>
                <w:b/>
                <w:color w:val="FFFFFF"/>
                <w:sz w:val="14"/>
                <w:szCs w:val="14"/>
                <w:lang w:val="en-AU" w:eastAsia="en-AU"/>
              </w:rPr>
              <w:t>:</w:t>
            </w:r>
          </w:p>
          <w:p w:rsidRPr="008D1918" w:rsidR="005C0067" w:rsidP="005C0067" w:rsidRDefault="005C0067" w14:paraId="117A2299" w14:textId="7EF590C6">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Median</w:t>
            </w:r>
          </w:p>
        </w:tc>
        <w:tc>
          <w:tcPr>
            <w:tcW w:w="851" w:type="dxa"/>
            <w:shd w:val="clear" w:color="auto" w:fill="6B2876" w:themeFill="text1"/>
            <w:noWrap/>
            <w:vAlign w:val="center"/>
          </w:tcPr>
          <w:p w:rsidRPr="008D1918" w:rsidR="00E43565" w:rsidP="005C0067" w:rsidRDefault="00E43565" w14:paraId="6BEE0226" w14:textId="77777777">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Session fee</w:t>
            </w:r>
            <w:r w:rsidRPr="008D1918" w:rsidR="005C0067">
              <w:rPr>
                <w:rFonts w:cs="Arial"/>
                <w:b/>
                <w:color w:val="FFFFFF"/>
                <w:sz w:val="14"/>
                <w:szCs w:val="14"/>
                <w:lang w:val="en-AU" w:eastAsia="en-AU"/>
              </w:rPr>
              <w:t>:</w:t>
            </w:r>
          </w:p>
          <w:p w:rsidRPr="008D1918" w:rsidR="005C0067" w:rsidP="005C0067" w:rsidRDefault="005C0067" w14:paraId="158E12D0" w14:textId="44735175">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75th</w:t>
            </w:r>
          </w:p>
        </w:tc>
        <w:tc>
          <w:tcPr>
            <w:tcW w:w="851" w:type="dxa"/>
            <w:shd w:val="clear" w:color="auto" w:fill="6B2876" w:themeFill="text1"/>
            <w:noWrap/>
            <w:vAlign w:val="center"/>
          </w:tcPr>
          <w:p w:rsidRPr="008D1918" w:rsidR="00E43565" w:rsidP="005C0067" w:rsidRDefault="00E43565" w14:paraId="3C3F468A" w14:textId="77777777">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Session length estimate</w:t>
            </w:r>
            <w:r w:rsidRPr="008D1918" w:rsidR="005C0067">
              <w:rPr>
                <w:rFonts w:cs="Arial"/>
                <w:b/>
                <w:color w:val="FFFFFF"/>
                <w:sz w:val="14"/>
                <w:szCs w:val="14"/>
                <w:lang w:val="en-AU" w:eastAsia="en-AU"/>
              </w:rPr>
              <w:t>:</w:t>
            </w:r>
          </w:p>
          <w:p w:rsidRPr="008D1918" w:rsidR="005C0067" w:rsidP="005C0067" w:rsidRDefault="005C0067" w14:paraId="06747721" w14:textId="5D5C6C31">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25th</w:t>
            </w:r>
          </w:p>
        </w:tc>
        <w:tc>
          <w:tcPr>
            <w:tcW w:w="851" w:type="dxa"/>
            <w:shd w:val="clear" w:color="auto" w:fill="6B2876" w:themeFill="text1"/>
            <w:noWrap/>
            <w:vAlign w:val="center"/>
          </w:tcPr>
          <w:p w:rsidRPr="008D1918" w:rsidR="005C0067" w:rsidP="005C0067" w:rsidRDefault="00E43565" w14:paraId="4ABF82E6" w14:textId="77777777">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Session length estimate</w:t>
            </w:r>
            <w:r w:rsidRPr="008D1918" w:rsidR="005C0067">
              <w:rPr>
                <w:rFonts w:cs="Arial"/>
                <w:b/>
                <w:color w:val="FFFFFF"/>
                <w:sz w:val="14"/>
                <w:szCs w:val="14"/>
                <w:lang w:val="en-AU" w:eastAsia="en-AU"/>
              </w:rPr>
              <w:t>:</w:t>
            </w:r>
          </w:p>
          <w:p w:rsidRPr="008D1918" w:rsidR="005C0067" w:rsidP="005C0067" w:rsidRDefault="005C0067" w14:paraId="3D0ADDFE" w14:textId="2CCE453A">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Median</w:t>
            </w:r>
          </w:p>
        </w:tc>
        <w:tc>
          <w:tcPr>
            <w:tcW w:w="851" w:type="dxa"/>
            <w:shd w:val="clear" w:color="auto" w:fill="6B2876" w:themeFill="text1"/>
            <w:noWrap/>
            <w:vAlign w:val="center"/>
          </w:tcPr>
          <w:p w:rsidRPr="008D1918" w:rsidR="00E43565" w:rsidP="005C0067" w:rsidRDefault="00E43565" w14:paraId="4852D8E9" w14:textId="77777777">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Session length estimate</w:t>
            </w:r>
            <w:r w:rsidRPr="008D1918" w:rsidR="005C0067">
              <w:rPr>
                <w:rFonts w:cs="Arial"/>
                <w:b/>
                <w:color w:val="FFFFFF"/>
                <w:sz w:val="14"/>
                <w:szCs w:val="14"/>
                <w:lang w:val="en-AU" w:eastAsia="en-AU"/>
              </w:rPr>
              <w:t>:</w:t>
            </w:r>
          </w:p>
          <w:p w:rsidRPr="008D1918" w:rsidR="005C0067" w:rsidP="005C0067" w:rsidRDefault="005C0067" w14:paraId="64F32B2B" w14:textId="2239BDCF">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75th</w:t>
            </w:r>
          </w:p>
        </w:tc>
        <w:tc>
          <w:tcPr>
            <w:tcW w:w="851" w:type="dxa"/>
            <w:shd w:val="clear" w:color="auto" w:fill="6B2876" w:themeFill="text1"/>
            <w:noWrap/>
            <w:vAlign w:val="center"/>
          </w:tcPr>
          <w:p w:rsidRPr="008D1918" w:rsidR="00E43565" w:rsidP="005C0067" w:rsidRDefault="00E43565" w14:paraId="7A484F08" w14:textId="5BA8EFEB">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 xml:space="preserve"> </w:t>
            </w:r>
            <w:r w:rsidRPr="008D1918" w:rsidR="00742605">
              <w:rPr>
                <w:rFonts w:cs="Arial"/>
                <w:b/>
                <w:color w:val="FFFFFF"/>
                <w:sz w:val="14"/>
                <w:szCs w:val="14"/>
                <w:lang w:val="en-AU" w:eastAsia="en-AU"/>
              </w:rPr>
              <w:t>H</w:t>
            </w:r>
            <w:r w:rsidRPr="008D1918">
              <w:rPr>
                <w:rFonts w:cs="Arial"/>
                <w:b/>
                <w:color w:val="FFFFFF"/>
                <w:sz w:val="14"/>
                <w:szCs w:val="14"/>
                <w:lang w:val="en-AU" w:eastAsia="en-AU"/>
              </w:rPr>
              <w:t>ourly rate</w:t>
            </w:r>
            <w:r w:rsidRPr="008D1918" w:rsidR="005C0067">
              <w:rPr>
                <w:rFonts w:cs="Arial"/>
                <w:b/>
                <w:color w:val="FFFFFF"/>
                <w:sz w:val="14"/>
                <w:szCs w:val="14"/>
                <w:lang w:val="en-AU" w:eastAsia="en-AU"/>
              </w:rPr>
              <w:t>:</w:t>
            </w:r>
          </w:p>
          <w:p w:rsidRPr="008D1918" w:rsidR="005C0067" w:rsidP="005C0067" w:rsidRDefault="005C0067" w14:paraId="5FCBFEEA" w14:textId="57FF1F93">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25th</w:t>
            </w:r>
          </w:p>
        </w:tc>
        <w:tc>
          <w:tcPr>
            <w:tcW w:w="851" w:type="dxa"/>
            <w:shd w:val="clear" w:color="auto" w:fill="6B2876" w:themeFill="text1"/>
            <w:noWrap/>
            <w:vAlign w:val="center"/>
          </w:tcPr>
          <w:p w:rsidRPr="008D1918" w:rsidR="00E43565" w:rsidP="005C0067" w:rsidRDefault="00E43565" w14:paraId="44360090" w14:textId="70CA0030">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 xml:space="preserve"> </w:t>
            </w:r>
            <w:r w:rsidRPr="008D1918" w:rsidR="00742605">
              <w:rPr>
                <w:rFonts w:cs="Arial"/>
                <w:b/>
                <w:color w:val="FFFFFF"/>
                <w:sz w:val="14"/>
                <w:szCs w:val="14"/>
                <w:lang w:val="en-AU" w:eastAsia="en-AU"/>
              </w:rPr>
              <w:t>H</w:t>
            </w:r>
            <w:r w:rsidRPr="008D1918">
              <w:rPr>
                <w:rFonts w:cs="Arial"/>
                <w:b/>
                <w:color w:val="FFFFFF"/>
                <w:sz w:val="14"/>
                <w:szCs w:val="14"/>
                <w:lang w:val="en-AU" w:eastAsia="en-AU"/>
              </w:rPr>
              <w:t>ourly rate</w:t>
            </w:r>
            <w:r w:rsidRPr="008D1918" w:rsidR="005C0067">
              <w:rPr>
                <w:rFonts w:cs="Arial"/>
                <w:b/>
                <w:color w:val="FFFFFF"/>
                <w:sz w:val="14"/>
                <w:szCs w:val="14"/>
                <w:lang w:val="en-AU" w:eastAsia="en-AU"/>
              </w:rPr>
              <w:t>:</w:t>
            </w:r>
          </w:p>
          <w:p w:rsidRPr="008D1918" w:rsidR="005C0067" w:rsidP="005C0067" w:rsidRDefault="005C0067" w14:paraId="2FFF3F3C" w14:textId="04CFD435">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Median</w:t>
            </w:r>
          </w:p>
        </w:tc>
        <w:tc>
          <w:tcPr>
            <w:tcW w:w="851" w:type="dxa"/>
            <w:shd w:val="clear" w:color="auto" w:fill="6B2876" w:themeFill="text1"/>
            <w:noWrap/>
            <w:vAlign w:val="center"/>
          </w:tcPr>
          <w:p w:rsidRPr="008D1918" w:rsidR="00E43565" w:rsidP="005C0067" w:rsidRDefault="00742605" w14:paraId="5FCF29AC" w14:textId="7FC07A7E">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H</w:t>
            </w:r>
            <w:r w:rsidRPr="008D1918" w:rsidR="00E43565">
              <w:rPr>
                <w:rFonts w:cs="Arial"/>
                <w:b/>
                <w:color w:val="FFFFFF"/>
                <w:sz w:val="14"/>
                <w:szCs w:val="14"/>
                <w:lang w:val="en-AU" w:eastAsia="en-AU"/>
              </w:rPr>
              <w:t>ourly rate</w:t>
            </w:r>
            <w:r w:rsidRPr="008D1918" w:rsidR="005C0067">
              <w:rPr>
                <w:rFonts w:cs="Arial"/>
                <w:b/>
                <w:color w:val="FFFFFF"/>
                <w:sz w:val="14"/>
                <w:szCs w:val="14"/>
                <w:lang w:val="en-AU" w:eastAsia="en-AU"/>
              </w:rPr>
              <w:t>:</w:t>
            </w:r>
          </w:p>
          <w:p w:rsidRPr="008D1918" w:rsidR="005C0067" w:rsidP="005C0067" w:rsidRDefault="005C0067" w14:paraId="6E29ADAC" w14:textId="0DC692C3">
            <w:pPr>
              <w:spacing w:after="0" w:line="240" w:lineRule="auto"/>
              <w:jc w:val="center"/>
              <w:rPr>
                <w:rFonts w:cs="Arial"/>
                <w:b/>
                <w:color w:val="FFFFFF"/>
                <w:sz w:val="14"/>
                <w:szCs w:val="14"/>
                <w:lang w:val="en-AU" w:eastAsia="en-AU"/>
              </w:rPr>
            </w:pPr>
            <w:r w:rsidRPr="008D1918">
              <w:rPr>
                <w:rFonts w:cs="Arial"/>
                <w:b/>
                <w:color w:val="FFFFFF"/>
                <w:sz w:val="14"/>
                <w:szCs w:val="14"/>
                <w:lang w:val="en-AU" w:eastAsia="en-AU"/>
              </w:rPr>
              <w:t>75th</w:t>
            </w:r>
          </w:p>
        </w:tc>
        <w:tc>
          <w:tcPr>
            <w:tcW w:w="851" w:type="dxa"/>
            <w:shd w:val="clear" w:color="auto" w:fill="6B2876" w:themeFill="text1"/>
            <w:noWrap/>
            <w:vAlign w:val="center"/>
          </w:tcPr>
          <w:p w:rsidRPr="00D7042E" w:rsidR="00E43565" w:rsidP="005C0067" w:rsidRDefault="00E43565" w14:paraId="04B550F5" w14:textId="286651D1">
            <w:pPr>
              <w:spacing w:after="0" w:line="240" w:lineRule="auto"/>
              <w:jc w:val="center"/>
              <w:rPr>
                <w:rFonts w:cs="Arial"/>
                <w:b/>
                <w:color w:val="FFFF00"/>
                <w:sz w:val="14"/>
                <w:szCs w:val="14"/>
                <w:lang w:val="en-AU" w:eastAsia="en-AU"/>
              </w:rPr>
            </w:pPr>
            <w:r w:rsidRPr="008D1918">
              <w:rPr>
                <w:rFonts w:cs="Arial"/>
                <w:b/>
                <w:color w:val="FFFFFF"/>
                <w:sz w:val="14"/>
                <w:szCs w:val="14"/>
                <w:lang w:val="en-AU" w:eastAsia="en-AU"/>
              </w:rPr>
              <w:t>NDIS</w:t>
            </w:r>
            <w:r w:rsidRPr="008D1918" w:rsidR="007304C6">
              <w:rPr>
                <w:rFonts w:cs="Arial"/>
                <w:b/>
                <w:color w:val="FFFFFF"/>
                <w:sz w:val="14"/>
                <w:szCs w:val="14"/>
                <w:lang w:val="en-AU" w:eastAsia="en-AU"/>
              </w:rPr>
              <w:t xml:space="preserve"> </w:t>
            </w:r>
            <w:r w:rsidRPr="00C654A3" w:rsidR="008E53EE">
              <w:rPr>
                <w:rFonts w:cs="Arial"/>
                <w:b/>
                <w:color w:val="F9F9F9" w:themeColor="background1"/>
                <w:sz w:val="14"/>
                <w:szCs w:val="14"/>
                <w:lang w:val="en-AU" w:eastAsia="en-AU"/>
              </w:rPr>
              <w:t>Published Price</w:t>
            </w:r>
          </w:p>
          <w:p w:rsidRPr="008D1918" w:rsidR="005C0067" w:rsidP="005C0067" w:rsidRDefault="005C0067" w14:paraId="4FF88742" w14:textId="59896DBC">
            <w:pPr>
              <w:spacing w:after="0" w:line="240" w:lineRule="auto"/>
              <w:jc w:val="center"/>
              <w:rPr>
                <w:rFonts w:cs="Arial"/>
                <w:b/>
                <w:color w:val="FFFFFF"/>
                <w:sz w:val="14"/>
                <w:szCs w:val="14"/>
                <w:lang w:val="en-AU" w:eastAsia="en-AU"/>
              </w:rPr>
            </w:pPr>
          </w:p>
        </w:tc>
      </w:tr>
      <w:tr w:rsidRPr="008D1918" w:rsidR="009D282A" w:rsidTr="009D282A" w14:paraId="2837563E" w14:textId="77777777">
        <w:trPr>
          <w:trHeight w:val="290"/>
        </w:trPr>
        <w:tc>
          <w:tcPr>
            <w:tcW w:w="1276" w:type="dxa"/>
            <w:vMerge w:val="restart"/>
            <w:shd w:val="clear" w:color="auto" w:fill="E8CAED" w:themeFill="text1" w:themeFillTint="33"/>
          </w:tcPr>
          <w:p w:rsidRPr="008D1918" w:rsidR="009D282A" w:rsidRDefault="009D282A" w14:paraId="248ED03F" w14:textId="77777777">
            <w:pPr>
              <w:spacing w:after="0" w:line="240" w:lineRule="auto"/>
              <w:rPr>
                <w:rFonts w:cs="Arial"/>
                <w:color w:val="000000"/>
                <w:sz w:val="14"/>
                <w:szCs w:val="14"/>
                <w:lang w:val="en-AU" w:eastAsia="en-AU"/>
              </w:rPr>
            </w:pPr>
            <w:r w:rsidRPr="008D1918">
              <w:rPr>
                <w:rFonts w:cs="Arial"/>
                <w:color w:val="000000"/>
                <w:sz w:val="14"/>
                <w:szCs w:val="14"/>
                <w:lang w:val="en-AU" w:eastAsia="en-AU"/>
              </w:rPr>
              <w:t>Psychologists</w:t>
            </w:r>
          </w:p>
          <w:p w:rsidRPr="008D1918" w:rsidR="009D282A" w:rsidRDefault="009D282A" w14:paraId="15D7C167" w14:textId="77777777">
            <w:pPr>
              <w:spacing w:after="0" w:line="240" w:lineRule="auto"/>
              <w:rPr>
                <w:rFonts w:cs="Arial"/>
                <w:color w:val="E8CAED" w:themeColor="text1" w:themeTint="33"/>
                <w:sz w:val="14"/>
                <w:szCs w:val="14"/>
                <w:lang w:val="en-AU" w:eastAsia="en-AU"/>
              </w:rPr>
            </w:pPr>
            <w:r w:rsidRPr="008D1918">
              <w:rPr>
                <w:rFonts w:cs="Arial"/>
                <w:color w:val="E8CAED" w:themeColor="text1" w:themeTint="33"/>
                <w:sz w:val="14"/>
                <w:szCs w:val="14"/>
                <w:lang w:val="en-AU" w:eastAsia="en-AU"/>
              </w:rPr>
              <w:t>Blank</w:t>
            </w:r>
          </w:p>
          <w:p w:rsidRPr="008D1918" w:rsidR="009D282A" w:rsidRDefault="009D282A" w14:paraId="3F350308" w14:textId="11234EF5">
            <w:pPr>
              <w:spacing w:after="0" w:line="240" w:lineRule="auto"/>
              <w:rPr>
                <w:rFonts w:cs="Arial"/>
                <w:color w:val="000000"/>
                <w:sz w:val="14"/>
                <w:szCs w:val="14"/>
                <w:lang w:val="en-AU" w:eastAsia="en-AU"/>
              </w:rPr>
            </w:pPr>
            <w:r w:rsidRPr="008D1918">
              <w:rPr>
                <w:rFonts w:cs="Arial"/>
                <w:color w:val="E8CAED" w:themeColor="text1" w:themeTint="33"/>
                <w:sz w:val="14"/>
                <w:szCs w:val="14"/>
                <w:lang w:val="en-AU" w:eastAsia="en-AU"/>
              </w:rPr>
              <w:t>Blank</w:t>
            </w:r>
          </w:p>
        </w:tc>
        <w:tc>
          <w:tcPr>
            <w:tcW w:w="704" w:type="dxa"/>
            <w:shd w:val="clear" w:color="auto" w:fill="E8CAED" w:themeFill="accent5" w:themeFillTint="33"/>
            <w:noWrap/>
            <w:vAlign w:val="bottom"/>
            <w:hideMark/>
          </w:tcPr>
          <w:p w:rsidRPr="008D1918" w:rsidR="009D282A" w:rsidP="009D282A" w:rsidRDefault="009D282A" w14:paraId="6FC21AC0"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PHI_1</w:t>
            </w:r>
          </w:p>
        </w:tc>
        <w:tc>
          <w:tcPr>
            <w:tcW w:w="851" w:type="dxa"/>
            <w:shd w:val="clear" w:color="auto" w:fill="E8CAED" w:themeFill="accent5" w:themeFillTint="33"/>
            <w:noWrap/>
            <w:vAlign w:val="bottom"/>
            <w:hideMark/>
          </w:tcPr>
          <w:p w:rsidRPr="008D1918" w:rsidR="009D282A" w:rsidP="009D282A" w:rsidRDefault="009D282A" w14:paraId="04893795" w14:textId="77777777">
            <w:pPr>
              <w:spacing w:after="40" w:line="240" w:lineRule="auto"/>
              <w:jc w:val="center"/>
              <w:rPr>
                <w:rFonts w:cs="Arial"/>
                <w:sz w:val="14"/>
                <w:szCs w:val="14"/>
                <w:lang w:val="en-AU" w:eastAsia="en-AU"/>
              </w:rPr>
            </w:pPr>
            <w:r w:rsidRPr="008D1918">
              <w:rPr>
                <w:rFonts w:cs="Arial"/>
                <w:sz w:val="14"/>
                <w:szCs w:val="14"/>
                <w:lang w:val="en-AU" w:eastAsia="en-AU"/>
              </w:rPr>
              <w:t>$205.0</w:t>
            </w:r>
          </w:p>
        </w:tc>
        <w:tc>
          <w:tcPr>
            <w:tcW w:w="851" w:type="dxa"/>
            <w:shd w:val="clear" w:color="auto" w:fill="E8CAED" w:themeFill="accent5" w:themeFillTint="33"/>
            <w:noWrap/>
            <w:vAlign w:val="bottom"/>
            <w:hideMark/>
          </w:tcPr>
          <w:p w:rsidRPr="008D1918" w:rsidR="009D282A" w:rsidP="009D282A" w:rsidRDefault="009D282A" w14:paraId="1F25FE1C" w14:textId="77777777">
            <w:pPr>
              <w:spacing w:after="40" w:line="240" w:lineRule="auto"/>
              <w:jc w:val="center"/>
              <w:rPr>
                <w:rFonts w:cs="Arial"/>
                <w:sz w:val="14"/>
                <w:szCs w:val="14"/>
                <w:lang w:val="en-AU" w:eastAsia="en-AU"/>
              </w:rPr>
            </w:pPr>
            <w:r w:rsidRPr="008D1918">
              <w:rPr>
                <w:rFonts w:cs="Arial"/>
                <w:sz w:val="14"/>
                <w:szCs w:val="14"/>
                <w:lang w:val="en-AU" w:eastAsia="en-AU"/>
              </w:rPr>
              <w:t>$230.0</w:t>
            </w:r>
          </w:p>
        </w:tc>
        <w:tc>
          <w:tcPr>
            <w:tcW w:w="851" w:type="dxa"/>
            <w:shd w:val="clear" w:color="auto" w:fill="E8CAED" w:themeFill="accent5" w:themeFillTint="33"/>
            <w:noWrap/>
            <w:vAlign w:val="bottom"/>
            <w:hideMark/>
          </w:tcPr>
          <w:p w:rsidRPr="008D1918" w:rsidR="009D282A" w:rsidP="009D282A" w:rsidRDefault="009D282A" w14:paraId="0F924DBE" w14:textId="77777777">
            <w:pPr>
              <w:spacing w:after="40" w:line="240" w:lineRule="auto"/>
              <w:jc w:val="center"/>
              <w:rPr>
                <w:rFonts w:cs="Arial"/>
                <w:sz w:val="14"/>
                <w:szCs w:val="14"/>
                <w:lang w:val="en-AU" w:eastAsia="en-AU"/>
              </w:rPr>
            </w:pPr>
            <w:r w:rsidRPr="008D1918">
              <w:rPr>
                <w:rFonts w:cs="Arial"/>
                <w:sz w:val="14"/>
                <w:szCs w:val="14"/>
                <w:lang w:val="en-AU" w:eastAsia="en-AU"/>
              </w:rPr>
              <w:t>$250.0</w:t>
            </w:r>
          </w:p>
        </w:tc>
        <w:tc>
          <w:tcPr>
            <w:tcW w:w="851" w:type="dxa"/>
            <w:shd w:val="clear" w:color="auto" w:fill="E8CAED" w:themeFill="accent5" w:themeFillTint="33"/>
            <w:noWrap/>
            <w:vAlign w:val="bottom"/>
            <w:hideMark/>
          </w:tcPr>
          <w:p w:rsidRPr="008D1918" w:rsidR="009D282A" w:rsidP="009D282A" w:rsidRDefault="009D282A" w14:paraId="7ABD3621"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shd w:val="clear" w:color="auto" w:fill="E8CAED" w:themeFill="accent5" w:themeFillTint="33"/>
            <w:noWrap/>
            <w:vAlign w:val="bottom"/>
            <w:hideMark/>
          </w:tcPr>
          <w:p w:rsidRPr="008D1918" w:rsidR="009D282A" w:rsidP="009D282A" w:rsidRDefault="009D282A" w14:paraId="47D29476"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shd w:val="clear" w:color="auto" w:fill="E8CAED" w:themeFill="accent5" w:themeFillTint="33"/>
            <w:noWrap/>
            <w:vAlign w:val="bottom"/>
            <w:hideMark/>
          </w:tcPr>
          <w:p w:rsidRPr="008D1918" w:rsidR="009D282A" w:rsidP="009D282A" w:rsidRDefault="009D282A" w14:paraId="74965219"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shd w:val="clear" w:color="auto" w:fill="E8CAED" w:themeFill="accent5" w:themeFillTint="33"/>
            <w:noWrap/>
            <w:vAlign w:val="bottom"/>
            <w:hideMark/>
          </w:tcPr>
          <w:p w:rsidRPr="008D1918" w:rsidR="009D282A" w:rsidP="009D282A" w:rsidRDefault="009D282A" w14:paraId="45D8841D" w14:textId="77777777">
            <w:pPr>
              <w:spacing w:after="40" w:line="240" w:lineRule="auto"/>
              <w:jc w:val="center"/>
              <w:rPr>
                <w:rFonts w:cs="Arial"/>
                <w:sz w:val="14"/>
                <w:szCs w:val="14"/>
                <w:lang w:val="en-AU" w:eastAsia="en-AU"/>
              </w:rPr>
            </w:pPr>
            <w:r w:rsidRPr="008D1918">
              <w:rPr>
                <w:rFonts w:cs="Arial"/>
                <w:sz w:val="14"/>
                <w:szCs w:val="14"/>
                <w:lang w:val="en-AU" w:eastAsia="en-AU"/>
              </w:rPr>
              <w:t>$205.00</w:t>
            </w:r>
          </w:p>
        </w:tc>
        <w:tc>
          <w:tcPr>
            <w:tcW w:w="851" w:type="dxa"/>
            <w:shd w:val="clear" w:color="auto" w:fill="E8CAED" w:themeFill="accent5" w:themeFillTint="33"/>
            <w:noWrap/>
            <w:vAlign w:val="bottom"/>
            <w:hideMark/>
          </w:tcPr>
          <w:p w:rsidRPr="008D1918" w:rsidR="009D282A" w:rsidP="009D282A" w:rsidRDefault="009D282A" w14:paraId="1E513044" w14:textId="77777777">
            <w:pPr>
              <w:spacing w:after="40" w:line="240" w:lineRule="auto"/>
              <w:jc w:val="center"/>
              <w:rPr>
                <w:rFonts w:cs="Arial"/>
                <w:sz w:val="14"/>
                <w:szCs w:val="14"/>
                <w:lang w:val="en-AU" w:eastAsia="en-AU"/>
              </w:rPr>
            </w:pPr>
            <w:r w:rsidRPr="008D1918">
              <w:rPr>
                <w:rFonts w:cs="Arial"/>
                <w:sz w:val="14"/>
                <w:szCs w:val="14"/>
                <w:lang w:val="en-AU" w:eastAsia="en-AU"/>
              </w:rPr>
              <w:t>$230.00</w:t>
            </w:r>
          </w:p>
        </w:tc>
        <w:tc>
          <w:tcPr>
            <w:tcW w:w="851" w:type="dxa"/>
            <w:shd w:val="clear" w:color="auto" w:fill="E8CAED" w:themeFill="accent5" w:themeFillTint="33"/>
            <w:noWrap/>
            <w:vAlign w:val="bottom"/>
            <w:hideMark/>
          </w:tcPr>
          <w:p w:rsidRPr="008D1918" w:rsidR="009D282A" w:rsidP="009D282A" w:rsidRDefault="009D282A" w14:paraId="2BB5717A" w14:textId="77777777">
            <w:pPr>
              <w:spacing w:after="40" w:line="240" w:lineRule="auto"/>
              <w:jc w:val="center"/>
              <w:rPr>
                <w:rFonts w:cs="Arial"/>
                <w:sz w:val="14"/>
                <w:szCs w:val="14"/>
                <w:lang w:val="en-AU" w:eastAsia="en-AU"/>
              </w:rPr>
            </w:pPr>
            <w:r w:rsidRPr="008D1918">
              <w:rPr>
                <w:rFonts w:cs="Arial"/>
                <w:sz w:val="14"/>
                <w:szCs w:val="14"/>
                <w:lang w:val="en-AU" w:eastAsia="en-AU"/>
              </w:rPr>
              <w:t>$250.00</w:t>
            </w:r>
          </w:p>
        </w:tc>
        <w:tc>
          <w:tcPr>
            <w:tcW w:w="851" w:type="dxa"/>
            <w:shd w:val="clear" w:color="auto" w:fill="E8CAED" w:themeFill="accent5" w:themeFillTint="33"/>
            <w:noWrap/>
            <w:vAlign w:val="bottom"/>
            <w:hideMark/>
          </w:tcPr>
          <w:p w:rsidRPr="008D1918" w:rsidR="009D282A" w:rsidP="009D282A" w:rsidRDefault="009D282A" w14:paraId="6ACF27D0"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$232.99</w:t>
            </w:r>
          </w:p>
        </w:tc>
      </w:tr>
      <w:tr w:rsidRPr="008D1918" w:rsidR="009D282A" w:rsidTr="009D282A" w14:paraId="0CAFDD08" w14:textId="77777777">
        <w:trPr>
          <w:trHeight w:val="290"/>
        </w:trPr>
        <w:tc>
          <w:tcPr>
            <w:tcW w:w="1276" w:type="dxa"/>
            <w:vMerge/>
            <w:shd w:val="clear" w:color="auto" w:fill="E8CAED" w:themeFill="text1" w:themeFillTint="33"/>
          </w:tcPr>
          <w:p w:rsidRPr="008D1918" w:rsidR="009D282A" w:rsidRDefault="009D282A" w14:paraId="6DF44FC7" w14:textId="7CD222D2">
            <w:pPr>
              <w:spacing w:after="0" w:line="240" w:lineRule="auto"/>
              <w:rPr>
                <w:rFonts w:cs="Arial"/>
                <w:color w:val="E8CAED" w:themeColor="text1" w:themeTint="33"/>
                <w:sz w:val="14"/>
                <w:szCs w:val="14"/>
                <w:lang w:val="en-AU" w:eastAsia="en-AU"/>
              </w:rPr>
            </w:pPr>
          </w:p>
        </w:tc>
        <w:tc>
          <w:tcPr>
            <w:tcW w:w="704" w:type="dxa"/>
            <w:shd w:val="clear" w:color="auto" w:fill="E8CAED" w:themeFill="accent5" w:themeFillTint="33"/>
            <w:noWrap/>
            <w:vAlign w:val="bottom"/>
            <w:hideMark/>
          </w:tcPr>
          <w:p w:rsidRPr="008D1918" w:rsidR="009D282A" w:rsidP="009D282A" w:rsidRDefault="009D282A" w14:paraId="50A57B87"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PHI_2</w:t>
            </w:r>
          </w:p>
        </w:tc>
        <w:tc>
          <w:tcPr>
            <w:tcW w:w="851" w:type="dxa"/>
            <w:shd w:val="clear" w:color="auto" w:fill="E8CAED" w:themeFill="accent5" w:themeFillTint="33"/>
            <w:noWrap/>
            <w:vAlign w:val="bottom"/>
            <w:hideMark/>
          </w:tcPr>
          <w:p w:rsidRPr="008D1918" w:rsidR="009D282A" w:rsidP="009D282A" w:rsidRDefault="009D282A" w14:paraId="7780DC28" w14:textId="77777777">
            <w:pPr>
              <w:spacing w:after="40" w:line="240" w:lineRule="auto"/>
              <w:jc w:val="center"/>
              <w:rPr>
                <w:rFonts w:cs="Arial"/>
                <w:sz w:val="14"/>
                <w:szCs w:val="14"/>
                <w:lang w:val="en-AU" w:eastAsia="en-AU"/>
              </w:rPr>
            </w:pPr>
            <w:r w:rsidRPr="008D1918">
              <w:rPr>
                <w:rFonts w:cs="Arial"/>
                <w:sz w:val="14"/>
                <w:szCs w:val="14"/>
                <w:lang w:val="en-AU" w:eastAsia="en-AU"/>
              </w:rPr>
              <w:t>$204.1</w:t>
            </w:r>
          </w:p>
        </w:tc>
        <w:tc>
          <w:tcPr>
            <w:tcW w:w="851" w:type="dxa"/>
            <w:shd w:val="clear" w:color="auto" w:fill="E8CAED" w:themeFill="accent5" w:themeFillTint="33"/>
            <w:noWrap/>
            <w:vAlign w:val="bottom"/>
            <w:hideMark/>
          </w:tcPr>
          <w:p w:rsidRPr="008D1918" w:rsidR="009D282A" w:rsidP="009D282A" w:rsidRDefault="009D282A" w14:paraId="258ADCE0" w14:textId="77777777">
            <w:pPr>
              <w:spacing w:after="40" w:line="240" w:lineRule="auto"/>
              <w:jc w:val="center"/>
              <w:rPr>
                <w:rFonts w:cs="Arial"/>
                <w:sz w:val="14"/>
                <w:szCs w:val="14"/>
                <w:lang w:val="en-AU" w:eastAsia="en-AU"/>
              </w:rPr>
            </w:pPr>
            <w:r w:rsidRPr="008D1918">
              <w:rPr>
                <w:rFonts w:cs="Arial"/>
                <w:sz w:val="14"/>
                <w:szCs w:val="14"/>
                <w:lang w:val="en-AU" w:eastAsia="en-AU"/>
              </w:rPr>
              <w:t>$230.0</w:t>
            </w:r>
          </w:p>
        </w:tc>
        <w:tc>
          <w:tcPr>
            <w:tcW w:w="851" w:type="dxa"/>
            <w:shd w:val="clear" w:color="auto" w:fill="E8CAED" w:themeFill="accent5" w:themeFillTint="33"/>
            <w:noWrap/>
            <w:vAlign w:val="bottom"/>
            <w:hideMark/>
          </w:tcPr>
          <w:p w:rsidRPr="008D1918" w:rsidR="009D282A" w:rsidP="009D282A" w:rsidRDefault="009D282A" w14:paraId="5B48380B" w14:textId="77777777">
            <w:pPr>
              <w:spacing w:after="40" w:line="240" w:lineRule="auto"/>
              <w:jc w:val="center"/>
              <w:rPr>
                <w:rFonts w:cs="Arial"/>
                <w:sz w:val="14"/>
                <w:szCs w:val="14"/>
                <w:lang w:val="en-AU" w:eastAsia="en-AU"/>
              </w:rPr>
            </w:pPr>
            <w:r w:rsidRPr="008D1918">
              <w:rPr>
                <w:rFonts w:cs="Arial"/>
                <w:sz w:val="14"/>
                <w:szCs w:val="14"/>
                <w:lang w:val="en-AU" w:eastAsia="en-AU"/>
              </w:rPr>
              <w:t>$252.0</w:t>
            </w:r>
          </w:p>
        </w:tc>
        <w:tc>
          <w:tcPr>
            <w:tcW w:w="851" w:type="dxa"/>
            <w:shd w:val="clear" w:color="auto" w:fill="E8CAED" w:themeFill="accent5" w:themeFillTint="33"/>
            <w:noWrap/>
            <w:vAlign w:val="bottom"/>
            <w:hideMark/>
          </w:tcPr>
          <w:p w:rsidRPr="008D1918" w:rsidR="009D282A" w:rsidP="009D282A" w:rsidRDefault="009D282A" w14:paraId="7C9AE073"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shd w:val="clear" w:color="auto" w:fill="E8CAED" w:themeFill="accent5" w:themeFillTint="33"/>
            <w:noWrap/>
            <w:vAlign w:val="bottom"/>
            <w:hideMark/>
          </w:tcPr>
          <w:p w:rsidRPr="008D1918" w:rsidR="009D282A" w:rsidP="009D282A" w:rsidRDefault="009D282A" w14:paraId="5CA18F8A"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shd w:val="clear" w:color="auto" w:fill="E8CAED" w:themeFill="accent5" w:themeFillTint="33"/>
            <w:noWrap/>
            <w:vAlign w:val="bottom"/>
            <w:hideMark/>
          </w:tcPr>
          <w:p w:rsidRPr="008D1918" w:rsidR="009D282A" w:rsidP="009D282A" w:rsidRDefault="009D282A" w14:paraId="3D0C9366"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shd w:val="clear" w:color="auto" w:fill="E8CAED" w:themeFill="accent5" w:themeFillTint="33"/>
            <w:noWrap/>
            <w:vAlign w:val="bottom"/>
            <w:hideMark/>
          </w:tcPr>
          <w:p w:rsidRPr="008D1918" w:rsidR="009D282A" w:rsidP="009D282A" w:rsidRDefault="009D282A" w14:paraId="267F89F8" w14:textId="77777777">
            <w:pPr>
              <w:spacing w:after="40" w:line="240" w:lineRule="auto"/>
              <w:jc w:val="center"/>
              <w:rPr>
                <w:rFonts w:cs="Arial"/>
                <w:sz w:val="14"/>
                <w:szCs w:val="14"/>
                <w:lang w:val="en-AU" w:eastAsia="en-AU"/>
              </w:rPr>
            </w:pPr>
            <w:r w:rsidRPr="008D1918">
              <w:rPr>
                <w:rFonts w:cs="Arial"/>
                <w:sz w:val="14"/>
                <w:szCs w:val="14"/>
                <w:lang w:val="en-AU" w:eastAsia="en-AU"/>
              </w:rPr>
              <w:t>$204.10</w:t>
            </w:r>
          </w:p>
        </w:tc>
        <w:tc>
          <w:tcPr>
            <w:tcW w:w="851" w:type="dxa"/>
            <w:shd w:val="clear" w:color="auto" w:fill="E8CAED" w:themeFill="accent5" w:themeFillTint="33"/>
            <w:noWrap/>
            <w:vAlign w:val="bottom"/>
            <w:hideMark/>
          </w:tcPr>
          <w:p w:rsidRPr="008D1918" w:rsidR="009D282A" w:rsidP="009D282A" w:rsidRDefault="009D282A" w14:paraId="05DCC7BD" w14:textId="77777777">
            <w:pPr>
              <w:spacing w:after="40" w:line="240" w:lineRule="auto"/>
              <w:jc w:val="center"/>
              <w:rPr>
                <w:rFonts w:cs="Arial"/>
                <w:sz w:val="14"/>
                <w:szCs w:val="14"/>
                <w:lang w:val="en-AU" w:eastAsia="en-AU"/>
              </w:rPr>
            </w:pPr>
            <w:r w:rsidRPr="008D1918">
              <w:rPr>
                <w:rFonts w:cs="Arial"/>
                <w:sz w:val="14"/>
                <w:szCs w:val="14"/>
                <w:lang w:val="en-AU" w:eastAsia="en-AU"/>
              </w:rPr>
              <w:t>$230.00</w:t>
            </w:r>
          </w:p>
        </w:tc>
        <w:tc>
          <w:tcPr>
            <w:tcW w:w="851" w:type="dxa"/>
            <w:shd w:val="clear" w:color="auto" w:fill="E8CAED" w:themeFill="accent5" w:themeFillTint="33"/>
            <w:noWrap/>
            <w:vAlign w:val="bottom"/>
            <w:hideMark/>
          </w:tcPr>
          <w:p w:rsidRPr="008D1918" w:rsidR="009D282A" w:rsidP="009D282A" w:rsidRDefault="009D282A" w14:paraId="01E74C92" w14:textId="77777777">
            <w:pPr>
              <w:spacing w:after="40" w:line="240" w:lineRule="auto"/>
              <w:jc w:val="center"/>
              <w:rPr>
                <w:rFonts w:cs="Arial"/>
                <w:sz w:val="14"/>
                <w:szCs w:val="14"/>
                <w:lang w:val="en-AU" w:eastAsia="en-AU"/>
              </w:rPr>
            </w:pPr>
            <w:r w:rsidRPr="008D1918">
              <w:rPr>
                <w:rFonts w:cs="Arial"/>
                <w:sz w:val="14"/>
                <w:szCs w:val="14"/>
                <w:lang w:val="en-AU" w:eastAsia="en-AU"/>
              </w:rPr>
              <w:t>$252.00</w:t>
            </w:r>
          </w:p>
        </w:tc>
        <w:tc>
          <w:tcPr>
            <w:tcW w:w="851" w:type="dxa"/>
            <w:shd w:val="clear" w:color="auto" w:fill="E8CAED" w:themeFill="accent5" w:themeFillTint="33"/>
            <w:noWrap/>
            <w:vAlign w:val="bottom"/>
            <w:hideMark/>
          </w:tcPr>
          <w:p w:rsidRPr="008D1918" w:rsidR="009D282A" w:rsidP="009D282A" w:rsidRDefault="009D282A" w14:paraId="21712547"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$232.99</w:t>
            </w:r>
          </w:p>
        </w:tc>
      </w:tr>
      <w:tr w:rsidRPr="008D1918" w:rsidR="009D282A" w:rsidTr="009D282A" w14:paraId="735C0641" w14:textId="77777777">
        <w:trPr>
          <w:trHeight w:val="290"/>
        </w:trPr>
        <w:tc>
          <w:tcPr>
            <w:tcW w:w="1276" w:type="dxa"/>
            <w:vMerge/>
            <w:shd w:val="clear" w:color="auto" w:fill="E8CAED" w:themeFill="text1" w:themeFillTint="33"/>
          </w:tcPr>
          <w:p w:rsidRPr="008D1918" w:rsidR="009D282A" w:rsidRDefault="009D282A" w14:paraId="51BF23EB" w14:textId="3C173D45">
            <w:pPr>
              <w:spacing w:after="0" w:line="240" w:lineRule="auto"/>
              <w:rPr>
                <w:rFonts w:cs="Arial"/>
                <w:color w:val="E8CAED" w:themeColor="text1" w:themeTint="33"/>
                <w:sz w:val="14"/>
                <w:szCs w:val="14"/>
                <w:lang w:val="en-AU" w:eastAsia="en-AU"/>
              </w:rPr>
            </w:pPr>
          </w:p>
        </w:tc>
        <w:tc>
          <w:tcPr>
            <w:tcW w:w="704" w:type="dxa"/>
            <w:shd w:val="clear" w:color="auto" w:fill="E8CAED" w:themeFill="accent5" w:themeFillTint="33"/>
            <w:noWrap/>
            <w:vAlign w:val="bottom"/>
            <w:hideMark/>
          </w:tcPr>
          <w:p w:rsidRPr="008D1918" w:rsidR="009D282A" w:rsidP="009D282A" w:rsidRDefault="009D282A" w14:paraId="2CD1C810"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MBS</w:t>
            </w:r>
          </w:p>
        </w:tc>
        <w:tc>
          <w:tcPr>
            <w:tcW w:w="851" w:type="dxa"/>
            <w:shd w:val="clear" w:color="auto" w:fill="E8CAED" w:themeFill="accent5" w:themeFillTint="33"/>
            <w:noWrap/>
            <w:vAlign w:val="bottom"/>
            <w:hideMark/>
          </w:tcPr>
          <w:p w:rsidRPr="008D1918" w:rsidR="009D282A" w:rsidP="009D282A" w:rsidRDefault="009D282A" w14:paraId="06F4D18D" w14:textId="77777777">
            <w:pPr>
              <w:spacing w:after="40" w:line="240" w:lineRule="auto"/>
              <w:jc w:val="center"/>
              <w:rPr>
                <w:rFonts w:cs="Arial"/>
                <w:sz w:val="14"/>
                <w:szCs w:val="14"/>
                <w:lang w:val="en-AU" w:eastAsia="en-AU"/>
              </w:rPr>
            </w:pPr>
            <w:r w:rsidRPr="008D1918">
              <w:rPr>
                <w:rFonts w:cs="Arial"/>
                <w:sz w:val="14"/>
                <w:szCs w:val="14"/>
                <w:lang w:val="en-AU" w:eastAsia="en-AU"/>
              </w:rPr>
              <w:t>$205.0</w:t>
            </w:r>
          </w:p>
        </w:tc>
        <w:tc>
          <w:tcPr>
            <w:tcW w:w="851" w:type="dxa"/>
            <w:shd w:val="clear" w:color="auto" w:fill="E8CAED" w:themeFill="accent5" w:themeFillTint="33"/>
            <w:noWrap/>
            <w:vAlign w:val="bottom"/>
            <w:hideMark/>
          </w:tcPr>
          <w:p w:rsidRPr="008D1918" w:rsidR="009D282A" w:rsidP="009D282A" w:rsidRDefault="009D282A" w14:paraId="7917C97D" w14:textId="77777777">
            <w:pPr>
              <w:spacing w:after="40" w:line="240" w:lineRule="auto"/>
              <w:jc w:val="center"/>
              <w:rPr>
                <w:rFonts w:cs="Arial"/>
                <w:sz w:val="14"/>
                <w:szCs w:val="14"/>
                <w:lang w:val="en-AU" w:eastAsia="en-AU"/>
              </w:rPr>
            </w:pPr>
            <w:r w:rsidRPr="008D1918">
              <w:rPr>
                <w:rFonts w:cs="Arial"/>
                <w:sz w:val="14"/>
                <w:szCs w:val="14"/>
                <w:lang w:val="en-AU" w:eastAsia="en-AU"/>
              </w:rPr>
              <w:t>$240.0</w:t>
            </w:r>
          </w:p>
        </w:tc>
        <w:tc>
          <w:tcPr>
            <w:tcW w:w="851" w:type="dxa"/>
            <w:shd w:val="clear" w:color="auto" w:fill="E8CAED" w:themeFill="accent5" w:themeFillTint="33"/>
            <w:noWrap/>
            <w:vAlign w:val="bottom"/>
            <w:hideMark/>
          </w:tcPr>
          <w:p w:rsidRPr="008D1918" w:rsidR="009D282A" w:rsidP="009D282A" w:rsidRDefault="009D282A" w14:paraId="2099B440" w14:textId="77777777">
            <w:pPr>
              <w:spacing w:after="40" w:line="240" w:lineRule="auto"/>
              <w:jc w:val="center"/>
              <w:rPr>
                <w:rFonts w:cs="Arial"/>
                <w:sz w:val="14"/>
                <w:szCs w:val="14"/>
                <w:lang w:val="en-AU" w:eastAsia="en-AU"/>
              </w:rPr>
            </w:pPr>
            <w:r w:rsidRPr="008D1918">
              <w:rPr>
                <w:rFonts w:cs="Arial"/>
                <w:sz w:val="14"/>
                <w:szCs w:val="14"/>
                <w:lang w:val="en-AU" w:eastAsia="en-AU"/>
              </w:rPr>
              <w:t>$260.0</w:t>
            </w:r>
          </w:p>
        </w:tc>
        <w:tc>
          <w:tcPr>
            <w:tcW w:w="851" w:type="dxa"/>
            <w:shd w:val="clear" w:color="auto" w:fill="E8CAED" w:themeFill="accent5" w:themeFillTint="33"/>
            <w:noWrap/>
            <w:vAlign w:val="bottom"/>
            <w:hideMark/>
          </w:tcPr>
          <w:p w:rsidRPr="008D1918" w:rsidR="009D282A" w:rsidP="009D282A" w:rsidRDefault="009D282A" w14:paraId="43A4CE32"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shd w:val="clear" w:color="auto" w:fill="E8CAED" w:themeFill="accent5" w:themeFillTint="33"/>
            <w:noWrap/>
            <w:vAlign w:val="bottom"/>
            <w:hideMark/>
          </w:tcPr>
          <w:p w:rsidRPr="008D1918" w:rsidR="009D282A" w:rsidP="009D282A" w:rsidRDefault="009D282A" w14:paraId="248730ED"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shd w:val="clear" w:color="auto" w:fill="E8CAED" w:themeFill="accent5" w:themeFillTint="33"/>
            <w:noWrap/>
            <w:vAlign w:val="bottom"/>
            <w:hideMark/>
          </w:tcPr>
          <w:p w:rsidRPr="008D1918" w:rsidR="009D282A" w:rsidP="009D282A" w:rsidRDefault="009D282A" w14:paraId="716CC8FD"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shd w:val="clear" w:color="auto" w:fill="E8CAED" w:themeFill="accent5" w:themeFillTint="33"/>
            <w:noWrap/>
            <w:vAlign w:val="bottom"/>
            <w:hideMark/>
          </w:tcPr>
          <w:p w:rsidRPr="008D1918" w:rsidR="009D282A" w:rsidP="009D282A" w:rsidRDefault="009D282A" w14:paraId="75678A64" w14:textId="77777777">
            <w:pPr>
              <w:spacing w:after="40" w:line="240" w:lineRule="auto"/>
              <w:jc w:val="center"/>
              <w:rPr>
                <w:rFonts w:cs="Arial"/>
                <w:sz w:val="14"/>
                <w:szCs w:val="14"/>
                <w:lang w:val="en-AU" w:eastAsia="en-AU"/>
              </w:rPr>
            </w:pPr>
            <w:r w:rsidRPr="008D1918">
              <w:rPr>
                <w:rFonts w:cs="Arial"/>
                <w:sz w:val="14"/>
                <w:szCs w:val="14"/>
                <w:lang w:val="en-AU" w:eastAsia="en-AU"/>
              </w:rPr>
              <w:t>$205.00</w:t>
            </w:r>
          </w:p>
        </w:tc>
        <w:tc>
          <w:tcPr>
            <w:tcW w:w="851" w:type="dxa"/>
            <w:shd w:val="clear" w:color="auto" w:fill="E8CAED" w:themeFill="accent5" w:themeFillTint="33"/>
            <w:noWrap/>
            <w:vAlign w:val="bottom"/>
            <w:hideMark/>
          </w:tcPr>
          <w:p w:rsidRPr="008D1918" w:rsidR="009D282A" w:rsidP="009D282A" w:rsidRDefault="009D282A" w14:paraId="20352188" w14:textId="77777777">
            <w:pPr>
              <w:spacing w:after="40" w:line="240" w:lineRule="auto"/>
              <w:jc w:val="center"/>
              <w:rPr>
                <w:rFonts w:cs="Arial"/>
                <w:sz w:val="14"/>
                <w:szCs w:val="14"/>
                <w:lang w:val="en-AU" w:eastAsia="en-AU"/>
              </w:rPr>
            </w:pPr>
            <w:r w:rsidRPr="008D1918">
              <w:rPr>
                <w:rFonts w:cs="Arial"/>
                <w:sz w:val="14"/>
                <w:szCs w:val="14"/>
                <w:lang w:val="en-AU" w:eastAsia="en-AU"/>
              </w:rPr>
              <w:t>$240.00</w:t>
            </w:r>
          </w:p>
        </w:tc>
        <w:tc>
          <w:tcPr>
            <w:tcW w:w="851" w:type="dxa"/>
            <w:shd w:val="clear" w:color="auto" w:fill="E8CAED" w:themeFill="accent5" w:themeFillTint="33"/>
            <w:noWrap/>
            <w:vAlign w:val="bottom"/>
            <w:hideMark/>
          </w:tcPr>
          <w:p w:rsidRPr="008D1918" w:rsidR="009D282A" w:rsidP="009D282A" w:rsidRDefault="009D282A" w14:paraId="315413FB" w14:textId="77777777">
            <w:pPr>
              <w:spacing w:after="40" w:line="240" w:lineRule="auto"/>
              <w:jc w:val="center"/>
              <w:rPr>
                <w:rFonts w:cs="Arial"/>
                <w:sz w:val="14"/>
                <w:szCs w:val="14"/>
                <w:lang w:val="en-AU" w:eastAsia="en-AU"/>
              </w:rPr>
            </w:pPr>
            <w:r w:rsidRPr="008D1918">
              <w:rPr>
                <w:rFonts w:cs="Arial"/>
                <w:sz w:val="14"/>
                <w:szCs w:val="14"/>
                <w:lang w:val="en-AU" w:eastAsia="en-AU"/>
              </w:rPr>
              <w:t>$260.00</w:t>
            </w:r>
          </w:p>
        </w:tc>
        <w:tc>
          <w:tcPr>
            <w:tcW w:w="851" w:type="dxa"/>
            <w:shd w:val="clear" w:color="auto" w:fill="E8CAED" w:themeFill="accent5" w:themeFillTint="33"/>
            <w:noWrap/>
            <w:vAlign w:val="bottom"/>
            <w:hideMark/>
          </w:tcPr>
          <w:p w:rsidRPr="008D1918" w:rsidR="009D282A" w:rsidP="009D282A" w:rsidRDefault="009D282A" w14:paraId="018F5928"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$232.99</w:t>
            </w:r>
          </w:p>
        </w:tc>
      </w:tr>
      <w:tr w:rsidRPr="008D1918" w:rsidR="009D282A" w:rsidTr="009D282A" w14:paraId="2318C774" w14:textId="77777777">
        <w:trPr>
          <w:trHeight w:val="290"/>
        </w:trPr>
        <w:tc>
          <w:tcPr>
            <w:tcW w:w="1276" w:type="dxa"/>
            <w:vMerge w:val="restart"/>
            <w:shd w:val="clear" w:color="auto" w:fill="FFFFFF"/>
          </w:tcPr>
          <w:p w:rsidRPr="008D1918" w:rsidR="009D282A" w:rsidRDefault="009D282A" w14:paraId="1E85E011" w14:textId="77777777">
            <w:pPr>
              <w:spacing w:after="0" w:line="240" w:lineRule="auto"/>
              <w:rPr>
                <w:rFonts w:cs="Arial"/>
                <w:color w:val="000000"/>
                <w:sz w:val="14"/>
                <w:szCs w:val="14"/>
                <w:lang w:val="en-AU" w:eastAsia="en-AU"/>
              </w:rPr>
            </w:pPr>
            <w:r w:rsidRPr="008D1918">
              <w:rPr>
                <w:rFonts w:cs="Arial"/>
                <w:color w:val="000000"/>
                <w:sz w:val="14"/>
                <w:szCs w:val="14"/>
                <w:lang w:val="en-AU" w:eastAsia="en-AU"/>
              </w:rPr>
              <w:t>Speech Pathologists</w:t>
            </w:r>
          </w:p>
          <w:p w:rsidRPr="008D1918" w:rsidR="009D282A" w:rsidRDefault="009D282A" w14:paraId="10F1B53C" w14:textId="77777777">
            <w:pPr>
              <w:spacing w:after="0" w:line="240" w:lineRule="auto"/>
              <w:rPr>
                <w:rFonts w:cs="Arial"/>
                <w:color w:val="000000"/>
                <w:sz w:val="14"/>
                <w:szCs w:val="14"/>
                <w:lang w:val="en-AU" w:eastAsia="en-AU"/>
              </w:rPr>
            </w:pPr>
            <w:r w:rsidRPr="008D1918">
              <w:rPr>
                <w:rFonts w:cs="Arial"/>
                <w:color w:val="F9F9F9" w:themeColor="background1"/>
                <w:sz w:val="14"/>
                <w:szCs w:val="14"/>
                <w:lang w:val="en-AU" w:eastAsia="en-AU"/>
              </w:rPr>
              <w:t>Blank</w:t>
            </w:r>
          </w:p>
          <w:p w:rsidRPr="008D1918" w:rsidR="009D282A" w:rsidRDefault="009D282A" w14:paraId="2C68EAB2" w14:textId="23C27619">
            <w:pPr>
              <w:spacing w:after="0" w:line="240" w:lineRule="auto"/>
              <w:rPr>
                <w:rFonts w:cs="Arial"/>
                <w:color w:val="000000"/>
                <w:sz w:val="14"/>
                <w:szCs w:val="14"/>
                <w:lang w:val="en-AU" w:eastAsia="en-AU"/>
              </w:rPr>
            </w:pPr>
            <w:r w:rsidRPr="008D1918">
              <w:rPr>
                <w:rFonts w:cs="Arial"/>
                <w:color w:val="F9F9F9" w:themeColor="background1"/>
                <w:sz w:val="14"/>
                <w:szCs w:val="14"/>
                <w:lang w:val="en-AU" w:eastAsia="en-AU"/>
              </w:rPr>
              <w:t>Blank</w:t>
            </w:r>
          </w:p>
        </w:tc>
        <w:tc>
          <w:tcPr>
            <w:tcW w:w="704" w:type="dxa"/>
            <w:shd w:val="clear" w:color="auto" w:fill="FFFFFF"/>
            <w:noWrap/>
            <w:vAlign w:val="bottom"/>
            <w:hideMark/>
          </w:tcPr>
          <w:p w:rsidRPr="008D1918" w:rsidR="009D282A" w:rsidP="009D282A" w:rsidRDefault="009D282A" w14:paraId="50007013"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PHI_1</w:t>
            </w:r>
          </w:p>
        </w:tc>
        <w:tc>
          <w:tcPr>
            <w:tcW w:w="851" w:type="dxa"/>
            <w:shd w:val="clear" w:color="auto" w:fill="FFFFFF"/>
            <w:noWrap/>
            <w:vAlign w:val="bottom"/>
            <w:hideMark/>
          </w:tcPr>
          <w:p w:rsidRPr="008D1918" w:rsidR="009D282A" w:rsidP="009D282A" w:rsidRDefault="009D282A" w14:paraId="3BD878B2" w14:textId="77777777">
            <w:pPr>
              <w:spacing w:after="40" w:line="240" w:lineRule="auto"/>
              <w:jc w:val="center"/>
              <w:rPr>
                <w:rFonts w:cs="Arial"/>
                <w:sz w:val="14"/>
                <w:szCs w:val="14"/>
                <w:lang w:val="en-AU" w:eastAsia="en-AU"/>
              </w:rPr>
            </w:pPr>
            <w:r w:rsidRPr="008D1918">
              <w:rPr>
                <w:rFonts w:cs="Arial"/>
                <w:sz w:val="14"/>
                <w:szCs w:val="14"/>
                <w:lang w:val="en-AU" w:eastAsia="en-AU"/>
              </w:rPr>
              <w:t>$108.0</w:t>
            </w:r>
          </w:p>
        </w:tc>
        <w:tc>
          <w:tcPr>
            <w:tcW w:w="851" w:type="dxa"/>
            <w:shd w:val="clear" w:color="auto" w:fill="FFFFFF"/>
            <w:noWrap/>
            <w:vAlign w:val="bottom"/>
            <w:hideMark/>
          </w:tcPr>
          <w:p w:rsidRPr="008D1918" w:rsidR="009D282A" w:rsidP="009D282A" w:rsidRDefault="009D282A" w14:paraId="7A9B1ECD" w14:textId="77777777">
            <w:pPr>
              <w:spacing w:after="40" w:line="240" w:lineRule="auto"/>
              <w:jc w:val="center"/>
              <w:rPr>
                <w:rFonts w:cs="Arial"/>
                <w:sz w:val="14"/>
                <w:szCs w:val="14"/>
                <w:lang w:val="en-AU" w:eastAsia="en-AU"/>
              </w:rPr>
            </w:pPr>
            <w:r w:rsidRPr="008D1918">
              <w:rPr>
                <w:rFonts w:cs="Arial"/>
                <w:sz w:val="14"/>
                <w:szCs w:val="14"/>
                <w:lang w:val="en-AU" w:eastAsia="en-AU"/>
              </w:rPr>
              <w:t>$145.5</w:t>
            </w:r>
          </w:p>
        </w:tc>
        <w:tc>
          <w:tcPr>
            <w:tcW w:w="851" w:type="dxa"/>
            <w:shd w:val="clear" w:color="auto" w:fill="FFFFFF"/>
            <w:noWrap/>
            <w:vAlign w:val="bottom"/>
            <w:hideMark/>
          </w:tcPr>
          <w:p w:rsidRPr="008D1918" w:rsidR="009D282A" w:rsidP="009D282A" w:rsidRDefault="009D282A" w14:paraId="2BF98C05" w14:textId="77777777">
            <w:pPr>
              <w:spacing w:after="40" w:line="240" w:lineRule="auto"/>
              <w:jc w:val="center"/>
              <w:rPr>
                <w:rFonts w:cs="Arial"/>
                <w:sz w:val="14"/>
                <w:szCs w:val="14"/>
                <w:lang w:val="en-AU" w:eastAsia="en-AU"/>
              </w:rPr>
            </w:pPr>
            <w:r w:rsidRPr="008D1918">
              <w:rPr>
                <w:rFonts w:cs="Arial"/>
                <w:sz w:val="14"/>
                <w:szCs w:val="14"/>
                <w:lang w:val="en-AU" w:eastAsia="en-AU"/>
              </w:rPr>
              <w:t>$190.0</w:t>
            </w:r>
          </w:p>
        </w:tc>
        <w:tc>
          <w:tcPr>
            <w:tcW w:w="851" w:type="dxa"/>
            <w:noWrap/>
            <w:vAlign w:val="bottom"/>
            <w:hideMark/>
          </w:tcPr>
          <w:p w:rsidRPr="008D1918" w:rsidR="009D282A" w:rsidP="009D282A" w:rsidRDefault="009D282A" w14:paraId="1F7D64E0" w14:textId="77777777">
            <w:pPr>
              <w:spacing w:after="40" w:line="240" w:lineRule="auto"/>
              <w:jc w:val="center"/>
              <w:rPr>
                <w:rFonts w:cs="Arial"/>
                <w:sz w:val="14"/>
                <w:szCs w:val="14"/>
                <w:lang w:val="en-AU" w:eastAsia="en-AU"/>
              </w:rPr>
            </w:pPr>
            <w:r w:rsidRPr="008D1918">
              <w:rPr>
                <w:rFonts w:cs="Arial"/>
                <w:sz w:val="14"/>
                <w:szCs w:val="14"/>
                <w:lang w:val="en-AU" w:eastAsia="en-AU"/>
              </w:rPr>
              <w:t>38.9</w:t>
            </w:r>
          </w:p>
        </w:tc>
        <w:tc>
          <w:tcPr>
            <w:tcW w:w="851" w:type="dxa"/>
            <w:noWrap/>
            <w:vAlign w:val="bottom"/>
            <w:hideMark/>
          </w:tcPr>
          <w:p w:rsidRPr="008D1918" w:rsidR="009D282A" w:rsidP="009D282A" w:rsidRDefault="009D282A" w14:paraId="28939CAD" w14:textId="77777777">
            <w:pPr>
              <w:spacing w:after="40" w:line="240" w:lineRule="auto"/>
              <w:jc w:val="center"/>
              <w:rPr>
                <w:rFonts w:cs="Arial"/>
                <w:sz w:val="14"/>
                <w:szCs w:val="14"/>
                <w:lang w:val="en-AU" w:eastAsia="en-AU"/>
              </w:rPr>
            </w:pPr>
            <w:r w:rsidRPr="008D1918">
              <w:rPr>
                <w:rFonts w:cs="Arial"/>
                <w:sz w:val="14"/>
                <w:szCs w:val="14"/>
                <w:lang w:val="en-AU" w:eastAsia="en-AU"/>
              </w:rPr>
              <w:t>45.0</w:t>
            </w:r>
          </w:p>
        </w:tc>
        <w:tc>
          <w:tcPr>
            <w:tcW w:w="851" w:type="dxa"/>
            <w:noWrap/>
            <w:vAlign w:val="bottom"/>
            <w:hideMark/>
          </w:tcPr>
          <w:p w:rsidRPr="008D1918" w:rsidR="009D282A" w:rsidP="009D282A" w:rsidRDefault="009D282A" w14:paraId="41EE4E46" w14:textId="77777777">
            <w:pPr>
              <w:spacing w:after="40" w:line="240" w:lineRule="auto"/>
              <w:jc w:val="center"/>
              <w:rPr>
                <w:rFonts w:cs="Arial"/>
                <w:sz w:val="14"/>
                <w:szCs w:val="14"/>
                <w:lang w:val="en-AU" w:eastAsia="en-AU"/>
              </w:rPr>
            </w:pPr>
            <w:r w:rsidRPr="008D1918">
              <w:rPr>
                <w:rFonts w:cs="Arial"/>
                <w:sz w:val="14"/>
                <w:szCs w:val="14"/>
                <w:lang w:val="en-AU" w:eastAsia="en-AU"/>
              </w:rPr>
              <w:t>52.3</w:t>
            </w:r>
          </w:p>
        </w:tc>
        <w:tc>
          <w:tcPr>
            <w:tcW w:w="851" w:type="dxa"/>
            <w:noWrap/>
            <w:vAlign w:val="bottom"/>
            <w:hideMark/>
          </w:tcPr>
          <w:p w:rsidRPr="008D1918" w:rsidR="009D282A" w:rsidP="009D282A" w:rsidRDefault="009D282A" w14:paraId="6E3D9A76" w14:textId="77777777">
            <w:pPr>
              <w:spacing w:after="40" w:line="240" w:lineRule="auto"/>
              <w:jc w:val="center"/>
              <w:rPr>
                <w:rFonts w:cs="Arial"/>
                <w:sz w:val="14"/>
                <w:szCs w:val="14"/>
                <w:lang w:val="en-AU" w:eastAsia="en-AU"/>
              </w:rPr>
            </w:pPr>
            <w:r w:rsidRPr="008D1918">
              <w:rPr>
                <w:rFonts w:cs="Arial"/>
                <w:sz w:val="14"/>
                <w:szCs w:val="14"/>
                <w:lang w:val="en-AU" w:eastAsia="en-AU"/>
              </w:rPr>
              <w:t>$166.80</w:t>
            </w:r>
          </w:p>
        </w:tc>
        <w:tc>
          <w:tcPr>
            <w:tcW w:w="851" w:type="dxa"/>
            <w:shd w:val="clear" w:color="auto" w:fill="FFFFFF"/>
            <w:noWrap/>
            <w:vAlign w:val="bottom"/>
            <w:hideMark/>
          </w:tcPr>
          <w:p w:rsidRPr="008D1918" w:rsidR="009D282A" w:rsidP="009D282A" w:rsidRDefault="009D282A" w14:paraId="4C5B8233" w14:textId="77777777">
            <w:pPr>
              <w:spacing w:after="40" w:line="240" w:lineRule="auto"/>
              <w:jc w:val="center"/>
              <w:rPr>
                <w:rFonts w:cs="Arial"/>
                <w:sz w:val="14"/>
                <w:szCs w:val="14"/>
                <w:lang w:val="en-AU" w:eastAsia="en-AU"/>
              </w:rPr>
            </w:pPr>
            <w:r w:rsidRPr="008D1918">
              <w:rPr>
                <w:rFonts w:cs="Arial"/>
                <w:sz w:val="14"/>
                <w:szCs w:val="14"/>
                <w:lang w:val="en-AU" w:eastAsia="en-AU"/>
              </w:rPr>
              <w:t>$194.00</w:t>
            </w:r>
          </w:p>
        </w:tc>
        <w:tc>
          <w:tcPr>
            <w:tcW w:w="851" w:type="dxa"/>
            <w:shd w:val="clear" w:color="auto" w:fill="FFFFFF"/>
            <w:noWrap/>
            <w:vAlign w:val="bottom"/>
            <w:hideMark/>
          </w:tcPr>
          <w:p w:rsidRPr="008D1918" w:rsidR="009D282A" w:rsidP="009D282A" w:rsidRDefault="009D282A" w14:paraId="6D9EB691" w14:textId="77777777">
            <w:pPr>
              <w:spacing w:after="40" w:line="240" w:lineRule="auto"/>
              <w:jc w:val="center"/>
              <w:rPr>
                <w:rFonts w:cs="Arial"/>
                <w:sz w:val="14"/>
                <w:szCs w:val="14"/>
                <w:lang w:val="en-AU" w:eastAsia="en-AU"/>
              </w:rPr>
            </w:pPr>
            <w:r w:rsidRPr="008D1918">
              <w:rPr>
                <w:rFonts w:cs="Arial"/>
                <w:sz w:val="14"/>
                <w:szCs w:val="14"/>
                <w:lang w:val="en-AU" w:eastAsia="en-AU"/>
              </w:rPr>
              <w:t>$217.98</w:t>
            </w:r>
          </w:p>
        </w:tc>
        <w:tc>
          <w:tcPr>
            <w:tcW w:w="851" w:type="dxa"/>
            <w:noWrap/>
            <w:vAlign w:val="bottom"/>
            <w:hideMark/>
          </w:tcPr>
          <w:p w:rsidRPr="008D1918" w:rsidR="009D282A" w:rsidP="009D282A" w:rsidRDefault="009D282A" w14:paraId="7CCEC2EC"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$193.99</w:t>
            </w:r>
          </w:p>
        </w:tc>
      </w:tr>
      <w:tr w:rsidRPr="008D1918" w:rsidR="009D282A" w:rsidTr="009D282A" w14:paraId="6209215B" w14:textId="77777777">
        <w:trPr>
          <w:trHeight w:val="290"/>
        </w:trPr>
        <w:tc>
          <w:tcPr>
            <w:tcW w:w="1276" w:type="dxa"/>
            <w:vMerge/>
          </w:tcPr>
          <w:p w:rsidRPr="008D1918" w:rsidR="009D282A" w:rsidRDefault="009D282A" w14:paraId="08A88064" w14:textId="4855CC27">
            <w:pPr>
              <w:spacing w:after="0" w:line="240" w:lineRule="auto"/>
              <w:rPr>
                <w:rFonts w:cs="Arial"/>
                <w:color w:val="000000"/>
                <w:sz w:val="14"/>
                <w:szCs w:val="14"/>
                <w:lang w:val="en-AU" w:eastAsia="en-AU"/>
              </w:rPr>
            </w:pPr>
          </w:p>
        </w:tc>
        <w:tc>
          <w:tcPr>
            <w:tcW w:w="704" w:type="dxa"/>
            <w:shd w:val="clear" w:color="auto" w:fill="FFFFFF"/>
            <w:noWrap/>
            <w:vAlign w:val="bottom"/>
            <w:hideMark/>
          </w:tcPr>
          <w:p w:rsidRPr="008D1918" w:rsidR="009D282A" w:rsidP="009D282A" w:rsidRDefault="009D282A" w14:paraId="4352283C"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PHI_2</w:t>
            </w:r>
          </w:p>
        </w:tc>
        <w:tc>
          <w:tcPr>
            <w:tcW w:w="851" w:type="dxa"/>
            <w:shd w:val="clear" w:color="auto" w:fill="FFFFFF"/>
            <w:noWrap/>
            <w:vAlign w:val="bottom"/>
            <w:hideMark/>
          </w:tcPr>
          <w:p w:rsidRPr="008D1918" w:rsidR="009D282A" w:rsidP="009D282A" w:rsidRDefault="009D282A" w14:paraId="41DE7092" w14:textId="77777777">
            <w:pPr>
              <w:spacing w:after="40" w:line="240" w:lineRule="auto"/>
              <w:jc w:val="center"/>
              <w:rPr>
                <w:rFonts w:cs="Arial"/>
                <w:sz w:val="14"/>
                <w:szCs w:val="14"/>
                <w:lang w:val="en-AU" w:eastAsia="en-AU"/>
              </w:rPr>
            </w:pPr>
            <w:r w:rsidRPr="008D1918">
              <w:rPr>
                <w:rFonts w:cs="Arial"/>
                <w:sz w:val="14"/>
                <w:szCs w:val="14"/>
                <w:lang w:val="en-AU" w:eastAsia="en-AU"/>
              </w:rPr>
              <w:t>$105.0</w:t>
            </w:r>
          </w:p>
        </w:tc>
        <w:tc>
          <w:tcPr>
            <w:tcW w:w="851" w:type="dxa"/>
            <w:shd w:val="clear" w:color="auto" w:fill="FFFFFF"/>
            <w:noWrap/>
            <w:vAlign w:val="bottom"/>
            <w:hideMark/>
          </w:tcPr>
          <w:p w:rsidRPr="008D1918" w:rsidR="009D282A" w:rsidP="009D282A" w:rsidRDefault="009D282A" w14:paraId="0D9164AA" w14:textId="77777777">
            <w:pPr>
              <w:spacing w:after="40" w:line="240" w:lineRule="auto"/>
              <w:jc w:val="center"/>
              <w:rPr>
                <w:rFonts w:cs="Arial"/>
                <w:sz w:val="14"/>
                <w:szCs w:val="14"/>
                <w:lang w:val="en-AU" w:eastAsia="en-AU"/>
              </w:rPr>
            </w:pPr>
            <w:r w:rsidRPr="008D1918">
              <w:rPr>
                <w:rFonts w:cs="Arial"/>
                <w:sz w:val="14"/>
                <w:szCs w:val="14"/>
                <w:lang w:val="en-AU" w:eastAsia="en-AU"/>
              </w:rPr>
              <w:t>$145.5</w:t>
            </w:r>
          </w:p>
        </w:tc>
        <w:tc>
          <w:tcPr>
            <w:tcW w:w="851" w:type="dxa"/>
            <w:shd w:val="clear" w:color="auto" w:fill="FFFFFF"/>
            <w:noWrap/>
            <w:vAlign w:val="bottom"/>
            <w:hideMark/>
          </w:tcPr>
          <w:p w:rsidRPr="008D1918" w:rsidR="009D282A" w:rsidP="009D282A" w:rsidRDefault="009D282A" w14:paraId="1DCF7626" w14:textId="77777777">
            <w:pPr>
              <w:spacing w:after="40" w:line="240" w:lineRule="auto"/>
              <w:jc w:val="center"/>
              <w:rPr>
                <w:rFonts w:cs="Arial"/>
                <w:sz w:val="14"/>
                <w:szCs w:val="14"/>
                <w:lang w:val="en-AU" w:eastAsia="en-AU"/>
              </w:rPr>
            </w:pPr>
            <w:r w:rsidRPr="008D1918">
              <w:rPr>
                <w:rFonts w:cs="Arial"/>
                <w:sz w:val="14"/>
                <w:szCs w:val="14"/>
                <w:lang w:val="en-AU" w:eastAsia="en-AU"/>
              </w:rPr>
              <w:t>$194.0</w:t>
            </w:r>
          </w:p>
        </w:tc>
        <w:tc>
          <w:tcPr>
            <w:tcW w:w="851" w:type="dxa"/>
            <w:noWrap/>
            <w:vAlign w:val="bottom"/>
            <w:hideMark/>
          </w:tcPr>
          <w:p w:rsidRPr="008D1918" w:rsidR="009D282A" w:rsidP="009D282A" w:rsidRDefault="009D282A" w14:paraId="3AF43F9C" w14:textId="77777777">
            <w:pPr>
              <w:spacing w:after="40" w:line="240" w:lineRule="auto"/>
              <w:jc w:val="center"/>
              <w:rPr>
                <w:rFonts w:cs="Arial"/>
                <w:sz w:val="14"/>
                <w:szCs w:val="14"/>
                <w:lang w:val="en-AU" w:eastAsia="en-AU"/>
              </w:rPr>
            </w:pPr>
            <w:r w:rsidRPr="008D1918">
              <w:rPr>
                <w:rFonts w:cs="Arial"/>
                <w:sz w:val="14"/>
                <w:szCs w:val="14"/>
                <w:lang w:val="en-AU" w:eastAsia="en-AU"/>
              </w:rPr>
              <w:t>38.4</w:t>
            </w:r>
          </w:p>
        </w:tc>
        <w:tc>
          <w:tcPr>
            <w:tcW w:w="851" w:type="dxa"/>
            <w:noWrap/>
            <w:vAlign w:val="bottom"/>
            <w:hideMark/>
          </w:tcPr>
          <w:p w:rsidRPr="008D1918" w:rsidR="009D282A" w:rsidP="009D282A" w:rsidRDefault="009D282A" w14:paraId="4739192A" w14:textId="77777777">
            <w:pPr>
              <w:spacing w:after="40" w:line="240" w:lineRule="auto"/>
              <w:jc w:val="center"/>
              <w:rPr>
                <w:rFonts w:cs="Arial"/>
                <w:sz w:val="14"/>
                <w:szCs w:val="14"/>
                <w:lang w:val="en-AU" w:eastAsia="en-AU"/>
              </w:rPr>
            </w:pPr>
            <w:r w:rsidRPr="008D1918">
              <w:rPr>
                <w:rFonts w:cs="Arial"/>
                <w:sz w:val="14"/>
                <w:szCs w:val="14"/>
                <w:lang w:val="en-AU" w:eastAsia="en-AU"/>
              </w:rPr>
              <w:t>45.0</w:t>
            </w:r>
          </w:p>
        </w:tc>
        <w:tc>
          <w:tcPr>
            <w:tcW w:w="851" w:type="dxa"/>
            <w:noWrap/>
            <w:vAlign w:val="bottom"/>
            <w:hideMark/>
          </w:tcPr>
          <w:p w:rsidRPr="008D1918" w:rsidR="009D282A" w:rsidP="009D282A" w:rsidRDefault="009D282A" w14:paraId="748743C2" w14:textId="77777777">
            <w:pPr>
              <w:spacing w:after="40" w:line="240" w:lineRule="auto"/>
              <w:jc w:val="center"/>
              <w:rPr>
                <w:rFonts w:cs="Arial"/>
                <w:sz w:val="14"/>
                <w:szCs w:val="14"/>
                <w:lang w:val="en-AU" w:eastAsia="en-AU"/>
              </w:rPr>
            </w:pPr>
            <w:r w:rsidRPr="008D1918">
              <w:rPr>
                <w:rFonts w:cs="Arial"/>
                <w:sz w:val="14"/>
                <w:szCs w:val="14"/>
                <w:lang w:val="en-AU" w:eastAsia="en-AU"/>
              </w:rPr>
              <w:t>53.0</w:t>
            </w:r>
          </w:p>
        </w:tc>
        <w:tc>
          <w:tcPr>
            <w:tcW w:w="851" w:type="dxa"/>
            <w:noWrap/>
            <w:vAlign w:val="bottom"/>
            <w:hideMark/>
          </w:tcPr>
          <w:p w:rsidRPr="008D1918" w:rsidR="009D282A" w:rsidP="009D282A" w:rsidRDefault="009D282A" w14:paraId="043F7213" w14:textId="77777777">
            <w:pPr>
              <w:spacing w:after="40" w:line="240" w:lineRule="auto"/>
              <w:jc w:val="center"/>
              <w:rPr>
                <w:rFonts w:cs="Arial"/>
                <w:sz w:val="14"/>
                <w:szCs w:val="14"/>
                <w:lang w:val="en-AU" w:eastAsia="en-AU"/>
              </w:rPr>
            </w:pPr>
            <w:r w:rsidRPr="008D1918">
              <w:rPr>
                <w:rFonts w:cs="Arial"/>
                <w:sz w:val="14"/>
                <w:szCs w:val="14"/>
                <w:lang w:val="en-AU" w:eastAsia="en-AU"/>
              </w:rPr>
              <w:t>$164.24</w:t>
            </w:r>
          </w:p>
        </w:tc>
        <w:tc>
          <w:tcPr>
            <w:tcW w:w="851" w:type="dxa"/>
            <w:shd w:val="clear" w:color="auto" w:fill="FFFFFF"/>
            <w:noWrap/>
            <w:vAlign w:val="bottom"/>
            <w:hideMark/>
          </w:tcPr>
          <w:p w:rsidRPr="008D1918" w:rsidR="009D282A" w:rsidP="009D282A" w:rsidRDefault="009D282A" w14:paraId="1107FB7A" w14:textId="77777777">
            <w:pPr>
              <w:spacing w:after="40" w:line="240" w:lineRule="auto"/>
              <w:jc w:val="center"/>
              <w:rPr>
                <w:rFonts w:cs="Arial"/>
                <w:sz w:val="14"/>
                <w:szCs w:val="14"/>
                <w:lang w:val="en-AU" w:eastAsia="en-AU"/>
              </w:rPr>
            </w:pPr>
            <w:r w:rsidRPr="008D1918">
              <w:rPr>
                <w:rFonts w:cs="Arial"/>
                <w:sz w:val="14"/>
                <w:szCs w:val="14"/>
                <w:lang w:val="en-AU" w:eastAsia="en-AU"/>
              </w:rPr>
              <w:t>$194.00</w:t>
            </w:r>
          </w:p>
        </w:tc>
        <w:tc>
          <w:tcPr>
            <w:tcW w:w="851" w:type="dxa"/>
            <w:shd w:val="clear" w:color="auto" w:fill="FFFFFF"/>
            <w:noWrap/>
            <w:vAlign w:val="bottom"/>
            <w:hideMark/>
          </w:tcPr>
          <w:p w:rsidRPr="008D1918" w:rsidR="009D282A" w:rsidP="009D282A" w:rsidRDefault="009D282A" w14:paraId="7A47301D" w14:textId="77777777">
            <w:pPr>
              <w:spacing w:after="40" w:line="240" w:lineRule="auto"/>
              <w:jc w:val="center"/>
              <w:rPr>
                <w:rFonts w:cs="Arial"/>
                <w:sz w:val="14"/>
                <w:szCs w:val="14"/>
                <w:lang w:val="en-AU" w:eastAsia="en-AU"/>
              </w:rPr>
            </w:pPr>
            <w:r w:rsidRPr="008D1918">
              <w:rPr>
                <w:rFonts w:cs="Arial"/>
                <w:sz w:val="14"/>
                <w:szCs w:val="14"/>
                <w:lang w:val="en-AU" w:eastAsia="en-AU"/>
              </w:rPr>
              <w:t>$219.81</w:t>
            </w:r>
          </w:p>
        </w:tc>
        <w:tc>
          <w:tcPr>
            <w:tcW w:w="851" w:type="dxa"/>
            <w:noWrap/>
            <w:vAlign w:val="bottom"/>
            <w:hideMark/>
          </w:tcPr>
          <w:p w:rsidRPr="008D1918" w:rsidR="009D282A" w:rsidP="009D282A" w:rsidRDefault="009D282A" w14:paraId="180DBC9A"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$193.99</w:t>
            </w:r>
          </w:p>
        </w:tc>
      </w:tr>
      <w:tr w:rsidRPr="008D1918" w:rsidR="009D282A" w:rsidTr="009D282A" w14:paraId="0F1AF6D1" w14:textId="77777777">
        <w:trPr>
          <w:trHeight w:val="290"/>
        </w:trPr>
        <w:tc>
          <w:tcPr>
            <w:tcW w:w="1276" w:type="dxa"/>
            <w:vMerge/>
          </w:tcPr>
          <w:p w:rsidRPr="008D1918" w:rsidR="009D282A" w:rsidRDefault="009D282A" w14:paraId="13518FDB" w14:textId="7883D737">
            <w:pPr>
              <w:spacing w:after="0" w:line="240" w:lineRule="auto"/>
              <w:rPr>
                <w:rFonts w:cs="Arial"/>
                <w:color w:val="000000"/>
                <w:sz w:val="14"/>
                <w:szCs w:val="14"/>
                <w:lang w:val="en-AU" w:eastAsia="en-AU"/>
              </w:rPr>
            </w:pPr>
          </w:p>
        </w:tc>
        <w:tc>
          <w:tcPr>
            <w:tcW w:w="704" w:type="dxa"/>
            <w:shd w:val="clear" w:color="auto" w:fill="FFFFFF"/>
            <w:noWrap/>
            <w:vAlign w:val="bottom"/>
            <w:hideMark/>
          </w:tcPr>
          <w:p w:rsidRPr="008D1918" w:rsidR="009D282A" w:rsidP="009D282A" w:rsidRDefault="009D282A" w14:paraId="3B087856"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MBS</w:t>
            </w:r>
          </w:p>
        </w:tc>
        <w:tc>
          <w:tcPr>
            <w:tcW w:w="851" w:type="dxa"/>
            <w:shd w:val="clear" w:color="auto" w:fill="FFFFFF"/>
            <w:noWrap/>
            <w:vAlign w:val="bottom"/>
            <w:hideMark/>
          </w:tcPr>
          <w:p w:rsidRPr="008D1918" w:rsidR="009D282A" w:rsidP="009D282A" w:rsidRDefault="009D282A" w14:paraId="4EFD426C" w14:textId="77777777">
            <w:pPr>
              <w:spacing w:after="40" w:line="240" w:lineRule="auto"/>
              <w:jc w:val="center"/>
              <w:rPr>
                <w:rFonts w:cs="Arial"/>
                <w:sz w:val="14"/>
                <w:szCs w:val="14"/>
                <w:lang w:val="en-AU" w:eastAsia="en-AU"/>
              </w:rPr>
            </w:pPr>
            <w:r w:rsidRPr="008D1918">
              <w:rPr>
                <w:rFonts w:cs="Arial"/>
                <w:sz w:val="14"/>
                <w:szCs w:val="14"/>
                <w:lang w:val="en-AU" w:eastAsia="en-AU"/>
              </w:rPr>
              <w:t>$100.0</w:t>
            </w:r>
          </w:p>
        </w:tc>
        <w:tc>
          <w:tcPr>
            <w:tcW w:w="851" w:type="dxa"/>
            <w:shd w:val="clear" w:color="auto" w:fill="FFFFFF"/>
            <w:noWrap/>
            <w:vAlign w:val="bottom"/>
            <w:hideMark/>
          </w:tcPr>
          <w:p w:rsidRPr="008D1918" w:rsidR="009D282A" w:rsidP="009D282A" w:rsidRDefault="009D282A" w14:paraId="64EA1880" w14:textId="77777777">
            <w:pPr>
              <w:spacing w:after="40" w:line="240" w:lineRule="auto"/>
              <w:jc w:val="center"/>
              <w:rPr>
                <w:rFonts w:cs="Arial"/>
                <w:sz w:val="14"/>
                <w:szCs w:val="14"/>
                <w:lang w:val="en-AU" w:eastAsia="en-AU"/>
              </w:rPr>
            </w:pPr>
            <w:r w:rsidRPr="008D1918">
              <w:rPr>
                <w:rFonts w:cs="Arial"/>
                <w:sz w:val="14"/>
                <w:szCs w:val="14"/>
                <w:lang w:val="en-AU" w:eastAsia="en-AU"/>
              </w:rPr>
              <w:t>$150.0</w:t>
            </w:r>
          </w:p>
        </w:tc>
        <w:tc>
          <w:tcPr>
            <w:tcW w:w="851" w:type="dxa"/>
            <w:shd w:val="clear" w:color="auto" w:fill="FFFFFF"/>
            <w:noWrap/>
            <w:vAlign w:val="bottom"/>
            <w:hideMark/>
          </w:tcPr>
          <w:p w:rsidRPr="008D1918" w:rsidR="009D282A" w:rsidP="009D282A" w:rsidRDefault="009D282A" w14:paraId="03BADC97" w14:textId="77777777">
            <w:pPr>
              <w:spacing w:after="40" w:line="240" w:lineRule="auto"/>
              <w:jc w:val="center"/>
              <w:rPr>
                <w:rFonts w:cs="Arial"/>
                <w:sz w:val="14"/>
                <w:szCs w:val="14"/>
                <w:lang w:val="en-AU" w:eastAsia="en-AU"/>
              </w:rPr>
            </w:pPr>
            <w:r w:rsidRPr="008D1918">
              <w:rPr>
                <w:rFonts w:cs="Arial"/>
                <w:sz w:val="14"/>
                <w:szCs w:val="14"/>
                <w:lang w:val="en-AU" w:eastAsia="en-AU"/>
              </w:rPr>
              <w:t>$194.0</w:t>
            </w:r>
          </w:p>
        </w:tc>
        <w:tc>
          <w:tcPr>
            <w:tcW w:w="851" w:type="dxa"/>
            <w:noWrap/>
            <w:vAlign w:val="bottom"/>
            <w:hideMark/>
          </w:tcPr>
          <w:p w:rsidRPr="008D1918" w:rsidR="009D282A" w:rsidP="009D282A" w:rsidRDefault="009D282A" w14:paraId="32AD4A86" w14:textId="77777777">
            <w:pPr>
              <w:spacing w:after="40" w:line="240" w:lineRule="auto"/>
              <w:jc w:val="center"/>
              <w:rPr>
                <w:rFonts w:cs="Arial"/>
                <w:sz w:val="14"/>
                <w:szCs w:val="14"/>
                <w:lang w:val="en-AU" w:eastAsia="en-AU"/>
              </w:rPr>
            </w:pPr>
            <w:r w:rsidRPr="008D1918">
              <w:rPr>
                <w:rFonts w:cs="Arial"/>
                <w:sz w:val="14"/>
                <w:szCs w:val="14"/>
                <w:lang w:val="en-AU" w:eastAsia="en-AU"/>
              </w:rPr>
              <w:t>41.8</w:t>
            </w:r>
          </w:p>
        </w:tc>
        <w:tc>
          <w:tcPr>
            <w:tcW w:w="851" w:type="dxa"/>
            <w:noWrap/>
            <w:vAlign w:val="bottom"/>
            <w:hideMark/>
          </w:tcPr>
          <w:p w:rsidRPr="008D1918" w:rsidR="009D282A" w:rsidP="009D282A" w:rsidRDefault="009D282A" w14:paraId="3D10BCF7" w14:textId="77777777">
            <w:pPr>
              <w:spacing w:after="40" w:line="240" w:lineRule="auto"/>
              <w:jc w:val="center"/>
              <w:rPr>
                <w:rFonts w:cs="Arial"/>
                <w:sz w:val="14"/>
                <w:szCs w:val="14"/>
                <w:lang w:val="en-AU" w:eastAsia="en-AU"/>
              </w:rPr>
            </w:pPr>
            <w:r w:rsidRPr="008D1918">
              <w:rPr>
                <w:rFonts w:cs="Arial"/>
                <w:sz w:val="14"/>
                <w:szCs w:val="14"/>
                <w:lang w:val="en-AU" w:eastAsia="en-AU"/>
              </w:rPr>
              <w:t>50.0</w:t>
            </w:r>
          </w:p>
        </w:tc>
        <w:tc>
          <w:tcPr>
            <w:tcW w:w="851" w:type="dxa"/>
            <w:noWrap/>
            <w:vAlign w:val="bottom"/>
            <w:hideMark/>
          </w:tcPr>
          <w:p w:rsidRPr="008D1918" w:rsidR="009D282A" w:rsidP="009D282A" w:rsidRDefault="009D282A" w14:paraId="462E11BE" w14:textId="77777777">
            <w:pPr>
              <w:spacing w:after="40" w:line="240" w:lineRule="auto"/>
              <w:jc w:val="center"/>
              <w:rPr>
                <w:rFonts w:cs="Arial"/>
                <w:sz w:val="14"/>
                <w:szCs w:val="14"/>
                <w:lang w:val="en-AU" w:eastAsia="en-AU"/>
              </w:rPr>
            </w:pPr>
            <w:r w:rsidRPr="008D1918">
              <w:rPr>
                <w:rFonts w:cs="Arial"/>
                <w:sz w:val="14"/>
                <w:szCs w:val="14"/>
                <w:lang w:val="en-AU" w:eastAsia="en-AU"/>
              </w:rPr>
              <w:t>57.2</w:t>
            </w:r>
          </w:p>
        </w:tc>
        <w:tc>
          <w:tcPr>
            <w:tcW w:w="851" w:type="dxa"/>
            <w:noWrap/>
            <w:vAlign w:val="bottom"/>
            <w:hideMark/>
          </w:tcPr>
          <w:p w:rsidRPr="008D1918" w:rsidR="009D282A" w:rsidP="009D282A" w:rsidRDefault="009D282A" w14:paraId="706B80D5" w14:textId="77777777">
            <w:pPr>
              <w:spacing w:after="40" w:line="240" w:lineRule="auto"/>
              <w:jc w:val="center"/>
              <w:rPr>
                <w:rFonts w:cs="Arial"/>
                <w:sz w:val="14"/>
                <w:szCs w:val="14"/>
                <w:lang w:val="en-AU" w:eastAsia="en-AU"/>
              </w:rPr>
            </w:pPr>
            <w:r w:rsidRPr="008D1918">
              <w:rPr>
                <w:rFonts w:cs="Arial"/>
                <w:sz w:val="14"/>
                <w:szCs w:val="14"/>
                <w:lang w:val="en-AU" w:eastAsia="en-AU"/>
              </w:rPr>
              <w:t>$143.54</w:t>
            </w:r>
          </w:p>
        </w:tc>
        <w:tc>
          <w:tcPr>
            <w:tcW w:w="851" w:type="dxa"/>
            <w:shd w:val="clear" w:color="auto" w:fill="FFFFFF"/>
            <w:noWrap/>
            <w:vAlign w:val="bottom"/>
            <w:hideMark/>
          </w:tcPr>
          <w:p w:rsidRPr="008D1918" w:rsidR="009D282A" w:rsidP="009D282A" w:rsidRDefault="009D282A" w14:paraId="673A7146" w14:textId="77777777">
            <w:pPr>
              <w:spacing w:after="40" w:line="240" w:lineRule="auto"/>
              <w:jc w:val="center"/>
              <w:rPr>
                <w:rFonts w:cs="Arial"/>
                <w:sz w:val="14"/>
                <w:szCs w:val="14"/>
                <w:lang w:val="en-AU" w:eastAsia="en-AU"/>
              </w:rPr>
            </w:pPr>
            <w:r w:rsidRPr="008D1918">
              <w:rPr>
                <w:rFonts w:cs="Arial"/>
                <w:sz w:val="14"/>
                <w:szCs w:val="14"/>
                <w:lang w:val="en-AU" w:eastAsia="en-AU"/>
              </w:rPr>
              <w:t>$180.00</w:t>
            </w:r>
          </w:p>
        </w:tc>
        <w:tc>
          <w:tcPr>
            <w:tcW w:w="851" w:type="dxa"/>
            <w:shd w:val="clear" w:color="auto" w:fill="FFFFFF"/>
            <w:noWrap/>
            <w:vAlign w:val="bottom"/>
            <w:hideMark/>
          </w:tcPr>
          <w:p w:rsidRPr="008D1918" w:rsidR="009D282A" w:rsidP="009D282A" w:rsidRDefault="009D282A" w14:paraId="48187B0C" w14:textId="77777777">
            <w:pPr>
              <w:spacing w:after="40" w:line="240" w:lineRule="auto"/>
              <w:jc w:val="center"/>
              <w:rPr>
                <w:rFonts w:cs="Arial"/>
                <w:sz w:val="14"/>
                <w:szCs w:val="14"/>
                <w:lang w:val="en-AU" w:eastAsia="en-AU"/>
              </w:rPr>
            </w:pPr>
            <w:r w:rsidRPr="008D1918">
              <w:rPr>
                <w:rFonts w:cs="Arial"/>
                <w:sz w:val="14"/>
                <w:szCs w:val="14"/>
                <w:lang w:val="en-AU" w:eastAsia="en-AU"/>
              </w:rPr>
              <w:t>$203.44</w:t>
            </w:r>
          </w:p>
        </w:tc>
        <w:tc>
          <w:tcPr>
            <w:tcW w:w="851" w:type="dxa"/>
            <w:noWrap/>
            <w:vAlign w:val="bottom"/>
            <w:hideMark/>
          </w:tcPr>
          <w:p w:rsidRPr="008D1918" w:rsidR="009D282A" w:rsidP="009D282A" w:rsidRDefault="009D282A" w14:paraId="6E35556C"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$193.99</w:t>
            </w:r>
          </w:p>
        </w:tc>
      </w:tr>
      <w:tr w:rsidRPr="008D1918" w:rsidR="009D282A" w:rsidTr="009D282A" w14:paraId="2F90FB8E" w14:textId="77777777">
        <w:trPr>
          <w:trHeight w:val="290"/>
        </w:trPr>
        <w:tc>
          <w:tcPr>
            <w:tcW w:w="1276" w:type="dxa"/>
            <w:vMerge w:val="restart"/>
            <w:shd w:val="clear" w:color="auto" w:fill="E8CAED" w:themeFill="text1" w:themeFillTint="33"/>
          </w:tcPr>
          <w:p w:rsidRPr="008D1918" w:rsidR="009D282A" w:rsidRDefault="009D282A" w14:paraId="6FC69928" w14:textId="77777777">
            <w:pPr>
              <w:spacing w:after="0" w:line="240" w:lineRule="auto"/>
              <w:rPr>
                <w:rFonts w:cs="Arial"/>
                <w:color w:val="000000"/>
                <w:sz w:val="14"/>
                <w:szCs w:val="14"/>
                <w:lang w:val="en-AU" w:eastAsia="en-AU"/>
              </w:rPr>
            </w:pPr>
            <w:r w:rsidRPr="008D1918">
              <w:rPr>
                <w:rFonts w:cs="Arial"/>
                <w:color w:val="000000"/>
                <w:sz w:val="14"/>
                <w:szCs w:val="14"/>
                <w:lang w:val="en-AU" w:eastAsia="en-AU"/>
              </w:rPr>
              <w:t>Occupational Therapists</w:t>
            </w:r>
          </w:p>
          <w:p w:rsidRPr="008D1918" w:rsidR="009D282A" w:rsidRDefault="009D282A" w14:paraId="187B56AB" w14:textId="30EE930F">
            <w:pPr>
              <w:spacing w:after="0" w:line="240" w:lineRule="auto"/>
              <w:rPr>
                <w:rFonts w:cs="Arial"/>
                <w:color w:val="000000"/>
                <w:sz w:val="14"/>
                <w:szCs w:val="14"/>
                <w:lang w:val="en-AU" w:eastAsia="en-AU"/>
              </w:rPr>
            </w:pPr>
            <w:r w:rsidRPr="008D1918">
              <w:rPr>
                <w:rFonts w:cs="Arial"/>
                <w:color w:val="E8CAED" w:themeColor="text1" w:themeTint="33"/>
                <w:sz w:val="14"/>
                <w:szCs w:val="14"/>
                <w:lang w:val="en-AU" w:eastAsia="en-AU"/>
              </w:rPr>
              <w:t>Blank</w:t>
            </w:r>
          </w:p>
        </w:tc>
        <w:tc>
          <w:tcPr>
            <w:tcW w:w="704" w:type="dxa"/>
            <w:shd w:val="clear" w:color="auto" w:fill="E8CAED" w:themeFill="text1" w:themeFillTint="33"/>
            <w:noWrap/>
            <w:vAlign w:val="bottom"/>
            <w:hideMark/>
          </w:tcPr>
          <w:p w:rsidRPr="008D1918" w:rsidR="009D282A" w:rsidP="009D282A" w:rsidRDefault="009D282A" w14:paraId="4EB88E13"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PHI_1</w:t>
            </w:r>
          </w:p>
        </w:tc>
        <w:tc>
          <w:tcPr>
            <w:tcW w:w="851" w:type="dxa"/>
            <w:shd w:val="clear" w:color="auto" w:fill="E8CAED" w:themeFill="text1" w:themeFillTint="33"/>
            <w:noWrap/>
            <w:vAlign w:val="bottom"/>
            <w:hideMark/>
          </w:tcPr>
          <w:p w:rsidRPr="008D1918" w:rsidR="009D282A" w:rsidP="009D282A" w:rsidRDefault="009D282A" w14:paraId="192F5256" w14:textId="77777777">
            <w:pPr>
              <w:spacing w:after="40" w:line="240" w:lineRule="auto"/>
              <w:jc w:val="center"/>
              <w:rPr>
                <w:rFonts w:cs="Arial"/>
                <w:sz w:val="14"/>
                <w:szCs w:val="14"/>
                <w:lang w:val="en-AU" w:eastAsia="en-AU"/>
              </w:rPr>
            </w:pPr>
            <w:r w:rsidRPr="008D1918">
              <w:rPr>
                <w:rFonts w:cs="Arial"/>
                <w:sz w:val="14"/>
                <w:szCs w:val="14"/>
                <w:lang w:val="en-AU" w:eastAsia="en-AU"/>
              </w:rPr>
              <w:t>$97.0</w:t>
            </w:r>
          </w:p>
        </w:tc>
        <w:tc>
          <w:tcPr>
            <w:tcW w:w="851" w:type="dxa"/>
            <w:shd w:val="clear" w:color="auto" w:fill="E8CAED" w:themeFill="text1" w:themeFillTint="33"/>
            <w:noWrap/>
            <w:vAlign w:val="bottom"/>
            <w:hideMark/>
          </w:tcPr>
          <w:p w:rsidRPr="008D1918" w:rsidR="009D282A" w:rsidP="009D282A" w:rsidRDefault="009D282A" w14:paraId="47766224" w14:textId="77777777">
            <w:pPr>
              <w:spacing w:after="40" w:line="240" w:lineRule="auto"/>
              <w:jc w:val="center"/>
              <w:rPr>
                <w:rFonts w:cs="Arial"/>
                <w:sz w:val="14"/>
                <w:szCs w:val="14"/>
                <w:lang w:val="en-AU" w:eastAsia="en-AU"/>
              </w:rPr>
            </w:pPr>
            <w:r w:rsidRPr="008D1918">
              <w:rPr>
                <w:rFonts w:cs="Arial"/>
                <w:sz w:val="14"/>
                <w:szCs w:val="14"/>
                <w:lang w:val="en-AU" w:eastAsia="en-AU"/>
              </w:rPr>
              <w:t>$110.0</w:t>
            </w:r>
          </w:p>
        </w:tc>
        <w:tc>
          <w:tcPr>
            <w:tcW w:w="851" w:type="dxa"/>
            <w:shd w:val="clear" w:color="auto" w:fill="E8CAED" w:themeFill="text1" w:themeFillTint="33"/>
            <w:noWrap/>
            <w:vAlign w:val="bottom"/>
            <w:hideMark/>
          </w:tcPr>
          <w:p w:rsidRPr="008D1918" w:rsidR="009D282A" w:rsidP="009D282A" w:rsidRDefault="009D282A" w14:paraId="239FE20F" w14:textId="77777777">
            <w:pPr>
              <w:spacing w:after="40" w:line="240" w:lineRule="auto"/>
              <w:jc w:val="center"/>
              <w:rPr>
                <w:rFonts w:cs="Arial"/>
                <w:sz w:val="14"/>
                <w:szCs w:val="14"/>
                <w:lang w:val="en-AU" w:eastAsia="en-AU"/>
              </w:rPr>
            </w:pPr>
            <w:r w:rsidRPr="008D1918">
              <w:rPr>
                <w:rFonts w:cs="Arial"/>
                <w:sz w:val="14"/>
                <w:szCs w:val="14"/>
                <w:lang w:val="en-AU" w:eastAsia="en-AU"/>
              </w:rPr>
              <w:t>$145.0</w:t>
            </w:r>
          </w:p>
        </w:tc>
        <w:tc>
          <w:tcPr>
            <w:tcW w:w="851" w:type="dxa"/>
            <w:shd w:val="clear" w:color="auto" w:fill="E8CAED" w:themeFill="text1" w:themeFillTint="33"/>
            <w:noWrap/>
            <w:vAlign w:val="bottom"/>
            <w:hideMark/>
          </w:tcPr>
          <w:p w:rsidRPr="008D1918" w:rsidR="009D282A" w:rsidP="009D282A" w:rsidRDefault="009D282A" w14:paraId="47B03144" w14:textId="77777777">
            <w:pPr>
              <w:spacing w:after="40" w:line="240" w:lineRule="auto"/>
              <w:jc w:val="center"/>
              <w:rPr>
                <w:rFonts w:cs="Arial"/>
                <w:sz w:val="14"/>
                <w:szCs w:val="14"/>
                <w:lang w:val="en-AU" w:eastAsia="en-AU"/>
              </w:rPr>
            </w:pPr>
            <w:r w:rsidRPr="008D1918">
              <w:rPr>
                <w:rFonts w:cs="Arial"/>
                <w:sz w:val="14"/>
                <w:szCs w:val="14"/>
                <w:lang w:val="en-AU" w:eastAsia="en-AU"/>
              </w:rPr>
              <w:t>42.6</w:t>
            </w:r>
          </w:p>
        </w:tc>
        <w:tc>
          <w:tcPr>
            <w:tcW w:w="851" w:type="dxa"/>
            <w:shd w:val="clear" w:color="auto" w:fill="E8CAED" w:themeFill="text1" w:themeFillTint="33"/>
            <w:noWrap/>
            <w:vAlign w:val="bottom"/>
            <w:hideMark/>
          </w:tcPr>
          <w:p w:rsidRPr="008D1918" w:rsidR="009D282A" w:rsidP="009D282A" w:rsidRDefault="009D282A" w14:paraId="4D5ED30C" w14:textId="77777777">
            <w:pPr>
              <w:spacing w:after="40" w:line="240" w:lineRule="auto"/>
              <w:jc w:val="center"/>
              <w:rPr>
                <w:rFonts w:cs="Arial"/>
                <w:sz w:val="14"/>
                <w:szCs w:val="14"/>
                <w:lang w:val="en-AU" w:eastAsia="en-AU"/>
              </w:rPr>
            </w:pPr>
            <w:r w:rsidRPr="008D1918">
              <w:rPr>
                <w:rFonts w:cs="Arial"/>
                <w:sz w:val="14"/>
                <w:szCs w:val="14"/>
                <w:lang w:val="en-AU" w:eastAsia="en-AU"/>
              </w:rPr>
              <w:t>45.0</w:t>
            </w:r>
          </w:p>
        </w:tc>
        <w:tc>
          <w:tcPr>
            <w:tcW w:w="851" w:type="dxa"/>
            <w:shd w:val="clear" w:color="auto" w:fill="E8CAED" w:themeFill="text1" w:themeFillTint="33"/>
            <w:noWrap/>
            <w:vAlign w:val="bottom"/>
            <w:hideMark/>
          </w:tcPr>
          <w:p w:rsidRPr="008D1918" w:rsidR="009D282A" w:rsidP="009D282A" w:rsidRDefault="009D282A" w14:paraId="49D348ED" w14:textId="77777777">
            <w:pPr>
              <w:spacing w:after="40" w:line="240" w:lineRule="auto"/>
              <w:jc w:val="center"/>
              <w:rPr>
                <w:rFonts w:cs="Arial"/>
                <w:sz w:val="14"/>
                <w:szCs w:val="14"/>
                <w:lang w:val="en-AU" w:eastAsia="en-AU"/>
              </w:rPr>
            </w:pPr>
            <w:r w:rsidRPr="008D1918">
              <w:rPr>
                <w:rFonts w:cs="Arial"/>
                <w:sz w:val="14"/>
                <w:szCs w:val="14"/>
                <w:lang w:val="en-AU" w:eastAsia="en-AU"/>
              </w:rPr>
              <w:t>51.5</w:t>
            </w:r>
          </w:p>
        </w:tc>
        <w:tc>
          <w:tcPr>
            <w:tcW w:w="851" w:type="dxa"/>
            <w:shd w:val="clear" w:color="auto" w:fill="E8CAED" w:themeFill="text1" w:themeFillTint="33"/>
            <w:noWrap/>
            <w:vAlign w:val="bottom"/>
            <w:hideMark/>
          </w:tcPr>
          <w:p w:rsidRPr="008D1918" w:rsidR="009D282A" w:rsidP="009D282A" w:rsidRDefault="009D282A" w14:paraId="49A19692" w14:textId="77777777">
            <w:pPr>
              <w:spacing w:after="40" w:line="240" w:lineRule="auto"/>
              <w:jc w:val="center"/>
              <w:rPr>
                <w:rFonts w:cs="Arial"/>
                <w:sz w:val="14"/>
                <w:szCs w:val="14"/>
                <w:lang w:val="en-AU" w:eastAsia="en-AU"/>
              </w:rPr>
            </w:pPr>
            <w:r w:rsidRPr="008D1918">
              <w:rPr>
                <w:rFonts w:cs="Arial"/>
                <w:sz w:val="14"/>
                <w:szCs w:val="14"/>
                <w:lang w:val="en-AU" w:eastAsia="en-AU"/>
              </w:rPr>
              <w:t>$136.68</w:t>
            </w:r>
          </w:p>
        </w:tc>
        <w:tc>
          <w:tcPr>
            <w:tcW w:w="851" w:type="dxa"/>
            <w:shd w:val="clear" w:color="auto" w:fill="E8CAED" w:themeFill="text1" w:themeFillTint="33"/>
            <w:noWrap/>
            <w:vAlign w:val="bottom"/>
            <w:hideMark/>
          </w:tcPr>
          <w:p w:rsidRPr="008D1918" w:rsidR="009D282A" w:rsidP="009D282A" w:rsidRDefault="009D282A" w14:paraId="571A3D26" w14:textId="77777777">
            <w:pPr>
              <w:spacing w:after="40" w:line="240" w:lineRule="auto"/>
              <w:jc w:val="center"/>
              <w:rPr>
                <w:rFonts w:cs="Arial"/>
                <w:sz w:val="14"/>
                <w:szCs w:val="14"/>
                <w:lang w:val="en-AU" w:eastAsia="en-AU"/>
              </w:rPr>
            </w:pPr>
            <w:r w:rsidRPr="008D1918">
              <w:rPr>
                <w:rFonts w:cs="Arial"/>
                <w:sz w:val="14"/>
                <w:szCs w:val="14"/>
                <w:lang w:val="en-AU" w:eastAsia="en-AU"/>
              </w:rPr>
              <w:t>$146.67</w:t>
            </w:r>
          </w:p>
        </w:tc>
        <w:tc>
          <w:tcPr>
            <w:tcW w:w="851" w:type="dxa"/>
            <w:shd w:val="clear" w:color="auto" w:fill="E8CAED" w:themeFill="text1" w:themeFillTint="33"/>
            <w:noWrap/>
            <w:vAlign w:val="bottom"/>
            <w:hideMark/>
          </w:tcPr>
          <w:p w:rsidRPr="008D1918" w:rsidR="009D282A" w:rsidP="009D282A" w:rsidRDefault="009D282A" w14:paraId="24A8BA0A" w14:textId="77777777">
            <w:pPr>
              <w:spacing w:after="40" w:line="240" w:lineRule="auto"/>
              <w:jc w:val="center"/>
              <w:rPr>
                <w:rFonts w:cs="Arial"/>
                <w:sz w:val="14"/>
                <w:szCs w:val="14"/>
                <w:lang w:val="en-AU" w:eastAsia="en-AU"/>
              </w:rPr>
            </w:pPr>
            <w:r w:rsidRPr="008D1918">
              <w:rPr>
                <w:rFonts w:cs="Arial"/>
                <w:sz w:val="14"/>
                <w:szCs w:val="14"/>
                <w:lang w:val="en-AU" w:eastAsia="en-AU"/>
              </w:rPr>
              <w:t>$168.90</w:t>
            </w:r>
          </w:p>
        </w:tc>
        <w:tc>
          <w:tcPr>
            <w:tcW w:w="851" w:type="dxa"/>
            <w:shd w:val="clear" w:color="auto" w:fill="E8CAED" w:themeFill="text1" w:themeFillTint="33"/>
            <w:noWrap/>
            <w:vAlign w:val="bottom"/>
            <w:hideMark/>
          </w:tcPr>
          <w:p w:rsidRPr="008D1918" w:rsidR="009D282A" w:rsidP="009D282A" w:rsidRDefault="009D282A" w14:paraId="77F5E64C"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$193.99</w:t>
            </w:r>
          </w:p>
        </w:tc>
      </w:tr>
      <w:tr w:rsidRPr="008D1918" w:rsidR="009D282A" w:rsidTr="009D282A" w14:paraId="403B2DCC" w14:textId="77777777">
        <w:trPr>
          <w:trHeight w:val="290"/>
        </w:trPr>
        <w:tc>
          <w:tcPr>
            <w:tcW w:w="1276" w:type="dxa"/>
            <w:vMerge/>
            <w:shd w:val="clear" w:color="auto" w:fill="E8CAED" w:themeFill="text1" w:themeFillTint="33"/>
          </w:tcPr>
          <w:p w:rsidRPr="008D1918" w:rsidR="009D282A" w:rsidRDefault="009D282A" w14:paraId="680F397F" w14:textId="696200D3">
            <w:pPr>
              <w:spacing w:after="0" w:line="240" w:lineRule="auto"/>
              <w:rPr>
                <w:rFonts w:cs="Arial"/>
                <w:color w:val="000000"/>
                <w:sz w:val="14"/>
                <w:szCs w:val="14"/>
                <w:lang w:val="en-AU" w:eastAsia="en-AU"/>
              </w:rPr>
            </w:pPr>
          </w:p>
        </w:tc>
        <w:tc>
          <w:tcPr>
            <w:tcW w:w="704" w:type="dxa"/>
            <w:shd w:val="clear" w:color="auto" w:fill="E8CAED" w:themeFill="text1" w:themeFillTint="33"/>
            <w:noWrap/>
            <w:vAlign w:val="bottom"/>
            <w:hideMark/>
          </w:tcPr>
          <w:p w:rsidRPr="008D1918" w:rsidR="009D282A" w:rsidP="009D282A" w:rsidRDefault="009D282A" w14:paraId="2B1D9ED8"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MBS</w:t>
            </w:r>
          </w:p>
        </w:tc>
        <w:tc>
          <w:tcPr>
            <w:tcW w:w="851" w:type="dxa"/>
            <w:shd w:val="clear" w:color="auto" w:fill="E8CAED" w:themeFill="text1" w:themeFillTint="33"/>
            <w:noWrap/>
            <w:vAlign w:val="bottom"/>
            <w:hideMark/>
          </w:tcPr>
          <w:p w:rsidRPr="008D1918" w:rsidR="009D282A" w:rsidP="009D282A" w:rsidRDefault="009D282A" w14:paraId="2A6398EA" w14:textId="77777777">
            <w:pPr>
              <w:spacing w:after="40" w:line="240" w:lineRule="auto"/>
              <w:jc w:val="center"/>
              <w:rPr>
                <w:rFonts w:cs="Arial"/>
                <w:sz w:val="14"/>
                <w:szCs w:val="14"/>
                <w:lang w:val="en-AU" w:eastAsia="en-AU"/>
              </w:rPr>
            </w:pPr>
            <w:r w:rsidRPr="008D1918">
              <w:rPr>
                <w:rFonts w:cs="Arial"/>
                <w:sz w:val="14"/>
                <w:szCs w:val="14"/>
                <w:lang w:val="en-AU" w:eastAsia="en-AU"/>
              </w:rPr>
              <w:t>$100.0</w:t>
            </w:r>
          </w:p>
        </w:tc>
        <w:tc>
          <w:tcPr>
            <w:tcW w:w="851" w:type="dxa"/>
            <w:shd w:val="clear" w:color="auto" w:fill="E8CAED" w:themeFill="text1" w:themeFillTint="33"/>
            <w:noWrap/>
            <w:vAlign w:val="bottom"/>
            <w:hideMark/>
          </w:tcPr>
          <w:p w:rsidRPr="008D1918" w:rsidR="009D282A" w:rsidP="009D282A" w:rsidRDefault="009D282A" w14:paraId="49EE17AF" w14:textId="77777777">
            <w:pPr>
              <w:spacing w:after="40" w:line="240" w:lineRule="auto"/>
              <w:jc w:val="center"/>
              <w:rPr>
                <w:rFonts w:cs="Arial"/>
                <w:sz w:val="14"/>
                <w:szCs w:val="14"/>
                <w:lang w:val="en-AU" w:eastAsia="en-AU"/>
              </w:rPr>
            </w:pPr>
            <w:r w:rsidRPr="008D1918">
              <w:rPr>
                <w:rFonts w:cs="Arial"/>
                <w:sz w:val="14"/>
                <w:szCs w:val="14"/>
                <w:lang w:val="en-AU" w:eastAsia="en-AU"/>
              </w:rPr>
              <w:t>$145.0</w:t>
            </w:r>
          </w:p>
        </w:tc>
        <w:tc>
          <w:tcPr>
            <w:tcW w:w="851" w:type="dxa"/>
            <w:shd w:val="clear" w:color="auto" w:fill="E8CAED" w:themeFill="text1" w:themeFillTint="33"/>
            <w:noWrap/>
            <w:vAlign w:val="bottom"/>
            <w:hideMark/>
          </w:tcPr>
          <w:p w:rsidRPr="008D1918" w:rsidR="009D282A" w:rsidP="009D282A" w:rsidRDefault="009D282A" w14:paraId="4E0F63C6" w14:textId="77777777">
            <w:pPr>
              <w:spacing w:after="40" w:line="240" w:lineRule="auto"/>
              <w:jc w:val="center"/>
              <w:rPr>
                <w:rFonts w:cs="Arial"/>
                <w:sz w:val="14"/>
                <w:szCs w:val="14"/>
                <w:lang w:val="en-AU" w:eastAsia="en-AU"/>
              </w:rPr>
            </w:pPr>
            <w:r w:rsidRPr="008D1918">
              <w:rPr>
                <w:rFonts w:cs="Arial"/>
                <w:sz w:val="14"/>
                <w:szCs w:val="14"/>
                <w:lang w:val="en-AU" w:eastAsia="en-AU"/>
              </w:rPr>
              <w:t>$194.0</w:t>
            </w:r>
          </w:p>
        </w:tc>
        <w:tc>
          <w:tcPr>
            <w:tcW w:w="851" w:type="dxa"/>
            <w:shd w:val="clear" w:color="auto" w:fill="E8CAED" w:themeFill="text1" w:themeFillTint="33"/>
            <w:noWrap/>
            <w:vAlign w:val="bottom"/>
            <w:hideMark/>
          </w:tcPr>
          <w:p w:rsidRPr="008D1918" w:rsidR="009D282A" w:rsidP="009D282A" w:rsidRDefault="009D282A" w14:paraId="3F737C8B" w14:textId="77777777">
            <w:pPr>
              <w:spacing w:after="40" w:line="240" w:lineRule="auto"/>
              <w:jc w:val="center"/>
              <w:rPr>
                <w:rFonts w:cs="Arial"/>
                <w:sz w:val="14"/>
                <w:szCs w:val="14"/>
                <w:lang w:val="en-AU" w:eastAsia="en-AU"/>
              </w:rPr>
            </w:pPr>
            <w:r w:rsidRPr="008D1918">
              <w:rPr>
                <w:rFonts w:cs="Arial"/>
                <w:sz w:val="14"/>
                <w:szCs w:val="14"/>
                <w:lang w:val="en-AU" w:eastAsia="en-AU"/>
              </w:rPr>
              <w:t>31.6</w:t>
            </w:r>
          </w:p>
        </w:tc>
        <w:tc>
          <w:tcPr>
            <w:tcW w:w="851" w:type="dxa"/>
            <w:shd w:val="clear" w:color="auto" w:fill="E8CAED" w:themeFill="text1" w:themeFillTint="33"/>
            <w:noWrap/>
            <w:vAlign w:val="bottom"/>
            <w:hideMark/>
          </w:tcPr>
          <w:p w:rsidRPr="008D1918" w:rsidR="009D282A" w:rsidP="009D282A" w:rsidRDefault="009D282A" w14:paraId="4C7DC3A0" w14:textId="77777777">
            <w:pPr>
              <w:spacing w:after="40" w:line="240" w:lineRule="auto"/>
              <w:jc w:val="center"/>
              <w:rPr>
                <w:rFonts w:cs="Arial"/>
                <w:sz w:val="14"/>
                <w:szCs w:val="14"/>
                <w:lang w:val="en-AU" w:eastAsia="en-AU"/>
              </w:rPr>
            </w:pPr>
            <w:r w:rsidRPr="008D1918">
              <w:rPr>
                <w:rFonts w:cs="Arial"/>
                <w:sz w:val="14"/>
                <w:szCs w:val="14"/>
                <w:lang w:val="en-AU" w:eastAsia="en-AU"/>
              </w:rPr>
              <w:t>40.0</w:t>
            </w:r>
          </w:p>
        </w:tc>
        <w:tc>
          <w:tcPr>
            <w:tcW w:w="851" w:type="dxa"/>
            <w:shd w:val="clear" w:color="auto" w:fill="E8CAED" w:themeFill="text1" w:themeFillTint="33"/>
            <w:noWrap/>
            <w:vAlign w:val="bottom"/>
            <w:hideMark/>
          </w:tcPr>
          <w:p w:rsidRPr="008D1918" w:rsidR="009D282A" w:rsidP="009D282A" w:rsidRDefault="009D282A" w14:paraId="0FC6B6E2" w14:textId="77777777">
            <w:pPr>
              <w:spacing w:after="40" w:line="240" w:lineRule="auto"/>
              <w:jc w:val="center"/>
              <w:rPr>
                <w:rFonts w:cs="Arial"/>
                <w:sz w:val="14"/>
                <w:szCs w:val="14"/>
                <w:lang w:val="en-AU" w:eastAsia="en-AU"/>
              </w:rPr>
            </w:pPr>
            <w:r w:rsidRPr="008D1918">
              <w:rPr>
                <w:rFonts w:cs="Arial"/>
                <w:sz w:val="14"/>
                <w:szCs w:val="14"/>
                <w:lang w:val="en-AU" w:eastAsia="en-AU"/>
              </w:rPr>
              <w:t>49.1</w:t>
            </w:r>
          </w:p>
        </w:tc>
        <w:tc>
          <w:tcPr>
            <w:tcW w:w="851" w:type="dxa"/>
            <w:shd w:val="clear" w:color="auto" w:fill="E8CAED" w:themeFill="text1" w:themeFillTint="33"/>
            <w:noWrap/>
            <w:vAlign w:val="bottom"/>
            <w:hideMark/>
          </w:tcPr>
          <w:p w:rsidRPr="008D1918" w:rsidR="009D282A" w:rsidP="009D282A" w:rsidRDefault="009D282A" w14:paraId="5562A2D7" w14:textId="77777777">
            <w:pPr>
              <w:spacing w:after="40" w:line="240" w:lineRule="auto"/>
              <w:jc w:val="center"/>
              <w:rPr>
                <w:rFonts w:cs="Arial"/>
                <w:sz w:val="14"/>
                <w:szCs w:val="14"/>
                <w:lang w:val="en-AU" w:eastAsia="en-AU"/>
              </w:rPr>
            </w:pPr>
            <w:r w:rsidRPr="008D1918">
              <w:rPr>
                <w:rFonts w:cs="Arial"/>
                <w:sz w:val="14"/>
                <w:szCs w:val="14"/>
                <w:lang w:val="en-AU" w:eastAsia="en-AU"/>
              </w:rPr>
              <w:t>$189.69</w:t>
            </w:r>
          </w:p>
        </w:tc>
        <w:tc>
          <w:tcPr>
            <w:tcW w:w="851" w:type="dxa"/>
            <w:shd w:val="clear" w:color="auto" w:fill="E8CAED" w:themeFill="text1" w:themeFillTint="33"/>
            <w:noWrap/>
            <w:vAlign w:val="bottom"/>
            <w:hideMark/>
          </w:tcPr>
          <w:p w:rsidRPr="008D1918" w:rsidR="009D282A" w:rsidP="009D282A" w:rsidRDefault="009D282A" w14:paraId="440DE86C" w14:textId="77777777">
            <w:pPr>
              <w:spacing w:after="40" w:line="240" w:lineRule="auto"/>
              <w:jc w:val="center"/>
              <w:rPr>
                <w:rFonts w:cs="Arial"/>
                <w:sz w:val="14"/>
                <w:szCs w:val="14"/>
                <w:lang w:val="en-AU" w:eastAsia="en-AU"/>
              </w:rPr>
            </w:pPr>
            <w:r w:rsidRPr="008D1918">
              <w:rPr>
                <w:rFonts w:cs="Arial"/>
                <w:sz w:val="14"/>
                <w:szCs w:val="14"/>
                <w:lang w:val="en-AU" w:eastAsia="en-AU"/>
              </w:rPr>
              <w:t>$217.50</w:t>
            </w:r>
          </w:p>
        </w:tc>
        <w:tc>
          <w:tcPr>
            <w:tcW w:w="851" w:type="dxa"/>
            <w:shd w:val="clear" w:color="auto" w:fill="E8CAED" w:themeFill="text1" w:themeFillTint="33"/>
            <w:noWrap/>
            <w:vAlign w:val="bottom"/>
            <w:hideMark/>
          </w:tcPr>
          <w:p w:rsidRPr="008D1918" w:rsidR="009D282A" w:rsidP="009D282A" w:rsidRDefault="009D282A" w14:paraId="649A5AAA" w14:textId="77777777">
            <w:pPr>
              <w:spacing w:after="40" w:line="240" w:lineRule="auto"/>
              <w:jc w:val="center"/>
              <w:rPr>
                <w:rFonts w:cs="Arial"/>
                <w:sz w:val="14"/>
                <w:szCs w:val="14"/>
                <w:lang w:val="en-AU" w:eastAsia="en-AU"/>
              </w:rPr>
            </w:pPr>
            <w:r w:rsidRPr="008D1918">
              <w:rPr>
                <w:rFonts w:cs="Arial"/>
                <w:sz w:val="14"/>
                <w:szCs w:val="14"/>
                <w:lang w:val="en-AU" w:eastAsia="en-AU"/>
              </w:rPr>
              <w:t>$237.00</w:t>
            </w:r>
          </w:p>
        </w:tc>
        <w:tc>
          <w:tcPr>
            <w:tcW w:w="851" w:type="dxa"/>
            <w:shd w:val="clear" w:color="auto" w:fill="E8CAED" w:themeFill="text1" w:themeFillTint="33"/>
            <w:noWrap/>
            <w:vAlign w:val="bottom"/>
            <w:hideMark/>
          </w:tcPr>
          <w:p w:rsidRPr="008D1918" w:rsidR="009D282A" w:rsidP="009D282A" w:rsidRDefault="009D282A" w14:paraId="10950706"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$193.99</w:t>
            </w:r>
          </w:p>
        </w:tc>
      </w:tr>
      <w:tr w:rsidRPr="008D1918" w:rsidR="009D282A" w:rsidTr="009D282A" w14:paraId="061F0002" w14:textId="77777777">
        <w:trPr>
          <w:trHeight w:val="290"/>
        </w:trPr>
        <w:tc>
          <w:tcPr>
            <w:tcW w:w="1276" w:type="dxa"/>
            <w:vMerge w:val="restart"/>
            <w:shd w:val="clear" w:color="auto" w:fill="FFFFFF"/>
          </w:tcPr>
          <w:p w:rsidRPr="008D1918" w:rsidR="009D282A" w:rsidRDefault="009D282A" w14:paraId="54627D0F" w14:textId="77777777">
            <w:pPr>
              <w:spacing w:after="0" w:line="240" w:lineRule="auto"/>
              <w:rPr>
                <w:rFonts w:cs="Arial"/>
                <w:color w:val="000000"/>
                <w:sz w:val="14"/>
                <w:szCs w:val="14"/>
                <w:lang w:val="en-AU" w:eastAsia="en-AU"/>
              </w:rPr>
            </w:pPr>
            <w:r w:rsidRPr="008D1918">
              <w:rPr>
                <w:rFonts w:cs="Arial"/>
                <w:color w:val="000000"/>
                <w:sz w:val="14"/>
                <w:szCs w:val="14"/>
                <w:lang w:val="en-AU" w:eastAsia="en-AU"/>
              </w:rPr>
              <w:t>Dieticians</w:t>
            </w:r>
          </w:p>
          <w:p w:rsidRPr="008D1918" w:rsidR="009D282A" w:rsidRDefault="009D282A" w14:paraId="3958C2ED" w14:textId="61648A27">
            <w:pPr>
              <w:spacing w:after="0" w:line="240" w:lineRule="auto"/>
              <w:rPr>
                <w:rFonts w:cs="Arial"/>
                <w:color w:val="000000"/>
                <w:sz w:val="14"/>
                <w:szCs w:val="14"/>
                <w:lang w:val="en-AU" w:eastAsia="en-AU"/>
              </w:rPr>
            </w:pPr>
            <w:r w:rsidRPr="008D1918">
              <w:rPr>
                <w:rFonts w:cs="Arial"/>
                <w:color w:val="F9F9F9" w:themeColor="background1"/>
                <w:sz w:val="14"/>
                <w:szCs w:val="14"/>
                <w:lang w:val="en-AU" w:eastAsia="en-AU"/>
              </w:rPr>
              <w:t>Blank</w:t>
            </w:r>
          </w:p>
        </w:tc>
        <w:tc>
          <w:tcPr>
            <w:tcW w:w="704" w:type="dxa"/>
            <w:shd w:val="clear" w:color="auto" w:fill="FFFFFF"/>
            <w:noWrap/>
            <w:vAlign w:val="bottom"/>
            <w:hideMark/>
          </w:tcPr>
          <w:p w:rsidRPr="008D1918" w:rsidR="009D282A" w:rsidP="009D282A" w:rsidRDefault="009D282A" w14:paraId="1D3AD372"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PHI_2</w:t>
            </w:r>
          </w:p>
        </w:tc>
        <w:tc>
          <w:tcPr>
            <w:tcW w:w="851" w:type="dxa"/>
            <w:shd w:val="clear" w:color="auto" w:fill="FFFFFF"/>
            <w:noWrap/>
            <w:vAlign w:val="bottom"/>
            <w:hideMark/>
          </w:tcPr>
          <w:p w:rsidRPr="008D1918" w:rsidR="009D282A" w:rsidP="009D282A" w:rsidRDefault="009D282A" w14:paraId="74CE6B9E" w14:textId="77777777">
            <w:pPr>
              <w:spacing w:after="40" w:line="240" w:lineRule="auto"/>
              <w:jc w:val="center"/>
              <w:rPr>
                <w:rFonts w:cs="Arial"/>
                <w:sz w:val="14"/>
                <w:szCs w:val="14"/>
                <w:lang w:val="en-AU" w:eastAsia="en-AU"/>
              </w:rPr>
            </w:pPr>
            <w:r w:rsidRPr="008D1918">
              <w:rPr>
                <w:rFonts w:cs="Arial"/>
                <w:sz w:val="14"/>
                <w:szCs w:val="14"/>
                <w:lang w:val="en-AU" w:eastAsia="en-AU"/>
              </w:rPr>
              <w:t>$30.0</w:t>
            </w:r>
          </w:p>
        </w:tc>
        <w:tc>
          <w:tcPr>
            <w:tcW w:w="851" w:type="dxa"/>
            <w:shd w:val="clear" w:color="auto" w:fill="FFFFFF"/>
            <w:noWrap/>
            <w:vAlign w:val="bottom"/>
            <w:hideMark/>
          </w:tcPr>
          <w:p w:rsidRPr="008D1918" w:rsidR="009D282A" w:rsidP="009D282A" w:rsidRDefault="009D282A" w14:paraId="2E0376DF" w14:textId="77777777">
            <w:pPr>
              <w:spacing w:after="40" w:line="240" w:lineRule="auto"/>
              <w:jc w:val="center"/>
              <w:rPr>
                <w:rFonts w:cs="Arial"/>
                <w:sz w:val="14"/>
                <w:szCs w:val="14"/>
                <w:lang w:val="en-AU" w:eastAsia="en-AU"/>
              </w:rPr>
            </w:pPr>
            <w:r w:rsidRPr="008D1918">
              <w:rPr>
                <w:rFonts w:cs="Arial"/>
                <w:sz w:val="14"/>
                <w:szCs w:val="14"/>
                <w:lang w:val="en-AU" w:eastAsia="en-AU"/>
              </w:rPr>
              <w:t>$59.0</w:t>
            </w:r>
          </w:p>
        </w:tc>
        <w:tc>
          <w:tcPr>
            <w:tcW w:w="851" w:type="dxa"/>
            <w:shd w:val="clear" w:color="auto" w:fill="FFFFFF"/>
            <w:noWrap/>
            <w:vAlign w:val="bottom"/>
            <w:hideMark/>
          </w:tcPr>
          <w:p w:rsidRPr="008D1918" w:rsidR="009D282A" w:rsidP="009D282A" w:rsidRDefault="009D282A" w14:paraId="55F42732" w14:textId="77777777">
            <w:pPr>
              <w:spacing w:after="40" w:line="240" w:lineRule="auto"/>
              <w:jc w:val="center"/>
              <w:rPr>
                <w:rFonts w:cs="Arial"/>
                <w:sz w:val="14"/>
                <w:szCs w:val="14"/>
                <w:lang w:val="en-AU" w:eastAsia="en-AU"/>
              </w:rPr>
            </w:pPr>
            <w:r w:rsidRPr="008D1918">
              <w:rPr>
                <w:rFonts w:cs="Arial"/>
                <w:sz w:val="14"/>
                <w:szCs w:val="14"/>
                <w:lang w:val="en-AU" w:eastAsia="en-AU"/>
              </w:rPr>
              <w:t>$97.0</w:t>
            </w:r>
          </w:p>
        </w:tc>
        <w:tc>
          <w:tcPr>
            <w:tcW w:w="851" w:type="dxa"/>
            <w:noWrap/>
            <w:vAlign w:val="bottom"/>
            <w:hideMark/>
          </w:tcPr>
          <w:p w:rsidRPr="008D1918" w:rsidR="009D282A" w:rsidP="009D282A" w:rsidRDefault="009D282A" w14:paraId="12908F5F" w14:textId="77777777">
            <w:pPr>
              <w:spacing w:after="40" w:line="240" w:lineRule="auto"/>
              <w:jc w:val="center"/>
              <w:rPr>
                <w:rFonts w:cs="Arial"/>
                <w:sz w:val="14"/>
                <w:szCs w:val="14"/>
                <w:lang w:val="en-AU" w:eastAsia="en-AU"/>
              </w:rPr>
            </w:pPr>
            <w:r w:rsidRPr="008D1918">
              <w:rPr>
                <w:rFonts w:cs="Arial"/>
                <w:sz w:val="14"/>
                <w:szCs w:val="14"/>
                <w:lang w:val="en-AU" w:eastAsia="en-AU"/>
              </w:rPr>
              <w:t>22.7</w:t>
            </w:r>
          </w:p>
        </w:tc>
        <w:tc>
          <w:tcPr>
            <w:tcW w:w="851" w:type="dxa"/>
            <w:noWrap/>
            <w:vAlign w:val="bottom"/>
            <w:hideMark/>
          </w:tcPr>
          <w:p w:rsidRPr="008D1918" w:rsidR="009D282A" w:rsidP="009D282A" w:rsidRDefault="009D282A" w14:paraId="4ED8D9B2" w14:textId="77777777">
            <w:pPr>
              <w:spacing w:after="40" w:line="240" w:lineRule="auto"/>
              <w:jc w:val="center"/>
              <w:rPr>
                <w:rFonts w:cs="Arial"/>
                <w:sz w:val="14"/>
                <w:szCs w:val="14"/>
                <w:lang w:val="en-AU" w:eastAsia="en-AU"/>
              </w:rPr>
            </w:pPr>
            <w:r w:rsidRPr="008D1918">
              <w:rPr>
                <w:rFonts w:cs="Arial"/>
                <w:sz w:val="14"/>
                <w:szCs w:val="14"/>
                <w:lang w:val="en-AU" w:eastAsia="en-AU"/>
              </w:rPr>
              <w:t>30.0</w:t>
            </w:r>
          </w:p>
        </w:tc>
        <w:tc>
          <w:tcPr>
            <w:tcW w:w="851" w:type="dxa"/>
            <w:noWrap/>
            <w:vAlign w:val="bottom"/>
            <w:hideMark/>
          </w:tcPr>
          <w:p w:rsidRPr="008D1918" w:rsidR="009D282A" w:rsidP="009D282A" w:rsidRDefault="009D282A" w14:paraId="7024659E" w14:textId="77777777">
            <w:pPr>
              <w:spacing w:after="40" w:line="240" w:lineRule="auto"/>
              <w:jc w:val="center"/>
              <w:rPr>
                <w:rFonts w:cs="Arial"/>
                <w:sz w:val="14"/>
                <w:szCs w:val="14"/>
                <w:lang w:val="en-AU" w:eastAsia="en-AU"/>
              </w:rPr>
            </w:pPr>
            <w:r w:rsidRPr="008D1918">
              <w:rPr>
                <w:rFonts w:cs="Arial"/>
                <w:sz w:val="14"/>
                <w:szCs w:val="14"/>
                <w:lang w:val="en-AU" w:eastAsia="en-AU"/>
              </w:rPr>
              <w:t>39.6</w:t>
            </w:r>
          </w:p>
        </w:tc>
        <w:tc>
          <w:tcPr>
            <w:tcW w:w="851" w:type="dxa"/>
            <w:noWrap/>
            <w:vAlign w:val="bottom"/>
            <w:hideMark/>
          </w:tcPr>
          <w:p w:rsidRPr="008D1918" w:rsidR="009D282A" w:rsidP="009D282A" w:rsidRDefault="009D282A" w14:paraId="3F5B4414" w14:textId="77777777">
            <w:pPr>
              <w:spacing w:after="40" w:line="240" w:lineRule="auto"/>
              <w:jc w:val="center"/>
              <w:rPr>
                <w:rFonts w:cs="Arial"/>
                <w:sz w:val="14"/>
                <w:szCs w:val="14"/>
                <w:lang w:val="en-AU" w:eastAsia="en-AU"/>
              </w:rPr>
            </w:pPr>
            <w:r w:rsidRPr="008D1918">
              <w:rPr>
                <w:rFonts w:cs="Arial"/>
                <w:sz w:val="14"/>
                <w:szCs w:val="14"/>
                <w:lang w:val="en-AU" w:eastAsia="en-AU"/>
              </w:rPr>
              <w:t>$79.32</w:t>
            </w:r>
          </w:p>
        </w:tc>
        <w:tc>
          <w:tcPr>
            <w:tcW w:w="851" w:type="dxa"/>
            <w:shd w:val="clear" w:color="auto" w:fill="FFFFFF"/>
            <w:noWrap/>
            <w:vAlign w:val="bottom"/>
            <w:hideMark/>
          </w:tcPr>
          <w:p w:rsidRPr="008D1918" w:rsidR="009D282A" w:rsidP="009D282A" w:rsidRDefault="009D282A" w14:paraId="2B4F797A" w14:textId="77777777">
            <w:pPr>
              <w:spacing w:after="40" w:line="240" w:lineRule="auto"/>
              <w:jc w:val="center"/>
              <w:rPr>
                <w:rFonts w:cs="Arial"/>
                <w:sz w:val="14"/>
                <w:szCs w:val="14"/>
                <w:lang w:val="en-AU" w:eastAsia="en-AU"/>
              </w:rPr>
            </w:pPr>
            <w:r w:rsidRPr="008D1918">
              <w:rPr>
                <w:rFonts w:cs="Arial"/>
                <w:sz w:val="14"/>
                <w:szCs w:val="14"/>
                <w:lang w:val="en-AU" w:eastAsia="en-AU"/>
              </w:rPr>
              <w:t>$118.00</w:t>
            </w:r>
          </w:p>
        </w:tc>
        <w:tc>
          <w:tcPr>
            <w:tcW w:w="851" w:type="dxa"/>
            <w:shd w:val="clear" w:color="auto" w:fill="FFFFFF"/>
            <w:noWrap/>
            <w:vAlign w:val="bottom"/>
            <w:hideMark/>
          </w:tcPr>
          <w:p w:rsidRPr="008D1918" w:rsidR="009D282A" w:rsidP="009D282A" w:rsidRDefault="009D282A" w14:paraId="22F3F85E" w14:textId="77777777">
            <w:pPr>
              <w:spacing w:after="40" w:line="240" w:lineRule="auto"/>
              <w:jc w:val="center"/>
              <w:rPr>
                <w:rFonts w:cs="Arial"/>
                <w:sz w:val="14"/>
                <w:szCs w:val="14"/>
                <w:lang w:val="en-AU" w:eastAsia="en-AU"/>
              </w:rPr>
            </w:pPr>
            <w:r w:rsidRPr="008D1918">
              <w:rPr>
                <w:rFonts w:cs="Arial"/>
                <w:sz w:val="14"/>
                <w:szCs w:val="14"/>
                <w:lang w:val="en-AU" w:eastAsia="en-AU"/>
              </w:rPr>
              <w:t>$147.06</w:t>
            </w:r>
          </w:p>
        </w:tc>
        <w:tc>
          <w:tcPr>
            <w:tcW w:w="851" w:type="dxa"/>
            <w:noWrap/>
            <w:vAlign w:val="bottom"/>
            <w:hideMark/>
          </w:tcPr>
          <w:p w:rsidRPr="008D1918" w:rsidR="009D282A" w:rsidP="009D282A" w:rsidRDefault="009D282A" w14:paraId="048BE6B9"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$188.99</w:t>
            </w:r>
          </w:p>
        </w:tc>
      </w:tr>
      <w:tr w:rsidRPr="008D1918" w:rsidR="009D282A" w:rsidTr="009D282A" w14:paraId="4C66ADD5" w14:textId="77777777">
        <w:trPr>
          <w:trHeight w:val="290"/>
        </w:trPr>
        <w:tc>
          <w:tcPr>
            <w:tcW w:w="1276" w:type="dxa"/>
            <w:vMerge/>
          </w:tcPr>
          <w:p w:rsidRPr="008D1918" w:rsidR="009D282A" w:rsidRDefault="009D282A" w14:paraId="6E4FF410" w14:textId="4E23F45D">
            <w:pPr>
              <w:spacing w:after="0" w:line="240" w:lineRule="auto"/>
              <w:rPr>
                <w:rFonts w:cs="Arial"/>
                <w:color w:val="000000"/>
                <w:sz w:val="14"/>
                <w:szCs w:val="14"/>
                <w:lang w:val="en-AU" w:eastAsia="en-AU"/>
              </w:rPr>
            </w:pPr>
          </w:p>
        </w:tc>
        <w:tc>
          <w:tcPr>
            <w:tcW w:w="704" w:type="dxa"/>
            <w:shd w:val="clear" w:color="auto" w:fill="FFFFFF"/>
            <w:noWrap/>
            <w:vAlign w:val="bottom"/>
            <w:hideMark/>
          </w:tcPr>
          <w:p w:rsidRPr="008D1918" w:rsidR="009D282A" w:rsidP="009D282A" w:rsidRDefault="009D282A" w14:paraId="0C52F184"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MBS</w:t>
            </w:r>
          </w:p>
        </w:tc>
        <w:tc>
          <w:tcPr>
            <w:tcW w:w="851" w:type="dxa"/>
            <w:shd w:val="clear" w:color="auto" w:fill="FFFFFF"/>
            <w:noWrap/>
            <w:vAlign w:val="bottom"/>
            <w:hideMark/>
          </w:tcPr>
          <w:p w:rsidRPr="008D1918" w:rsidR="009D282A" w:rsidP="009D282A" w:rsidRDefault="009D282A" w14:paraId="6508176A" w14:textId="77777777">
            <w:pPr>
              <w:spacing w:after="40" w:line="240" w:lineRule="auto"/>
              <w:jc w:val="center"/>
              <w:rPr>
                <w:rFonts w:cs="Arial"/>
                <w:sz w:val="14"/>
                <w:szCs w:val="14"/>
                <w:lang w:val="en-AU" w:eastAsia="en-AU"/>
              </w:rPr>
            </w:pPr>
            <w:r w:rsidRPr="008D1918">
              <w:rPr>
                <w:rFonts w:cs="Arial"/>
                <w:sz w:val="14"/>
                <w:szCs w:val="14"/>
                <w:lang w:val="en-AU" w:eastAsia="en-AU"/>
              </w:rPr>
              <w:t>$60.4</w:t>
            </w:r>
          </w:p>
        </w:tc>
        <w:tc>
          <w:tcPr>
            <w:tcW w:w="851" w:type="dxa"/>
            <w:shd w:val="clear" w:color="auto" w:fill="FFFFFF"/>
            <w:noWrap/>
            <w:vAlign w:val="bottom"/>
            <w:hideMark/>
          </w:tcPr>
          <w:p w:rsidRPr="008D1918" w:rsidR="009D282A" w:rsidP="009D282A" w:rsidRDefault="009D282A" w14:paraId="02771BC6" w14:textId="77777777">
            <w:pPr>
              <w:spacing w:after="40" w:line="240" w:lineRule="auto"/>
              <w:jc w:val="center"/>
              <w:rPr>
                <w:rFonts w:cs="Arial"/>
                <w:sz w:val="14"/>
                <w:szCs w:val="14"/>
                <w:lang w:val="en-AU" w:eastAsia="en-AU"/>
              </w:rPr>
            </w:pPr>
            <w:r w:rsidRPr="008D1918">
              <w:rPr>
                <w:rFonts w:cs="Arial"/>
                <w:sz w:val="14"/>
                <w:szCs w:val="14"/>
                <w:lang w:val="en-AU" w:eastAsia="en-AU"/>
              </w:rPr>
              <w:t>$60.4</w:t>
            </w:r>
          </w:p>
        </w:tc>
        <w:tc>
          <w:tcPr>
            <w:tcW w:w="851" w:type="dxa"/>
            <w:shd w:val="clear" w:color="auto" w:fill="FFFFFF"/>
            <w:noWrap/>
            <w:vAlign w:val="bottom"/>
            <w:hideMark/>
          </w:tcPr>
          <w:p w:rsidRPr="008D1918" w:rsidR="009D282A" w:rsidP="009D282A" w:rsidRDefault="009D282A" w14:paraId="2E711B60" w14:textId="77777777">
            <w:pPr>
              <w:spacing w:after="40" w:line="240" w:lineRule="auto"/>
              <w:jc w:val="center"/>
              <w:rPr>
                <w:rFonts w:cs="Arial"/>
                <w:sz w:val="14"/>
                <w:szCs w:val="14"/>
                <w:lang w:val="en-AU" w:eastAsia="en-AU"/>
              </w:rPr>
            </w:pPr>
            <w:r w:rsidRPr="008D1918">
              <w:rPr>
                <w:rFonts w:cs="Arial"/>
                <w:sz w:val="14"/>
                <w:szCs w:val="14"/>
                <w:lang w:val="en-AU" w:eastAsia="en-AU"/>
              </w:rPr>
              <w:t>$95.0</w:t>
            </w:r>
          </w:p>
        </w:tc>
        <w:tc>
          <w:tcPr>
            <w:tcW w:w="851" w:type="dxa"/>
            <w:noWrap/>
            <w:vAlign w:val="bottom"/>
            <w:hideMark/>
          </w:tcPr>
          <w:p w:rsidRPr="008D1918" w:rsidR="009D282A" w:rsidP="009D282A" w:rsidRDefault="009D282A" w14:paraId="4433FE4E" w14:textId="77777777">
            <w:pPr>
              <w:spacing w:after="40" w:line="240" w:lineRule="auto"/>
              <w:jc w:val="center"/>
              <w:rPr>
                <w:rFonts w:cs="Arial"/>
                <w:sz w:val="14"/>
                <w:szCs w:val="14"/>
                <w:lang w:val="en-AU" w:eastAsia="en-AU"/>
              </w:rPr>
            </w:pPr>
            <w:r w:rsidRPr="008D1918">
              <w:rPr>
                <w:rFonts w:cs="Arial"/>
                <w:sz w:val="14"/>
                <w:szCs w:val="14"/>
                <w:lang w:val="en-AU" w:eastAsia="en-AU"/>
              </w:rPr>
              <w:t>30.0</w:t>
            </w:r>
          </w:p>
        </w:tc>
        <w:tc>
          <w:tcPr>
            <w:tcW w:w="851" w:type="dxa"/>
            <w:noWrap/>
            <w:vAlign w:val="bottom"/>
            <w:hideMark/>
          </w:tcPr>
          <w:p w:rsidRPr="008D1918" w:rsidR="009D282A" w:rsidP="009D282A" w:rsidRDefault="009D282A" w14:paraId="19AFCB4F" w14:textId="77777777">
            <w:pPr>
              <w:spacing w:after="40" w:line="240" w:lineRule="auto"/>
              <w:jc w:val="center"/>
              <w:rPr>
                <w:rFonts w:cs="Arial"/>
                <w:sz w:val="14"/>
                <w:szCs w:val="14"/>
                <w:lang w:val="en-AU" w:eastAsia="en-AU"/>
              </w:rPr>
            </w:pPr>
            <w:r w:rsidRPr="008D1918">
              <w:rPr>
                <w:rFonts w:cs="Arial"/>
                <w:sz w:val="14"/>
                <w:szCs w:val="14"/>
                <w:lang w:val="en-AU" w:eastAsia="en-AU"/>
              </w:rPr>
              <w:t>30.0</w:t>
            </w:r>
          </w:p>
        </w:tc>
        <w:tc>
          <w:tcPr>
            <w:tcW w:w="851" w:type="dxa"/>
            <w:noWrap/>
            <w:vAlign w:val="bottom"/>
            <w:hideMark/>
          </w:tcPr>
          <w:p w:rsidRPr="008D1918" w:rsidR="009D282A" w:rsidP="009D282A" w:rsidRDefault="009D282A" w14:paraId="0817486E" w14:textId="77777777">
            <w:pPr>
              <w:spacing w:after="40" w:line="240" w:lineRule="auto"/>
              <w:jc w:val="center"/>
              <w:rPr>
                <w:rFonts w:cs="Arial"/>
                <w:sz w:val="14"/>
                <w:szCs w:val="14"/>
                <w:lang w:val="en-AU" w:eastAsia="en-AU"/>
              </w:rPr>
            </w:pPr>
            <w:r w:rsidRPr="008D1918">
              <w:rPr>
                <w:rFonts w:cs="Arial"/>
                <w:sz w:val="14"/>
                <w:szCs w:val="14"/>
                <w:lang w:val="en-AU" w:eastAsia="en-AU"/>
              </w:rPr>
              <w:t>38.7</w:t>
            </w:r>
          </w:p>
        </w:tc>
        <w:tc>
          <w:tcPr>
            <w:tcW w:w="851" w:type="dxa"/>
            <w:noWrap/>
            <w:vAlign w:val="bottom"/>
            <w:hideMark/>
          </w:tcPr>
          <w:p w:rsidRPr="008D1918" w:rsidR="009D282A" w:rsidP="009D282A" w:rsidRDefault="009D282A" w14:paraId="00425651" w14:textId="77777777">
            <w:pPr>
              <w:spacing w:after="40" w:line="240" w:lineRule="auto"/>
              <w:jc w:val="center"/>
              <w:rPr>
                <w:rFonts w:cs="Arial"/>
                <w:sz w:val="14"/>
                <w:szCs w:val="14"/>
                <w:lang w:val="en-AU" w:eastAsia="en-AU"/>
              </w:rPr>
            </w:pPr>
            <w:r w:rsidRPr="008D1918">
              <w:rPr>
                <w:rFonts w:cs="Arial"/>
                <w:sz w:val="14"/>
                <w:szCs w:val="14"/>
                <w:lang w:val="en-AU" w:eastAsia="en-AU"/>
              </w:rPr>
              <w:t>$120.80</w:t>
            </w:r>
          </w:p>
        </w:tc>
        <w:tc>
          <w:tcPr>
            <w:tcW w:w="851" w:type="dxa"/>
            <w:shd w:val="clear" w:color="auto" w:fill="FFFFFF"/>
            <w:noWrap/>
            <w:vAlign w:val="bottom"/>
            <w:hideMark/>
          </w:tcPr>
          <w:p w:rsidRPr="008D1918" w:rsidR="009D282A" w:rsidP="009D282A" w:rsidRDefault="009D282A" w14:paraId="0BF6174D" w14:textId="77777777">
            <w:pPr>
              <w:spacing w:after="40" w:line="240" w:lineRule="auto"/>
              <w:jc w:val="center"/>
              <w:rPr>
                <w:rFonts w:cs="Arial"/>
                <w:sz w:val="14"/>
                <w:szCs w:val="14"/>
                <w:lang w:val="en-AU" w:eastAsia="en-AU"/>
              </w:rPr>
            </w:pPr>
            <w:r w:rsidRPr="008D1918">
              <w:rPr>
                <w:rFonts w:cs="Arial"/>
                <w:sz w:val="14"/>
                <w:szCs w:val="14"/>
                <w:lang w:val="en-AU" w:eastAsia="en-AU"/>
              </w:rPr>
              <w:t>$120.80</w:t>
            </w:r>
          </w:p>
        </w:tc>
        <w:tc>
          <w:tcPr>
            <w:tcW w:w="851" w:type="dxa"/>
            <w:shd w:val="clear" w:color="auto" w:fill="FFFFFF"/>
            <w:noWrap/>
            <w:vAlign w:val="bottom"/>
            <w:hideMark/>
          </w:tcPr>
          <w:p w:rsidRPr="008D1918" w:rsidR="009D282A" w:rsidP="009D282A" w:rsidRDefault="009D282A" w14:paraId="7AE8AF73" w14:textId="77777777">
            <w:pPr>
              <w:spacing w:after="40" w:line="240" w:lineRule="auto"/>
              <w:jc w:val="center"/>
              <w:rPr>
                <w:rFonts w:cs="Arial"/>
                <w:sz w:val="14"/>
                <w:szCs w:val="14"/>
                <w:lang w:val="en-AU" w:eastAsia="en-AU"/>
              </w:rPr>
            </w:pPr>
            <w:r w:rsidRPr="008D1918">
              <w:rPr>
                <w:rFonts w:cs="Arial"/>
                <w:sz w:val="14"/>
                <w:szCs w:val="14"/>
                <w:lang w:val="en-AU" w:eastAsia="en-AU"/>
              </w:rPr>
              <w:t>$147.21</w:t>
            </w:r>
          </w:p>
        </w:tc>
        <w:tc>
          <w:tcPr>
            <w:tcW w:w="851" w:type="dxa"/>
            <w:noWrap/>
            <w:vAlign w:val="bottom"/>
            <w:hideMark/>
          </w:tcPr>
          <w:p w:rsidRPr="008D1918" w:rsidR="009D282A" w:rsidP="009D282A" w:rsidRDefault="009D282A" w14:paraId="4B9FCC1F"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$188.99</w:t>
            </w:r>
          </w:p>
        </w:tc>
      </w:tr>
      <w:tr w:rsidRPr="008D1918" w:rsidR="009D282A" w:rsidTr="009D282A" w14:paraId="23A80715" w14:textId="77777777">
        <w:trPr>
          <w:trHeight w:val="290"/>
        </w:trPr>
        <w:tc>
          <w:tcPr>
            <w:tcW w:w="1276" w:type="dxa"/>
            <w:vMerge w:val="restart"/>
            <w:shd w:val="clear" w:color="auto" w:fill="E8CAED" w:themeFill="text1" w:themeFillTint="33"/>
          </w:tcPr>
          <w:p w:rsidRPr="008D1918" w:rsidR="009D282A" w:rsidRDefault="009D282A" w14:paraId="1778E1D8" w14:textId="77777777">
            <w:pPr>
              <w:spacing w:after="0" w:line="240" w:lineRule="auto"/>
              <w:rPr>
                <w:rFonts w:cs="Arial"/>
                <w:color w:val="000000"/>
                <w:sz w:val="14"/>
                <w:szCs w:val="14"/>
                <w:lang w:val="en-AU" w:eastAsia="en-AU"/>
              </w:rPr>
            </w:pPr>
            <w:r w:rsidRPr="008D1918">
              <w:rPr>
                <w:rFonts w:cs="Arial"/>
                <w:color w:val="000000"/>
                <w:sz w:val="14"/>
                <w:szCs w:val="14"/>
                <w:lang w:val="en-AU" w:eastAsia="en-AU"/>
              </w:rPr>
              <w:t>Podiatrists</w:t>
            </w:r>
          </w:p>
          <w:p w:rsidRPr="008D1918" w:rsidR="009D282A" w:rsidRDefault="009D282A" w14:paraId="137CCD4D" w14:textId="77777777">
            <w:pPr>
              <w:spacing w:after="0" w:line="240" w:lineRule="auto"/>
              <w:rPr>
                <w:rFonts w:cs="Arial"/>
                <w:color w:val="000000"/>
                <w:sz w:val="14"/>
                <w:szCs w:val="14"/>
                <w:lang w:val="en-AU" w:eastAsia="en-AU"/>
              </w:rPr>
            </w:pPr>
            <w:r w:rsidRPr="008D1918">
              <w:rPr>
                <w:rFonts w:cs="Arial"/>
                <w:color w:val="E8CAED" w:themeColor="text1" w:themeTint="33"/>
                <w:sz w:val="14"/>
                <w:szCs w:val="14"/>
                <w:lang w:val="en-AU" w:eastAsia="en-AU"/>
              </w:rPr>
              <w:t>Blank</w:t>
            </w:r>
          </w:p>
          <w:p w:rsidRPr="008D1918" w:rsidR="009D282A" w:rsidRDefault="009D282A" w14:paraId="1A27A5CA" w14:textId="35DCAE6F">
            <w:pPr>
              <w:spacing w:after="0" w:line="240" w:lineRule="auto"/>
              <w:rPr>
                <w:rFonts w:cs="Arial"/>
                <w:color w:val="000000"/>
                <w:sz w:val="14"/>
                <w:szCs w:val="14"/>
                <w:lang w:val="en-AU" w:eastAsia="en-AU"/>
              </w:rPr>
            </w:pPr>
            <w:r w:rsidRPr="008D1918">
              <w:rPr>
                <w:rFonts w:cs="Arial"/>
                <w:color w:val="E8CAED" w:themeColor="text1" w:themeTint="33"/>
                <w:sz w:val="14"/>
                <w:szCs w:val="14"/>
                <w:lang w:val="en-AU" w:eastAsia="en-AU"/>
              </w:rPr>
              <w:t>Blank</w:t>
            </w:r>
          </w:p>
        </w:tc>
        <w:tc>
          <w:tcPr>
            <w:tcW w:w="704" w:type="dxa"/>
            <w:shd w:val="clear" w:color="auto" w:fill="E8CAED" w:themeFill="text1" w:themeFillTint="33"/>
            <w:noWrap/>
            <w:vAlign w:val="bottom"/>
            <w:hideMark/>
          </w:tcPr>
          <w:p w:rsidRPr="008D1918" w:rsidR="009D282A" w:rsidP="009D282A" w:rsidRDefault="009D282A" w14:paraId="7E0FEEF3"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PHI_1</w:t>
            </w:r>
          </w:p>
        </w:tc>
        <w:tc>
          <w:tcPr>
            <w:tcW w:w="851" w:type="dxa"/>
            <w:shd w:val="clear" w:color="auto" w:fill="E8CAED" w:themeFill="text1" w:themeFillTint="33"/>
            <w:noWrap/>
            <w:vAlign w:val="bottom"/>
            <w:hideMark/>
          </w:tcPr>
          <w:p w:rsidRPr="008D1918" w:rsidR="009D282A" w:rsidP="009D282A" w:rsidRDefault="009D282A" w14:paraId="444EE5CD" w14:textId="77777777">
            <w:pPr>
              <w:spacing w:after="40" w:line="240" w:lineRule="auto"/>
              <w:jc w:val="center"/>
              <w:rPr>
                <w:rFonts w:cs="Arial"/>
                <w:sz w:val="14"/>
                <w:szCs w:val="14"/>
                <w:lang w:val="en-AU" w:eastAsia="en-AU"/>
              </w:rPr>
            </w:pPr>
            <w:r w:rsidRPr="008D1918">
              <w:rPr>
                <w:rFonts w:cs="Arial"/>
                <w:sz w:val="14"/>
                <w:szCs w:val="14"/>
                <w:lang w:val="en-AU" w:eastAsia="en-AU"/>
              </w:rPr>
              <w:t>$80.0</w:t>
            </w:r>
          </w:p>
        </w:tc>
        <w:tc>
          <w:tcPr>
            <w:tcW w:w="851" w:type="dxa"/>
            <w:shd w:val="clear" w:color="auto" w:fill="E8CAED" w:themeFill="text1" w:themeFillTint="33"/>
            <w:noWrap/>
            <w:vAlign w:val="bottom"/>
            <w:hideMark/>
          </w:tcPr>
          <w:p w:rsidRPr="008D1918" w:rsidR="009D282A" w:rsidP="009D282A" w:rsidRDefault="009D282A" w14:paraId="21D2B753" w14:textId="77777777">
            <w:pPr>
              <w:spacing w:after="40" w:line="240" w:lineRule="auto"/>
              <w:jc w:val="center"/>
              <w:rPr>
                <w:rFonts w:cs="Arial"/>
                <w:sz w:val="14"/>
                <w:szCs w:val="14"/>
                <w:lang w:val="en-AU" w:eastAsia="en-AU"/>
              </w:rPr>
            </w:pPr>
            <w:r w:rsidRPr="008D1918">
              <w:rPr>
                <w:rFonts w:cs="Arial"/>
                <w:sz w:val="14"/>
                <w:szCs w:val="14"/>
                <w:lang w:val="en-AU" w:eastAsia="en-AU"/>
              </w:rPr>
              <w:t>$90.0</w:t>
            </w:r>
          </w:p>
        </w:tc>
        <w:tc>
          <w:tcPr>
            <w:tcW w:w="851" w:type="dxa"/>
            <w:shd w:val="clear" w:color="auto" w:fill="E8CAED" w:themeFill="text1" w:themeFillTint="33"/>
            <w:noWrap/>
            <w:vAlign w:val="bottom"/>
            <w:hideMark/>
          </w:tcPr>
          <w:p w:rsidRPr="008D1918" w:rsidR="009D282A" w:rsidP="009D282A" w:rsidRDefault="009D282A" w14:paraId="2BCFBA6E" w14:textId="77777777">
            <w:pPr>
              <w:spacing w:after="40" w:line="240" w:lineRule="auto"/>
              <w:jc w:val="center"/>
              <w:rPr>
                <w:rFonts w:cs="Arial"/>
                <w:sz w:val="14"/>
                <w:szCs w:val="14"/>
                <w:lang w:val="en-AU" w:eastAsia="en-AU"/>
              </w:rPr>
            </w:pPr>
            <w:r w:rsidRPr="008D1918">
              <w:rPr>
                <w:rFonts w:cs="Arial"/>
                <w:sz w:val="14"/>
                <w:szCs w:val="14"/>
                <w:lang w:val="en-AU" w:eastAsia="en-AU"/>
              </w:rPr>
              <w:t>$100.0</w:t>
            </w:r>
          </w:p>
        </w:tc>
        <w:tc>
          <w:tcPr>
            <w:tcW w:w="851" w:type="dxa"/>
            <w:shd w:val="clear" w:color="auto" w:fill="E8CAED" w:themeFill="text1" w:themeFillTint="33"/>
            <w:noWrap/>
            <w:vAlign w:val="bottom"/>
            <w:hideMark/>
          </w:tcPr>
          <w:p w:rsidRPr="008D1918" w:rsidR="009D282A" w:rsidP="009D282A" w:rsidRDefault="009D282A" w14:paraId="5B2FC82E" w14:textId="77777777">
            <w:pPr>
              <w:spacing w:after="40" w:line="240" w:lineRule="auto"/>
              <w:jc w:val="center"/>
              <w:rPr>
                <w:rFonts w:cs="Arial"/>
                <w:sz w:val="14"/>
                <w:szCs w:val="14"/>
                <w:lang w:val="en-AU" w:eastAsia="en-AU"/>
              </w:rPr>
            </w:pPr>
            <w:r w:rsidRPr="008D1918">
              <w:rPr>
                <w:rFonts w:cs="Arial"/>
                <w:sz w:val="14"/>
                <w:szCs w:val="14"/>
                <w:lang w:val="en-AU" w:eastAsia="en-AU"/>
              </w:rPr>
              <w:t>27.4</w:t>
            </w:r>
          </w:p>
        </w:tc>
        <w:tc>
          <w:tcPr>
            <w:tcW w:w="851" w:type="dxa"/>
            <w:shd w:val="clear" w:color="auto" w:fill="E8CAED" w:themeFill="text1" w:themeFillTint="33"/>
            <w:noWrap/>
            <w:vAlign w:val="bottom"/>
            <w:hideMark/>
          </w:tcPr>
          <w:p w:rsidRPr="008D1918" w:rsidR="009D282A" w:rsidP="009D282A" w:rsidRDefault="009D282A" w14:paraId="531F6BB8" w14:textId="77777777">
            <w:pPr>
              <w:spacing w:after="40" w:line="240" w:lineRule="auto"/>
              <w:jc w:val="center"/>
              <w:rPr>
                <w:rFonts w:cs="Arial"/>
                <w:sz w:val="14"/>
                <w:szCs w:val="14"/>
                <w:lang w:val="en-AU" w:eastAsia="en-AU"/>
              </w:rPr>
            </w:pPr>
            <w:r w:rsidRPr="008D1918">
              <w:rPr>
                <w:rFonts w:cs="Arial"/>
                <w:sz w:val="14"/>
                <w:szCs w:val="14"/>
                <w:lang w:val="en-AU" w:eastAsia="en-AU"/>
              </w:rPr>
              <w:t>30.0</w:t>
            </w:r>
          </w:p>
        </w:tc>
        <w:tc>
          <w:tcPr>
            <w:tcW w:w="851" w:type="dxa"/>
            <w:shd w:val="clear" w:color="auto" w:fill="E8CAED" w:themeFill="text1" w:themeFillTint="33"/>
            <w:noWrap/>
            <w:vAlign w:val="bottom"/>
            <w:hideMark/>
          </w:tcPr>
          <w:p w:rsidRPr="008D1918" w:rsidR="009D282A" w:rsidP="009D282A" w:rsidRDefault="009D282A" w14:paraId="777457F8" w14:textId="77777777">
            <w:pPr>
              <w:spacing w:after="40" w:line="240" w:lineRule="auto"/>
              <w:jc w:val="center"/>
              <w:rPr>
                <w:rFonts w:cs="Arial"/>
                <w:sz w:val="14"/>
                <w:szCs w:val="14"/>
                <w:lang w:val="en-AU" w:eastAsia="en-AU"/>
              </w:rPr>
            </w:pPr>
            <w:r w:rsidRPr="008D1918">
              <w:rPr>
                <w:rFonts w:cs="Arial"/>
                <w:sz w:val="14"/>
                <w:szCs w:val="14"/>
                <w:lang w:val="en-AU" w:eastAsia="en-AU"/>
              </w:rPr>
              <w:t>32.6</w:t>
            </w:r>
          </w:p>
        </w:tc>
        <w:tc>
          <w:tcPr>
            <w:tcW w:w="851" w:type="dxa"/>
            <w:shd w:val="clear" w:color="auto" w:fill="E8CAED" w:themeFill="text1" w:themeFillTint="33"/>
            <w:noWrap/>
            <w:vAlign w:val="bottom"/>
            <w:hideMark/>
          </w:tcPr>
          <w:p w:rsidRPr="008D1918" w:rsidR="009D282A" w:rsidP="009D282A" w:rsidRDefault="009D282A" w14:paraId="455FB509" w14:textId="77777777">
            <w:pPr>
              <w:spacing w:after="40" w:line="240" w:lineRule="auto"/>
              <w:jc w:val="center"/>
              <w:rPr>
                <w:rFonts w:cs="Arial"/>
                <w:sz w:val="14"/>
                <w:szCs w:val="14"/>
                <w:lang w:val="en-AU" w:eastAsia="en-AU"/>
              </w:rPr>
            </w:pPr>
            <w:r w:rsidRPr="008D1918">
              <w:rPr>
                <w:rFonts w:cs="Arial"/>
                <w:sz w:val="14"/>
                <w:szCs w:val="14"/>
                <w:lang w:val="en-AU" w:eastAsia="en-AU"/>
              </w:rPr>
              <w:t>$175.12</w:t>
            </w:r>
          </w:p>
        </w:tc>
        <w:tc>
          <w:tcPr>
            <w:tcW w:w="851" w:type="dxa"/>
            <w:shd w:val="clear" w:color="auto" w:fill="E8CAED" w:themeFill="text1" w:themeFillTint="33"/>
            <w:noWrap/>
            <w:vAlign w:val="bottom"/>
            <w:hideMark/>
          </w:tcPr>
          <w:p w:rsidRPr="008D1918" w:rsidR="009D282A" w:rsidP="009D282A" w:rsidRDefault="009D282A" w14:paraId="03B10280" w14:textId="77777777">
            <w:pPr>
              <w:spacing w:after="40" w:line="240" w:lineRule="auto"/>
              <w:jc w:val="center"/>
              <w:rPr>
                <w:rFonts w:cs="Arial"/>
                <w:sz w:val="14"/>
                <w:szCs w:val="14"/>
                <w:lang w:val="en-AU" w:eastAsia="en-AU"/>
              </w:rPr>
            </w:pPr>
            <w:r w:rsidRPr="008D1918">
              <w:rPr>
                <w:rFonts w:cs="Arial"/>
                <w:sz w:val="14"/>
                <w:szCs w:val="14"/>
                <w:lang w:val="en-AU" w:eastAsia="en-AU"/>
              </w:rPr>
              <w:t>$180.00</w:t>
            </w:r>
          </w:p>
        </w:tc>
        <w:tc>
          <w:tcPr>
            <w:tcW w:w="851" w:type="dxa"/>
            <w:shd w:val="clear" w:color="auto" w:fill="E8CAED" w:themeFill="text1" w:themeFillTint="33"/>
            <w:noWrap/>
            <w:vAlign w:val="bottom"/>
            <w:hideMark/>
          </w:tcPr>
          <w:p w:rsidRPr="008D1918" w:rsidR="009D282A" w:rsidP="009D282A" w:rsidRDefault="009D282A" w14:paraId="38B98F04" w14:textId="77777777">
            <w:pPr>
              <w:spacing w:after="40" w:line="240" w:lineRule="auto"/>
              <w:jc w:val="center"/>
              <w:rPr>
                <w:rFonts w:cs="Arial"/>
                <w:sz w:val="14"/>
                <w:szCs w:val="14"/>
                <w:lang w:val="en-AU" w:eastAsia="en-AU"/>
              </w:rPr>
            </w:pPr>
            <w:r w:rsidRPr="008D1918">
              <w:rPr>
                <w:rFonts w:cs="Arial"/>
                <w:sz w:val="14"/>
                <w:szCs w:val="14"/>
                <w:lang w:val="en-AU" w:eastAsia="en-AU"/>
              </w:rPr>
              <w:t>$184.11</w:t>
            </w:r>
          </w:p>
        </w:tc>
        <w:tc>
          <w:tcPr>
            <w:tcW w:w="851" w:type="dxa"/>
            <w:shd w:val="clear" w:color="auto" w:fill="E8CAED" w:themeFill="text1" w:themeFillTint="33"/>
            <w:noWrap/>
            <w:vAlign w:val="bottom"/>
            <w:hideMark/>
          </w:tcPr>
          <w:p w:rsidRPr="008D1918" w:rsidR="009D282A" w:rsidP="009D282A" w:rsidRDefault="009D282A" w14:paraId="41B04DDE"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$188.99</w:t>
            </w:r>
          </w:p>
        </w:tc>
      </w:tr>
      <w:tr w:rsidRPr="008D1918" w:rsidR="009D282A" w:rsidTr="009D282A" w14:paraId="04433FF2" w14:textId="77777777">
        <w:trPr>
          <w:trHeight w:val="290"/>
        </w:trPr>
        <w:tc>
          <w:tcPr>
            <w:tcW w:w="1276" w:type="dxa"/>
            <w:vMerge/>
            <w:shd w:val="clear" w:color="auto" w:fill="E8CAED" w:themeFill="text1" w:themeFillTint="33"/>
          </w:tcPr>
          <w:p w:rsidRPr="008D1918" w:rsidR="009D282A" w:rsidRDefault="009D282A" w14:paraId="00246469" w14:textId="518C8937">
            <w:pPr>
              <w:spacing w:after="0" w:line="240" w:lineRule="auto"/>
              <w:rPr>
                <w:rFonts w:cs="Arial"/>
                <w:color w:val="000000"/>
                <w:sz w:val="14"/>
                <w:szCs w:val="14"/>
                <w:lang w:val="en-AU" w:eastAsia="en-AU"/>
              </w:rPr>
            </w:pPr>
          </w:p>
        </w:tc>
        <w:tc>
          <w:tcPr>
            <w:tcW w:w="704" w:type="dxa"/>
            <w:shd w:val="clear" w:color="auto" w:fill="E8CAED" w:themeFill="text1" w:themeFillTint="33"/>
            <w:noWrap/>
            <w:vAlign w:val="bottom"/>
            <w:hideMark/>
          </w:tcPr>
          <w:p w:rsidRPr="008D1918" w:rsidR="009D282A" w:rsidP="009D282A" w:rsidRDefault="009D282A" w14:paraId="0F2CB0F7"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PHI_2</w:t>
            </w:r>
          </w:p>
        </w:tc>
        <w:tc>
          <w:tcPr>
            <w:tcW w:w="851" w:type="dxa"/>
            <w:shd w:val="clear" w:color="auto" w:fill="E8CAED" w:themeFill="text1" w:themeFillTint="33"/>
            <w:noWrap/>
            <w:vAlign w:val="bottom"/>
            <w:hideMark/>
          </w:tcPr>
          <w:p w:rsidRPr="008D1918" w:rsidR="009D282A" w:rsidP="009D282A" w:rsidRDefault="009D282A" w14:paraId="408DBCA3" w14:textId="77777777">
            <w:pPr>
              <w:spacing w:after="40" w:line="240" w:lineRule="auto"/>
              <w:jc w:val="center"/>
              <w:rPr>
                <w:rFonts w:cs="Arial"/>
                <w:sz w:val="14"/>
                <w:szCs w:val="14"/>
                <w:lang w:val="en-AU" w:eastAsia="en-AU"/>
              </w:rPr>
            </w:pPr>
            <w:r w:rsidRPr="008D1918">
              <w:rPr>
                <w:rFonts w:cs="Arial"/>
                <w:sz w:val="14"/>
                <w:szCs w:val="14"/>
                <w:lang w:val="en-AU" w:eastAsia="en-AU"/>
              </w:rPr>
              <w:t>$75.0</w:t>
            </w:r>
          </w:p>
        </w:tc>
        <w:tc>
          <w:tcPr>
            <w:tcW w:w="851" w:type="dxa"/>
            <w:shd w:val="clear" w:color="auto" w:fill="E8CAED" w:themeFill="text1" w:themeFillTint="33"/>
            <w:noWrap/>
            <w:vAlign w:val="bottom"/>
            <w:hideMark/>
          </w:tcPr>
          <w:p w:rsidRPr="008D1918" w:rsidR="009D282A" w:rsidP="009D282A" w:rsidRDefault="009D282A" w14:paraId="188A974F" w14:textId="77777777">
            <w:pPr>
              <w:spacing w:after="40" w:line="240" w:lineRule="auto"/>
              <w:jc w:val="center"/>
              <w:rPr>
                <w:rFonts w:cs="Arial"/>
                <w:sz w:val="14"/>
                <w:szCs w:val="14"/>
                <w:lang w:val="en-AU" w:eastAsia="en-AU"/>
              </w:rPr>
            </w:pPr>
            <w:r w:rsidRPr="008D1918">
              <w:rPr>
                <w:rFonts w:cs="Arial"/>
                <w:sz w:val="14"/>
                <w:szCs w:val="14"/>
                <w:lang w:val="en-AU" w:eastAsia="en-AU"/>
              </w:rPr>
              <w:t>$87.0</w:t>
            </w:r>
          </w:p>
        </w:tc>
        <w:tc>
          <w:tcPr>
            <w:tcW w:w="851" w:type="dxa"/>
            <w:shd w:val="clear" w:color="auto" w:fill="E8CAED" w:themeFill="text1" w:themeFillTint="33"/>
            <w:noWrap/>
            <w:vAlign w:val="bottom"/>
            <w:hideMark/>
          </w:tcPr>
          <w:p w:rsidRPr="008D1918" w:rsidR="009D282A" w:rsidP="009D282A" w:rsidRDefault="009D282A" w14:paraId="17DB7271" w14:textId="77777777">
            <w:pPr>
              <w:spacing w:after="40" w:line="240" w:lineRule="auto"/>
              <w:jc w:val="center"/>
              <w:rPr>
                <w:rFonts w:cs="Arial"/>
                <w:sz w:val="14"/>
                <w:szCs w:val="14"/>
                <w:lang w:val="en-AU" w:eastAsia="en-AU"/>
              </w:rPr>
            </w:pPr>
            <w:r w:rsidRPr="008D1918">
              <w:rPr>
                <w:rFonts w:cs="Arial"/>
                <w:sz w:val="14"/>
                <w:szCs w:val="14"/>
                <w:lang w:val="en-AU" w:eastAsia="en-AU"/>
              </w:rPr>
              <w:t>$99.0</w:t>
            </w:r>
          </w:p>
        </w:tc>
        <w:tc>
          <w:tcPr>
            <w:tcW w:w="851" w:type="dxa"/>
            <w:shd w:val="clear" w:color="auto" w:fill="E8CAED" w:themeFill="text1" w:themeFillTint="33"/>
            <w:noWrap/>
            <w:vAlign w:val="bottom"/>
            <w:hideMark/>
          </w:tcPr>
          <w:p w:rsidRPr="008D1918" w:rsidR="009D282A" w:rsidP="009D282A" w:rsidRDefault="009D282A" w14:paraId="58C20A21" w14:textId="77777777">
            <w:pPr>
              <w:spacing w:after="40" w:line="240" w:lineRule="auto"/>
              <w:jc w:val="center"/>
              <w:rPr>
                <w:rFonts w:cs="Arial"/>
                <w:sz w:val="14"/>
                <w:szCs w:val="14"/>
                <w:lang w:val="en-AU" w:eastAsia="en-AU"/>
              </w:rPr>
            </w:pPr>
            <w:r w:rsidRPr="008D1918">
              <w:rPr>
                <w:rFonts w:cs="Arial"/>
                <w:sz w:val="14"/>
                <w:szCs w:val="14"/>
                <w:lang w:val="en-AU" w:eastAsia="en-AU"/>
              </w:rPr>
              <w:t>26.9</w:t>
            </w:r>
          </w:p>
        </w:tc>
        <w:tc>
          <w:tcPr>
            <w:tcW w:w="851" w:type="dxa"/>
            <w:shd w:val="clear" w:color="auto" w:fill="E8CAED" w:themeFill="text1" w:themeFillTint="33"/>
            <w:noWrap/>
            <w:vAlign w:val="bottom"/>
            <w:hideMark/>
          </w:tcPr>
          <w:p w:rsidRPr="008D1918" w:rsidR="009D282A" w:rsidP="009D282A" w:rsidRDefault="009D282A" w14:paraId="270B6CDB" w14:textId="77777777">
            <w:pPr>
              <w:spacing w:after="40" w:line="240" w:lineRule="auto"/>
              <w:jc w:val="center"/>
              <w:rPr>
                <w:rFonts w:cs="Arial"/>
                <w:sz w:val="14"/>
                <w:szCs w:val="14"/>
                <w:lang w:val="en-AU" w:eastAsia="en-AU"/>
              </w:rPr>
            </w:pPr>
            <w:r w:rsidRPr="008D1918">
              <w:rPr>
                <w:rFonts w:cs="Arial"/>
                <w:sz w:val="14"/>
                <w:szCs w:val="14"/>
                <w:lang w:val="en-AU" w:eastAsia="en-AU"/>
              </w:rPr>
              <w:t>30.0</w:t>
            </w:r>
          </w:p>
        </w:tc>
        <w:tc>
          <w:tcPr>
            <w:tcW w:w="851" w:type="dxa"/>
            <w:shd w:val="clear" w:color="auto" w:fill="E8CAED" w:themeFill="text1" w:themeFillTint="33"/>
            <w:noWrap/>
            <w:vAlign w:val="bottom"/>
            <w:hideMark/>
          </w:tcPr>
          <w:p w:rsidRPr="008D1918" w:rsidR="009D282A" w:rsidP="009D282A" w:rsidRDefault="009D282A" w14:paraId="7C5BD15E" w14:textId="77777777">
            <w:pPr>
              <w:spacing w:after="40" w:line="240" w:lineRule="auto"/>
              <w:jc w:val="center"/>
              <w:rPr>
                <w:rFonts w:cs="Arial"/>
                <w:sz w:val="14"/>
                <w:szCs w:val="14"/>
                <w:lang w:val="en-AU" w:eastAsia="en-AU"/>
              </w:rPr>
            </w:pPr>
            <w:r w:rsidRPr="008D1918">
              <w:rPr>
                <w:rFonts w:cs="Arial"/>
                <w:sz w:val="14"/>
                <w:szCs w:val="14"/>
                <w:lang w:val="en-AU" w:eastAsia="en-AU"/>
              </w:rPr>
              <w:t>33.1</w:t>
            </w:r>
          </w:p>
        </w:tc>
        <w:tc>
          <w:tcPr>
            <w:tcW w:w="851" w:type="dxa"/>
            <w:shd w:val="clear" w:color="auto" w:fill="E8CAED" w:themeFill="text1" w:themeFillTint="33"/>
            <w:noWrap/>
            <w:vAlign w:val="bottom"/>
            <w:hideMark/>
          </w:tcPr>
          <w:p w:rsidRPr="008D1918" w:rsidR="009D282A" w:rsidP="009D282A" w:rsidRDefault="009D282A" w14:paraId="697BEBBF" w14:textId="77777777">
            <w:pPr>
              <w:spacing w:after="40" w:line="240" w:lineRule="auto"/>
              <w:jc w:val="center"/>
              <w:rPr>
                <w:rFonts w:cs="Arial"/>
                <w:sz w:val="14"/>
                <w:szCs w:val="14"/>
                <w:lang w:val="en-AU" w:eastAsia="en-AU"/>
              </w:rPr>
            </w:pPr>
            <w:r w:rsidRPr="008D1918">
              <w:rPr>
                <w:rFonts w:cs="Arial"/>
                <w:sz w:val="14"/>
                <w:szCs w:val="14"/>
                <w:lang w:val="en-AU" w:eastAsia="en-AU"/>
              </w:rPr>
              <w:t>$167.34</w:t>
            </w:r>
          </w:p>
        </w:tc>
        <w:tc>
          <w:tcPr>
            <w:tcW w:w="851" w:type="dxa"/>
            <w:shd w:val="clear" w:color="auto" w:fill="E8CAED" w:themeFill="text1" w:themeFillTint="33"/>
            <w:noWrap/>
            <w:vAlign w:val="bottom"/>
            <w:hideMark/>
          </w:tcPr>
          <w:p w:rsidRPr="008D1918" w:rsidR="009D282A" w:rsidP="009D282A" w:rsidRDefault="009D282A" w14:paraId="520FEE1B" w14:textId="77777777">
            <w:pPr>
              <w:spacing w:after="40" w:line="240" w:lineRule="auto"/>
              <w:jc w:val="center"/>
              <w:rPr>
                <w:rFonts w:cs="Arial"/>
                <w:sz w:val="14"/>
                <w:szCs w:val="14"/>
                <w:lang w:val="en-AU" w:eastAsia="en-AU"/>
              </w:rPr>
            </w:pPr>
            <w:r w:rsidRPr="008D1918">
              <w:rPr>
                <w:rFonts w:cs="Arial"/>
                <w:sz w:val="14"/>
                <w:szCs w:val="14"/>
                <w:lang w:val="en-AU" w:eastAsia="en-AU"/>
              </w:rPr>
              <w:t>$174.00</w:t>
            </w:r>
          </w:p>
        </w:tc>
        <w:tc>
          <w:tcPr>
            <w:tcW w:w="851" w:type="dxa"/>
            <w:shd w:val="clear" w:color="auto" w:fill="E8CAED" w:themeFill="text1" w:themeFillTint="33"/>
            <w:noWrap/>
            <w:vAlign w:val="bottom"/>
            <w:hideMark/>
          </w:tcPr>
          <w:p w:rsidRPr="008D1918" w:rsidR="009D282A" w:rsidP="009D282A" w:rsidRDefault="009D282A" w14:paraId="482E54FB" w14:textId="77777777">
            <w:pPr>
              <w:spacing w:after="40" w:line="240" w:lineRule="auto"/>
              <w:jc w:val="center"/>
              <w:rPr>
                <w:rFonts w:cs="Arial"/>
                <w:sz w:val="14"/>
                <w:szCs w:val="14"/>
                <w:lang w:val="en-AU" w:eastAsia="en-AU"/>
              </w:rPr>
            </w:pPr>
            <w:r w:rsidRPr="008D1918">
              <w:rPr>
                <w:rFonts w:cs="Arial"/>
                <w:sz w:val="14"/>
                <w:szCs w:val="14"/>
                <w:lang w:val="en-AU" w:eastAsia="en-AU"/>
              </w:rPr>
              <w:t>$179.41</w:t>
            </w:r>
          </w:p>
        </w:tc>
        <w:tc>
          <w:tcPr>
            <w:tcW w:w="851" w:type="dxa"/>
            <w:shd w:val="clear" w:color="auto" w:fill="E8CAED" w:themeFill="text1" w:themeFillTint="33"/>
            <w:noWrap/>
            <w:vAlign w:val="bottom"/>
            <w:hideMark/>
          </w:tcPr>
          <w:p w:rsidRPr="008D1918" w:rsidR="009D282A" w:rsidP="009D282A" w:rsidRDefault="009D282A" w14:paraId="347EEC7D"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$188.99</w:t>
            </w:r>
          </w:p>
        </w:tc>
      </w:tr>
      <w:tr w:rsidRPr="008D1918" w:rsidR="009D282A" w:rsidTr="009D282A" w14:paraId="0A69C796" w14:textId="77777777">
        <w:trPr>
          <w:trHeight w:val="290"/>
        </w:trPr>
        <w:tc>
          <w:tcPr>
            <w:tcW w:w="1276" w:type="dxa"/>
            <w:vMerge/>
            <w:shd w:val="clear" w:color="auto" w:fill="E8CAED" w:themeFill="text1" w:themeFillTint="33"/>
          </w:tcPr>
          <w:p w:rsidRPr="008D1918" w:rsidR="009D282A" w:rsidRDefault="009D282A" w14:paraId="22F8D3CC" w14:textId="6E29708F">
            <w:pPr>
              <w:spacing w:after="0" w:line="240" w:lineRule="auto"/>
              <w:rPr>
                <w:rFonts w:cs="Arial"/>
                <w:color w:val="000000"/>
                <w:sz w:val="14"/>
                <w:szCs w:val="14"/>
                <w:lang w:val="en-AU" w:eastAsia="en-AU"/>
              </w:rPr>
            </w:pPr>
          </w:p>
        </w:tc>
        <w:tc>
          <w:tcPr>
            <w:tcW w:w="704" w:type="dxa"/>
            <w:shd w:val="clear" w:color="auto" w:fill="E8CAED" w:themeFill="text1" w:themeFillTint="33"/>
            <w:noWrap/>
            <w:vAlign w:val="bottom"/>
            <w:hideMark/>
          </w:tcPr>
          <w:p w:rsidRPr="008D1918" w:rsidR="009D282A" w:rsidP="009D282A" w:rsidRDefault="009D282A" w14:paraId="3EE20B62"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MBS</w:t>
            </w:r>
          </w:p>
        </w:tc>
        <w:tc>
          <w:tcPr>
            <w:tcW w:w="851" w:type="dxa"/>
            <w:shd w:val="clear" w:color="auto" w:fill="E8CAED" w:themeFill="text1" w:themeFillTint="33"/>
            <w:noWrap/>
            <w:vAlign w:val="bottom"/>
            <w:hideMark/>
          </w:tcPr>
          <w:p w:rsidRPr="008D1918" w:rsidR="009D282A" w:rsidP="009D282A" w:rsidRDefault="009D282A" w14:paraId="00DB7304" w14:textId="77777777">
            <w:pPr>
              <w:spacing w:after="40" w:line="240" w:lineRule="auto"/>
              <w:jc w:val="center"/>
              <w:rPr>
                <w:rFonts w:cs="Arial"/>
                <w:sz w:val="14"/>
                <w:szCs w:val="14"/>
                <w:lang w:val="en-AU" w:eastAsia="en-AU"/>
              </w:rPr>
            </w:pPr>
            <w:r w:rsidRPr="008D1918">
              <w:rPr>
                <w:rFonts w:cs="Arial"/>
                <w:sz w:val="14"/>
                <w:szCs w:val="14"/>
                <w:lang w:val="en-AU" w:eastAsia="en-AU"/>
              </w:rPr>
              <w:t>$60.4</w:t>
            </w:r>
          </w:p>
        </w:tc>
        <w:tc>
          <w:tcPr>
            <w:tcW w:w="851" w:type="dxa"/>
            <w:shd w:val="clear" w:color="auto" w:fill="E8CAED" w:themeFill="text1" w:themeFillTint="33"/>
            <w:noWrap/>
            <w:vAlign w:val="bottom"/>
            <w:hideMark/>
          </w:tcPr>
          <w:p w:rsidRPr="008D1918" w:rsidR="009D282A" w:rsidP="009D282A" w:rsidRDefault="009D282A" w14:paraId="7DD80DB5" w14:textId="77777777">
            <w:pPr>
              <w:spacing w:after="40" w:line="240" w:lineRule="auto"/>
              <w:jc w:val="center"/>
              <w:rPr>
                <w:rFonts w:cs="Arial"/>
                <w:sz w:val="14"/>
                <w:szCs w:val="14"/>
                <w:lang w:val="en-AU" w:eastAsia="en-AU"/>
              </w:rPr>
            </w:pPr>
            <w:r w:rsidRPr="008D1918">
              <w:rPr>
                <w:rFonts w:cs="Arial"/>
                <w:sz w:val="14"/>
                <w:szCs w:val="14"/>
                <w:lang w:val="en-AU" w:eastAsia="en-AU"/>
              </w:rPr>
              <w:t>$60.4</w:t>
            </w:r>
          </w:p>
        </w:tc>
        <w:tc>
          <w:tcPr>
            <w:tcW w:w="851" w:type="dxa"/>
            <w:shd w:val="clear" w:color="auto" w:fill="E8CAED" w:themeFill="text1" w:themeFillTint="33"/>
            <w:noWrap/>
            <w:vAlign w:val="bottom"/>
            <w:hideMark/>
          </w:tcPr>
          <w:p w:rsidRPr="008D1918" w:rsidR="009D282A" w:rsidP="009D282A" w:rsidRDefault="009D282A" w14:paraId="6492CDDE" w14:textId="77777777">
            <w:pPr>
              <w:spacing w:after="40" w:line="240" w:lineRule="auto"/>
              <w:jc w:val="center"/>
              <w:rPr>
                <w:rFonts w:cs="Arial"/>
                <w:sz w:val="14"/>
                <w:szCs w:val="14"/>
                <w:lang w:val="en-AU" w:eastAsia="en-AU"/>
              </w:rPr>
            </w:pPr>
            <w:r w:rsidRPr="008D1918">
              <w:rPr>
                <w:rFonts w:cs="Arial"/>
                <w:sz w:val="14"/>
                <w:szCs w:val="14"/>
                <w:lang w:val="en-AU" w:eastAsia="en-AU"/>
              </w:rPr>
              <w:t>$80.0</w:t>
            </w:r>
          </w:p>
        </w:tc>
        <w:tc>
          <w:tcPr>
            <w:tcW w:w="851" w:type="dxa"/>
            <w:shd w:val="clear" w:color="auto" w:fill="E8CAED" w:themeFill="text1" w:themeFillTint="33"/>
            <w:noWrap/>
            <w:vAlign w:val="bottom"/>
            <w:hideMark/>
          </w:tcPr>
          <w:p w:rsidRPr="008D1918" w:rsidR="009D282A" w:rsidP="009D282A" w:rsidRDefault="009D282A" w14:paraId="6EF09F6D" w14:textId="77777777">
            <w:pPr>
              <w:spacing w:after="40" w:line="240" w:lineRule="auto"/>
              <w:jc w:val="center"/>
              <w:rPr>
                <w:rFonts w:cs="Arial"/>
                <w:sz w:val="14"/>
                <w:szCs w:val="14"/>
                <w:lang w:val="en-AU" w:eastAsia="en-AU"/>
              </w:rPr>
            </w:pPr>
            <w:r w:rsidRPr="008D1918">
              <w:rPr>
                <w:rFonts w:cs="Arial"/>
                <w:sz w:val="14"/>
                <w:szCs w:val="14"/>
                <w:lang w:val="en-AU" w:eastAsia="en-AU"/>
              </w:rPr>
              <w:t>30.0</w:t>
            </w:r>
          </w:p>
        </w:tc>
        <w:tc>
          <w:tcPr>
            <w:tcW w:w="851" w:type="dxa"/>
            <w:shd w:val="clear" w:color="auto" w:fill="E8CAED" w:themeFill="text1" w:themeFillTint="33"/>
            <w:noWrap/>
            <w:vAlign w:val="bottom"/>
            <w:hideMark/>
          </w:tcPr>
          <w:p w:rsidRPr="008D1918" w:rsidR="009D282A" w:rsidP="009D282A" w:rsidRDefault="009D282A" w14:paraId="20211A60" w14:textId="77777777">
            <w:pPr>
              <w:spacing w:after="40" w:line="240" w:lineRule="auto"/>
              <w:jc w:val="center"/>
              <w:rPr>
                <w:rFonts w:cs="Arial"/>
                <w:sz w:val="14"/>
                <w:szCs w:val="14"/>
                <w:lang w:val="en-AU" w:eastAsia="en-AU"/>
              </w:rPr>
            </w:pPr>
            <w:r w:rsidRPr="008D1918">
              <w:rPr>
                <w:rFonts w:cs="Arial"/>
                <w:sz w:val="14"/>
                <w:szCs w:val="14"/>
                <w:lang w:val="en-AU" w:eastAsia="en-AU"/>
              </w:rPr>
              <w:t>30.0</w:t>
            </w:r>
          </w:p>
        </w:tc>
        <w:tc>
          <w:tcPr>
            <w:tcW w:w="851" w:type="dxa"/>
            <w:shd w:val="clear" w:color="auto" w:fill="E8CAED" w:themeFill="text1" w:themeFillTint="33"/>
            <w:noWrap/>
            <w:vAlign w:val="bottom"/>
            <w:hideMark/>
          </w:tcPr>
          <w:p w:rsidRPr="008D1918" w:rsidR="009D282A" w:rsidP="009D282A" w:rsidRDefault="009D282A" w14:paraId="30FD9F6E" w14:textId="77777777">
            <w:pPr>
              <w:spacing w:after="40" w:line="240" w:lineRule="auto"/>
              <w:jc w:val="center"/>
              <w:rPr>
                <w:rFonts w:cs="Arial"/>
                <w:sz w:val="14"/>
                <w:szCs w:val="14"/>
                <w:lang w:val="en-AU" w:eastAsia="en-AU"/>
              </w:rPr>
            </w:pPr>
            <w:r w:rsidRPr="008D1918">
              <w:rPr>
                <w:rFonts w:cs="Arial"/>
                <w:sz w:val="14"/>
                <w:szCs w:val="14"/>
                <w:lang w:val="en-AU" w:eastAsia="en-AU"/>
              </w:rPr>
              <w:t>35.1</w:t>
            </w:r>
          </w:p>
        </w:tc>
        <w:tc>
          <w:tcPr>
            <w:tcW w:w="851" w:type="dxa"/>
            <w:shd w:val="clear" w:color="auto" w:fill="E8CAED" w:themeFill="text1" w:themeFillTint="33"/>
            <w:noWrap/>
            <w:vAlign w:val="bottom"/>
            <w:hideMark/>
          </w:tcPr>
          <w:p w:rsidRPr="008D1918" w:rsidR="009D282A" w:rsidP="009D282A" w:rsidRDefault="009D282A" w14:paraId="0CDA0E8A" w14:textId="77777777">
            <w:pPr>
              <w:spacing w:after="40" w:line="240" w:lineRule="auto"/>
              <w:jc w:val="center"/>
              <w:rPr>
                <w:rFonts w:cs="Arial"/>
                <w:sz w:val="14"/>
                <w:szCs w:val="14"/>
                <w:lang w:val="en-AU" w:eastAsia="en-AU"/>
              </w:rPr>
            </w:pPr>
            <w:r w:rsidRPr="008D1918">
              <w:rPr>
                <w:rFonts w:cs="Arial"/>
                <w:sz w:val="14"/>
                <w:szCs w:val="14"/>
                <w:lang w:val="en-AU" w:eastAsia="en-AU"/>
              </w:rPr>
              <w:t>$120.80</w:t>
            </w:r>
          </w:p>
        </w:tc>
        <w:tc>
          <w:tcPr>
            <w:tcW w:w="851" w:type="dxa"/>
            <w:shd w:val="clear" w:color="auto" w:fill="E8CAED" w:themeFill="text1" w:themeFillTint="33"/>
            <w:noWrap/>
            <w:vAlign w:val="bottom"/>
            <w:hideMark/>
          </w:tcPr>
          <w:p w:rsidRPr="008D1918" w:rsidR="009D282A" w:rsidP="009D282A" w:rsidRDefault="009D282A" w14:paraId="246C73DD" w14:textId="77777777">
            <w:pPr>
              <w:spacing w:after="40" w:line="240" w:lineRule="auto"/>
              <w:jc w:val="center"/>
              <w:rPr>
                <w:rFonts w:cs="Arial"/>
                <w:sz w:val="14"/>
                <w:szCs w:val="14"/>
                <w:lang w:val="en-AU" w:eastAsia="en-AU"/>
              </w:rPr>
            </w:pPr>
            <w:r w:rsidRPr="008D1918">
              <w:rPr>
                <w:rFonts w:cs="Arial"/>
                <w:sz w:val="14"/>
                <w:szCs w:val="14"/>
                <w:lang w:val="en-AU" w:eastAsia="en-AU"/>
              </w:rPr>
              <w:t>$120.80</w:t>
            </w:r>
          </w:p>
        </w:tc>
        <w:tc>
          <w:tcPr>
            <w:tcW w:w="851" w:type="dxa"/>
            <w:shd w:val="clear" w:color="auto" w:fill="E8CAED" w:themeFill="text1" w:themeFillTint="33"/>
            <w:noWrap/>
            <w:vAlign w:val="bottom"/>
            <w:hideMark/>
          </w:tcPr>
          <w:p w:rsidRPr="008D1918" w:rsidR="009D282A" w:rsidP="009D282A" w:rsidRDefault="009D282A" w14:paraId="6FA5B3CF" w14:textId="77777777">
            <w:pPr>
              <w:spacing w:after="40" w:line="240" w:lineRule="auto"/>
              <w:jc w:val="center"/>
              <w:rPr>
                <w:rFonts w:cs="Arial"/>
                <w:sz w:val="14"/>
                <w:szCs w:val="14"/>
                <w:lang w:val="en-AU" w:eastAsia="en-AU"/>
              </w:rPr>
            </w:pPr>
            <w:r w:rsidRPr="008D1918">
              <w:rPr>
                <w:rFonts w:cs="Arial"/>
                <w:sz w:val="14"/>
                <w:szCs w:val="14"/>
                <w:lang w:val="en-AU" w:eastAsia="en-AU"/>
              </w:rPr>
              <w:t>$136.84</w:t>
            </w:r>
          </w:p>
        </w:tc>
        <w:tc>
          <w:tcPr>
            <w:tcW w:w="851" w:type="dxa"/>
            <w:shd w:val="clear" w:color="auto" w:fill="E8CAED" w:themeFill="text1" w:themeFillTint="33"/>
            <w:noWrap/>
            <w:vAlign w:val="bottom"/>
            <w:hideMark/>
          </w:tcPr>
          <w:p w:rsidRPr="008D1918" w:rsidR="009D282A" w:rsidP="009D282A" w:rsidRDefault="009D282A" w14:paraId="42EFF3D3"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$188.99</w:t>
            </w:r>
          </w:p>
        </w:tc>
      </w:tr>
      <w:tr w:rsidRPr="008D1918" w:rsidR="009D282A" w:rsidTr="009D282A" w14:paraId="6C94621F" w14:textId="77777777">
        <w:trPr>
          <w:trHeight w:val="290"/>
        </w:trPr>
        <w:tc>
          <w:tcPr>
            <w:tcW w:w="1276" w:type="dxa"/>
            <w:vMerge w:val="restart"/>
            <w:shd w:val="clear" w:color="auto" w:fill="FFFFFF"/>
          </w:tcPr>
          <w:p w:rsidRPr="008D1918" w:rsidR="009D282A" w:rsidRDefault="009D282A" w14:paraId="2296A639" w14:textId="77777777">
            <w:pPr>
              <w:spacing w:after="0" w:line="240" w:lineRule="auto"/>
              <w:rPr>
                <w:rFonts w:cs="Arial"/>
                <w:color w:val="000000"/>
                <w:sz w:val="14"/>
                <w:szCs w:val="14"/>
                <w:lang w:val="en-AU" w:eastAsia="en-AU"/>
              </w:rPr>
            </w:pPr>
            <w:r w:rsidRPr="008D1918">
              <w:rPr>
                <w:rFonts w:cs="Arial"/>
                <w:color w:val="000000"/>
                <w:sz w:val="14"/>
                <w:szCs w:val="14"/>
                <w:lang w:val="en-AU" w:eastAsia="en-AU"/>
              </w:rPr>
              <w:t>Physiotherapists</w:t>
            </w:r>
          </w:p>
          <w:p w:rsidRPr="008D1918" w:rsidR="009D282A" w:rsidRDefault="009D282A" w14:paraId="08739DF2" w14:textId="77777777">
            <w:pPr>
              <w:spacing w:after="0" w:line="240" w:lineRule="auto"/>
              <w:rPr>
                <w:rFonts w:cs="Arial"/>
                <w:color w:val="000000"/>
                <w:sz w:val="14"/>
                <w:szCs w:val="14"/>
                <w:lang w:val="en-AU" w:eastAsia="en-AU"/>
              </w:rPr>
            </w:pPr>
            <w:r w:rsidRPr="008D1918">
              <w:rPr>
                <w:rFonts w:cs="Arial"/>
                <w:color w:val="F9F9F9" w:themeColor="background1"/>
                <w:sz w:val="14"/>
                <w:szCs w:val="14"/>
                <w:lang w:val="en-AU" w:eastAsia="en-AU"/>
              </w:rPr>
              <w:t>Blank</w:t>
            </w:r>
          </w:p>
          <w:p w:rsidRPr="008D1918" w:rsidR="009D282A" w:rsidRDefault="009D282A" w14:paraId="171A887B" w14:textId="567EFA18">
            <w:pPr>
              <w:spacing w:after="0" w:line="240" w:lineRule="auto"/>
              <w:rPr>
                <w:rFonts w:cs="Arial"/>
                <w:color w:val="000000"/>
                <w:sz w:val="14"/>
                <w:szCs w:val="14"/>
                <w:lang w:val="en-AU" w:eastAsia="en-AU"/>
              </w:rPr>
            </w:pPr>
            <w:r w:rsidRPr="008D1918">
              <w:rPr>
                <w:rFonts w:cs="Arial"/>
                <w:color w:val="F9F9F9" w:themeColor="background1"/>
                <w:sz w:val="14"/>
                <w:szCs w:val="14"/>
                <w:lang w:val="en-AU" w:eastAsia="en-AU"/>
              </w:rPr>
              <w:t>Blank</w:t>
            </w:r>
          </w:p>
        </w:tc>
        <w:tc>
          <w:tcPr>
            <w:tcW w:w="704" w:type="dxa"/>
            <w:shd w:val="clear" w:color="auto" w:fill="FFFFFF"/>
            <w:noWrap/>
            <w:vAlign w:val="bottom"/>
            <w:hideMark/>
          </w:tcPr>
          <w:p w:rsidRPr="008D1918" w:rsidR="009D282A" w:rsidP="009D282A" w:rsidRDefault="009D282A" w14:paraId="6FF298FE"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PHI_1</w:t>
            </w:r>
          </w:p>
        </w:tc>
        <w:tc>
          <w:tcPr>
            <w:tcW w:w="851" w:type="dxa"/>
            <w:shd w:val="clear" w:color="auto" w:fill="FFFFFF"/>
            <w:noWrap/>
            <w:vAlign w:val="bottom"/>
            <w:hideMark/>
          </w:tcPr>
          <w:p w:rsidRPr="008D1918" w:rsidR="009D282A" w:rsidP="009D282A" w:rsidRDefault="009D282A" w14:paraId="48E43EF6"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$93.0</w:t>
            </w:r>
          </w:p>
        </w:tc>
        <w:tc>
          <w:tcPr>
            <w:tcW w:w="851" w:type="dxa"/>
            <w:shd w:val="clear" w:color="auto" w:fill="FFFFFF"/>
            <w:noWrap/>
            <w:vAlign w:val="bottom"/>
            <w:hideMark/>
          </w:tcPr>
          <w:p w:rsidRPr="008D1918" w:rsidR="009D282A" w:rsidP="009D282A" w:rsidRDefault="009D282A" w14:paraId="7750326A"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$106.0</w:t>
            </w:r>
          </w:p>
        </w:tc>
        <w:tc>
          <w:tcPr>
            <w:tcW w:w="851" w:type="dxa"/>
            <w:shd w:val="clear" w:color="auto" w:fill="FFFFFF"/>
            <w:noWrap/>
            <w:vAlign w:val="bottom"/>
            <w:hideMark/>
          </w:tcPr>
          <w:p w:rsidRPr="008D1918" w:rsidR="009D282A" w:rsidP="009D282A" w:rsidRDefault="009D282A" w14:paraId="5AAAFE8C"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$122.0</w:t>
            </w:r>
          </w:p>
        </w:tc>
        <w:tc>
          <w:tcPr>
            <w:tcW w:w="851" w:type="dxa"/>
            <w:noWrap/>
            <w:vAlign w:val="bottom"/>
            <w:hideMark/>
          </w:tcPr>
          <w:p w:rsidRPr="008D1918" w:rsidR="009D282A" w:rsidP="009D282A" w:rsidRDefault="009D282A" w14:paraId="6CF42C61" w14:textId="12B448C9">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32.5</w:t>
            </w:r>
          </w:p>
        </w:tc>
        <w:tc>
          <w:tcPr>
            <w:tcW w:w="851" w:type="dxa"/>
            <w:noWrap/>
            <w:vAlign w:val="bottom"/>
            <w:hideMark/>
          </w:tcPr>
          <w:p w:rsidRPr="008D1918" w:rsidR="009D282A" w:rsidP="009D282A" w:rsidRDefault="009D282A" w14:paraId="6E57782D" w14:textId="29590A88">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35.0</w:t>
            </w:r>
          </w:p>
        </w:tc>
        <w:tc>
          <w:tcPr>
            <w:tcW w:w="851" w:type="dxa"/>
            <w:noWrap/>
            <w:vAlign w:val="bottom"/>
            <w:hideMark/>
          </w:tcPr>
          <w:p w:rsidRPr="008D1918" w:rsidR="009D282A" w:rsidP="009D282A" w:rsidRDefault="009D282A" w14:paraId="2CAA48C4" w14:textId="57F5D022">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37.5</w:t>
            </w:r>
          </w:p>
        </w:tc>
        <w:tc>
          <w:tcPr>
            <w:tcW w:w="851" w:type="dxa"/>
            <w:noWrap/>
            <w:vAlign w:val="bottom"/>
            <w:hideMark/>
          </w:tcPr>
          <w:p w:rsidRPr="008D1918" w:rsidR="009D282A" w:rsidP="009D282A" w:rsidRDefault="009D282A" w14:paraId="1BB648C5" w14:textId="0C3E8232">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$171.69</w:t>
            </w:r>
          </w:p>
        </w:tc>
        <w:tc>
          <w:tcPr>
            <w:tcW w:w="851" w:type="dxa"/>
            <w:shd w:val="clear" w:color="auto" w:fill="FFFFFF"/>
            <w:noWrap/>
            <w:vAlign w:val="bottom"/>
            <w:hideMark/>
          </w:tcPr>
          <w:p w:rsidRPr="008D1918" w:rsidR="009D282A" w:rsidP="009D282A" w:rsidRDefault="009D282A" w14:paraId="3B125E92" w14:textId="55156379">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$181.71</w:t>
            </w:r>
          </w:p>
        </w:tc>
        <w:tc>
          <w:tcPr>
            <w:tcW w:w="851" w:type="dxa"/>
            <w:shd w:val="clear" w:color="auto" w:fill="FFFFFF"/>
            <w:noWrap/>
            <w:vAlign w:val="bottom"/>
            <w:hideMark/>
          </w:tcPr>
          <w:p w:rsidRPr="008D1918" w:rsidR="009D282A" w:rsidP="009D282A" w:rsidRDefault="009D282A" w14:paraId="4AC2D8EF" w14:textId="3095F259">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$195.20</w:t>
            </w:r>
          </w:p>
        </w:tc>
        <w:tc>
          <w:tcPr>
            <w:tcW w:w="851" w:type="dxa"/>
            <w:noWrap/>
            <w:vAlign w:val="bottom"/>
            <w:hideMark/>
          </w:tcPr>
          <w:p w:rsidRPr="008D1918" w:rsidR="009D282A" w:rsidP="009D282A" w:rsidRDefault="009D282A" w14:paraId="3009371F"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$183.99</w:t>
            </w:r>
          </w:p>
        </w:tc>
      </w:tr>
      <w:tr w:rsidRPr="008D1918" w:rsidR="009D282A" w:rsidTr="009D282A" w14:paraId="47906F99" w14:textId="77777777">
        <w:trPr>
          <w:trHeight w:val="290"/>
        </w:trPr>
        <w:tc>
          <w:tcPr>
            <w:tcW w:w="1276" w:type="dxa"/>
            <w:vMerge/>
          </w:tcPr>
          <w:p w:rsidRPr="008D1918" w:rsidR="009D282A" w:rsidRDefault="009D282A" w14:paraId="13853281" w14:textId="4740F8D4">
            <w:pPr>
              <w:spacing w:after="0" w:line="240" w:lineRule="auto"/>
              <w:rPr>
                <w:rFonts w:cs="Arial"/>
                <w:color w:val="000000"/>
                <w:sz w:val="14"/>
                <w:szCs w:val="14"/>
                <w:lang w:val="en-AU" w:eastAsia="en-AU"/>
              </w:rPr>
            </w:pPr>
          </w:p>
        </w:tc>
        <w:tc>
          <w:tcPr>
            <w:tcW w:w="704" w:type="dxa"/>
            <w:shd w:val="clear" w:color="auto" w:fill="FFFFFF"/>
            <w:noWrap/>
            <w:vAlign w:val="bottom"/>
            <w:hideMark/>
          </w:tcPr>
          <w:p w:rsidRPr="008D1918" w:rsidR="009D282A" w:rsidP="009D282A" w:rsidRDefault="009D282A" w14:paraId="77EF406C"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PHI_2</w:t>
            </w:r>
          </w:p>
        </w:tc>
        <w:tc>
          <w:tcPr>
            <w:tcW w:w="851" w:type="dxa"/>
            <w:shd w:val="clear" w:color="auto" w:fill="FFFFFF"/>
            <w:noWrap/>
            <w:vAlign w:val="bottom"/>
            <w:hideMark/>
          </w:tcPr>
          <w:p w:rsidRPr="008D1918" w:rsidR="009D282A" w:rsidP="009D282A" w:rsidRDefault="009D282A" w14:paraId="30876CF7"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$81.0</w:t>
            </w:r>
          </w:p>
        </w:tc>
        <w:tc>
          <w:tcPr>
            <w:tcW w:w="851" w:type="dxa"/>
            <w:shd w:val="clear" w:color="auto" w:fill="FFFFFF"/>
            <w:noWrap/>
            <w:vAlign w:val="bottom"/>
            <w:hideMark/>
          </w:tcPr>
          <w:p w:rsidRPr="008D1918" w:rsidR="009D282A" w:rsidP="009D282A" w:rsidRDefault="009D282A" w14:paraId="566C11C7"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$99.2</w:t>
            </w:r>
          </w:p>
        </w:tc>
        <w:tc>
          <w:tcPr>
            <w:tcW w:w="851" w:type="dxa"/>
            <w:shd w:val="clear" w:color="auto" w:fill="FFFFFF"/>
            <w:noWrap/>
            <w:vAlign w:val="bottom"/>
            <w:hideMark/>
          </w:tcPr>
          <w:p w:rsidRPr="008D1918" w:rsidR="009D282A" w:rsidP="009D282A" w:rsidRDefault="009D282A" w14:paraId="0AF2D52A"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$118.0</w:t>
            </w:r>
          </w:p>
        </w:tc>
        <w:tc>
          <w:tcPr>
            <w:tcW w:w="851" w:type="dxa"/>
            <w:noWrap/>
            <w:vAlign w:val="bottom"/>
            <w:hideMark/>
          </w:tcPr>
          <w:p w:rsidRPr="008D1918" w:rsidR="009D282A" w:rsidP="009D282A" w:rsidRDefault="009D282A" w14:paraId="20E865E1" w14:textId="037F0E90">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32.5</w:t>
            </w:r>
          </w:p>
        </w:tc>
        <w:tc>
          <w:tcPr>
            <w:tcW w:w="851" w:type="dxa"/>
            <w:noWrap/>
            <w:vAlign w:val="bottom"/>
            <w:hideMark/>
          </w:tcPr>
          <w:p w:rsidRPr="008D1918" w:rsidR="009D282A" w:rsidP="009D282A" w:rsidRDefault="009D282A" w14:paraId="0E99365E" w14:textId="3C5E4FB4">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35.0</w:t>
            </w:r>
          </w:p>
        </w:tc>
        <w:tc>
          <w:tcPr>
            <w:tcW w:w="851" w:type="dxa"/>
            <w:noWrap/>
            <w:vAlign w:val="bottom"/>
            <w:hideMark/>
          </w:tcPr>
          <w:p w:rsidRPr="008D1918" w:rsidR="009D282A" w:rsidP="009D282A" w:rsidRDefault="009D282A" w14:paraId="26C76E85" w14:textId="0924785F">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37.5</w:t>
            </w:r>
          </w:p>
        </w:tc>
        <w:tc>
          <w:tcPr>
            <w:tcW w:w="851" w:type="dxa"/>
            <w:noWrap/>
            <w:vAlign w:val="bottom"/>
            <w:hideMark/>
          </w:tcPr>
          <w:p w:rsidRPr="008D1918" w:rsidR="009D282A" w:rsidP="009D282A" w:rsidRDefault="009D282A" w14:paraId="4BE7AAE6" w14:textId="572A8F08">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$149.54</w:t>
            </w:r>
          </w:p>
        </w:tc>
        <w:tc>
          <w:tcPr>
            <w:tcW w:w="851" w:type="dxa"/>
            <w:shd w:val="clear" w:color="auto" w:fill="FFFFFF"/>
            <w:noWrap/>
            <w:vAlign w:val="bottom"/>
            <w:hideMark/>
          </w:tcPr>
          <w:p w:rsidRPr="008D1918" w:rsidR="009D282A" w:rsidP="009D282A" w:rsidRDefault="009D282A" w14:paraId="11941771" w14:textId="16BDFA6E">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$170.06</w:t>
            </w:r>
          </w:p>
        </w:tc>
        <w:tc>
          <w:tcPr>
            <w:tcW w:w="851" w:type="dxa"/>
            <w:shd w:val="clear" w:color="auto" w:fill="FFFFFF"/>
            <w:noWrap/>
            <w:vAlign w:val="bottom"/>
            <w:hideMark/>
          </w:tcPr>
          <w:p w:rsidRPr="008D1918" w:rsidR="009D282A" w:rsidP="009D282A" w:rsidRDefault="009D282A" w14:paraId="79541460" w14:textId="113CFD3E">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$188.80</w:t>
            </w:r>
          </w:p>
        </w:tc>
        <w:tc>
          <w:tcPr>
            <w:tcW w:w="851" w:type="dxa"/>
            <w:noWrap/>
            <w:vAlign w:val="bottom"/>
            <w:hideMark/>
          </w:tcPr>
          <w:p w:rsidRPr="008D1918" w:rsidR="009D282A" w:rsidP="009D282A" w:rsidRDefault="009D282A" w14:paraId="299EAE46"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$183.99</w:t>
            </w:r>
          </w:p>
        </w:tc>
      </w:tr>
      <w:tr w:rsidRPr="008D1918" w:rsidR="009D282A" w:rsidTr="009D282A" w14:paraId="49581D59" w14:textId="77777777">
        <w:trPr>
          <w:trHeight w:val="290"/>
        </w:trPr>
        <w:tc>
          <w:tcPr>
            <w:tcW w:w="1276" w:type="dxa"/>
            <w:vMerge/>
          </w:tcPr>
          <w:p w:rsidRPr="008D1918" w:rsidR="009D282A" w:rsidRDefault="009D282A" w14:paraId="0B1614F4" w14:textId="34FEDC87">
            <w:pPr>
              <w:spacing w:after="0" w:line="240" w:lineRule="auto"/>
              <w:rPr>
                <w:rFonts w:cs="Arial"/>
                <w:color w:val="000000"/>
                <w:sz w:val="14"/>
                <w:szCs w:val="14"/>
                <w:lang w:val="en-AU" w:eastAsia="en-AU"/>
              </w:rPr>
            </w:pPr>
          </w:p>
        </w:tc>
        <w:tc>
          <w:tcPr>
            <w:tcW w:w="704" w:type="dxa"/>
            <w:shd w:val="clear" w:color="auto" w:fill="FFFFFF"/>
            <w:noWrap/>
            <w:vAlign w:val="bottom"/>
            <w:hideMark/>
          </w:tcPr>
          <w:p w:rsidRPr="008D1918" w:rsidR="009D282A" w:rsidP="009D282A" w:rsidRDefault="009D282A" w14:paraId="692E9C58"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MBS</w:t>
            </w:r>
          </w:p>
        </w:tc>
        <w:tc>
          <w:tcPr>
            <w:tcW w:w="851" w:type="dxa"/>
            <w:shd w:val="clear" w:color="auto" w:fill="FFFFFF"/>
            <w:noWrap/>
            <w:vAlign w:val="bottom"/>
            <w:hideMark/>
          </w:tcPr>
          <w:p w:rsidRPr="008D1918" w:rsidR="009D282A" w:rsidP="009D282A" w:rsidRDefault="009D282A" w14:paraId="3C30D5A7"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$60.4</w:t>
            </w:r>
          </w:p>
        </w:tc>
        <w:tc>
          <w:tcPr>
            <w:tcW w:w="851" w:type="dxa"/>
            <w:shd w:val="clear" w:color="auto" w:fill="FFFFFF"/>
            <w:noWrap/>
            <w:vAlign w:val="bottom"/>
            <w:hideMark/>
          </w:tcPr>
          <w:p w:rsidRPr="008D1918" w:rsidR="009D282A" w:rsidP="009D282A" w:rsidRDefault="009D282A" w14:paraId="388140E9"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$60.4</w:t>
            </w:r>
          </w:p>
        </w:tc>
        <w:tc>
          <w:tcPr>
            <w:tcW w:w="851" w:type="dxa"/>
            <w:shd w:val="clear" w:color="auto" w:fill="FFFFFF"/>
            <w:noWrap/>
            <w:vAlign w:val="bottom"/>
            <w:hideMark/>
          </w:tcPr>
          <w:p w:rsidRPr="008D1918" w:rsidR="009D282A" w:rsidP="009D282A" w:rsidRDefault="009D282A" w14:paraId="51A3EAEF"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$95.0</w:t>
            </w:r>
          </w:p>
        </w:tc>
        <w:tc>
          <w:tcPr>
            <w:tcW w:w="851" w:type="dxa"/>
            <w:noWrap/>
            <w:vAlign w:val="bottom"/>
            <w:hideMark/>
          </w:tcPr>
          <w:p w:rsidRPr="008D1918" w:rsidR="009D282A" w:rsidP="009D282A" w:rsidRDefault="009D282A" w14:paraId="1878A6D2" w14:textId="6BCBFE99">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30.0</w:t>
            </w:r>
          </w:p>
        </w:tc>
        <w:tc>
          <w:tcPr>
            <w:tcW w:w="851" w:type="dxa"/>
            <w:noWrap/>
            <w:vAlign w:val="bottom"/>
            <w:hideMark/>
          </w:tcPr>
          <w:p w:rsidRPr="008D1918" w:rsidR="009D282A" w:rsidP="009D282A" w:rsidRDefault="009D282A" w14:paraId="67A49184" w14:textId="0BF333F0">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30.0</w:t>
            </w:r>
          </w:p>
        </w:tc>
        <w:tc>
          <w:tcPr>
            <w:tcW w:w="851" w:type="dxa"/>
            <w:noWrap/>
            <w:vAlign w:val="bottom"/>
            <w:hideMark/>
          </w:tcPr>
          <w:p w:rsidRPr="008D1918" w:rsidR="009D282A" w:rsidP="009D282A" w:rsidRDefault="009D282A" w14:paraId="2F6F5CE1" w14:textId="0C1C3783">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34.4</w:t>
            </w:r>
          </w:p>
        </w:tc>
        <w:tc>
          <w:tcPr>
            <w:tcW w:w="851" w:type="dxa"/>
            <w:noWrap/>
            <w:vAlign w:val="bottom"/>
            <w:hideMark/>
          </w:tcPr>
          <w:p w:rsidRPr="008D1918" w:rsidR="009D282A" w:rsidP="009D282A" w:rsidRDefault="009D282A" w14:paraId="5E4AFB1A" w14:textId="318A4E58">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$120.80</w:t>
            </w:r>
          </w:p>
        </w:tc>
        <w:tc>
          <w:tcPr>
            <w:tcW w:w="851" w:type="dxa"/>
            <w:shd w:val="clear" w:color="auto" w:fill="FFFFFF"/>
            <w:noWrap/>
            <w:vAlign w:val="bottom"/>
            <w:hideMark/>
          </w:tcPr>
          <w:p w:rsidRPr="008D1918" w:rsidR="009D282A" w:rsidP="009D282A" w:rsidRDefault="009D282A" w14:paraId="7D900CB4" w14:textId="21EC50D3">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$120.80</w:t>
            </w:r>
          </w:p>
        </w:tc>
        <w:tc>
          <w:tcPr>
            <w:tcW w:w="851" w:type="dxa"/>
            <w:shd w:val="clear" w:color="auto" w:fill="FFFFFF"/>
            <w:noWrap/>
            <w:vAlign w:val="bottom"/>
            <w:hideMark/>
          </w:tcPr>
          <w:p w:rsidRPr="008D1918" w:rsidR="009D282A" w:rsidP="009D282A" w:rsidRDefault="009D282A" w14:paraId="1A4443B0" w14:textId="01E573BE">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$165.73</w:t>
            </w:r>
          </w:p>
        </w:tc>
        <w:tc>
          <w:tcPr>
            <w:tcW w:w="851" w:type="dxa"/>
            <w:noWrap/>
            <w:vAlign w:val="bottom"/>
            <w:hideMark/>
          </w:tcPr>
          <w:p w:rsidRPr="008D1918" w:rsidR="009D282A" w:rsidP="009D282A" w:rsidRDefault="009D282A" w14:paraId="47E578CD"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$183.99</w:t>
            </w:r>
          </w:p>
        </w:tc>
      </w:tr>
      <w:tr w:rsidRPr="008D1918" w:rsidR="009D282A" w:rsidTr="009D282A" w14:paraId="33091610" w14:textId="77777777">
        <w:trPr>
          <w:trHeight w:val="290"/>
        </w:trPr>
        <w:tc>
          <w:tcPr>
            <w:tcW w:w="1276" w:type="dxa"/>
            <w:vMerge w:val="restart"/>
            <w:shd w:val="clear" w:color="auto" w:fill="E8CAED" w:themeFill="text1" w:themeFillTint="33"/>
          </w:tcPr>
          <w:p w:rsidRPr="008D1918" w:rsidR="009D282A" w:rsidRDefault="009D282A" w14:paraId="5AD8ED3C" w14:textId="77777777">
            <w:pPr>
              <w:spacing w:after="0" w:line="240" w:lineRule="auto"/>
              <w:rPr>
                <w:rFonts w:cs="Arial"/>
                <w:color w:val="000000"/>
                <w:sz w:val="14"/>
                <w:szCs w:val="14"/>
                <w:lang w:val="en-AU" w:eastAsia="en-AU"/>
              </w:rPr>
            </w:pPr>
            <w:r w:rsidRPr="008D1918">
              <w:rPr>
                <w:rFonts w:cs="Arial"/>
                <w:color w:val="000000"/>
                <w:sz w:val="14"/>
                <w:szCs w:val="14"/>
                <w:lang w:val="en-AU" w:eastAsia="en-AU"/>
              </w:rPr>
              <w:t>Exercise Physiologists</w:t>
            </w:r>
          </w:p>
          <w:p w:rsidRPr="008D1918" w:rsidR="009D282A" w:rsidRDefault="009D282A" w14:paraId="546AC71B" w14:textId="4F120CBC">
            <w:pPr>
              <w:spacing w:after="0" w:line="240" w:lineRule="auto"/>
              <w:rPr>
                <w:rFonts w:cs="Arial"/>
                <w:color w:val="000000"/>
                <w:sz w:val="14"/>
                <w:szCs w:val="14"/>
                <w:lang w:val="en-AU" w:eastAsia="en-AU"/>
              </w:rPr>
            </w:pPr>
            <w:r w:rsidRPr="008D1918">
              <w:rPr>
                <w:rFonts w:cs="Arial"/>
                <w:color w:val="E8CAED" w:themeColor="text1" w:themeTint="33"/>
                <w:sz w:val="14"/>
                <w:szCs w:val="14"/>
                <w:lang w:val="en-AU" w:eastAsia="en-AU"/>
              </w:rPr>
              <w:t>Blank</w:t>
            </w:r>
          </w:p>
        </w:tc>
        <w:tc>
          <w:tcPr>
            <w:tcW w:w="704" w:type="dxa"/>
            <w:shd w:val="clear" w:color="auto" w:fill="E8CAED" w:themeFill="text1" w:themeFillTint="33"/>
            <w:noWrap/>
            <w:vAlign w:val="bottom"/>
            <w:hideMark/>
          </w:tcPr>
          <w:p w:rsidRPr="008D1918" w:rsidR="009D282A" w:rsidP="009D282A" w:rsidRDefault="009D282A" w14:paraId="1F65469B"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PHI_1</w:t>
            </w:r>
          </w:p>
        </w:tc>
        <w:tc>
          <w:tcPr>
            <w:tcW w:w="851" w:type="dxa"/>
            <w:shd w:val="clear" w:color="auto" w:fill="E8CAED" w:themeFill="text1" w:themeFillTint="33"/>
            <w:noWrap/>
            <w:vAlign w:val="bottom"/>
            <w:hideMark/>
          </w:tcPr>
          <w:p w:rsidRPr="008D1918" w:rsidR="009D282A" w:rsidP="009D282A" w:rsidRDefault="009D282A" w14:paraId="0B525C16" w14:textId="77777777">
            <w:pPr>
              <w:spacing w:after="40" w:line="240" w:lineRule="auto"/>
              <w:jc w:val="center"/>
              <w:rPr>
                <w:rFonts w:cs="Arial"/>
                <w:sz w:val="14"/>
                <w:szCs w:val="14"/>
                <w:lang w:val="en-AU" w:eastAsia="en-AU"/>
              </w:rPr>
            </w:pPr>
            <w:r w:rsidRPr="008D1918">
              <w:rPr>
                <w:rFonts w:cs="Arial"/>
                <w:sz w:val="14"/>
                <w:szCs w:val="14"/>
                <w:lang w:val="en-AU" w:eastAsia="en-AU"/>
              </w:rPr>
              <w:t>$76.0</w:t>
            </w:r>
          </w:p>
        </w:tc>
        <w:tc>
          <w:tcPr>
            <w:tcW w:w="851" w:type="dxa"/>
            <w:shd w:val="clear" w:color="auto" w:fill="E8CAED" w:themeFill="text1" w:themeFillTint="33"/>
            <w:noWrap/>
            <w:vAlign w:val="bottom"/>
            <w:hideMark/>
          </w:tcPr>
          <w:p w:rsidRPr="008D1918" w:rsidR="009D282A" w:rsidP="009D282A" w:rsidRDefault="009D282A" w14:paraId="71A37F2C" w14:textId="77777777">
            <w:pPr>
              <w:spacing w:after="40" w:line="240" w:lineRule="auto"/>
              <w:jc w:val="center"/>
              <w:rPr>
                <w:rFonts w:cs="Arial"/>
                <w:sz w:val="14"/>
                <w:szCs w:val="14"/>
                <w:lang w:val="en-AU" w:eastAsia="en-AU"/>
              </w:rPr>
            </w:pPr>
            <w:r w:rsidRPr="008D1918">
              <w:rPr>
                <w:rFonts w:cs="Arial"/>
                <w:sz w:val="14"/>
                <w:szCs w:val="14"/>
                <w:lang w:val="en-AU" w:eastAsia="en-AU"/>
              </w:rPr>
              <w:t>$99.0</w:t>
            </w:r>
          </w:p>
        </w:tc>
        <w:tc>
          <w:tcPr>
            <w:tcW w:w="851" w:type="dxa"/>
            <w:shd w:val="clear" w:color="auto" w:fill="E8CAED" w:themeFill="text1" w:themeFillTint="33"/>
            <w:noWrap/>
            <w:vAlign w:val="bottom"/>
            <w:hideMark/>
          </w:tcPr>
          <w:p w:rsidRPr="008D1918" w:rsidR="009D282A" w:rsidP="009D282A" w:rsidRDefault="009D282A" w14:paraId="2852AA41" w14:textId="77777777">
            <w:pPr>
              <w:spacing w:after="40" w:line="240" w:lineRule="auto"/>
              <w:jc w:val="center"/>
              <w:rPr>
                <w:rFonts w:cs="Arial"/>
                <w:sz w:val="14"/>
                <w:szCs w:val="14"/>
                <w:lang w:val="en-AU" w:eastAsia="en-AU"/>
              </w:rPr>
            </w:pPr>
            <w:r w:rsidRPr="008D1918">
              <w:rPr>
                <w:rFonts w:cs="Arial"/>
                <w:sz w:val="14"/>
                <w:szCs w:val="14"/>
                <w:lang w:val="en-AU" w:eastAsia="en-AU"/>
              </w:rPr>
              <w:t>$120.0</w:t>
            </w:r>
          </w:p>
        </w:tc>
        <w:tc>
          <w:tcPr>
            <w:tcW w:w="851" w:type="dxa"/>
            <w:shd w:val="clear" w:color="auto" w:fill="E8CAED" w:themeFill="text1" w:themeFillTint="33"/>
            <w:noWrap/>
            <w:vAlign w:val="bottom"/>
            <w:hideMark/>
          </w:tcPr>
          <w:p w:rsidRPr="008D1918" w:rsidR="009D282A" w:rsidP="009D282A" w:rsidRDefault="009D282A" w14:paraId="065A4F6A" w14:textId="77777777">
            <w:pPr>
              <w:spacing w:after="40" w:line="240" w:lineRule="auto"/>
              <w:jc w:val="center"/>
              <w:rPr>
                <w:rFonts w:cs="Arial"/>
                <w:sz w:val="14"/>
                <w:szCs w:val="14"/>
                <w:lang w:val="en-AU" w:eastAsia="en-AU"/>
              </w:rPr>
            </w:pPr>
            <w:r w:rsidRPr="008D1918">
              <w:rPr>
                <w:rFonts w:cs="Arial"/>
                <w:sz w:val="14"/>
                <w:szCs w:val="14"/>
                <w:lang w:val="en-AU" w:eastAsia="en-AU"/>
              </w:rPr>
              <w:t>39.2</w:t>
            </w:r>
          </w:p>
        </w:tc>
        <w:tc>
          <w:tcPr>
            <w:tcW w:w="851" w:type="dxa"/>
            <w:shd w:val="clear" w:color="auto" w:fill="E8CAED" w:themeFill="text1" w:themeFillTint="33"/>
            <w:noWrap/>
            <w:vAlign w:val="bottom"/>
            <w:hideMark/>
          </w:tcPr>
          <w:p w:rsidRPr="008D1918" w:rsidR="009D282A" w:rsidP="009D282A" w:rsidRDefault="009D282A" w14:paraId="51A55A24" w14:textId="77777777">
            <w:pPr>
              <w:spacing w:after="40" w:line="240" w:lineRule="auto"/>
              <w:jc w:val="center"/>
              <w:rPr>
                <w:rFonts w:cs="Arial"/>
                <w:sz w:val="14"/>
                <w:szCs w:val="14"/>
                <w:lang w:val="en-AU" w:eastAsia="en-AU"/>
              </w:rPr>
            </w:pPr>
            <w:r w:rsidRPr="008D1918">
              <w:rPr>
                <w:rFonts w:cs="Arial"/>
                <w:sz w:val="14"/>
                <w:szCs w:val="14"/>
                <w:lang w:val="en-AU" w:eastAsia="en-AU"/>
              </w:rPr>
              <w:t>45.0</w:t>
            </w:r>
          </w:p>
        </w:tc>
        <w:tc>
          <w:tcPr>
            <w:tcW w:w="851" w:type="dxa"/>
            <w:shd w:val="clear" w:color="auto" w:fill="E8CAED" w:themeFill="text1" w:themeFillTint="33"/>
            <w:noWrap/>
            <w:vAlign w:val="bottom"/>
            <w:hideMark/>
          </w:tcPr>
          <w:p w:rsidRPr="008D1918" w:rsidR="009D282A" w:rsidP="009D282A" w:rsidRDefault="009D282A" w14:paraId="4F7FFF9A" w14:textId="77777777">
            <w:pPr>
              <w:spacing w:after="40" w:line="240" w:lineRule="auto"/>
              <w:jc w:val="center"/>
              <w:rPr>
                <w:rFonts w:cs="Arial"/>
                <w:sz w:val="14"/>
                <w:szCs w:val="14"/>
                <w:lang w:val="en-AU" w:eastAsia="en-AU"/>
              </w:rPr>
            </w:pPr>
            <w:r w:rsidRPr="008D1918">
              <w:rPr>
                <w:rFonts w:cs="Arial"/>
                <w:sz w:val="14"/>
                <w:szCs w:val="14"/>
                <w:lang w:val="en-AU" w:eastAsia="en-AU"/>
              </w:rPr>
              <w:t>50.3</w:t>
            </w:r>
          </w:p>
        </w:tc>
        <w:tc>
          <w:tcPr>
            <w:tcW w:w="851" w:type="dxa"/>
            <w:shd w:val="clear" w:color="auto" w:fill="E8CAED" w:themeFill="text1" w:themeFillTint="33"/>
            <w:noWrap/>
            <w:vAlign w:val="bottom"/>
            <w:hideMark/>
          </w:tcPr>
          <w:p w:rsidRPr="008D1918" w:rsidR="009D282A" w:rsidP="009D282A" w:rsidRDefault="009D282A" w14:paraId="7C7D9FB1" w14:textId="77777777">
            <w:pPr>
              <w:spacing w:after="40" w:line="240" w:lineRule="auto"/>
              <w:jc w:val="center"/>
              <w:rPr>
                <w:rFonts w:cs="Arial"/>
                <w:sz w:val="14"/>
                <w:szCs w:val="14"/>
                <w:lang w:val="en-AU" w:eastAsia="en-AU"/>
              </w:rPr>
            </w:pPr>
            <w:r w:rsidRPr="008D1918">
              <w:rPr>
                <w:rFonts w:cs="Arial"/>
                <w:sz w:val="14"/>
                <w:szCs w:val="14"/>
                <w:lang w:val="en-AU" w:eastAsia="en-AU"/>
              </w:rPr>
              <w:t>$116.45</w:t>
            </w:r>
          </w:p>
        </w:tc>
        <w:tc>
          <w:tcPr>
            <w:tcW w:w="851" w:type="dxa"/>
            <w:shd w:val="clear" w:color="auto" w:fill="E8CAED" w:themeFill="text1" w:themeFillTint="33"/>
            <w:noWrap/>
            <w:vAlign w:val="bottom"/>
            <w:hideMark/>
          </w:tcPr>
          <w:p w:rsidRPr="008D1918" w:rsidR="009D282A" w:rsidP="009D282A" w:rsidRDefault="009D282A" w14:paraId="7A6446F4" w14:textId="77777777">
            <w:pPr>
              <w:spacing w:after="40" w:line="240" w:lineRule="auto"/>
              <w:jc w:val="center"/>
              <w:rPr>
                <w:rFonts w:cs="Arial"/>
                <w:sz w:val="14"/>
                <w:szCs w:val="14"/>
                <w:lang w:val="en-AU" w:eastAsia="en-AU"/>
              </w:rPr>
            </w:pPr>
            <w:r w:rsidRPr="008D1918">
              <w:rPr>
                <w:rFonts w:cs="Arial"/>
                <w:sz w:val="14"/>
                <w:szCs w:val="14"/>
                <w:lang w:val="en-AU" w:eastAsia="en-AU"/>
              </w:rPr>
              <w:t>$132.00</w:t>
            </w:r>
          </w:p>
        </w:tc>
        <w:tc>
          <w:tcPr>
            <w:tcW w:w="851" w:type="dxa"/>
            <w:shd w:val="clear" w:color="auto" w:fill="E8CAED" w:themeFill="text1" w:themeFillTint="33"/>
            <w:noWrap/>
            <w:vAlign w:val="bottom"/>
            <w:hideMark/>
          </w:tcPr>
          <w:p w:rsidRPr="008D1918" w:rsidR="009D282A" w:rsidP="009D282A" w:rsidRDefault="009D282A" w14:paraId="7402F001" w14:textId="77777777">
            <w:pPr>
              <w:spacing w:after="40" w:line="240" w:lineRule="auto"/>
              <w:jc w:val="center"/>
              <w:rPr>
                <w:rFonts w:cs="Arial"/>
                <w:sz w:val="14"/>
                <w:szCs w:val="14"/>
                <w:lang w:val="en-AU" w:eastAsia="en-AU"/>
              </w:rPr>
            </w:pPr>
            <w:r w:rsidRPr="008D1918">
              <w:rPr>
                <w:rFonts w:cs="Arial"/>
                <w:sz w:val="14"/>
                <w:szCs w:val="14"/>
                <w:lang w:val="en-AU" w:eastAsia="en-AU"/>
              </w:rPr>
              <w:t>$143.04</w:t>
            </w:r>
          </w:p>
        </w:tc>
        <w:tc>
          <w:tcPr>
            <w:tcW w:w="851" w:type="dxa"/>
            <w:shd w:val="clear" w:color="auto" w:fill="E8CAED" w:themeFill="text1" w:themeFillTint="33"/>
            <w:noWrap/>
            <w:vAlign w:val="bottom"/>
            <w:hideMark/>
          </w:tcPr>
          <w:p w:rsidRPr="008D1918" w:rsidR="009D282A" w:rsidP="009D282A" w:rsidRDefault="009D282A" w14:paraId="2FBE4FD3"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$166.99</w:t>
            </w:r>
          </w:p>
        </w:tc>
      </w:tr>
      <w:tr w:rsidRPr="008D1918" w:rsidR="009D282A" w:rsidTr="009D282A" w14:paraId="71BC0781" w14:textId="77777777">
        <w:trPr>
          <w:trHeight w:val="290"/>
        </w:trPr>
        <w:tc>
          <w:tcPr>
            <w:tcW w:w="1276" w:type="dxa"/>
            <w:vMerge/>
            <w:shd w:val="clear" w:color="auto" w:fill="E8CAED" w:themeFill="text1" w:themeFillTint="33"/>
          </w:tcPr>
          <w:p w:rsidRPr="008D1918" w:rsidR="009D282A" w:rsidRDefault="009D282A" w14:paraId="7EA0376E" w14:textId="011D447C">
            <w:pPr>
              <w:spacing w:after="0" w:line="240" w:lineRule="auto"/>
              <w:rPr>
                <w:rFonts w:cs="Arial"/>
                <w:color w:val="000000"/>
                <w:sz w:val="14"/>
                <w:szCs w:val="14"/>
                <w:lang w:val="en-AU" w:eastAsia="en-AU"/>
              </w:rPr>
            </w:pPr>
          </w:p>
        </w:tc>
        <w:tc>
          <w:tcPr>
            <w:tcW w:w="704" w:type="dxa"/>
            <w:shd w:val="clear" w:color="auto" w:fill="E8CAED" w:themeFill="text1" w:themeFillTint="33"/>
            <w:noWrap/>
            <w:vAlign w:val="bottom"/>
            <w:hideMark/>
          </w:tcPr>
          <w:p w:rsidRPr="008D1918" w:rsidR="009D282A" w:rsidP="009D282A" w:rsidRDefault="009D282A" w14:paraId="637B6C12"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MBS</w:t>
            </w:r>
          </w:p>
        </w:tc>
        <w:tc>
          <w:tcPr>
            <w:tcW w:w="851" w:type="dxa"/>
            <w:shd w:val="clear" w:color="auto" w:fill="E8CAED" w:themeFill="text1" w:themeFillTint="33"/>
            <w:noWrap/>
            <w:vAlign w:val="bottom"/>
            <w:hideMark/>
          </w:tcPr>
          <w:p w:rsidRPr="008D1918" w:rsidR="009D282A" w:rsidP="009D282A" w:rsidRDefault="009D282A" w14:paraId="10EDEB26" w14:textId="77777777">
            <w:pPr>
              <w:spacing w:after="40" w:line="240" w:lineRule="auto"/>
              <w:jc w:val="center"/>
              <w:rPr>
                <w:rFonts w:cs="Arial"/>
                <w:sz w:val="14"/>
                <w:szCs w:val="14"/>
                <w:lang w:val="en-AU" w:eastAsia="en-AU"/>
              </w:rPr>
            </w:pPr>
            <w:r w:rsidRPr="008D1918">
              <w:rPr>
                <w:rFonts w:cs="Arial"/>
                <w:sz w:val="14"/>
                <w:szCs w:val="14"/>
                <w:lang w:val="en-AU" w:eastAsia="en-AU"/>
              </w:rPr>
              <w:t>$60.4</w:t>
            </w:r>
          </w:p>
        </w:tc>
        <w:tc>
          <w:tcPr>
            <w:tcW w:w="851" w:type="dxa"/>
            <w:shd w:val="clear" w:color="auto" w:fill="E8CAED" w:themeFill="text1" w:themeFillTint="33"/>
            <w:noWrap/>
            <w:vAlign w:val="bottom"/>
            <w:hideMark/>
          </w:tcPr>
          <w:p w:rsidRPr="008D1918" w:rsidR="009D282A" w:rsidP="009D282A" w:rsidRDefault="009D282A" w14:paraId="1262C6E8" w14:textId="77777777">
            <w:pPr>
              <w:spacing w:after="40" w:line="240" w:lineRule="auto"/>
              <w:jc w:val="center"/>
              <w:rPr>
                <w:rFonts w:cs="Arial"/>
                <w:sz w:val="14"/>
                <w:szCs w:val="14"/>
                <w:lang w:val="en-AU" w:eastAsia="en-AU"/>
              </w:rPr>
            </w:pPr>
            <w:r w:rsidRPr="008D1918">
              <w:rPr>
                <w:rFonts w:cs="Arial"/>
                <w:sz w:val="14"/>
                <w:szCs w:val="14"/>
                <w:lang w:val="en-AU" w:eastAsia="en-AU"/>
              </w:rPr>
              <w:t>$60.4</w:t>
            </w:r>
          </w:p>
        </w:tc>
        <w:tc>
          <w:tcPr>
            <w:tcW w:w="851" w:type="dxa"/>
            <w:shd w:val="clear" w:color="auto" w:fill="E8CAED" w:themeFill="text1" w:themeFillTint="33"/>
            <w:noWrap/>
            <w:vAlign w:val="bottom"/>
            <w:hideMark/>
          </w:tcPr>
          <w:p w:rsidRPr="008D1918" w:rsidR="009D282A" w:rsidP="009D282A" w:rsidRDefault="009D282A" w14:paraId="72756B4D" w14:textId="77777777">
            <w:pPr>
              <w:spacing w:after="40" w:line="240" w:lineRule="auto"/>
              <w:jc w:val="center"/>
              <w:rPr>
                <w:rFonts w:cs="Arial"/>
                <w:sz w:val="14"/>
                <w:szCs w:val="14"/>
                <w:lang w:val="en-AU" w:eastAsia="en-AU"/>
              </w:rPr>
            </w:pPr>
            <w:r w:rsidRPr="008D1918">
              <w:rPr>
                <w:rFonts w:cs="Arial"/>
                <w:sz w:val="14"/>
                <w:szCs w:val="14"/>
                <w:lang w:val="en-AU" w:eastAsia="en-AU"/>
              </w:rPr>
              <w:t>$95.0</w:t>
            </w:r>
          </w:p>
        </w:tc>
        <w:tc>
          <w:tcPr>
            <w:tcW w:w="851" w:type="dxa"/>
            <w:shd w:val="clear" w:color="auto" w:fill="E8CAED" w:themeFill="text1" w:themeFillTint="33"/>
            <w:noWrap/>
            <w:vAlign w:val="bottom"/>
            <w:hideMark/>
          </w:tcPr>
          <w:p w:rsidRPr="008D1918" w:rsidR="009D282A" w:rsidP="009D282A" w:rsidRDefault="009D282A" w14:paraId="1DA24B95" w14:textId="77777777">
            <w:pPr>
              <w:spacing w:after="40" w:line="240" w:lineRule="auto"/>
              <w:jc w:val="center"/>
              <w:rPr>
                <w:rFonts w:cs="Arial"/>
                <w:sz w:val="14"/>
                <w:szCs w:val="14"/>
                <w:lang w:val="en-AU" w:eastAsia="en-AU"/>
              </w:rPr>
            </w:pPr>
            <w:r w:rsidRPr="008D1918">
              <w:rPr>
                <w:rFonts w:cs="Arial"/>
                <w:sz w:val="14"/>
                <w:szCs w:val="14"/>
                <w:lang w:val="en-AU" w:eastAsia="en-AU"/>
              </w:rPr>
              <w:t>30.0</w:t>
            </w:r>
          </w:p>
        </w:tc>
        <w:tc>
          <w:tcPr>
            <w:tcW w:w="851" w:type="dxa"/>
            <w:shd w:val="clear" w:color="auto" w:fill="E8CAED" w:themeFill="text1" w:themeFillTint="33"/>
            <w:noWrap/>
            <w:vAlign w:val="bottom"/>
            <w:hideMark/>
          </w:tcPr>
          <w:p w:rsidRPr="008D1918" w:rsidR="009D282A" w:rsidP="009D282A" w:rsidRDefault="009D282A" w14:paraId="763A481A" w14:textId="77777777">
            <w:pPr>
              <w:spacing w:after="40" w:line="240" w:lineRule="auto"/>
              <w:jc w:val="center"/>
              <w:rPr>
                <w:rFonts w:cs="Arial"/>
                <w:sz w:val="14"/>
                <w:szCs w:val="14"/>
                <w:lang w:val="en-AU" w:eastAsia="en-AU"/>
              </w:rPr>
            </w:pPr>
            <w:r w:rsidRPr="008D1918">
              <w:rPr>
                <w:rFonts w:cs="Arial"/>
                <w:sz w:val="14"/>
                <w:szCs w:val="14"/>
                <w:lang w:val="en-AU" w:eastAsia="en-AU"/>
              </w:rPr>
              <w:t>30.0</w:t>
            </w:r>
          </w:p>
        </w:tc>
        <w:tc>
          <w:tcPr>
            <w:tcW w:w="851" w:type="dxa"/>
            <w:shd w:val="clear" w:color="auto" w:fill="E8CAED" w:themeFill="text1" w:themeFillTint="33"/>
            <w:noWrap/>
            <w:vAlign w:val="bottom"/>
            <w:hideMark/>
          </w:tcPr>
          <w:p w:rsidRPr="008D1918" w:rsidR="009D282A" w:rsidP="009D282A" w:rsidRDefault="009D282A" w14:paraId="34ECF765" w14:textId="77777777">
            <w:pPr>
              <w:spacing w:after="40" w:line="240" w:lineRule="auto"/>
              <w:jc w:val="center"/>
              <w:rPr>
                <w:rFonts w:cs="Arial"/>
                <w:sz w:val="14"/>
                <w:szCs w:val="14"/>
                <w:lang w:val="en-AU" w:eastAsia="en-AU"/>
              </w:rPr>
            </w:pPr>
            <w:r w:rsidRPr="008D1918">
              <w:rPr>
                <w:rFonts w:cs="Arial"/>
                <w:sz w:val="14"/>
                <w:szCs w:val="14"/>
                <w:lang w:val="en-AU" w:eastAsia="en-AU"/>
              </w:rPr>
              <w:t>38.8</w:t>
            </w:r>
          </w:p>
        </w:tc>
        <w:tc>
          <w:tcPr>
            <w:tcW w:w="851" w:type="dxa"/>
            <w:shd w:val="clear" w:color="auto" w:fill="E8CAED" w:themeFill="text1" w:themeFillTint="33"/>
            <w:noWrap/>
            <w:vAlign w:val="bottom"/>
            <w:hideMark/>
          </w:tcPr>
          <w:p w:rsidRPr="008D1918" w:rsidR="009D282A" w:rsidP="009D282A" w:rsidRDefault="009D282A" w14:paraId="01DBB18A" w14:textId="77777777">
            <w:pPr>
              <w:spacing w:after="40" w:line="240" w:lineRule="auto"/>
              <w:jc w:val="center"/>
              <w:rPr>
                <w:rFonts w:cs="Arial"/>
                <w:sz w:val="14"/>
                <w:szCs w:val="14"/>
                <w:lang w:val="en-AU" w:eastAsia="en-AU"/>
              </w:rPr>
            </w:pPr>
            <w:r w:rsidRPr="008D1918">
              <w:rPr>
                <w:rFonts w:cs="Arial"/>
                <w:sz w:val="14"/>
                <w:szCs w:val="14"/>
                <w:lang w:val="en-AU" w:eastAsia="en-AU"/>
              </w:rPr>
              <w:t>$120.80</w:t>
            </w:r>
          </w:p>
        </w:tc>
        <w:tc>
          <w:tcPr>
            <w:tcW w:w="851" w:type="dxa"/>
            <w:shd w:val="clear" w:color="auto" w:fill="E8CAED" w:themeFill="text1" w:themeFillTint="33"/>
            <w:noWrap/>
            <w:vAlign w:val="bottom"/>
            <w:hideMark/>
          </w:tcPr>
          <w:p w:rsidRPr="008D1918" w:rsidR="009D282A" w:rsidP="009D282A" w:rsidRDefault="009D282A" w14:paraId="6436B86C" w14:textId="77777777">
            <w:pPr>
              <w:spacing w:after="40" w:line="240" w:lineRule="auto"/>
              <w:jc w:val="center"/>
              <w:rPr>
                <w:rFonts w:cs="Arial"/>
                <w:sz w:val="14"/>
                <w:szCs w:val="14"/>
                <w:lang w:val="en-AU" w:eastAsia="en-AU"/>
              </w:rPr>
            </w:pPr>
            <w:r w:rsidRPr="008D1918">
              <w:rPr>
                <w:rFonts w:cs="Arial"/>
                <w:sz w:val="14"/>
                <w:szCs w:val="14"/>
                <w:lang w:val="en-AU" w:eastAsia="en-AU"/>
              </w:rPr>
              <w:t>$120.80</w:t>
            </w:r>
          </w:p>
        </w:tc>
        <w:tc>
          <w:tcPr>
            <w:tcW w:w="851" w:type="dxa"/>
            <w:shd w:val="clear" w:color="auto" w:fill="E8CAED" w:themeFill="text1" w:themeFillTint="33"/>
            <w:noWrap/>
            <w:vAlign w:val="bottom"/>
            <w:hideMark/>
          </w:tcPr>
          <w:p w:rsidRPr="008D1918" w:rsidR="009D282A" w:rsidP="009D282A" w:rsidRDefault="009D282A" w14:paraId="224DF768" w14:textId="77777777">
            <w:pPr>
              <w:spacing w:after="40" w:line="240" w:lineRule="auto"/>
              <w:jc w:val="center"/>
              <w:rPr>
                <w:rFonts w:cs="Arial"/>
                <w:sz w:val="14"/>
                <w:szCs w:val="14"/>
                <w:lang w:val="en-AU" w:eastAsia="en-AU"/>
              </w:rPr>
            </w:pPr>
            <w:r w:rsidRPr="008D1918">
              <w:rPr>
                <w:rFonts w:cs="Arial"/>
                <w:sz w:val="14"/>
                <w:szCs w:val="14"/>
                <w:lang w:val="en-AU" w:eastAsia="en-AU"/>
              </w:rPr>
              <w:t>$146.95</w:t>
            </w:r>
          </w:p>
        </w:tc>
        <w:tc>
          <w:tcPr>
            <w:tcW w:w="851" w:type="dxa"/>
            <w:shd w:val="clear" w:color="auto" w:fill="E8CAED" w:themeFill="text1" w:themeFillTint="33"/>
            <w:noWrap/>
            <w:vAlign w:val="bottom"/>
            <w:hideMark/>
          </w:tcPr>
          <w:p w:rsidRPr="008D1918" w:rsidR="009D282A" w:rsidP="009D282A" w:rsidRDefault="009D282A" w14:paraId="2419180A"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$166.99</w:t>
            </w:r>
          </w:p>
        </w:tc>
      </w:tr>
      <w:tr w:rsidRPr="008D1918" w:rsidR="001E21D2" w:rsidTr="009D282A" w14:paraId="1C8D360F" w14:textId="77777777">
        <w:trPr>
          <w:trHeight w:val="290"/>
        </w:trPr>
        <w:tc>
          <w:tcPr>
            <w:tcW w:w="1276" w:type="dxa"/>
            <w:shd w:val="clear" w:color="auto" w:fill="FFFFFF"/>
          </w:tcPr>
          <w:p w:rsidRPr="008D1918" w:rsidR="00E43565" w:rsidRDefault="00E43565" w14:paraId="5578D1D4" w14:textId="77777777">
            <w:pPr>
              <w:spacing w:after="0" w:line="240" w:lineRule="auto"/>
              <w:rPr>
                <w:rFonts w:cs="Arial"/>
                <w:color w:val="000000"/>
                <w:sz w:val="14"/>
                <w:szCs w:val="14"/>
                <w:lang w:val="en-AU" w:eastAsia="en-AU"/>
              </w:rPr>
            </w:pPr>
            <w:r w:rsidRPr="008D1918">
              <w:rPr>
                <w:rFonts w:cs="Arial"/>
                <w:color w:val="000000"/>
                <w:sz w:val="14"/>
                <w:szCs w:val="14"/>
                <w:lang w:val="en-AU" w:eastAsia="en-AU"/>
              </w:rPr>
              <w:t>Social Workers</w:t>
            </w:r>
          </w:p>
        </w:tc>
        <w:tc>
          <w:tcPr>
            <w:tcW w:w="704" w:type="dxa"/>
            <w:shd w:val="clear" w:color="auto" w:fill="FFFFFF"/>
            <w:noWrap/>
            <w:vAlign w:val="bottom"/>
            <w:hideMark/>
          </w:tcPr>
          <w:p w:rsidRPr="008D1918" w:rsidR="00E43565" w:rsidP="009D282A" w:rsidRDefault="00E43565" w14:paraId="1716967F"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PHI_2</w:t>
            </w:r>
          </w:p>
        </w:tc>
        <w:tc>
          <w:tcPr>
            <w:tcW w:w="851" w:type="dxa"/>
            <w:shd w:val="clear" w:color="auto" w:fill="FFFFFF"/>
            <w:noWrap/>
            <w:vAlign w:val="bottom"/>
            <w:hideMark/>
          </w:tcPr>
          <w:p w:rsidRPr="008D1918" w:rsidR="00E43565" w:rsidP="009D282A" w:rsidRDefault="00E43565" w14:paraId="58984FDD" w14:textId="77777777">
            <w:pPr>
              <w:spacing w:after="40" w:line="240" w:lineRule="auto"/>
              <w:jc w:val="center"/>
              <w:rPr>
                <w:rFonts w:cs="Arial"/>
                <w:sz w:val="14"/>
                <w:szCs w:val="14"/>
                <w:lang w:val="en-AU" w:eastAsia="en-AU"/>
              </w:rPr>
            </w:pPr>
            <w:r w:rsidRPr="008D1918">
              <w:rPr>
                <w:rFonts w:cs="Arial"/>
                <w:sz w:val="14"/>
                <w:szCs w:val="14"/>
                <w:lang w:val="en-AU" w:eastAsia="en-AU"/>
              </w:rPr>
              <w:t>$180.0</w:t>
            </w:r>
          </w:p>
        </w:tc>
        <w:tc>
          <w:tcPr>
            <w:tcW w:w="851" w:type="dxa"/>
            <w:shd w:val="clear" w:color="auto" w:fill="FFFFFF"/>
            <w:noWrap/>
            <w:vAlign w:val="bottom"/>
            <w:hideMark/>
          </w:tcPr>
          <w:p w:rsidRPr="008D1918" w:rsidR="00E43565" w:rsidP="009D282A" w:rsidRDefault="00E43565" w14:paraId="663CC74C" w14:textId="77777777">
            <w:pPr>
              <w:spacing w:after="40" w:line="240" w:lineRule="auto"/>
              <w:jc w:val="center"/>
              <w:rPr>
                <w:rFonts w:cs="Arial"/>
                <w:sz w:val="14"/>
                <w:szCs w:val="14"/>
                <w:lang w:val="en-AU" w:eastAsia="en-AU"/>
              </w:rPr>
            </w:pPr>
            <w:r w:rsidRPr="008D1918">
              <w:rPr>
                <w:rFonts w:cs="Arial"/>
                <w:sz w:val="14"/>
                <w:szCs w:val="14"/>
                <w:lang w:val="en-AU" w:eastAsia="en-AU"/>
              </w:rPr>
              <w:t>$200.0</w:t>
            </w:r>
          </w:p>
        </w:tc>
        <w:tc>
          <w:tcPr>
            <w:tcW w:w="851" w:type="dxa"/>
            <w:shd w:val="clear" w:color="auto" w:fill="FFFFFF"/>
            <w:noWrap/>
            <w:vAlign w:val="bottom"/>
            <w:hideMark/>
          </w:tcPr>
          <w:p w:rsidRPr="008D1918" w:rsidR="00E43565" w:rsidP="009D282A" w:rsidRDefault="00E43565" w14:paraId="44B68BAC" w14:textId="77777777">
            <w:pPr>
              <w:spacing w:after="40" w:line="240" w:lineRule="auto"/>
              <w:jc w:val="center"/>
              <w:rPr>
                <w:rFonts w:cs="Arial"/>
                <w:sz w:val="14"/>
                <w:szCs w:val="14"/>
                <w:lang w:val="en-AU" w:eastAsia="en-AU"/>
              </w:rPr>
            </w:pPr>
            <w:r w:rsidRPr="008D1918">
              <w:rPr>
                <w:rFonts w:cs="Arial"/>
                <w:sz w:val="14"/>
                <w:szCs w:val="14"/>
                <w:lang w:val="en-AU" w:eastAsia="en-AU"/>
              </w:rPr>
              <w:t>$220.0</w:t>
            </w:r>
          </w:p>
        </w:tc>
        <w:tc>
          <w:tcPr>
            <w:tcW w:w="851" w:type="dxa"/>
            <w:noWrap/>
            <w:vAlign w:val="bottom"/>
            <w:hideMark/>
          </w:tcPr>
          <w:p w:rsidRPr="008D1918" w:rsidR="00E43565" w:rsidP="009D282A" w:rsidRDefault="00E43565" w14:paraId="2A190FE4"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noWrap/>
            <w:vAlign w:val="bottom"/>
            <w:hideMark/>
          </w:tcPr>
          <w:p w:rsidRPr="008D1918" w:rsidR="00E43565" w:rsidP="009D282A" w:rsidRDefault="00E43565" w14:paraId="1E835F78"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noWrap/>
            <w:vAlign w:val="bottom"/>
            <w:hideMark/>
          </w:tcPr>
          <w:p w:rsidRPr="008D1918" w:rsidR="00E43565" w:rsidP="009D282A" w:rsidRDefault="00E43565" w14:paraId="30F23691"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noWrap/>
            <w:vAlign w:val="bottom"/>
            <w:hideMark/>
          </w:tcPr>
          <w:p w:rsidRPr="008D1918" w:rsidR="00E43565" w:rsidP="009D282A" w:rsidRDefault="00E43565" w14:paraId="57242673" w14:textId="77777777">
            <w:pPr>
              <w:spacing w:after="40" w:line="240" w:lineRule="auto"/>
              <w:jc w:val="center"/>
              <w:rPr>
                <w:rFonts w:cs="Arial"/>
                <w:sz w:val="14"/>
                <w:szCs w:val="14"/>
                <w:lang w:val="en-AU" w:eastAsia="en-AU"/>
              </w:rPr>
            </w:pPr>
            <w:r w:rsidRPr="008D1918">
              <w:rPr>
                <w:rFonts w:cs="Arial"/>
                <w:sz w:val="14"/>
                <w:szCs w:val="14"/>
                <w:lang w:val="en-AU" w:eastAsia="en-AU"/>
              </w:rPr>
              <w:t>$180.00</w:t>
            </w:r>
          </w:p>
        </w:tc>
        <w:tc>
          <w:tcPr>
            <w:tcW w:w="851" w:type="dxa"/>
            <w:shd w:val="clear" w:color="auto" w:fill="FFFFFF"/>
            <w:noWrap/>
            <w:vAlign w:val="bottom"/>
            <w:hideMark/>
          </w:tcPr>
          <w:p w:rsidRPr="008D1918" w:rsidR="00E43565" w:rsidP="009D282A" w:rsidRDefault="00E43565" w14:paraId="20E3F873" w14:textId="77777777">
            <w:pPr>
              <w:spacing w:after="40" w:line="240" w:lineRule="auto"/>
              <w:jc w:val="center"/>
              <w:rPr>
                <w:rFonts w:cs="Arial"/>
                <w:sz w:val="14"/>
                <w:szCs w:val="14"/>
                <w:lang w:val="en-AU" w:eastAsia="en-AU"/>
              </w:rPr>
            </w:pPr>
            <w:r w:rsidRPr="008D1918">
              <w:rPr>
                <w:rFonts w:cs="Arial"/>
                <w:sz w:val="14"/>
                <w:szCs w:val="14"/>
                <w:lang w:val="en-AU" w:eastAsia="en-AU"/>
              </w:rPr>
              <w:t>$200.00</w:t>
            </w:r>
          </w:p>
        </w:tc>
        <w:tc>
          <w:tcPr>
            <w:tcW w:w="851" w:type="dxa"/>
            <w:shd w:val="clear" w:color="auto" w:fill="FFFFFF"/>
            <w:noWrap/>
            <w:vAlign w:val="bottom"/>
            <w:hideMark/>
          </w:tcPr>
          <w:p w:rsidRPr="008D1918" w:rsidR="00E43565" w:rsidP="009D282A" w:rsidRDefault="00E43565" w14:paraId="64BF121E" w14:textId="77777777">
            <w:pPr>
              <w:spacing w:after="40" w:line="240" w:lineRule="auto"/>
              <w:jc w:val="center"/>
              <w:rPr>
                <w:rFonts w:cs="Arial"/>
                <w:sz w:val="14"/>
                <w:szCs w:val="14"/>
                <w:lang w:val="en-AU" w:eastAsia="en-AU"/>
              </w:rPr>
            </w:pPr>
            <w:r w:rsidRPr="008D1918">
              <w:rPr>
                <w:rFonts w:cs="Arial"/>
                <w:sz w:val="14"/>
                <w:szCs w:val="14"/>
                <w:lang w:val="en-AU" w:eastAsia="en-AU"/>
              </w:rPr>
              <w:t>$220.00</w:t>
            </w:r>
          </w:p>
        </w:tc>
        <w:tc>
          <w:tcPr>
            <w:tcW w:w="851" w:type="dxa"/>
            <w:noWrap/>
            <w:vAlign w:val="bottom"/>
            <w:hideMark/>
          </w:tcPr>
          <w:p w:rsidRPr="008D1918" w:rsidR="00E43565" w:rsidP="009D282A" w:rsidRDefault="00E43565" w14:paraId="1126E789"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$193.99</w:t>
            </w:r>
          </w:p>
        </w:tc>
      </w:tr>
      <w:tr w:rsidRPr="008D1918" w:rsidR="00EF189E" w:rsidTr="009D282A" w14:paraId="2DA95890" w14:textId="77777777">
        <w:trPr>
          <w:trHeight w:val="290"/>
        </w:trPr>
        <w:tc>
          <w:tcPr>
            <w:tcW w:w="1276" w:type="dxa"/>
            <w:shd w:val="clear" w:color="auto" w:fill="E8CAED" w:themeFill="accent5" w:themeFillTint="33"/>
          </w:tcPr>
          <w:p w:rsidRPr="008D1918" w:rsidR="00E43565" w:rsidRDefault="00E43565" w14:paraId="705F9545" w14:textId="72AA0003">
            <w:pPr>
              <w:spacing w:after="0" w:line="240" w:lineRule="auto"/>
              <w:rPr>
                <w:rFonts w:cs="Arial"/>
                <w:color w:val="000000"/>
                <w:sz w:val="14"/>
                <w:szCs w:val="14"/>
                <w:lang w:val="en-AU" w:eastAsia="en-AU"/>
              </w:rPr>
            </w:pPr>
            <w:r w:rsidRPr="008D1918">
              <w:rPr>
                <w:rFonts w:cs="Arial"/>
                <w:color w:val="000000"/>
                <w:sz w:val="14"/>
                <w:szCs w:val="14"/>
                <w:lang w:val="en-AU" w:eastAsia="en-AU"/>
              </w:rPr>
              <w:t>Counsellors</w:t>
            </w:r>
          </w:p>
        </w:tc>
        <w:tc>
          <w:tcPr>
            <w:tcW w:w="704" w:type="dxa"/>
            <w:shd w:val="clear" w:color="auto" w:fill="E8CAED" w:themeFill="accent5" w:themeFillTint="33"/>
            <w:noWrap/>
            <w:vAlign w:val="bottom"/>
            <w:hideMark/>
          </w:tcPr>
          <w:p w:rsidRPr="008D1918" w:rsidR="00E43565" w:rsidP="009D282A" w:rsidRDefault="00E43565" w14:paraId="1DEE5E45"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PHI_2</w:t>
            </w:r>
          </w:p>
        </w:tc>
        <w:tc>
          <w:tcPr>
            <w:tcW w:w="851" w:type="dxa"/>
            <w:shd w:val="clear" w:color="auto" w:fill="E8CAED" w:themeFill="accent5" w:themeFillTint="33"/>
            <w:noWrap/>
            <w:vAlign w:val="bottom"/>
            <w:hideMark/>
          </w:tcPr>
          <w:p w:rsidRPr="008D1918" w:rsidR="00E43565" w:rsidP="009D282A" w:rsidRDefault="00E43565" w14:paraId="5CA34D9D" w14:textId="77777777">
            <w:pPr>
              <w:spacing w:after="40" w:line="240" w:lineRule="auto"/>
              <w:jc w:val="center"/>
              <w:rPr>
                <w:rFonts w:cs="Arial"/>
                <w:sz w:val="14"/>
                <w:szCs w:val="14"/>
                <w:lang w:val="en-AU" w:eastAsia="en-AU"/>
              </w:rPr>
            </w:pPr>
            <w:r w:rsidRPr="008D1918">
              <w:rPr>
                <w:rFonts w:cs="Arial"/>
                <w:sz w:val="14"/>
                <w:szCs w:val="14"/>
                <w:lang w:val="en-AU" w:eastAsia="en-AU"/>
              </w:rPr>
              <w:t>$96.0</w:t>
            </w:r>
          </w:p>
        </w:tc>
        <w:tc>
          <w:tcPr>
            <w:tcW w:w="851" w:type="dxa"/>
            <w:shd w:val="clear" w:color="auto" w:fill="E8CAED" w:themeFill="accent5" w:themeFillTint="33"/>
            <w:noWrap/>
            <w:vAlign w:val="bottom"/>
            <w:hideMark/>
          </w:tcPr>
          <w:p w:rsidRPr="008D1918" w:rsidR="00E43565" w:rsidP="009D282A" w:rsidRDefault="00E43565" w14:paraId="7FE563FC" w14:textId="77777777">
            <w:pPr>
              <w:spacing w:after="40" w:line="240" w:lineRule="auto"/>
              <w:jc w:val="center"/>
              <w:rPr>
                <w:rFonts w:cs="Arial"/>
                <w:sz w:val="14"/>
                <w:szCs w:val="14"/>
                <w:lang w:val="en-AU" w:eastAsia="en-AU"/>
              </w:rPr>
            </w:pPr>
            <w:r w:rsidRPr="008D1918">
              <w:rPr>
                <w:rFonts w:cs="Arial"/>
                <w:sz w:val="14"/>
                <w:szCs w:val="14"/>
                <w:lang w:val="en-AU" w:eastAsia="en-AU"/>
              </w:rPr>
              <w:t>$135.0</w:t>
            </w:r>
          </w:p>
        </w:tc>
        <w:tc>
          <w:tcPr>
            <w:tcW w:w="851" w:type="dxa"/>
            <w:shd w:val="clear" w:color="auto" w:fill="E8CAED" w:themeFill="accent5" w:themeFillTint="33"/>
            <w:noWrap/>
            <w:vAlign w:val="bottom"/>
            <w:hideMark/>
          </w:tcPr>
          <w:p w:rsidRPr="008D1918" w:rsidR="00E43565" w:rsidP="009D282A" w:rsidRDefault="00E43565" w14:paraId="1E39C697" w14:textId="77777777">
            <w:pPr>
              <w:spacing w:after="40" w:line="240" w:lineRule="auto"/>
              <w:jc w:val="center"/>
              <w:rPr>
                <w:rFonts w:cs="Arial"/>
                <w:sz w:val="14"/>
                <w:szCs w:val="14"/>
                <w:lang w:val="en-AU" w:eastAsia="en-AU"/>
              </w:rPr>
            </w:pPr>
            <w:r w:rsidRPr="008D1918">
              <w:rPr>
                <w:rFonts w:cs="Arial"/>
                <w:sz w:val="14"/>
                <w:szCs w:val="14"/>
                <w:lang w:val="en-AU" w:eastAsia="en-AU"/>
              </w:rPr>
              <w:t>$178.8</w:t>
            </w:r>
          </w:p>
        </w:tc>
        <w:tc>
          <w:tcPr>
            <w:tcW w:w="851" w:type="dxa"/>
            <w:shd w:val="clear" w:color="auto" w:fill="E8CAED" w:themeFill="accent5" w:themeFillTint="33"/>
            <w:noWrap/>
            <w:vAlign w:val="bottom"/>
            <w:hideMark/>
          </w:tcPr>
          <w:p w:rsidRPr="008D1918" w:rsidR="00E43565" w:rsidP="009D282A" w:rsidRDefault="00E43565" w14:paraId="29845511"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shd w:val="clear" w:color="auto" w:fill="E8CAED" w:themeFill="accent5" w:themeFillTint="33"/>
            <w:noWrap/>
            <w:vAlign w:val="bottom"/>
            <w:hideMark/>
          </w:tcPr>
          <w:p w:rsidRPr="008D1918" w:rsidR="00E43565" w:rsidP="009D282A" w:rsidRDefault="00E43565" w14:paraId="54C02838"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shd w:val="clear" w:color="auto" w:fill="E8CAED" w:themeFill="accent5" w:themeFillTint="33"/>
            <w:noWrap/>
            <w:vAlign w:val="bottom"/>
            <w:hideMark/>
          </w:tcPr>
          <w:p w:rsidRPr="008D1918" w:rsidR="00E43565" w:rsidP="009D282A" w:rsidRDefault="00E43565" w14:paraId="6AD3CB47" w14:textId="77777777">
            <w:pPr>
              <w:spacing w:after="40" w:line="240" w:lineRule="auto"/>
              <w:jc w:val="center"/>
              <w:rPr>
                <w:rFonts w:cs="Arial"/>
                <w:sz w:val="14"/>
                <w:szCs w:val="14"/>
                <w:lang w:val="en-AU" w:eastAsia="en-AU"/>
              </w:rPr>
            </w:pPr>
            <w:r w:rsidRPr="008D1918">
              <w:rPr>
                <w:rFonts w:cs="Arial"/>
                <w:sz w:val="14"/>
                <w:szCs w:val="14"/>
                <w:lang w:val="en-AU" w:eastAsia="en-AU"/>
              </w:rPr>
              <w:t>60.0</w:t>
            </w:r>
          </w:p>
        </w:tc>
        <w:tc>
          <w:tcPr>
            <w:tcW w:w="851" w:type="dxa"/>
            <w:shd w:val="clear" w:color="auto" w:fill="E8CAED" w:themeFill="accent5" w:themeFillTint="33"/>
            <w:noWrap/>
            <w:vAlign w:val="bottom"/>
            <w:hideMark/>
          </w:tcPr>
          <w:p w:rsidRPr="008D1918" w:rsidR="00E43565" w:rsidP="009D282A" w:rsidRDefault="00E43565" w14:paraId="5A2A41F3" w14:textId="77777777">
            <w:pPr>
              <w:spacing w:after="40" w:line="240" w:lineRule="auto"/>
              <w:jc w:val="center"/>
              <w:rPr>
                <w:rFonts w:cs="Arial"/>
                <w:sz w:val="14"/>
                <w:szCs w:val="14"/>
                <w:lang w:val="en-AU" w:eastAsia="en-AU"/>
              </w:rPr>
            </w:pPr>
            <w:r w:rsidRPr="008D1918">
              <w:rPr>
                <w:rFonts w:cs="Arial"/>
                <w:sz w:val="14"/>
                <w:szCs w:val="14"/>
                <w:lang w:val="en-AU" w:eastAsia="en-AU"/>
              </w:rPr>
              <w:t>$96.00</w:t>
            </w:r>
          </w:p>
        </w:tc>
        <w:tc>
          <w:tcPr>
            <w:tcW w:w="851" w:type="dxa"/>
            <w:shd w:val="clear" w:color="auto" w:fill="E8CAED" w:themeFill="accent5" w:themeFillTint="33"/>
            <w:noWrap/>
            <w:vAlign w:val="bottom"/>
            <w:hideMark/>
          </w:tcPr>
          <w:p w:rsidRPr="008D1918" w:rsidR="00E43565" w:rsidP="009D282A" w:rsidRDefault="00E43565" w14:paraId="2230FB7E" w14:textId="77777777">
            <w:pPr>
              <w:spacing w:after="40" w:line="240" w:lineRule="auto"/>
              <w:jc w:val="center"/>
              <w:rPr>
                <w:rFonts w:cs="Arial"/>
                <w:sz w:val="14"/>
                <w:szCs w:val="14"/>
                <w:lang w:val="en-AU" w:eastAsia="en-AU"/>
              </w:rPr>
            </w:pPr>
            <w:r w:rsidRPr="008D1918">
              <w:rPr>
                <w:rFonts w:cs="Arial"/>
                <w:sz w:val="14"/>
                <w:szCs w:val="14"/>
                <w:lang w:val="en-AU" w:eastAsia="en-AU"/>
              </w:rPr>
              <w:t>$135.00</w:t>
            </w:r>
          </w:p>
        </w:tc>
        <w:tc>
          <w:tcPr>
            <w:tcW w:w="851" w:type="dxa"/>
            <w:shd w:val="clear" w:color="auto" w:fill="E8CAED" w:themeFill="accent5" w:themeFillTint="33"/>
            <w:noWrap/>
            <w:vAlign w:val="bottom"/>
            <w:hideMark/>
          </w:tcPr>
          <w:p w:rsidRPr="008D1918" w:rsidR="00E43565" w:rsidP="009D282A" w:rsidRDefault="00E43565" w14:paraId="4C2CE00C" w14:textId="77777777">
            <w:pPr>
              <w:spacing w:after="40" w:line="240" w:lineRule="auto"/>
              <w:jc w:val="center"/>
              <w:rPr>
                <w:rFonts w:cs="Arial"/>
                <w:sz w:val="14"/>
                <w:szCs w:val="14"/>
                <w:lang w:val="en-AU" w:eastAsia="en-AU"/>
              </w:rPr>
            </w:pPr>
            <w:r w:rsidRPr="008D1918">
              <w:rPr>
                <w:rFonts w:cs="Arial"/>
                <w:sz w:val="14"/>
                <w:szCs w:val="14"/>
                <w:lang w:val="en-AU" w:eastAsia="en-AU"/>
              </w:rPr>
              <w:t>$178.80</w:t>
            </w:r>
          </w:p>
        </w:tc>
        <w:tc>
          <w:tcPr>
            <w:tcW w:w="851" w:type="dxa"/>
            <w:shd w:val="clear" w:color="auto" w:fill="E8CAED" w:themeFill="accent5" w:themeFillTint="33"/>
            <w:noWrap/>
            <w:vAlign w:val="bottom"/>
            <w:hideMark/>
          </w:tcPr>
          <w:p w:rsidRPr="008D1918" w:rsidR="00E43565" w:rsidP="009D282A" w:rsidRDefault="00E43565" w14:paraId="709C0CF0"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$156.16</w:t>
            </w:r>
          </w:p>
        </w:tc>
      </w:tr>
      <w:tr w:rsidRPr="008D1918" w:rsidR="001E21D2" w:rsidTr="009D282A" w14:paraId="1246E369" w14:textId="77777777">
        <w:trPr>
          <w:trHeight w:val="290"/>
        </w:trPr>
        <w:tc>
          <w:tcPr>
            <w:tcW w:w="1276" w:type="dxa"/>
            <w:shd w:val="clear" w:color="auto" w:fill="FFFFFF"/>
          </w:tcPr>
          <w:p w:rsidRPr="008D1918" w:rsidR="00E43565" w:rsidRDefault="00E43565" w14:paraId="54B74C13" w14:textId="7ECF6C52">
            <w:pPr>
              <w:spacing w:after="0" w:line="240" w:lineRule="auto"/>
              <w:rPr>
                <w:rFonts w:cs="Arial"/>
                <w:color w:val="000000"/>
                <w:sz w:val="14"/>
                <w:szCs w:val="14"/>
                <w:lang w:val="en-AU" w:eastAsia="en-AU"/>
              </w:rPr>
            </w:pPr>
            <w:r w:rsidRPr="008D1918">
              <w:rPr>
                <w:rFonts w:cs="Arial"/>
                <w:color w:val="000000"/>
                <w:sz w:val="14"/>
                <w:szCs w:val="14"/>
                <w:lang w:val="en-AU" w:eastAsia="en-AU"/>
              </w:rPr>
              <w:t>Audiologists</w:t>
            </w:r>
          </w:p>
        </w:tc>
        <w:tc>
          <w:tcPr>
            <w:tcW w:w="704" w:type="dxa"/>
            <w:shd w:val="clear" w:color="auto" w:fill="FFFFFF"/>
            <w:noWrap/>
            <w:vAlign w:val="bottom"/>
            <w:hideMark/>
          </w:tcPr>
          <w:p w:rsidRPr="008D1918" w:rsidR="00E43565" w:rsidP="009D282A" w:rsidRDefault="00E43565" w14:paraId="16EE64D9"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MBS</w:t>
            </w:r>
          </w:p>
        </w:tc>
        <w:tc>
          <w:tcPr>
            <w:tcW w:w="851" w:type="dxa"/>
            <w:shd w:val="clear" w:color="auto" w:fill="FFFFFF"/>
            <w:noWrap/>
            <w:vAlign w:val="bottom"/>
            <w:hideMark/>
          </w:tcPr>
          <w:p w:rsidRPr="008D1918" w:rsidR="00E43565" w:rsidP="009D282A" w:rsidRDefault="00E43565" w14:paraId="529F9A8B" w14:textId="77777777">
            <w:pPr>
              <w:spacing w:after="40" w:line="240" w:lineRule="auto"/>
              <w:jc w:val="center"/>
              <w:rPr>
                <w:rFonts w:cs="Arial"/>
                <w:sz w:val="14"/>
                <w:szCs w:val="14"/>
                <w:lang w:val="en-AU" w:eastAsia="en-AU"/>
              </w:rPr>
            </w:pPr>
            <w:r w:rsidRPr="008D1918">
              <w:rPr>
                <w:rFonts w:cs="Arial"/>
                <w:sz w:val="14"/>
                <w:szCs w:val="14"/>
                <w:lang w:val="en-AU" w:eastAsia="en-AU"/>
              </w:rPr>
              <w:t>$60.4</w:t>
            </w:r>
          </w:p>
        </w:tc>
        <w:tc>
          <w:tcPr>
            <w:tcW w:w="851" w:type="dxa"/>
            <w:shd w:val="clear" w:color="auto" w:fill="FFFFFF"/>
            <w:noWrap/>
            <w:vAlign w:val="bottom"/>
            <w:hideMark/>
          </w:tcPr>
          <w:p w:rsidRPr="008D1918" w:rsidR="00E43565" w:rsidP="009D282A" w:rsidRDefault="00E43565" w14:paraId="4FF8ABCC" w14:textId="77777777">
            <w:pPr>
              <w:spacing w:after="40" w:line="240" w:lineRule="auto"/>
              <w:jc w:val="center"/>
              <w:rPr>
                <w:rFonts w:cs="Arial"/>
                <w:sz w:val="14"/>
                <w:szCs w:val="14"/>
                <w:lang w:val="en-AU" w:eastAsia="en-AU"/>
              </w:rPr>
            </w:pPr>
            <w:r w:rsidRPr="008D1918">
              <w:rPr>
                <w:rFonts w:cs="Arial"/>
                <w:sz w:val="14"/>
                <w:szCs w:val="14"/>
                <w:lang w:val="en-AU" w:eastAsia="en-AU"/>
              </w:rPr>
              <w:t>$63.3</w:t>
            </w:r>
          </w:p>
        </w:tc>
        <w:tc>
          <w:tcPr>
            <w:tcW w:w="851" w:type="dxa"/>
            <w:shd w:val="clear" w:color="auto" w:fill="FFFFFF"/>
            <w:noWrap/>
            <w:vAlign w:val="bottom"/>
            <w:hideMark/>
          </w:tcPr>
          <w:p w:rsidRPr="008D1918" w:rsidR="00E43565" w:rsidP="009D282A" w:rsidRDefault="00E43565" w14:paraId="11E3A121" w14:textId="77777777">
            <w:pPr>
              <w:spacing w:after="40" w:line="240" w:lineRule="auto"/>
              <w:jc w:val="center"/>
              <w:rPr>
                <w:rFonts w:cs="Arial"/>
                <w:sz w:val="14"/>
                <w:szCs w:val="14"/>
                <w:lang w:val="en-AU" w:eastAsia="en-AU"/>
              </w:rPr>
            </w:pPr>
            <w:r w:rsidRPr="008D1918">
              <w:rPr>
                <w:rFonts w:cs="Arial"/>
                <w:sz w:val="14"/>
                <w:szCs w:val="14"/>
                <w:lang w:val="en-AU" w:eastAsia="en-AU"/>
              </w:rPr>
              <w:t>$145.0</w:t>
            </w:r>
          </w:p>
        </w:tc>
        <w:tc>
          <w:tcPr>
            <w:tcW w:w="851" w:type="dxa"/>
            <w:noWrap/>
            <w:vAlign w:val="bottom"/>
            <w:hideMark/>
          </w:tcPr>
          <w:p w:rsidRPr="008D1918" w:rsidR="00E43565" w:rsidP="009D282A" w:rsidRDefault="00E43565" w14:paraId="64A937AB" w14:textId="77777777">
            <w:pPr>
              <w:spacing w:after="40" w:line="240" w:lineRule="auto"/>
              <w:jc w:val="center"/>
              <w:rPr>
                <w:rFonts w:cs="Arial"/>
                <w:sz w:val="14"/>
                <w:szCs w:val="14"/>
                <w:lang w:val="en-AU" w:eastAsia="en-AU"/>
              </w:rPr>
            </w:pPr>
            <w:r w:rsidRPr="008D1918">
              <w:rPr>
                <w:rFonts w:cs="Arial"/>
                <w:sz w:val="14"/>
                <w:szCs w:val="14"/>
                <w:lang w:val="en-AU" w:eastAsia="en-AU"/>
              </w:rPr>
              <w:t>29.3</w:t>
            </w:r>
          </w:p>
        </w:tc>
        <w:tc>
          <w:tcPr>
            <w:tcW w:w="851" w:type="dxa"/>
            <w:noWrap/>
            <w:vAlign w:val="bottom"/>
            <w:hideMark/>
          </w:tcPr>
          <w:p w:rsidRPr="008D1918" w:rsidR="00E43565" w:rsidP="009D282A" w:rsidRDefault="00E43565" w14:paraId="4AC97C4E" w14:textId="77777777">
            <w:pPr>
              <w:spacing w:after="40" w:line="240" w:lineRule="auto"/>
              <w:jc w:val="center"/>
              <w:rPr>
                <w:rFonts w:cs="Arial"/>
                <w:sz w:val="14"/>
                <w:szCs w:val="14"/>
                <w:lang w:val="en-AU" w:eastAsia="en-AU"/>
              </w:rPr>
            </w:pPr>
            <w:r w:rsidRPr="008D1918">
              <w:rPr>
                <w:rFonts w:cs="Arial"/>
                <w:sz w:val="14"/>
                <w:szCs w:val="14"/>
                <w:lang w:val="en-AU" w:eastAsia="en-AU"/>
              </w:rPr>
              <w:t>30.0</w:t>
            </w:r>
          </w:p>
        </w:tc>
        <w:tc>
          <w:tcPr>
            <w:tcW w:w="851" w:type="dxa"/>
            <w:noWrap/>
            <w:vAlign w:val="bottom"/>
            <w:hideMark/>
          </w:tcPr>
          <w:p w:rsidRPr="008D1918" w:rsidR="00E43565" w:rsidP="009D282A" w:rsidRDefault="00E43565" w14:paraId="2EB2865E" w14:textId="77777777">
            <w:pPr>
              <w:spacing w:after="40" w:line="240" w:lineRule="auto"/>
              <w:jc w:val="center"/>
              <w:rPr>
                <w:rFonts w:cs="Arial"/>
                <w:sz w:val="14"/>
                <w:szCs w:val="14"/>
                <w:lang w:val="en-AU" w:eastAsia="en-AU"/>
              </w:rPr>
            </w:pPr>
            <w:r w:rsidRPr="008D1918">
              <w:rPr>
                <w:rFonts w:cs="Arial"/>
                <w:sz w:val="14"/>
                <w:szCs w:val="14"/>
                <w:lang w:val="en-AU" w:eastAsia="en-AU"/>
              </w:rPr>
              <w:t>49.4</w:t>
            </w:r>
          </w:p>
        </w:tc>
        <w:tc>
          <w:tcPr>
            <w:tcW w:w="851" w:type="dxa"/>
            <w:noWrap/>
            <w:vAlign w:val="bottom"/>
            <w:hideMark/>
          </w:tcPr>
          <w:p w:rsidRPr="008D1918" w:rsidR="00E43565" w:rsidP="009D282A" w:rsidRDefault="00E43565" w14:paraId="11D9894F" w14:textId="77777777">
            <w:pPr>
              <w:spacing w:after="40" w:line="240" w:lineRule="auto"/>
              <w:jc w:val="center"/>
              <w:rPr>
                <w:rFonts w:cs="Arial"/>
                <w:sz w:val="14"/>
                <w:szCs w:val="14"/>
                <w:lang w:val="en-AU" w:eastAsia="en-AU"/>
              </w:rPr>
            </w:pPr>
            <w:r w:rsidRPr="008D1918">
              <w:rPr>
                <w:rFonts w:cs="Arial"/>
                <w:sz w:val="14"/>
                <w:szCs w:val="14"/>
                <w:lang w:val="en-AU" w:eastAsia="en-AU"/>
              </w:rPr>
              <w:t>$123.64</w:t>
            </w:r>
          </w:p>
        </w:tc>
        <w:tc>
          <w:tcPr>
            <w:tcW w:w="851" w:type="dxa"/>
            <w:shd w:val="clear" w:color="auto" w:fill="FFFFFF"/>
            <w:noWrap/>
            <w:vAlign w:val="bottom"/>
            <w:hideMark/>
          </w:tcPr>
          <w:p w:rsidRPr="008D1918" w:rsidR="00E43565" w:rsidP="009D282A" w:rsidRDefault="00E43565" w14:paraId="61756846" w14:textId="77777777">
            <w:pPr>
              <w:spacing w:after="40" w:line="240" w:lineRule="auto"/>
              <w:jc w:val="center"/>
              <w:rPr>
                <w:rFonts w:cs="Arial"/>
                <w:sz w:val="14"/>
                <w:szCs w:val="14"/>
                <w:lang w:val="en-AU" w:eastAsia="en-AU"/>
              </w:rPr>
            </w:pPr>
            <w:r w:rsidRPr="008D1918">
              <w:rPr>
                <w:rFonts w:cs="Arial"/>
                <w:sz w:val="14"/>
                <w:szCs w:val="14"/>
                <w:lang w:val="en-AU" w:eastAsia="en-AU"/>
              </w:rPr>
              <w:t>$126.60</w:t>
            </w:r>
          </w:p>
        </w:tc>
        <w:tc>
          <w:tcPr>
            <w:tcW w:w="851" w:type="dxa"/>
            <w:shd w:val="clear" w:color="auto" w:fill="FFFFFF"/>
            <w:noWrap/>
            <w:vAlign w:val="bottom"/>
            <w:hideMark/>
          </w:tcPr>
          <w:p w:rsidRPr="008D1918" w:rsidR="00E43565" w:rsidP="009D282A" w:rsidRDefault="00E43565" w14:paraId="702E37B1" w14:textId="77777777">
            <w:pPr>
              <w:spacing w:after="40" w:line="240" w:lineRule="auto"/>
              <w:jc w:val="center"/>
              <w:rPr>
                <w:rFonts w:cs="Arial"/>
                <w:sz w:val="14"/>
                <w:szCs w:val="14"/>
                <w:lang w:val="en-AU" w:eastAsia="en-AU"/>
              </w:rPr>
            </w:pPr>
            <w:r w:rsidRPr="008D1918">
              <w:rPr>
                <w:rFonts w:cs="Arial"/>
                <w:sz w:val="14"/>
                <w:szCs w:val="14"/>
                <w:lang w:val="en-AU" w:eastAsia="en-AU"/>
              </w:rPr>
              <w:t>$175.95</w:t>
            </w:r>
          </w:p>
        </w:tc>
        <w:tc>
          <w:tcPr>
            <w:tcW w:w="851" w:type="dxa"/>
            <w:noWrap/>
            <w:vAlign w:val="bottom"/>
            <w:hideMark/>
          </w:tcPr>
          <w:p w:rsidRPr="008D1918" w:rsidR="00E43565" w:rsidP="009D282A" w:rsidRDefault="00E43565" w14:paraId="381B8194" w14:textId="77777777">
            <w:pPr>
              <w:spacing w:after="40" w:line="240" w:lineRule="auto"/>
              <w:jc w:val="center"/>
              <w:rPr>
                <w:rFonts w:cs="Arial"/>
                <w:color w:val="000000"/>
                <w:sz w:val="14"/>
                <w:szCs w:val="14"/>
                <w:lang w:val="en-AU" w:eastAsia="en-AU"/>
              </w:rPr>
            </w:pPr>
            <w:r w:rsidRPr="008D1918">
              <w:rPr>
                <w:rFonts w:cs="Arial"/>
                <w:color w:val="000000"/>
                <w:sz w:val="14"/>
                <w:szCs w:val="14"/>
                <w:lang w:val="en-AU" w:eastAsia="en-AU"/>
              </w:rPr>
              <w:t>$193.99</w:t>
            </w:r>
          </w:p>
        </w:tc>
      </w:tr>
    </w:tbl>
    <w:p w:rsidRPr="008D1918" w:rsidR="00E43565" w:rsidP="00E43565" w:rsidRDefault="00E43565" w14:paraId="448EE20D" w14:textId="767B8218">
      <w:pPr>
        <w:spacing w:before="120" w:after="360" w:line="240" w:lineRule="atLeast"/>
        <w:rPr>
          <w:rFonts w:cs="Arial"/>
          <w:b/>
          <w:sz w:val="18"/>
          <w:szCs w:val="18"/>
          <w:lang w:val="en-AU" w:eastAsia="en-AU"/>
        </w:rPr>
      </w:pPr>
      <w:r w:rsidRPr="008D1918">
        <w:rPr>
          <w:rFonts w:cs="Arial"/>
          <w:b/>
          <w:sz w:val="18"/>
          <w:szCs w:val="18"/>
          <w:lang w:val="en-AU" w:eastAsia="en-AU"/>
        </w:rPr>
        <w:t>Source: NDIA calculations from MBS and PHI data</w:t>
      </w:r>
    </w:p>
    <w:p w:rsidRPr="008D1918" w:rsidR="00F16644" w:rsidP="00354F83" w:rsidRDefault="00F16644" w14:paraId="5FBF37A1" w14:textId="77777777">
      <w:pPr>
        <w:pStyle w:val="AppendixH4"/>
      </w:pPr>
      <w:r w:rsidRPr="008D1918">
        <w:t>Data preparation and processing </w:t>
      </w:r>
    </w:p>
    <w:p w:rsidRPr="008D1918" w:rsidR="00F16644" w:rsidP="00F16644" w:rsidRDefault="00F16644" w14:paraId="45C61253" w14:textId="3575A3B9">
      <w:pPr>
        <w:rPr>
          <w:lang w:val="en-AU"/>
        </w:rPr>
      </w:pPr>
      <w:r w:rsidRPr="008D1918">
        <w:rPr>
          <w:lang w:val="en-AU"/>
        </w:rPr>
        <w:t xml:space="preserve">Comparability across datasets was ensured through concordance and data-cleaning measures. Where data sources applied different therapy modality naming conventions, the primary modality was aligned with the corresponding NDIS therapy type, using secondary descriptors where necessary. Where remoteness classifications differed from the Australian Statistical Geography Standard or </w:t>
      </w:r>
      <w:r w:rsidRPr="008D1918" w:rsidR="00A00F5A">
        <w:rPr>
          <w:lang w:val="en-AU"/>
        </w:rPr>
        <w:t xml:space="preserve">the </w:t>
      </w:r>
      <w:r w:rsidRPr="008D1918">
        <w:rPr>
          <w:lang w:val="en-AU"/>
        </w:rPr>
        <w:t>Modified Monash Model, locations were converted to the NDIS remoteness categories.</w:t>
      </w:r>
    </w:p>
    <w:p w:rsidRPr="008D1918" w:rsidR="00354F83" w:rsidP="00A018DF" w:rsidRDefault="00F16644" w14:paraId="5182E38D" w14:textId="7695CC3D">
      <w:pPr>
        <w:rPr>
          <w:lang w:val="en-AU"/>
        </w:rPr>
      </w:pPr>
      <w:r w:rsidRPr="008D1918">
        <w:rPr>
          <w:lang w:val="en-AU"/>
        </w:rPr>
        <w:t>Outliers were removed using a standard statistical rule (the Tukey interquartile range method). Where national datasets were disproportionately concentrated in a single state, observations were re‑weighted to improve national representativeness.</w:t>
      </w:r>
      <w:r w:rsidR="00A018DF">
        <w:rPr>
          <w:lang w:val="en-AU"/>
        </w:rPr>
        <w:t xml:space="preserve"> </w:t>
      </w:r>
    </w:p>
    <w:p w:rsidRPr="008D1918" w:rsidR="00F16644" w:rsidP="00354F83" w:rsidRDefault="00F16644" w14:paraId="267F4384" w14:textId="77777777">
      <w:pPr>
        <w:pStyle w:val="AppendixH4"/>
      </w:pPr>
      <w:r w:rsidRPr="008D1918">
        <w:t>Interpretation and application </w:t>
      </w:r>
    </w:p>
    <w:p w:rsidRPr="008D1918" w:rsidR="00F16644" w:rsidP="00F16644" w:rsidRDefault="00F16644" w14:paraId="7B4DE4B5" w14:textId="0EFA9E9E">
      <w:pPr>
        <w:rPr>
          <w:rFonts w:eastAsia="Arial" w:cs="Arial"/>
          <w:lang w:val="en-AU"/>
        </w:rPr>
      </w:pPr>
      <w:r w:rsidRPr="008D1918">
        <w:rPr>
          <w:rFonts w:eastAsia="Arial" w:cs="Arial"/>
          <w:lang w:val="en-AU"/>
        </w:rPr>
        <w:t>Benchmarking results are interpreted using the reference range bounded by the median and 75</w:t>
      </w:r>
      <w:r w:rsidRPr="008D1918">
        <w:rPr>
          <w:rFonts w:eastAsia="Arial" w:cs="Arial"/>
          <w:vertAlign w:val="superscript"/>
          <w:lang w:val="en-AU"/>
        </w:rPr>
        <w:t>th</w:t>
      </w:r>
      <w:r w:rsidRPr="008D1918">
        <w:rPr>
          <w:rFonts w:eastAsia="Arial" w:cs="Arial"/>
          <w:lang w:val="en-AU"/>
        </w:rPr>
        <w:t xml:space="preserve"> percentile of observed market prices. This recognises variation in participant complexity and service mix, while positioning </w:t>
      </w:r>
      <w:r w:rsidRPr="008D1918" w:rsidR="00FA4539">
        <w:rPr>
          <w:rFonts w:eastAsia="Arial" w:cs="Arial"/>
          <w:lang w:val="en-AU"/>
        </w:rPr>
        <w:t xml:space="preserve">the recommended </w:t>
      </w:r>
      <w:r w:rsidRPr="00CC1AFD" w:rsidR="00CC1AFD">
        <w:rPr>
          <w:rFonts w:eastAsia="Arial" w:cs="Arial"/>
          <w:lang w:val="en-AU"/>
        </w:rPr>
        <w:t>maximum</w:t>
      </w:r>
      <w:r w:rsidRPr="008D1918" w:rsidR="00FA4539">
        <w:rPr>
          <w:rFonts w:eastAsia="Arial" w:cs="Arial"/>
          <w:lang w:val="en-AU"/>
        </w:rPr>
        <w:t xml:space="preserve"> price</w:t>
      </w:r>
      <w:r w:rsidRPr="008D1918">
        <w:rPr>
          <w:rFonts w:eastAsia="Arial" w:cs="Arial"/>
          <w:lang w:val="en-AU"/>
        </w:rPr>
        <w:t xml:space="preserve"> in the upper half of </w:t>
      </w:r>
      <w:r w:rsidRPr="008D1918" w:rsidR="00745B7B">
        <w:rPr>
          <w:rFonts w:eastAsia="Arial" w:cs="Arial"/>
          <w:lang w:val="en-AU"/>
        </w:rPr>
        <w:t xml:space="preserve">the </w:t>
      </w:r>
      <w:r w:rsidRPr="008D1918">
        <w:rPr>
          <w:rFonts w:eastAsia="Arial" w:cs="Arial"/>
          <w:lang w:val="en-AU"/>
        </w:rPr>
        <w:t xml:space="preserve">observed </w:t>
      </w:r>
      <w:r w:rsidRPr="008D1918" w:rsidR="006075F1">
        <w:rPr>
          <w:rFonts w:eastAsia="Arial" w:cs="Arial"/>
          <w:lang w:val="en-AU"/>
        </w:rPr>
        <w:t>interquartile price range</w:t>
      </w:r>
      <w:r w:rsidRPr="008D1918">
        <w:rPr>
          <w:rFonts w:eastAsia="Arial" w:cs="Arial"/>
          <w:lang w:val="en-AU"/>
        </w:rPr>
        <w:t xml:space="preserve">. </w:t>
      </w:r>
    </w:p>
    <w:p w:rsidRPr="008D1918" w:rsidR="00F16644" w:rsidP="00F16644" w:rsidRDefault="00F16644" w14:paraId="764BF813" w14:textId="6318B23C">
      <w:pPr>
        <w:rPr>
          <w:rFonts w:eastAsia="Arial" w:cs="Arial"/>
          <w:lang w:val="en-AU"/>
        </w:rPr>
      </w:pPr>
      <w:r w:rsidRPr="008D1918">
        <w:rPr>
          <w:rFonts w:eastAsia="Arial" w:cs="Arial"/>
          <w:lang w:val="en-AU"/>
        </w:rPr>
        <w:t>Price recommendations are made where robust and consistent evidence indicates NDIS price</w:t>
      </w:r>
      <w:r w:rsidRPr="008D1918" w:rsidR="00FA4539">
        <w:rPr>
          <w:rFonts w:eastAsia="Arial" w:cs="Arial"/>
          <w:lang w:val="en-AU"/>
        </w:rPr>
        <w:t>s</w:t>
      </w:r>
      <w:r w:rsidRPr="008D1918">
        <w:rPr>
          <w:rFonts w:eastAsia="Arial" w:cs="Arial"/>
          <w:lang w:val="en-AU"/>
        </w:rPr>
        <w:t xml:space="preserve"> are materially misaligned with prevailing market rates, considering the broader funding context. Where the evidence is mixed, limited or subject to material uncertainty, current </w:t>
      </w:r>
      <w:r w:rsidRPr="008D1918" w:rsidR="00FA4539">
        <w:rPr>
          <w:rFonts w:eastAsia="Arial" w:cs="Arial"/>
          <w:lang w:val="en-AU"/>
        </w:rPr>
        <w:t>price recommendations</w:t>
      </w:r>
      <w:r w:rsidRPr="008D1918">
        <w:rPr>
          <w:rFonts w:eastAsia="Arial" w:cs="Arial"/>
          <w:lang w:val="en-AU"/>
        </w:rPr>
        <w:t xml:space="preserve"> have been maintained. </w:t>
      </w:r>
    </w:p>
    <w:p w:rsidRPr="008D1918" w:rsidR="00F16644" w:rsidP="00F16644" w:rsidRDefault="00F16644" w14:paraId="5B78E8B6" w14:textId="07CED751">
      <w:pPr>
        <w:rPr>
          <w:rFonts w:eastAsia="Arial" w:cs="Arial"/>
          <w:lang w:val="en-AU"/>
        </w:rPr>
      </w:pPr>
      <w:r w:rsidRPr="008D1918">
        <w:rPr>
          <w:rFonts w:eastAsia="Arial" w:cs="Arial"/>
          <w:lang w:val="en-AU"/>
        </w:rPr>
        <w:t>Differences in claimant profiles across data sources are considered when interpreting the results. PHI data generally reflects higher-income clients</w:t>
      </w:r>
      <w:r w:rsidRPr="008D1918" w:rsidR="00DD661A">
        <w:rPr>
          <w:rFonts w:eastAsia="Arial" w:cs="Arial"/>
          <w:lang w:val="en-AU"/>
        </w:rPr>
        <w:t>;</w:t>
      </w:r>
      <w:r w:rsidRPr="008D1918">
        <w:rPr>
          <w:rFonts w:eastAsia="Arial" w:cs="Arial"/>
          <w:lang w:val="en-AU"/>
        </w:rPr>
        <w:t xml:space="preserve"> motor vehicle accident schemes tend to involve more severe injuries and higher support intensity</w:t>
      </w:r>
      <w:r w:rsidRPr="008D1918" w:rsidR="00DD661A">
        <w:rPr>
          <w:rFonts w:eastAsia="Arial" w:cs="Arial"/>
          <w:lang w:val="en-AU"/>
        </w:rPr>
        <w:t>; and</w:t>
      </w:r>
      <w:r w:rsidRPr="008D1918">
        <w:rPr>
          <w:rFonts w:eastAsia="Arial" w:cs="Arial"/>
          <w:lang w:val="en-AU"/>
        </w:rPr>
        <w:t xml:space="preserve"> workers’ compensation and </w:t>
      </w:r>
      <w:r w:rsidRPr="008D1918" w:rsidR="00106067">
        <w:rPr>
          <w:rFonts w:eastAsia="Arial" w:cs="Arial"/>
          <w:lang w:val="en-AU"/>
        </w:rPr>
        <w:t xml:space="preserve">MBS </w:t>
      </w:r>
      <w:r w:rsidRPr="008D1918">
        <w:rPr>
          <w:rFonts w:eastAsia="Arial" w:cs="Arial"/>
          <w:lang w:val="en-AU"/>
        </w:rPr>
        <w:t xml:space="preserve">support a more mixed range of needs. These differences influence service mix and pricing patterns and are considered. </w:t>
      </w:r>
    </w:p>
    <w:p w:rsidRPr="008D1918" w:rsidR="00F16644" w:rsidP="00354F83" w:rsidRDefault="00F16644" w14:paraId="4884790A" w14:textId="77777777">
      <w:pPr>
        <w:pStyle w:val="AppendixH4"/>
      </w:pPr>
      <w:r w:rsidRPr="008D1918">
        <w:t>Structural differences between NDIS and comparator systems</w:t>
      </w:r>
    </w:p>
    <w:p w:rsidRPr="008D1918" w:rsidR="00F16644" w:rsidP="00F16644" w:rsidRDefault="00F16644" w14:paraId="1D245631" w14:textId="7B89D2AC">
      <w:pPr>
        <w:rPr>
          <w:lang w:val="en-AU"/>
        </w:rPr>
      </w:pPr>
      <w:r w:rsidRPr="008D1918">
        <w:rPr>
          <w:lang w:val="en-AU"/>
        </w:rPr>
        <w:t xml:space="preserve">The </w:t>
      </w:r>
      <w:r w:rsidRPr="008D1918" w:rsidR="00FB14AB">
        <w:rPr>
          <w:lang w:val="en-AU"/>
        </w:rPr>
        <w:t xml:space="preserve">comparator </w:t>
      </w:r>
      <w:r w:rsidRPr="008D1918">
        <w:rPr>
          <w:lang w:val="en-AU"/>
        </w:rPr>
        <w:t xml:space="preserve">systems </w:t>
      </w:r>
      <w:r w:rsidRPr="008D1918" w:rsidR="00FB14AB">
        <w:rPr>
          <w:lang w:val="en-AU"/>
        </w:rPr>
        <w:t>used in the NDIA’s benchmarking analysis</w:t>
      </w:r>
      <w:r w:rsidRPr="008D1918">
        <w:rPr>
          <w:lang w:val="en-AU"/>
        </w:rPr>
        <w:t xml:space="preserve"> differ from the NDIS in ways that affect how observed prices should be interpreted. </w:t>
      </w:r>
    </w:p>
    <w:p w:rsidRPr="008D1918" w:rsidR="00F16644" w:rsidP="00F16644" w:rsidRDefault="00F16644" w14:paraId="160B5C50" w14:textId="77777777">
      <w:pPr>
        <w:rPr>
          <w:lang w:val="en-AU"/>
        </w:rPr>
      </w:pPr>
      <w:r w:rsidRPr="008D1918">
        <w:rPr>
          <w:lang w:val="en-AU"/>
        </w:rPr>
        <w:t xml:space="preserve">Under the NDIS, providers may be able to claim separately for non-face-to-face support provision, NDIS-requested reports, provider travel, provider travel non-labour costs and short-notice cancellations. Remote and very remote loadings also apply. By contrast, MBS and PHI session fees are all-inclusive, covering the direct contact time as well as associated activities such as preparation, documentation and routine administration. </w:t>
      </w:r>
    </w:p>
    <w:p w:rsidRPr="008D1918" w:rsidR="00F16644" w:rsidP="00F16644" w:rsidRDefault="00F16644" w14:paraId="4CE1199E" w14:textId="77777777">
      <w:pPr>
        <w:rPr>
          <w:lang w:val="en-AU"/>
        </w:rPr>
      </w:pPr>
      <w:r w:rsidRPr="008D1918">
        <w:rPr>
          <w:lang w:val="en-AU"/>
        </w:rPr>
        <w:t xml:space="preserve">These structural differences do not make benchmarking inappropriate, but they do affect how the results should be interpreted. Benchmarking provides a reference point for the core therapy rate rather than a full equivalence of reimbursement structures across systems. </w:t>
      </w:r>
    </w:p>
    <w:p w:rsidRPr="008D1918" w:rsidR="00F16644" w:rsidP="00F16644" w:rsidRDefault="00F16644" w14:paraId="14E1B57E" w14:textId="60F26009">
      <w:pPr>
        <w:rPr>
          <w:lang w:val="en-AU"/>
        </w:rPr>
      </w:pPr>
      <w:r w:rsidRPr="008D1918">
        <w:rPr>
          <w:lang w:val="en-AU"/>
        </w:rPr>
        <w:t>The existence of separately claimable ancillary items under the NDIS means simple hourly-rate comparison should not be read as a complete comparison of total reimbursement per participant encounter. However, the current evidence base does not quantify that difference with sufficient precision to use it as a standalone basis for current price setting</w:t>
      </w:r>
      <w:r w:rsidRPr="008D1918" w:rsidR="00347644">
        <w:rPr>
          <w:lang w:val="en-AU"/>
        </w:rPr>
        <w:t>s</w:t>
      </w:r>
      <w:r w:rsidRPr="008D1918">
        <w:rPr>
          <w:lang w:val="en-AU"/>
        </w:rPr>
        <w:t>. Accordingly, the benchmarking analysis is used to assess whether</w:t>
      </w:r>
      <w:r w:rsidRPr="008D1918" w:rsidR="00FA4539">
        <w:rPr>
          <w:lang w:val="en-AU"/>
        </w:rPr>
        <w:t xml:space="preserve"> recommended</w:t>
      </w:r>
      <w:r w:rsidRPr="008D1918">
        <w:rPr>
          <w:lang w:val="en-AU"/>
        </w:rPr>
        <w:t xml:space="preserve"> core therapy </w:t>
      </w:r>
      <w:r w:rsidRPr="008D1918" w:rsidR="008D1CAA">
        <w:rPr>
          <w:lang w:val="en-AU"/>
        </w:rPr>
        <w:t>prices are</w:t>
      </w:r>
      <w:r w:rsidRPr="008D1918">
        <w:rPr>
          <w:lang w:val="en-AU"/>
        </w:rPr>
        <w:t xml:space="preserve"> broadly aligned with observed market </w:t>
      </w:r>
      <w:r w:rsidRPr="008D1918">
        <w:rPr>
          <w:lang w:val="en-AU"/>
        </w:rPr>
        <w:t xml:space="preserve">rates in comparable systems, while structural differences in claiming arrangements are treated as </w:t>
      </w:r>
      <w:r w:rsidRPr="008D1918" w:rsidR="00435814">
        <w:rPr>
          <w:lang w:val="en-AU"/>
        </w:rPr>
        <w:t xml:space="preserve">an </w:t>
      </w:r>
      <w:r w:rsidRPr="008D1918">
        <w:rPr>
          <w:lang w:val="en-AU"/>
        </w:rPr>
        <w:t>interpretive caveat rather than a separate decision rule.</w:t>
      </w:r>
    </w:p>
    <w:p w:rsidRPr="008D1918" w:rsidR="00F16644" w:rsidP="00354F83" w:rsidRDefault="00F16644" w14:paraId="57357754" w14:textId="5BFE2EE0">
      <w:pPr>
        <w:pStyle w:val="AppendixH4"/>
      </w:pPr>
      <w:r w:rsidRPr="008D1918">
        <w:t xml:space="preserve">Benchmarking data </w:t>
      </w:r>
      <w:r w:rsidRPr="008D1918" w:rsidR="00723EFE">
        <w:t>co</w:t>
      </w:r>
      <w:r w:rsidRPr="008D1918">
        <w:t xml:space="preserve">verage </w:t>
      </w:r>
    </w:p>
    <w:p w:rsidRPr="008D1918" w:rsidR="00F16644" w:rsidP="00F16644" w:rsidRDefault="00496E74" w14:paraId="3A5D11B7" w14:textId="0D1064C9">
      <w:pPr>
        <w:rPr>
          <w:lang w:val="en-AU"/>
        </w:rPr>
      </w:pPr>
      <w:r w:rsidRPr="008D1918">
        <w:rPr>
          <w:noProof/>
        </w:rPr>
        <w:fldChar w:fldCharType="begin"/>
      </w:r>
      <w:r w:rsidRPr="008D1918">
        <w:rPr>
          <w:lang w:val="en-AU"/>
        </w:rPr>
        <w:instrText xml:space="preserve"> REF _Ref227141183 \h </w:instrText>
      </w:r>
      <w:r w:rsidR="008D1918">
        <w:rPr>
          <w:noProof/>
        </w:rPr>
        <w:instrText xml:space="preserve"> \* MERGEFORMAT </w:instrText>
      </w:r>
      <w:r w:rsidRPr="008D1918">
        <w:rPr>
          <w:noProof/>
        </w:rPr>
      </w:r>
      <w:r w:rsidRPr="008D1918">
        <w:rPr>
          <w:noProof/>
        </w:rPr>
        <w:fldChar w:fldCharType="separate"/>
      </w:r>
      <w:r w:rsidRPr="008D1918" w:rsidR="008F56A2">
        <w:t xml:space="preserve">Table </w:t>
      </w:r>
      <w:r w:rsidR="008F56A2">
        <w:rPr>
          <w:noProof/>
        </w:rPr>
        <w:t>60</w:t>
      </w:r>
      <w:r w:rsidRPr="008D1918">
        <w:rPr>
          <w:noProof/>
        </w:rPr>
        <w:fldChar w:fldCharType="end"/>
      </w:r>
      <w:r w:rsidRPr="008D1918" w:rsidR="00F16644">
        <w:rPr>
          <w:lang w:val="en-AU"/>
        </w:rPr>
        <w:fldChar w:fldCharType="begin"/>
      </w:r>
      <w:r w:rsidRPr="008D1918" w:rsidR="00F16644">
        <w:rPr>
          <w:lang w:val="en-AU"/>
        </w:rPr>
        <w:instrText xml:space="preserve"> REF _Ref195540279 \h  \* MERGEFORMAT </w:instrText>
      </w:r>
      <w:r w:rsidRPr="008D1918" w:rsidR="00F16644">
        <w:rPr>
          <w:lang w:val="en-AU"/>
        </w:rPr>
      </w:r>
      <w:r w:rsidRPr="008D1918" w:rsidR="00F16644">
        <w:rPr>
          <w:lang w:val="en-AU"/>
        </w:rPr>
        <w:fldChar w:fldCharType="separate"/>
      </w:r>
      <w:r w:rsidRPr="008D1918" w:rsidR="00F16644">
        <w:rPr>
          <w:lang w:val="en-AU"/>
        </w:rPr>
        <w:fldChar w:fldCharType="end"/>
      </w:r>
      <w:r w:rsidRPr="008D1918" w:rsidR="00F16644">
        <w:rPr>
          <w:lang w:val="en-AU"/>
        </w:rPr>
        <w:t xml:space="preserve"> shows the number of observations available by modality across the data sources. MBS remains the largest source</w:t>
      </w:r>
      <w:r w:rsidRPr="008D1918" w:rsidR="00542719">
        <w:rPr>
          <w:lang w:val="en-AU"/>
        </w:rPr>
        <w:t>,</w:t>
      </w:r>
      <w:r w:rsidRPr="008D1918" w:rsidR="00F16644">
        <w:rPr>
          <w:lang w:val="en-AU"/>
        </w:rPr>
        <w:t xml:space="preserve"> contributing </w:t>
      </w:r>
      <w:r w:rsidRPr="008D1918" w:rsidR="00921279">
        <w:rPr>
          <w:lang w:val="en-AU"/>
        </w:rPr>
        <w:t>more than</w:t>
      </w:r>
      <w:r w:rsidRPr="008D1918" w:rsidR="00F16644">
        <w:rPr>
          <w:lang w:val="en-AU"/>
        </w:rPr>
        <w:t xml:space="preserve"> 10 million transactions. PHI data adds more than 4.5 million transactions. Coverage varies by therapy type, with most modalities demonstrating strong representation. Where sample sizes are small, multiple data sources are used to strengthen analysis where possible. </w:t>
      </w:r>
    </w:p>
    <w:p w:rsidRPr="008D1918" w:rsidR="00F16644" w:rsidP="00F16644" w:rsidRDefault="00F16644" w14:paraId="1F7D5B32" w14:textId="2D0F72D5">
      <w:pPr>
        <w:pStyle w:val="Caption"/>
        <w:rPr>
          <w:rFonts w:eastAsia="DengXian" w:cs="Cordia New"/>
          <w:i w:val="0"/>
          <w:iCs w:val="0"/>
          <w:color w:val="6B2876" w:themeColor="accent5"/>
        </w:rPr>
      </w:pPr>
      <w:bookmarkStart w:name="_Ref227141183" w:id="2347"/>
      <w:r w:rsidRPr="008D1918">
        <w:t xml:space="preserve">Table </w:t>
      </w:r>
      <w:r>
        <w:fldChar w:fldCharType="begin"/>
      </w:r>
      <w:r>
        <w:instrText>SEQ Table \* ARABIC</w:instrText>
      </w:r>
      <w:r>
        <w:fldChar w:fldCharType="separate"/>
      </w:r>
      <w:r w:rsidR="008F56A2">
        <w:rPr>
          <w:noProof/>
        </w:rPr>
        <w:t>60</w:t>
      </w:r>
      <w:r>
        <w:fldChar w:fldCharType="end"/>
      </w:r>
      <w:bookmarkEnd w:id="2347"/>
      <w:r w:rsidRPr="008D1918">
        <w:rPr>
          <w:color w:val="6B2876" w:themeColor="accent5"/>
        </w:rPr>
        <w:t>: Number of observations from each source of comparative therapy dataset</w:t>
      </w:r>
    </w:p>
    <w:tbl>
      <w:tblPr>
        <w:tblStyle w:val="GridTable4-Accent121"/>
        <w:tblW w:w="9062" w:type="dxa"/>
        <w:tblInd w:w="5" w:type="dxa"/>
        <w:tblLook w:val="06A0" w:firstRow="1" w:lastRow="0" w:firstColumn="1" w:lastColumn="0" w:noHBand="1" w:noVBand="1"/>
      </w:tblPr>
      <w:tblGrid>
        <w:gridCol w:w="2355"/>
        <w:gridCol w:w="1676"/>
        <w:gridCol w:w="1677"/>
        <w:gridCol w:w="1677"/>
        <w:gridCol w:w="1677"/>
      </w:tblGrid>
      <w:tr w:rsidRPr="008D1918" w:rsidR="00BB7064" w14:paraId="1E463985" w14:textId="77777777">
        <w:trPr>
          <w:cnfStyle w:val="100000000000" w:firstRow="1" w:lastRow="0" w:firstColumn="0" w:lastColumn="0" w:oddVBand="0" w:evenVBand="0" w:oddHBand="0" w:evenHBand="0" w:firstRowFirstColumn="0" w:firstRowLastColumn="0" w:lastRowFirstColumn="0" w:lastRowLastColumn="0"/>
          <w:trHeight w:val="1455"/>
        </w:trPr>
        <w:tc>
          <w:tcPr>
            <w:cnfStyle w:val="001000000000" w:firstRow="0" w:lastRow="0" w:firstColumn="1" w:lastColumn="0" w:oddVBand="0" w:evenVBand="0" w:oddHBand="0" w:evenHBand="0" w:firstRowFirstColumn="0" w:firstRowLastColumn="0" w:lastRowFirstColumn="0" w:lastRowLastColumn="0"/>
            <w:tcW w:w="2355" w:type="dxa"/>
            <w:vAlign w:val="center"/>
          </w:tcPr>
          <w:p w:rsidRPr="008D1918" w:rsidR="00F16644" w:rsidRDefault="00F16644" w14:paraId="27204C1B" w14:textId="77777777">
            <w:pPr>
              <w:keepNext/>
              <w:spacing w:after="0"/>
              <w:rPr>
                <w:rFonts w:eastAsia="Calibri" w:cs="Arial"/>
                <w:b w:val="0"/>
                <w:color w:val="FFFFFF"/>
                <w:sz w:val="20"/>
                <w:szCs w:val="20"/>
                <w:lang w:val="en-AU"/>
              </w:rPr>
            </w:pPr>
            <w:r w:rsidRPr="008D1918">
              <w:rPr>
                <w:rFonts w:eastAsia="Calibri" w:cs="Arial"/>
                <w:color w:val="FFFFFF"/>
                <w:sz w:val="20"/>
                <w:szCs w:val="20"/>
                <w:lang w:val="en-AU"/>
              </w:rPr>
              <w:t>Therapist</w:t>
            </w:r>
          </w:p>
        </w:tc>
        <w:tc>
          <w:tcPr>
            <w:tcW w:w="1676" w:type="dxa"/>
            <w:vAlign w:val="center"/>
          </w:tcPr>
          <w:p w:rsidRPr="008D1918" w:rsidR="00F16644" w:rsidRDefault="00F16644" w14:paraId="1D147177" w14:textId="77777777">
            <w:pPr>
              <w:keepNext/>
              <w:spacing w:after="0"/>
              <w:jc w:val="center"/>
              <w:cnfStyle w:val="100000000000" w:firstRow="1" w:lastRow="0" w:firstColumn="0" w:lastColumn="0" w:oddVBand="0" w:evenVBand="0" w:oddHBand="0" w:evenHBand="0" w:firstRowFirstColumn="0" w:firstRowLastColumn="0" w:lastRowFirstColumn="0" w:lastRowLastColumn="0"/>
              <w:rPr>
                <w:rFonts w:eastAsia="Calibri" w:cs="Arial"/>
                <w:b w:val="0"/>
                <w:color w:val="FFFFFF"/>
                <w:sz w:val="20"/>
                <w:szCs w:val="20"/>
                <w:lang w:val="en-AU"/>
              </w:rPr>
            </w:pPr>
            <w:r w:rsidRPr="008D1918">
              <w:rPr>
                <w:rFonts w:eastAsia="Calibri" w:cs="Arial"/>
                <w:color w:val="FFFFFF"/>
                <w:sz w:val="20"/>
                <w:szCs w:val="20"/>
                <w:lang w:val="en-AU"/>
              </w:rPr>
              <w:t>MBS* (transactions)</w:t>
            </w:r>
          </w:p>
        </w:tc>
        <w:tc>
          <w:tcPr>
            <w:tcW w:w="1677" w:type="dxa"/>
            <w:vAlign w:val="center"/>
          </w:tcPr>
          <w:p w:rsidRPr="008D1918" w:rsidR="00F16644" w:rsidRDefault="00F16644" w14:paraId="3451AAE9" w14:textId="77777777">
            <w:pPr>
              <w:keepNext/>
              <w:spacing w:after="0"/>
              <w:jc w:val="center"/>
              <w:cnfStyle w:val="100000000000" w:firstRow="1" w:lastRow="0" w:firstColumn="0" w:lastColumn="0" w:oddVBand="0" w:evenVBand="0" w:oddHBand="0" w:evenHBand="0" w:firstRowFirstColumn="0" w:firstRowLastColumn="0" w:lastRowFirstColumn="0" w:lastRowLastColumn="0"/>
              <w:rPr>
                <w:rFonts w:eastAsia="Calibri" w:cs="Arial"/>
                <w:b w:val="0"/>
                <w:color w:val="FFFFFF"/>
                <w:sz w:val="20"/>
                <w:szCs w:val="20"/>
                <w:lang w:val="en-AU"/>
              </w:rPr>
            </w:pPr>
            <w:r w:rsidRPr="008D1918">
              <w:rPr>
                <w:rFonts w:eastAsia="Calibri" w:cs="Arial"/>
                <w:color w:val="FFFFFF"/>
                <w:sz w:val="20"/>
                <w:szCs w:val="20"/>
                <w:lang w:val="en-AU"/>
              </w:rPr>
              <w:t>PHI_1 (transactions)</w:t>
            </w:r>
          </w:p>
        </w:tc>
        <w:tc>
          <w:tcPr>
            <w:tcW w:w="1677" w:type="dxa"/>
            <w:vAlign w:val="center"/>
          </w:tcPr>
          <w:p w:rsidRPr="008D1918" w:rsidR="00F16644" w:rsidRDefault="00F16644" w14:paraId="3C168DD4" w14:textId="77777777">
            <w:pPr>
              <w:keepNext/>
              <w:spacing w:after="0"/>
              <w:jc w:val="center"/>
              <w:cnfStyle w:val="100000000000" w:firstRow="1" w:lastRow="0" w:firstColumn="0" w:lastColumn="0" w:oddVBand="0" w:evenVBand="0" w:oddHBand="0" w:evenHBand="0" w:firstRowFirstColumn="0" w:firstRowLastColumn="0" w:lastRowFirstColumn="0" w:lastRowLastColumn="0"/>
              <w:rPr>
                <w:rFonts w:eastAsia="Calibri" w:cs="Arial"/>
                <w:b w:val="0"/>
                <w:color w:val="FFFFFF"/>
                <w:sz w:val="20"/>
                <w:szCs w:val="20"/>
                <w:lang w:val="en-AU"/>
              </w:rPr>
            </w:pPr>
            <w:r w:rsidRPr="008D1918">
              <w:rPr>
                <w:rFonts w:eastAsia="Calibri" w:cs="Arial"/>
                <w:color w:val="FFFFFF"/>
                <w:sz w:val="20"/>
                <w:szCs w:val="20"/>
                <w:lang w:val="en-AU"/>
              </w:rPr>
              <w:t>PHI_2 (transactions)</w:t>
            </w:r>
          </w:p>
        </w:tc>
        <w:tc>
          <w:tcPr>
            <w:tcW w:w="1677" w:type="dxa"/>
            <w:vAlign w:val="center"/>
          </w:tcPr>
          <w:p w:rsidRPr="008D1918" w:rsidR="00F16644" w:rsidRDefault="00F16644" w14:paraId="484BC80B" w14:textId="77777777">
            <w:pPr>
              <w:keepNext/>
              <w:spacing w:after="0"/>
              <w:jc w:val="center"/>
              <w:cnfStyle w:val="100000000000" w:firstRow="1" w:lastRow="0" w:firstColumn="0" w:lastColumn="0" w:oddVBand="0" w:evenVBand="0" w:oddHBand="0" w:evenHBand="0" w:firstRowFirstColumn="0" w:firstRowLastColumn="0" w:lastRowFirstColumn="0" w:lastRowLastColumn="0"/>
              <w:rPr>
                <w:rFonts w:eastAsia="Calibri" w:cs="Arial"/>
                <w:b w:val="0"/>
                <w:color w:val="FFFFFF"/>
                <w:sz w:val="20"/>
                <w:szCs w:val="20"/>
                <w:lang w:val="en-AU"/>
              </w:rPr>
            </w:pPr>
            <w:r w:rsidRPr="008D1918">
              <w:rPr>
                <w:rFonts w:eastAsia="Calibri" w:cs="Arial"/>
                <w:color w:val="FFFFFF"/>
                <w:sz w:val="20"/>
                <w:szCs w:val="20"/>
                <w:lang w:val="en-AU"/>
              </w:rPr>
              <w:t>Other government schemes (transactions)</w:t>
            </w:r>
          </w:p>
        </w:tc>
      </w:tr>
      <w:tr w:rsidRPr="008D1918" w:rsidR="00F16644" w14:paraId="5259F098" w14:textId="77777777">
        <w:trPr>
          <w:trHeight w:val="285"/>
        </w:trPr>
        <w:tc>
          <w:tcPr>
            <w:cnfStyle w:val="001000000000" w:firstRow="0" w:lastRow="0" w:firstColumn="1" w:lastColumn="0" w:oddVBand="0" w:evenVBand="0" w:oddHBand="0" w:evenHBand="0" w:firstRowFirstColumn="0" w:firstRowLastColumn="0" w:lastRowFirstColumn="0" w:lastRowLastColumn="0"/>
            <w:tcW w:w="2355" w:type="dxa"/>
            <w:shd w:val="clear" w:color="auto" w:fill="E8CAED"/>
          </w:tcPr>
          <w:p w:rsidRPr="008D1918" w:rsidR="00F16644" w:rsidRDefault="00F16644" w14:paraId="07196FE6" w14:textId="77777777">
            <w:pPr>
              <w:keepNext/>
              <w:spacing w:after="0"/>
              <w:rPr>
                <w:rFonts w:eastAsia="Calibri" w:cs="Arial"/>
                <w:sz w:val="20"/>
                <w:szCs w:val="20"/>
                <w:lang w:val="en-AU"/>
              </w:rPr>
            </w:pPr>
            <w:r w:rsidRPr="008D1918">
              <w:rPr>
                <w:rFonts w:eastAsia="Calibri" w:cs="Arial"/>
                <w:sz w:val="20"/>
                <w:szCs w:val="20"/>
                <w:lang w:val="en-AU"/>
              </w:rPr>
              <w:t>Psychologists</w:t>
            </w:r>
          </w:p>
        </w:tc>
        <w:tc>
          <w:tcPr>
            <w:tcW w:w="1676" w:type="dxa"/>
            <w:shd w:val="clear" w:color="auto" w:fill="E8CAED"/>
          </w:tcPr>
          <w:p w:rsidRPr="008D1918" w:rsidR="00F16644" w:rsidRDefault="00F16644" w14:paraId="75E67017"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2,054,273</w:t>
            </w:r>
          </w:p>
        </w:tc>
        <w:tc>
          <w:tcPr>
            <w:tcW w:w="1677" w:type="dxa"/>
            <w:shd w:val="clear" w:color="auto" w:fill="E8CAED"/>
          </w:tcPr>
          <w:p w:rsidRPr="008D1918" w:rsidR="00F16644" w:rsidRDefault="00F16644" w14:paraId="246722A2"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70,979</w:t>
            </w:r>
          </w:p>
        </w:tc>
        <w:tc>
          <w:tcPr>
            <w:tcW w:w="1677" w:type="dxa"/>
            <w:shd w:val="clear" w:color="auto" w:fill="E8CAED"/>
          </w:tcPr>
          <w:p w:rsidRPr="008D1918" w:rsidR="00F16644" w:rsidRDefault="00F16644" w14:paraId="23A8797E"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132,196</w:t>
            </w:r>
          </w:p>
        </w:tc>
        <w:tc>
          <w:tcPr>
            <w:tcW w:w="1677" w:type="dxa"/>
            <w:shd w:val="clear" w:color="auto" w:fill="E8CAED"/>
          </w:tcPr>
          <w:p w:rsidRPr="008D1918" w:rsidR="00F16644" w:rsidRDefault="00F16644" w14:paraId="1149AC0C"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202,206</w:t>
            </w:r>
          </w:p>
        </w:tc>
      </w:tr>
      <w:tr w:rsidRPr="008D1918" w:rsidR="00F16644" w14:paraId="133FE8FA" w14:textId="77777777">
        <w:trPr>
          <w:trHeight w:val="285"/>
        </w:trPr>
        <w:tc>
          <w:tcPr>
            <w:cnfStyle w:val="001000000000" w:firstRow="0" w:lastRow="0" w:firstColumn="1" w:lastColumn="0" w:oddVBand="0" w:evenVBand="0" w:oddHBand="0" w:evenHBand="0" w:firstRowFirstColumn="0" w:firstRowLastColumn="0" w:lastRowFirstColumn="0" w:lastRowLastColumn="0"/>
            <w:tcW w:w="2355" w:type="dxa"/>
          </w:tcPr>
          <w:p w:rsidRPr="008D1918" w:rsidR="00F16644" w:rsidRDefault="00F16644" w14:paraId="5F6FE5D0" w14:textId="77777777">
            <w:pPr>
              <w:keepNext/>
              <w:spacing w:after="0"/>
              <w:rPr>
                <w:rFonts w:eastAsia="Calibri" w:cs="Arial"/>
                <w:sz w:val="20"/>
                <w:szCs w:val="20"/>
                <w:lang w:val="en-AU"/>
              </w:rPr>
            </w:pPr>
            <w:r w:rsidRPr="008D1918">
              <w:rPr>
                <w:rFonts w:eastAsia="Calibri" w:cs="Arial"/>
                <w:sz w:val="20"/>
                <w:szCs w:val="20"/>
                <w:lang w:val="en-AU"/>
              </w:rPr>
              <w:t>Speech Pathologists</w:t>
            </w:r>
          </w:p>
        </w:tc>
        <w:tc>
          <w:tcPr>
            <w:tcW w:w="1676" w:type="dxa"/>
          </w:tcPr>
          <w:p w:rsidRPr="008D1918" w:rsidR="00F16644" w:rsidRDefault="00F16644" w14:paraId="62D03A4C"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96,003</w:t>
            </w:r>
          </w:p>
        </w:tc>
        <w:tc>
          <w:tcPr>
            <w:tcW w:w="1677" w:type="dxa"/>
          </w:tcPr>
          <w:p w:rsidRPr="008D1918" w:rsidR="00F16644" w:rsidRDefault="00F16644" w14:paraId="6959585D"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27,237</w:t>
            </w:r>
          </w:p>
        </w:tc>
        <w:tc>
          <w:tcPr>
            <w:tcW w:w="1677" w:type="dxa"/>
          </w:tcPr>
          <w:p w:rsidRPr="008D1918" w:rsidR="00F16644" w:rsidRDefault="00F16644" w14:paraId="239FD110"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42,103</w:t>
            </w:r>
          </w:p>
        </w:tc>
        <w:tc>
          <w:tcPr>
            <w:tcW w:w="1677" w:type="dxa"/>
          </w:tcPr>
          <w:p w:rsidRPr="008D1918" w:rsidR="00F16644" w:rsidRDefault="00F16644" w14:paraId="45240E28"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2,663</w:t>
            </w:r>
          </w:p>
        </w:tc>
      </w:tr>
      <w:tr w:rsidRPr="008D1918" w:rsidR="00EE001B" w:rsidTr="001D163B" w14:paraId="6C437466" w14:textId="77777777">
        <w:trPr>
          <w:trHeight w:val="285"/>
        </w:trPr>
        <w:tc>
          <w:tcPr>
            <w:cnfStyle w:val="001000000000" w:firstRow="0" w:lastRow="0" w:firstColumn="1" w:lastColumn="0" w:oddVBand="0" w:evenVBand="0" w:oddHBand="0" w:evenHBand="0" w:firstRowFirstColumn="0" w:firstRowLastColumn="0" w:lastRowFirstColumn="0" w:lastRowLastColumn="0"/>
            <w:tcW w:w="2355" w:type="dxa"/>
            <w:shd w:val="clear" w:color="auto" w:fill="E8CAED"/>
          </w:tcPr>
          <w:p w:rsidRPr="008D1918" w:rsidR="00F16644" w:rsidRDefault="00F16644" w14:paraId="15D98D7F" w14:textId="77777777">
            <w:pPr>
              <w:keepNext/>
              <w:spacing w:after="0"/>
              <w:rPr>
                <w:rFonts w:eastAsia="Calibri" w:cs="Arial"/>
                <w:sz w:val="20"/>
                <w:szCs w:val="20"/>
                <w:lang w:val="en-AU"/>
              </w:rPr>
            </w:pPr>
            <w:r w:rsidRPr="008D1918">
              <w:rPr>
                <w:rFonts w:eastAsia="Calibri" w:cs="Arial"/>
                <w:sz w:val="20"/>
                <w:szCs w:val="20"/>
                <w:lang w:val="en-AU"/>
              </w:rPr>
              <w:t>Occupational Therapists</w:t>
            </w:r>
          </w:p>
        </w:tc>
        <w:tc>
          <w:tcPr>
            <w:tcW w:w="1676" w:type="dxa"/>
            <w:shd w:val="clear" w:color="auto" w:fill="E8CAED"/>
            <w:vAlign w:val="center"/>
          </w:tcPr>
          <w:p w:rsidRPr="008D1918" w:rsidR="00F16644" w:rsidP="009159C4" w:rsidRDefault="00F16644" w14:paraId="56161056"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92,045</w:t>
            </w:r>
          </w:p>
        </w:tc>
        <w:tc>
          <w:tcPr>
            <w:tcW w:w="1677" w:type="dxa"/>
            <w:shd w:val="clear" w:color="auto" w:fill="E8CAED"/>
            <w:vAlign w:val="center"/>
          </w:tcPr>
          <w:p w:rsidRPr="008D1918" w:rsidR="00F16644" w:rsidP="009159C4" w:rsidRDefault="00F16644" w14:paraId="277D8CDC"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34,819</w:t>
            </w:r>
          </w:p>
        </w:tc>
        <w:tc>
          <w:tcPr>
            <w:tcW w:w="1677" w:type="dxa"/>
            <w:shd w:val="clear" w:color="auto" w:fill="E8CAED"/>
            <w:vAlign w:val="center"/>
          </w:tcPr>
          <w:p w:rsidRPr="008D1918" w:rsidR="00F16644" w:rsidP="009159C4" w:rsidRDefault="00F16644" w14:paraId="169190B1"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w:t>
            </w:r>
          </w:p>
        </w:tc>
        <w:tc>
          <w:tcPr>
            <w:tcW w:w="1677" w:type="dxa"/>
            <w:shd w:val="clear" w:color="auto" w:fill="E8CAED"/>
            <w:vAlign w:val="center"/>
          </w:tcPr>
          <w:p w:rsidRPr="008D1918" w:rsidR="00F16644" w:rsidP="009159C4" w:rsidRDefault="00F16644" w14:paraId="696895B0"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102,366</w:t>
            </w:r>
          </w:p>
        </w:tc>
      </w:tr>
      <w:tr w:rsidRPr="008D1918" w:rsidR="00F16644" w14:paraId="28B881E1" w14:textId="77777777">
        <w:trPr>
          <w:trHeight w:val="285"/>
        </w:trPr>
        <w:tc>
          <w:tcPr>
            <w:cnfStyle w:val="001000000000" w:firstRow="0" w:lastRow="0" w:firstColumn="1" w:lastColumn="0" w:oddVBand="0" w:evenVBand="0" w:oddHBand="0" w:evenHBand="0" w:firstRowFirstColumn="0" w:firstRowLastColumn="0" w:lastRowFirstColumn="0" w:lastRowLastColumn="0"/>
            <w:tcW w:w="2355" w:type="dxa"/>
          </w:tcPr>
          <w:p w:rsidRPr="008D1918" w:rsidR="00F16644" w:rsidRDefault="00F16644" w14:paraId="72D569BC" w14:textId="77777777">
            <w:pPr>
              <w:keepNext/>
              <w:spacing w:after="0"/>
              <w:rPr>
                <w:rFonts w:eastAsia="Calibri" w:cs="Arial"/>
                <w:sz w:val="20"/>
                <w:szCs w:val="20"/>
                <w:lang w:val="en-AU"/>
              </w:rPr>
            </w:pPr>
            <w:r w:rsidRPr="008D1918">
              <w:rPr>
                <w:rFonts w:eastAsia="Calibri" w:cs="Arial"/>
                <w:sz w:val="20"/>
                <w:szCs w:val="20"/>
                <w:lang w:val="en-AU"/>
              </w:rPr>
              <w:t>Audiologists</w:t>
            </w:r>
          </w:p>
        </w:tc>
        <w:tc>
          <w:tcPr>
            <w:tcW w:w="1676" w:type="dxa"/>
          </w:tcPr>
          <w:p w:rsidRPr="008D1918" w:rsidR="00F16644" w:rsidRDefault="00F16644" w14:paraId="004634BB"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5,519</w:t>
            </w:r>
          </w:p>
        </w:tc>
        <w:tc>
          <w:tcPr>
            <w:tcW w:w="1677" w:type="dxa"/>
          </w:tcPr>
          <w:p w:rsidRPr="008D1918" w:rsidR="00F16644" w:rsidRDefault="00F16644" w14:paraId="20619EE9"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 xml:space="preserve"> -</w:t>
            </w:r>
          </w:p>
        </w:tc>
        <w:tc>
          <w:tcPr>
            <w:tcW w:w="1677" w:type="dxa"/>
          </w:tcPr>
          <w:p w:rsidRPr="008D1918" w:rsidR="00F16644" w:rsidRDefault="00F16644" w14:paraId="5C1A143B"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w:t>
            </w:r>
          </w:p>
        </w:tc>
        <w:tc>
          <w:tcPr>
            <w:tcW w:w="1677" w:type="dxa"/>
          </w:tcPr>
          <w:p w:rsidRPr="008D1918" w:rsidR="00F16644" w:rsidRDefault="00F16644" w14:paraId="6F86FD83"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8,205</w:t>
            </w:r>
          </w:p>
        </w:tc>
      </w:tr>
      <w:tr w:rsidRPr="008D1918" w:rsidR="00F16644" w14:paraId="3F6F33B1" w14:textId="77777777">
        <w:trPr>
          <w:trHeight w:val="285"/>
        </w:trPr>
        <w:tc>
          <w:tcPr>
            <w:cnfStyle w:val="001000000000" w:firstRow="0" w:lastRow="0" w:firstColumn="1" w:lastColumn="0" w:oddVBand="0" w:evenVBand="0" w:oddHBand="0" w:evenHBand="0" w:firstRowFirstColumn="0" w:firstRowLastColumn="0" w:lastRowFirstColumn="0" w:lastRowLastColumn="0"/>
            <w:tcW w:w="2355" w:type="dxa"/>
            <w:shd w:val="clear" w:color="auto" w:fill="E8CAED"/>
          </w:tcPr>
          <w:p w:rsidRPr="008D1918" w:rsidR="00F16644" w:rsidRDefault="00F16644" w14:paraId="495B4ECF" w14:textId="77777777">
            <w:pPr>
              <w:keepNext/>
              <w:spacing w:after="0"/>
              <w:rPr>
                <w:rFonts w:eastAsia="Calibri" w:cs="Arial"/>
                <w:sz w:val="20"/>
                <w:szCs w:val="20"/>
                <w:lang w:val="en-AU"/>
              </w:rPr>
            </w:pPr>
            <w:r w:rsidRPr="008D1918">
              <w:rPr>
                <w:rFonts w:eastAsia="Calibri" w:cs="Arial"/>
                <w:sz w:val="20"/>
                <w:szCs w:val="20"/>
                <w:lang w:val="en-AU"/>
              </w:rPr>
              <w:t>Dietitians</w:t>
            </w:r>
          </w:p>
        </w:tc>
        <w:tc>
          <w:tcPr>
            <w:tcW w:w="1676" w:type="dxa"/>
            <w:shd w:val="clear" w:color="auto" w:fill="E8CAED"/>
          </w:tcPr>
          <w:p w:rsidRPr="008D1918" w:rsidR="00F16644" w:rsidRDefault="00F16644" w14:paraId="4EEB2C45"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376,848</w:t>
            </w:r>
          </w:p>
        </w:tc>
        <w:tc>
          <w:tcPr>
            <w:tcW w:w="1677" w:type="dxa"/>
            <w:shd w:val="clear" w:color="auto" w:fill="E8CAED"/>
          </w:tcPr>
          <w:p w:rsidRPr="008D1918" w:rsidR="00F16644" w:rsidRDefault="00F16644" w14:paraId="2F0E4170"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w:t>
            </w:r>
          </w:p>
        </w:tc>
        <w:tc>
          <w:tcPr>
            <w:tcW w:w="1677" w:type="dxa"/>
            <w:shd w:val="clear" w:color="auto" w:fill="E8CAED"/>
          </w:tcPr>
          <w:p w:rsidRPr="008D1918" w:rsidR="00F16644" w:rsidRDefault="00F16644" w14:paraId="50F12E84"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50,680</w:t>
            </w:r>
          </w:p>
        </w:tc>
        <w:tc>
          <w:tcPr>
            <w:tcW w:w="1677" w:type="dxa"/>
            <w:shd w:val="clear" w:color="auto" w:fill="E8CAED"/>
          </w:tcPr>
          <w:p w:rsidRPr="008D1918" w:rsidR="00F16644" w:rsidRDefault="00F16644" w14:paraId="4F926D12"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422</w:t>
            </w:r>
          </w:p>
        </w:tc>
      </w:tr>
      <w:tr w:rsidRPr="008D1918" w:rsidR="00F16644" w14:paraId="37ECDC38" w14:textId="77777777">
        <w:trPr>
          <w:trHeight w:val="285"/>
        </w:trPr>
        <w:tc>
          <w:tcPr>
            <w:cnfStyle w:val="001000000000" w:firstRow="0" w:lastRow="0" w:firstColumn="1" w:lastColumn="0" w:oddVBand="0" w:evenVBand="0" w:oddHBand="0" w:evenHBand="0" w:firstRowFirstColumn="0" w:firstRowLastColumn="0" w:lastRowFirstColumn="0" w:lastRowLastColumn="0"/>
            <w:tcW w:w="2355" w:type="dxa"/>
          </w:tcPr>
          <w:p w:rsidRPr="008D1918" w:rsidR="00F16644" w:rsidRDefault="00F16644" w14:paraId="281ED336" w14:textId="77777777">
            <w:pPr>
              <w:keepNext/>
              <w:spacing w:after="0"/>
              <w:rPr>
                <w:rFonts w:eastAsia="Calibri" w:cs="Arial"/>
                <w:sz w:val="20"/>
                <w:szCs w:val="20"/>
                <w:lang w:val="en-AU"/>
              </w:rPr>
            </w:pPr>
            <w:r w:rsidRPr="008D1918">
              <w:rPr>
                <w:rFonts w:eastAsia="Calibri" w:cs="Arial"/>
                <w:sz w:val="20"/>
                <w:szCs w:val="20"/>
                <w:lang w:val="en-AU"/>
              </w:rPr>
              <w:t>Podiatrists</w:t>
            </w:r>
          </w:p>
        </w:tc>
        <w:tc>
          <w:tcPr>
            <w:tcW w:w="1676" w:type="dxa"/>
          </w:tcPr>
          <w:p w:rsidRPr="008D1918" w:rsidR="00F16644" w:rsidRDefault="00F16644" w14:paraId="41998427"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3,636,151</w:t>
            </w:r>
          </w:p>
        </w:tc>
        <w:tc>
          <w:tcPr>
            <w:tcW w:w="1677" w:type="dxa"/>
          </w:tcPr>
          <w:p w:rsidRPr="008D1918" w:rsidR="00F16644" w:rsidRDefault="00F16644" w14:paraId="396F9539"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162,483</w:t>
            </w:r>
          </w:p>
        </w:tc>
        <w:tc>
          <w:tcPr>
            <w:tcW w:w="1677" w:type="dxa"/>
          </w:tcPr>
          <w:p w:rsidRPr="008D1918" w:rsidR="00F16644" w:rsidRDefault="00F16644" w14:paraId="08BC895F"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569,844</w:t>
            </w:r>
          </w:p>
        </w:tc>
        <w:tc>
          <w:tcPr>
            <w:tcW w:w="1677" w:type="dxa"/>
          </w:tcPr>
          <w:p w:rsidRPr="008D1918" w:rsidR="00F16644" w:rsidRDefault="00F16644" w14:paraId="43EEB6F0"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5,261</w:t>
            </w:r>
          </w:p>
        </w:tc>
      </w:tr>
      <w:tr w:rsidRPr="008D1918" w:rsidR="00F16644" w14:paraId="3976A929" w14:textId="77777777">
        <w:trPr>
          <w:trHeight w:val="285"/>
        </w:trPr>
        <w:tc>
          <w:tcPr>
            <w:cnfStyle w:val="001000000000" w:firstRow="0" w:lastRow="0" w:firstColumn="1" w:lastColumn="0" w:oddVBand="0" w:evenVBand="0" w:oddHBand="0" w:evenHBand="0" w:firstRowFirstColumn="0" w:firstRowLastColumn="0" w:lastRowFirstColumn="0" w:lastRowLastColumn="0"/>
            <w:tcW w:w="2355" w:type="dxa"/>
            <w:shd w:val="clear" w:color="auto" w:fill="E8CAED"/>
          </w:tcPr>
          <w:p w:rsidRPr="008D1918" w:rsidR="00F16644" w:rsidRDefault="00F16644" w14:paraId="14C931AE" w14:textId="77777777">
            <w:pPr>
              <w:keepNext/>
              <w:spacing w:after="0"/>
              <w:rPr>
                <w:rFonts w:eastAsia="Calibri" w:cs="Arial"/>
                <w:sz w:val="20"/>
                <w:szCs w:val="20"/>
                <w:lang w:val="en-AU"/>
              </w:rPr>
            </w:pPr>
            <w:r w:rsidRPr="008D1918">
              <w:rPr>
                <w:rFonts w:eastAsia="Calibri" w:cs="Arial"/>
                <w:sz w:val="20"/>
                <w:szCs w:val="20"/>
                <w:lang w:val="en-AU"/>
              </w:rPr>
              <w:t>Physiotherapists</w:t>
            </w:r>
          </w:p>
        </w:tc>
        <w:tc>
          <w:tcPr>
            <w:tcW w:w="1676" w:type="dxa"/>
            <w:shd w:val="clear" w:color="auto" w:fill="E8CAED"/>
          </w:tcPr>
          <w:p w:rsidRPr="008D1918" w:rsidR="00F16644" w:rsidRDefault="00F16644" w14:paraId="058391D1"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3,453,741</w:t>
            </w:r>
          </w:p>
        </w:tc>
        <w:tc>
          <w:tcPr>
            <w:tcW w:w="1677" w:type="dxa"/>
            <w:shd w:val="clear" w:color="auto" w:fill="E8CAED"/>
          </w:tcPr>
          <w:p w:rsidRPr="008D1918" w:rsidR="00F16644" w:rsidRDefault="00F16644" w14:paraId="237DBBD8"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690,657</w:t>
            </w:r>
          </w:p>
        </w:tc>
        <w:tc>
          <w:tcPr>
            <w:tcW w:w="1677" w:type="dxa"/>
            <w:shd w:val="clear" w:color="auto" w:fill="E8CAED"/>
          </w:tcPr>
          <w:p w:rsidRPr="008D1918" w:rsidR="00F16644" w:rsidRDefault="00F16644" w14:paraId="299C1ACC"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2,674,365</w:t>
            </w:r>
          </w:p>
        </w:tc>
        <w:tc>
          <w:tcPr>
            <w:tcW w:w="1677" w:type="dxa"/>
            <w:shd w:val="clear" w:color="auto" w:fill="E8CAED"/>
          </w:tcPr>
          <w:p w:rsidRPr="008D1918" w:rsidR="00F16644" w:rsidRDefault="00F16644" w14:paraId="64BCC8F7"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759,326</w:t>
            </w:r>
          </w:p>
        </w:tc>
      </w:tr>
      <w:tr w:rsidRPr="008D1918" w:rsidR="00F16644" w14:paraId="31473CDF" w14:textId="77777777">
        <w:trPr>
          <w:trHeight w:val="285"/>
        </w:trPr>
        <w:tc>
          <w:tcPr>
            <w:cnfStyle w:val="001000000000" w:firstRow="0" w:lastRow="0" w:firstColumn="1" w:lastColumn="0" w:oddVBand="0" w:evenVBand="0" w:oddHBand="0" w:evenHBand="0" w:firstRowFirstColumn="0" w:firstRowLastColumn="0" w:lastRowFirstColumn="0" w:lastRowLastColumn="0"/>
            <w:tcW w:w="2355" w:type="dxa"/>
          </w:tcPr>
          <w:p w:rsidRPr="008D1918" w:rsidR="00F16644" w:rsidRDefault="00F16644" w14:paraId="18446649" w14:textId="77777777">
            <w:pPr>
              <w:keepNext/>
              <w:spacing w:after="0"/>
              <w:rPr>
                <w:rFonts w:eastAsia="Calibri" w:cs="Arial"/>
                <w:sz w:val="20"/>
                <w:szCs w:val="20"/>
                <w:lang w:val="en-AU"/>
              </w:rPr>
            </w:pPr>
            <w:r w:rsidRPr="008D1918">
              <w:rPr>
                <w:rFonts w:eastAsia="Calibri" w:cs="Arial"/>
                <w:sz w:val="20"/>
                <w:szCs w:val="20"/>
                <w:lang w:val="en-AU"/>
              </w:rPr>
              <w:t>Social Workers</w:t>
            </w:r>
          </w:p>
        </w:tc>
        <w:tc>
          <w:tcPr>
            <w:tcW w:w="1676" w:type="dxa"/>
          </w:tcPr>
          <w:p w:rsidRPr="008D1918" w:rsidR="00F16644" w:rsidRDefault="00F16644" w14:paraId="1314B093"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 xml:space="preserve"> -   </w:t>
            </w:r>
          </w:p>
        </w:tc>
        <w:tc>
          <w:tcPr>
            <w:tcW w:w="1677" w:type="dxa"/>
          </w:tcPr>
          <w:p w:rsidRPr="008D1918" w:rsidR="00F16644" w:rsidRDefault="00F16644" w14:paraId="1BC6B7C5"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 xml:space="preserve"> -</w:t>
            </w:r>
          </w:p>
        </w:tc>
        <w:tc>
          <w:tcPr>
            <w:tcW w:w="1677" w:type="dxa"/>
          </w:tcPr>
          <w:p w:rsidRPr="008D1918" w:rsidR="00F16644" w:rsidRDefault="00F16644" w14:paraId="3184B52B"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611</w:t>
            </w:r>
          </w:p>
        </w:tc>
        <w:tc>
          <w:tcPr>
            <w:tcW w:w="1677" w:type="dxa"/>
          </w:tcPr>
          <w:p w:rsidRPr="008D1918" w:rsidR="00F16644" w:rsidRDefault="00F16644" w14:paraId="4B26F9BA"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686</w:t>
            </w:r>
          </w:p>
        </w:tc>
      </w:tr>
      <w:tr w:rsidRPr="008D1918" w:rsidR="00F16644" w14:paraId="64ADBE4F" w14:textId="77777777">
        <w:trPr>
          <w:trHeight w:val="285"/>
        </w:trPr>
        <w:tc>
          <w:tcPr>
            <w:cnfStyle w:val="001000000000" w:firstRow="0" w:lastRow="0" w:firstColumn="1" w:lastColumn="0" w:oddVBand="0" w:evenVBand="0" w:oddHBand="0" w:evenHBand="0" w:firstRowFirstColumn="0" w:firstRowLastColumn="0" w:lastRowFirstColumn="0" w:lastRowLastColumn="0"/>
            <w:tcW w:w="2355" w:type="dxa"/>
            <w:shd w:val="clear" w:color="auto" w:fill="E8CAED"/>
          </w:tcPr>
          <w:p w:rsidRPr="008D1918" w:rsidR="00F16644" w:rsidRDefault="00F16644" w14:paraId="14F70ADC" w14:textId="77777777">
            <w:pPr>
              <w:keepNext/>
              <w:spacing w:after="0"/>
              <w:rPr>
                <w:rFonts w:eastAsia="Calibri" w:cs="Arial"/>
                <w:sz w:val="20"/>
                <w:szCs w:val="20"/>
                <w:lang w:val="en-AU"/>
              </w:rPr>
            </w:pPr>
            <w:r w:rsidRPr="008D1918">
              <w:rPr>
                <w:rFonts w:eastAsia="Calibri" w:cs="Arial"/>
                <w:sz w:val="20"/>
                <w:szCs w:val="20"/>
                <w:lang w:val="en-AU"/>
              </w:rPr>
              <w:t xml:space="preserve">Counsellors </w:t>
            </w:r>
          </w:p>
        </w:tc>
        <w:tc>
          <w:tcPr>
            <w:tcW w:w="1676" w:type="dxa"/>
            <w:shd w:val="clear" w:color="auto" w:fill="E8CAED"/>
          </w:tcPr>
          <w:p w:rsidRPr="008D1918" w:rsidR="00F16644" w:rsidRDefault="00F16644" w14:paraId="64685736"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 xml:space="preserve"> -   </w:t>
            </w:r>
          </w:p>
        </w:tc>
        <w:tc>
          <w:tcPr>
            <w:tcW w:w="1677" w:type="dxa"/>
            <w:shd w:val="clear" w:color="auto" w:fill="E8CAED"/>
          </w:tcPr>
          <w:p w:rsidRPr="008D1918" w:rsidR="00F16644" w:rsidRDefault="00F16644" w14:paraId="11E6A2CA"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 xml:space="preserve"> -</w:t>
            </w:r>
          </w:p>
        </w:tc>
        <w:tc>
          <w:tcPr>
            <w:tcW w:w="1677" w:type="dxa"/>
            <w:shd w:val="clear" w:color="auto" w:fill="E8CAED"/>
          </w:tcPr>
          <w:p w:rsidRPr="008D1918" w:rsidR="00F16644" w:rsidRDefault="00F16644" w14:paraId="57FFCFA3"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46,243</w:t>
            </w:r>
          </w:p>
        </w:tc>
        <w:tc>
          <w:tcPr>
            <w:tcW w:w="1677" w:type="dxa"/>
            <w:shd w:val="clear" w:color="auto" w:fill="E8CAED"/>
          </w:tcPr>
          <w:p w:rsidRPr="008D1918" w:rsidR="00F16644" w:rsidRDefault="00F16644" w14:paraId="0BCD7929"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11,297</w:t>
            </w:r>
          </w:p>
        </w:tc>
      </w:tr>
      <w:tr w:rsidRPr="008D1918" w:rsidR="00F16644" w14:paraId="7AB96779" w14:textId="77777777">
        <w:trPr>
          <w:trHeight w:val="285"/>
        </w:trPr>
        <w:tc>
          <w:tcPr>
            <w:cnfStyle w:val="001000000000" w:firstRow="0" w:lastRow="0" w:firstColumn="1" w:lastColumn="0" w:oddVBand="0" w:evenVBand="0" w:oddHBand="0" w:evenHBand="0" w:firstRowFirstColumn="0" w:firstRowLastColumn="0" w:lastRowFirstColumn="0" w:lastRowLastColumn="0"/>
            <w:tcW w:w="2355" w:type="dxa"/>
          </w:tcPr>
          <w:p w:rsidRPr="008D1918" w:rsidR="00F16644" w:rsidRDefault="00F16644" w14:paraId="786AC12D" w14:textId="77777777">
            <w:pPr>
              <w:keepNext/>
              <w:spacing w:after="0"/>
              <w:rPr>
                <w:rFonts w:eastAsia="Calibri" w:cs="Arial"/>
                <w:sz w:val="20"/>
                <w:szCs w:val="20"/>
                <w:lang w:val="en-AU"/>
              </w:rPr>
            </w:pPr>
            <w:r w:rsidRPr="008D1918">
              <w:rPr>
                <w:rFonts w:eastAsia="Calibri" w:cs="Arial"/>
                <w:sz w:val="20"/>
                <w:szCs w:val="20"/>
                <w:lang w:val="en-AU"/>
              </w:rPr>
              <w:t>Exercise Physiologists</w:t>
            </w:r>
          </w:p>
        </w:tc>
        <w:tc>
          <w:tcPr>
            <w:tcW w:w="1676" w:type="dxa"/>
          </w:tcPr>
          <w:p w:rsidRPr="008D1918" w:rsidR="00F16644" w:rsidRDefault="00F16644" w14:paraId="3281CB71"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378,399</w:t>
            </w:r>
          </w:p>
        </w:tc>
        <w:tc>
          <w:tcPr>
            <w:tcW w:w="1677" w:type="dxa"/>
          </w:tcPr>
          <w:p w:rsidRPr="008D1918" w:rsidR="00F16644" w:rsidRDefault="00F16644" w14:paraId="38667DB3"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12,801</w:t>
            </w:r>
          </w:p>
        </w:tc>
        <w:tc>
          <w:tcPr>
            <w:tcW w:w="1677" w:type="dxa"/>
          </w:tcPr>
          <w:p w:rsidRPr="008D1918" w:rsidR="00F16644" w:rsidRDefault="00F16644" w14:paraId="4EF11916"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 xml:space="preserve"> -   </w:t>
            </w:r>
          </w:p>
        </w:tc>
        <w:tc>
          <w:tcPr>
            <w:tcW w:w="1677" w:type="dxa"/>
          </w:tcPr>
          <w:p w:rsidRPr="008D1918" w:rsidR="00F16644" w:rsidRDefault="00F16644" w14:paraId="125C51C3"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color w:val="000000" w:themeColor="accent6"/>
                <w:sz w:val="20"/>
                <w:szCs w:val="20"/>
                <w:lang w:val="en-AU"/>
              </w:rPr>
            </w:pPr>
            <w:r w:rsidRPr="008D1918">
              <w:rPr>
                <w:rFonts w:eastAsia="Calibri" w:cs="Arial"/>
                <w:color w:val="000000" w:themeColor="accent6"/>
                <w:sz w:val="20"/>
                <w:szCs w:val="20"/>
                <w:lang w:val="en-AU"/>
              </w:rPr>
              <w:t>184,860</w:t>
            </w:r>
          </w:p>
        </w:tc>
      </w:tr>
      <w:tr w:rsidRPr="008D1918" w:rsidR="00F16644" w14:paraId="188645B8" w14:textId="77777777">
        <w:trPr>
          <w:trHeight w:val="300"/>
        </w:trPr>
        <w:tc>
          <w:tcPr>
            <w:cnfStyle w:val="001000000000" w:firstRow="0" w:lastRow="0" w:firstColumn="1" w:lastColumn="0" w:oddVBand="0" w:evenVBand="0" w:oddHBand="0" w:evenHBand="0" w:firstRowFirstColumn="0" w:firstRowLastColumn="0" w:lastRowFirstColumn="0" w:lastRowLastColumn="0"/>
            <w:tcW w:w="2355" w:type="dxa"/>
            <w:shd w:val="clear" w:color="auto" w:fill="E8CAED"/>
          </w:tcPr>
          <w:p w:rsidRPr="008D1918" w:rsidR="00F16644" w:rsidRDefault="00F16644" w14:paraId="35C391A8" w14:textId="77777777">
            <w:pPr>
              <w:keepNext/>
              <w:spacing w:after="0"/>
              <w:rPr>
                <w:rFonts w:eastAsia="Calibri" w:cs="Arial"/>
                <w:b/>
                <w:sz w:val="20"/>
                <w:szCs w:val="20"/>
                <w:lang w:val="en-AU"/>
              </w:rPr>
            </w:pPr>
            <w:r w:rsidRPr="008D1918">
              <w:rPr>
                <w:rFonts w:eastAsia="Calibri" w:cs="Arial"/>
                <w:b/>
                <w:sz w:val="20"/>
                <w:szCs w:val="20"/>
                <w:lang w:val="en-AU"/>
              </w:rPr>
              <w:t>Total</w:t>
            </w:r>
          </w:p>
        </w:tc>
        <w:tc>
          <w:tcPr>
            <w:tcW w:w="1676" w:type="dxa"/>
            <w:shd w:val="clear" w:color="auto" w:fill="E8CAED"/>
          </w:tcPr>
          <w:p w:rsidRPr="008D1918" w:rsidR="00F16644" w:rsidRDefault="00F16644" w14:paraId="2AB7A7E2"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b/>
                <w:color w:val="000000" w:themeColor="accent6"/>
                <w:sz w:val="20"/>
                <w:szCs w:val="20"/>
                <w:lang w:val="en-AU"/>
              </w:rPr>
            </w:pPr>
            <w:r w:rsidRPr="008D1918">
              <w:rPr>
                <w:rFonts w:eastAsia="Calibri" w:cs="Arial"/>
                <w:b/>
                <w:color w:val="000000" w:themeColor="accent6"/>
                <w:sz w:val="20"/>
                <w:szCs w:val="20"/>
                <w:lang w:val="en-AU"/>
              </w:rPr>
              <w:t>10,092,979</w:t>
            </w:r>
          </w:p>
        </w:tc>
        <w:tc>
          <w:tcPr>
            <w:tcW w:w="1677" w:type="dxa"/>
            <w:shd w:val="clear" w:color="auto" w:fill="E8CAED"/>
          </w:tcPr>
          <w:p w:rsidRPr="008D1918" w:rsidR="00F16644" w:rsidRDefault="00F16644" w14:paraId="62B05860"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b/>
                <w:color w:val="000000" w:themeColor="accent6"/>
                <w:sz w:val="20"/>
                <w:szCs w:val="20"/>
                <w:lang w:val="en-AU"/>
              </w:rPr>
            </w:pPr>
            <w:r w:rsidRPr="008D1918">
              <w:rPr>
                <w:rFonts w:eastAsia="Calibri" w:cs="Arial"/>
                <w:b/>
                <w:color w:val="000000" w:themeColor="accent6"/>
                <w:sz w:val="20"/>
                <w:szCs w:val="20"/>
                <w:lang w:val="en-AU"/>
              </w:rPr>
              <w:t>998,976</w:t>
            </w:r>
          </w:p>
        </w:tc>
        <w:tc>
          <w:tcPr>
            <w:tcW w:w="1677" w:type="dxa"/>
            <w:shd w:val="clear" w:color="auto" w:fill="E8CAED"/>
          </w:tcPr>
          <w:p w:rsidRPr="008D1918" w:rsidR="00F16644" w:rsidRDefault="00F16644" w14:paraId="223B3B76"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b/>
                <w:color w:val="000000" w:themeColor="accent6"/>
                <w:sz w:val="20"/>
                <w:szCs w:val="20"/>
                <w:lang w:val="en-AU"/>
              </w:rPr>
            </w:pPr>
            <w:r w:rsidRPr="008D1918">
              <w:rPr>
                <w:rFonts w:eastAsia="Calibri" w:cs="Arial"/>
                <w:b/>
                <w:color w:val="000000" w:themeColor="accent6"/>
                <w:sz w:val="20"/>
                <w:szCs w:val="20"/>
                <w:lang w:val="en-AU"/>
              </w:rPr>
              <w:t>3,516,042</w:t>
            </w:r>
          </w:p>
        </w:tc>
        <w:tc>
          <w:tcPr>
            <w:tcW w:w="1677" w:type="dxa"/>
            <w:shd w:val="clear" w:color="auto" w:fill="E8CAED"/>
          </w:tcPr>
          <w:p w:rsidRPr="008D1918" w:rsidR="00F16644" w:rsidRDefault="00F16644" w14:paraId="5564D683" w14:textId="77777777">
            <w:pPr>
              <w:keepNext/>
              <w:spacing w:after="0"/>
              <w:ind w:right="104"/>
              <w:jc w:val="right"/>
              <w:cnfStyle w:val="000000000000" w:firstRow="0" w:lastRow="0" w:firstColumn="0" w:lastColumn="0" w:oddVBand="0" w:evenVBand="0" w:oddHBand="0" w:evenHBand="0" w:firstRowFirstColumn="0" w:firstRowLastColumn="0" w:lastRowFirstColumn="0" w:lastRowLastColumn="0"/>
              <w:rPr>
                <w:rFonts w:eastAsia="Calibri" w:cs="Arial"/>
                <w:b/>
                <w:color w:val="000000" w:themeColor="accent6"/>
                <w:sz w:val="20"/>
                <w:szCs w:val="20"/>
                <w:lang w:val="en-AU"/>
              </w:rPr>
            </w:pPr>
            <w:r w:rsidRPr="008D1918">
              <w:rPr>
                <w:rFonts w:eastAsia="Calibri" w:cs="Arial"/>
                <w:b/>
                <w:color w:val="000000" w:themeColor="accent6"/>
                <w:sz w:val="20"/>
                <w:szCs w:val="20"/>
                <w:lang w:val="en-AU"/>
              </w:rPr>
              <w:t>1,277,292</w:t>
            </w:r>
          </w:p>
        </w:tc>
      </w:tr>
    </w:tbl>
    <w:p w:rsidRPr="008D1918" w:rsidR="00F16644" w:rsidP="00F16644" w:rsidRDefault="00F16644" w14:paraId="722D6D6C" w14:textId="77777777">
      <w:pPr>
        <w:keepNext/>
        <w:spacing w:before="120" w:after="60" w:line="240" w:lineRule="atLeast"/>
        <w:rPr>
          <w:b/>
          <w:sz w:val="20"/>
          <w:szCs w:val="20"/>
          <w:lang w:val="en-AU"/>
        </w:rPr>
      </w:pPr>
      <w:r w:rsidRPr="008D1918">
        <w:rPr>
          <w:b/>
          <w:sz w:val="20"/>
          <w:szCs w:val="20"/>
          <w:lang w:val="en-AU"/>
        </w:rPr>
        <w:t>Source: NDIS internal administrative data and NDIA calculations from MBS and PHI</w:t>
      </w:r>
    </w:p>
    <w:p w:rsidRPr="008D1918" w:rsidR="00F16644" w:rsidP="00F16644" w:rsidRDefault="00F16644" w14:paraId="53CBB04F" w14:textId="77777777">
      <w:pPr>
        <w:spacing w:before="60" w:after="60" w:line="240" w:lineRule="atLeast"/>
        <w:rPr>
          <w:rFonts w:cs="Arial"/>
          <w:sz w:val="20"/>
          <w:szCs w:val="20"/>
          <w:lang w:val="en-AU"/>
        </w:rPr>
      </w:pPr>
      <w:r w:rsidRPr="008D1918">
        <w:rPr>
          <w:rFonts w:cs="Arial"/>
          <w:sz w:val="20"/>
          <w:szCs w:val="20"/>
          <w:lang w:val="en-AU"/>
        </w:rPr>
        <w:t>Note: Number of transactions are after removal of outliers.</w:t>
      </w:r>
    </w:p>
    <w:p w:rsidRPr="008D1918" w:rsidR="00F16644" w:rsidP="00F16644" w:rsidRDefault="00F16644" w14:paraId="4837AC14" w14:textId="77777777">
      <w:pPr>
        <w:spacing w:before="120" w:after="360" w:line="240" w:lineRule="atLeast"/>
        <w:rPr>
          <w:rFonts w:cs="Arial"/>
          <w:sz w:val="20"/>
          <w:szCs w:val="20"/>
          <w:lang w:val="en-AU"/>
        </w:rPr>
      </w:pPr>
      <w:r w:rsidRPr="008D1918">
        <w:rPr>
          <w:rFonts w:cs="Arial"/>
          <w:sz w:val="20"/>
          <w:szCs w:val="20"/>
          <w:lang w:val="en-AU"/>
        </w:rPr>
        <w:t>* MBS item codes used in analysis: Psychology 80010, Speech Pathology 10970, Occupational Therapy 10958, Audiology 10952, Dietetics 10954, Podiatry 10962, Physiotherapy 10960, Exercise Physiology 10953</w:t>
      </w:r>
    </w:p>
    <w:p w:rsidR="002A7B15" w:rsidP="00F16644" w:rsidRDefault="00F16644" w14:paraId="1AD14BE4" w14:textId="4A6C5D85">
      <w:pPr>
        <w:rPr>
          <w:lang w:val="en-AU"/>
        </w:rPr>
      </w:pPr>
      <w:r w:rsidRPr="008D1918">
        <w:rPr>
          <w:lang w:val="en-AU"/>
        </w:rPr>
        <w:t xml:space="preserve">Therapy types, such as Audiology in MBS, with sparse data or single-price observations are subject to greater data sensitivity. The NDIA uses triangulation across sources to mitigate data gaps where possible. </w:t>
      </w:r>
    </w:p>
    <w:p w:rsidR="002A7B15" w:rsidRDefault="002A7B15" w14:paraId="3A4CA53D" w14:textId="77777777">
      <w:pPr>
        <w:spacing w:after="0" w:line="240" w:lineRule="auto"/>
        <w:rPr>
          <w:lang w:val="en-AU"/>
        </w:rPr>
      </w:pPr>
      <w:r>
        <w:rPr>
          <w:lang w:val="en-AU"/>
        </w:rPr>
        <w:br w:type="page"/>
      </w:r>
    </w:p>
    <w:p w:rsidRPr="008D1918" w:rsidR="00F16644" w:rsidP="00354F83" w:rsidRDefault="00F16644" w14:paraId="6A592E63" w14:textId="4812F70D">
      <w:pPr>
        <w:pStyle w:val="AppendixH3"/>
      </w:pPr>
      <w:r w:rsidRPr="008D1918">
        <w:t xml:space="preserve">Benchmarking </w:t>
      </w:r>
      <w:r w:rsidRPr="008D1918" w:rsidR="007767C3">
        <w:t>r</w:t>
      </w:r>
      <w:r w:rsidRPr="008D1918">
        <w:t xml:space="preserve">esults and </w:t>
      </w:r>
      <w:r w:rsidRPr="008D1918" w:rsidR="007767C3">
        <w:t>i</w:t>
      </w:r>
      <w:r w:rsidRPr="008D1918">
        <w:t xml:space="preserve">mplications for </w:t>
      </w:r>
      <w:r w:rsidRPr="008D1918" w:rsidR="007767C3">
        <w:t>p</w:t>
      </w:r>
      <w:r w:rsidRPr="008D1918">
        <w:t>rice</w:t>
      </w:r>
      <w:r w:rsidR="006D40BB">
        <w:t>s</w:t>
      </w:r>
      <w:r w:rsidRPr="008D1918">
        <w:t xml:space="preserve"> </w:t>
      </w:r>
    </w:p>
    <w:p w:rsidRPr="008D1918" w:rsidR="00F16644" w:rsidP="00354F83" w:rsidRDefault="00F16644" w14:paraId="48112C6E" w14:textId="719DC869">
      <w:pPr>
        <w:pStyle w:val="AppendixH4"/>
      </w:pPr>
      <w:bookmarkStart w:name="_Toc227131440" w:id="2348"/>
      <w:bookmarkEnd w:id="2348"/>
      <w:r w:rsidRPr="008D1918">
        <w:t>Converting session fees to hourly rates</w:t>
      </w:r>
    </w:p>
    <w:p w:rsidRPr="008D1918" w:rsidR="00F16644" w:rsidDel="00A04F0E" w:rsidP="00F16644" w:rsidRDefault="00F16644" w14:paraId="55E24D61" w14:textId="3CAEB274">
      <w:pPr>
        <w:rPr>
          <w:lang w:val="en-AU"/>
        </w:rPr>
      </w:pPr>
      <w:r w:rsidRPr="008D1918">
        <w:rPr>
          <w:lang w:val="en-AU"/>
        </w:rPr>
        <w:t>Session length estimates are derived from a regression analysis of 1,738 published website listings collected in 2024 across 8 therapy types. The model examined the relationship between listed price and session length and was validated against MBS and PHI item descriptors and through consultation with allied health peak bodies. The estimated durations were then paired with MBS and PHI quartiles to derive hourly equivalents.</w:t>
      </w:r>
    </w:p>
    <w:p w:rsidRPr="008D1918" w:rsidR="00430A5E" w:rsidP="00430A5E" w:rsidRDefault="00430A5E" w14:paraId="6A5CF9D5" w14:textId="66BEC4C6">
      <w:pPr>
        <w:pStyle w:val="Caption"/>
        <w:rPr>
          <w:rFonts w:eastAsia="Arial" w:cs="Arial"/>
          <w:color w:val="6B2876"/>
        </w:rPr>
      </w:pPr>
      <w:r w:rsidRPr="008D1918">
        <w:t xml:space="preserve">Figure </w:t>
      </w:r>
      <w:r>
        <w:fldChar w:fldCharType="begin"/>
      </w:r>
      <w:r>
        <w:instrText>SEQ Figure \* ARABIC</w:instrText>
      </w:r>
      <w:r>
        <w:fldChar w:fldCharType="separate"/>
      </w:r>
      <w:r w:rsidR="008F56A2">
        <w:rPr>
          <w:noProof/>
        </w:rPr>
        <w:t>66</w:t>
      </w:r>
      <w:r>
        <w:fldChar w:fldCharType="end"/>
      </w:r>
      <w:r w:rsidRPr="008D1918">
        <w:rPr>
          <w:rFonts w:eastAsia="Arial" w:cs="Arial"/>
          <w:color w:val="6B2876" w:themeColor="accent5"/>
        </w:rPr>
        <w:t>: Average number of participants per provider of Physiotherapists, January 2023 to December 2025</w:t>
      </w:r>
    </w:p>
    <w:p w:rsidRPr="008D1918" w:rsidR="00430A5E" w:rsidP="00430A5E" w:rsidRDefault="00430A5E" w14:paraId="0BE9471C" w14:textId="77777777">
      <w:pPr>
        <w:rPr>
          <w:rFonts w:eastAsia="Arial" w:cs="Arial"/>
          <w:color w:val="6B2876" w:themeColor="text1"/>
          <w:lang w:val="en-AU"/>
        </w:rPr>
      </w:pPr>
      <w:r w:rsidRPr="008D1918">
        <w:rPr>
          <w:noProof/>
          <w:lang w:val="en-AU"/>
        </w:rPr>
        <w:drawing>
          <wp:inline distT="0" distB="0" distL="0" distR="0" wp14:anchorId="6328B5B3" wp14:editId="5B14440B">
            <wp:extent cx="5680800" cy="3290400"/>
            <wp:effectExtent l="0" t="0" r="0" b="5715"/>
            <wp:docPr id="542485190" name="Picture 2" descr="Figure 20: A bar graph showing the average number of participants per physiotherapy providers, from January 2023 to December 2025.&#10;This graph shows that across all states and territories average participant numbers per physiotherapy provider have remained stable, between 42 and 45 across the period.&#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85190" name="Picture 2" descr="Figure 20: A bar graph showing the average number of participants per physiotherapy providers, from January 2023 to December 2025.&#10;This graph shows that across all states and territories average participant numbers per physiotherapy provider have remained stable, between 42 and 45 across the period.&#10;Source: NDIS internal administrative dat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80800" cy="3290400"/>
                    </a:xfrm>
                    <a:prstGeom prst="rect">
                      <a:avLst/>
                    </a:prstGeom>
                    <a:noFill/>
                  </pic:spPr>
                </pic:pic>
              </a:graphicData>
            </a:graphic>
          </wp:inline>
        </w:drawing>
      </w:r>
    </w:p>
    <w:p w:rsidRPr="008D1918" w:rsidR="00430A5E" w:rsidP="00430A5E" w:rsidRDefault="00430A5E" w14:paraId="0F59B1C6" w14:textId="672A06EB">
      <w:pPr>
        <w:pStyle w:val="Caption"/>
        <w:rPr>
          <w:rFonts w:eastAsia="Arial" w:cs="Arial"/>
          <w:color w:val="6B2876"/>
        </w:rPr>
      </w:pPr>
      <w:r w:rsidRPr="008D1918">
        <w:t xml:space="preserve">Figure </w:t>
      </w:r>
      <w:r>
        <w:fldChar w:fldCharType="begin"/>
      </w:r>
      <w:r>
        <w:instrText>SEQ Figure \* ARABIC</w:instrText>
      </w:r>
      <w:r>
        <w:fldChar w:fldCharType="separate"/>
      </w:r>
      <w:r w:rsidR="008F56A2">
        <w:rPr>
          <w:noProof/>
        </w:rPr>
        <w:t>67</w:t>
      </w:r>
      <w:r>
        <w:fldChar w:fldCharType="end"/>
      </w:r>
      <w:r w:rsidRPr="008D1918">
        <w:rPr>
          <w:rFonts w:eastAsia="Arial" w:cs="Arial"/>
          <w:color w:val="6B2876" w:themeColor="accent5"/>
        </w:rPr>
        <w:t>: Average total payments per participant for supports delivered by Physiotherapists, January 2023 to December 2025</w:t>
      </w:r>
    </w:p>
    <w:p w:rsidRPr="008D1918" w:rsidR="00430A5E" w:rsidP="00430A5E" w:rsidRDefault="00430A5E" w14:paraId="7F05C008" w14:textId="7034B435">
      <w:pPr>
        <w:keepNext/>
        <w:spacing w:after="360"/>
        <w:rPr>
          <w:rFonts w:eastAsia="Arial"/>
          <w:lang w:val="en-AU"/>
        </w:rPr>
      </w:pPr>
      <w:r w:rsidRPr="008D1918">
        <w:rPr>
          <w:noProof/>
          <w:lang w:val="en-AU"/>
        </w:rPr>
        <w:drawing>
          <wp:inline distT="0" distB="0" distL="0" distR="0" wp14:anchorId="51601C2E" wp14:editId="736C5E07">
            <wp:extent cx="5677200" cy="3283200"/>
            <wp:effectExtent l="0" t="0" r="0" b="0"/>
            <wp:docPr id="1898508466" name="Picture 5" descr="Figure 21: A line graph showing the average total payments per participant for physiotherapy supports, by provider, from January 2023 to December 2025.&#10;This graph shows that payment per participant for physiotherapy has remained stable across all states and territories throughout the period, ranging from $1,965 to $2,116 (ACT, QLD, NSW, VIC - No historical loadings). Payments per participant in WA, TAS, SA and NT have seen more of a fluctuation from $2,018, peaking at $2,415 and decreasing to $2,108 post loading removal, in line with other states and territories. 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508466" name="Picture 5" descr="Figure 21: A line graph showing the average total payments per participant for physiotherapy supports, by provider, from January 2023 to December 2025.&#10;This graph shows that payment per participant for physiotherapy has remained stable across all states and territories throughout the period, ranging from $1,965 to $2,116 (ACT, QLD, NSW, VIC - No historical loadings). Payments per participant in WA, TAS, SA and NT have seen more of a fluctuation from $2,018, peaking at $2,415 and decreasing to $2,108 post loading removal, in line with other states and territories. Source: NDIS internal administrative dat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77200" cy="3283200"/>
                    </a:xfrm>
                    <a:prstGeom prst="rect">
                      <a:avLst/>
                    </a:prstGeom>
                    <a:noFill/>
                  </pic:spPr>
                </pic:pic>
              </a:graphicData>
            </a:graphic>
          </wp:inline>
        </w:drawing>
      </w:r>
    </w:p>
    <w:p w:rsidRPr="008D1918" w:rsidR="00A61BEE" w:rsidP="007A12F2" w:rsidRDefault="008E396E" w14:paraId="200C23AF" w14:textId="4BE1BA17">
      <w:pPr>
        <w:pStyle w:val="AppendixH5"/>
      </w:pPr>
      <w:r w:rsidRPr="008D1918">
        <w:t>Application to physiotherapy</w:t>
      </w:r>
    </w:p>
    <w:p w:rsidRPr="008D1918" w:rsidR="005C24B3" w:rsidP="005C24B3" w:rsidRDefault="005C24B3" w14:paraId="0F14A5EC" w14:textId="0EAC5EDF">
      <w:pPr>
        <w:rPr>
          <w:rFonts w:eastAsia="Segoe UI"/>
          <w:lang w:val="en-AU"/>
        </w:rPr>
      </w:pPr>
      <w:r w:rsidRPr="008D1918">
        <w:rPr>
          <w:rFonts w:eastAsia="Segoe UI"/>
          <w:lang w:val="en-AU"/>
        </w:rPr>
        <w:t>The 2024</w:t>
      </w:r>
      <w:r w:rsidRPr="008D1918" w:rsidR="00BA7EBB">
        <w:rPr>
          <w:rFonts w:eastAsia="Segoe UI"/>
          <w:lang w:val="en-AU"/>
        </w:rPr>
        <w:t>–</w:t>
      </w:r>
      <w:r w:rsidRPr="008D1918">
        <w:rPr>
          <w:rFonts w:eastAsia="Segoe UI"/>
          <w:lang w:val="en-AU"/>
        </w:rPr>
        <w:t xml:space="preserve">25 APR applied a 45-minute median session length in converting MBS and PHI </w:t>
      </w:r>
      <w:r w:rsidRPr="008D1918" w:rsidR="0095503D">
        <w:rPr>
          <w:rFonts w:eastAsia="Segoe UI"/>
          <w:lang w:val="en-AU"/>
        </w:rPr>
        <w:t xml:space="preserve">physiotherapy </w:t>
      </w:r>
      <w:r w:rsidRPr="008D1918">
        <w:rPr>
          <w:rFonts w:eastAsia="Segoe UI"/>
          <w:lang w:val="en-AU"/>
        </w:rPr>
        <w:t>session costs into hourly rates. Consultation for this APR revealed a degree of uncertainty that was sufficient for this assumption to be reconsidered.</w:t>
      </w:r>
    </w:p>
    <w:p w:rsidRPr="008D1918" w:rsidR="00430A5E" w:rsidP="00430A5E" w:rsidRDefault="00AE30BF" w14:paraId="57675F4E" w14:textId="627B4E12">
      <w:pPr>
        <w:rPr>
          <w:rFonts w:eastAsia="Segoe UI"/>
          <w:lang w:val="en-AU"/>
        </w:rPr>
      </w:pPr>
      <w:r w:rsidRPr="008D1918">
        <w:rPr>
          <w:rFonts w:eastAsia="Segoe UI"/>
          <w:lang w:val="en-AU"/>
        </w:rPr>
        <w:t xml:space="preserve">In undertaking the benchmarking analysis for this APR, the NDIA determined that a </w:t>
      </w:r>
      <w:r w:rsidRPr="008D1918" w:rsidR="008629D2">
        <w:rPr>
          <w:rFonts w:eastAsia="Segoe UI"/>
          <w:lang w:val="en-AU"/>
        </w:rPr>
        <w:t>35</w:t>
      </w:r>
      <w:r w:rsidRPr="008D1918" w:rsidR="00C51B6E">
        <w:rPr>
          <w:rFonts w:eastAsia="Segoe UI"/>
          <w:lang w:val="en-AU"/>
        </w:rPr>
        <w:t>-</w:t>
      </w:r>
      <w:r w:rsidRPr="008D1918" w:rsidR="008629D2">
        <w:rPr>
          <w:rFonts w:eastAsia="Segoe UI"/>
          <w:lang w:val="en-AU"/>
        </w:rPr>
        <w:t xml:space="preserve">minute </w:t>
      </w:r>
      <w:r w:rsidRPr="008D1918" w:rsidR="0013288B">
        <w:rPr>
          <w:rFonts w:eastAsia="Segoe UI"/>
          <w:lang w:val="en-AU"/>
        </w:rPr>
        <w:t>reference</w:t>
      </w:r>
      <w:r w:rsidRPr="008D1918" w:rsidR="00462411">
        <w:rPr>
          <w:rFonts w:eastAsia="Segoe UI"/>
          <w:lang w:val="en-AU"/>
        </w:rPr>
        <w:t xml:space="preserve"> time </w:t>
      </w:r>
      <w:r w:rsidRPr="008D1918" w:rsidR="00CF16FE">
        <w:rPr>
          <w:rFonts w:eastAsia="Segoe UI"/>
          <w:lang w:val="en-AU"/>
        </w:rPr>
        <w:t xml:space="preserve">to estimate the standard session length for </w:t>
      </w:r>
      <w:r w:rsidRPr="008D1918" w:rsidR="0098574C">
        <w:rPr>
          <w:rFonts w:eastAsia="Segoe UI"/>
          <w:lang w:val="en-AU"/>
        </w:rPr>
        <w:t xml:space="preserve">physiotherapy </w:t>
      </w:r>
      <w:r w:rsidRPr="008D1918" w:rsidR="007E6E15">
        <w:rPr>
          <w:rFonts w:eastAsia="Segoe UI"/>
          <w:lang w:val="en-AU"/>
        </w:rPr>
        <w:t xml:space="preserve">is </w:t>
      </w:r>
      <w:r w:rsidRPr="008D1918" w:rsidR="001879B2">
        <w:rPr>
          <w:rFonts w:eastAsia="Segoe UI"/>
          <w:lang w:val="en-AU"/>
        </w:rPr>
        <w:t xml:space="preserve">a </w:t>
      </w:r>
      <w:r w:rsidRPr="008D1918" w:rsidR="00D43A03">
        <w:rPr>
          <w:rFonts w:eastAsia="Segoe UI"/>
          <w:lang w:val="en-AU"/>
        </w:rPr>
        <w:t>plausible alternative</w:t>
      </w:r>
      <w:r w:rsidRPr="008D1918" w:rsidR="00940DB5">
        <w:rPr>
          <w:rFonts w:eastAsia="Segoe UI"/>
          <w:lang w:val="en-AU"/>
        </w:rPr>
        <w:t xml:space="preserve"> to the </w:t>
      </w:r>
      <w:r w:rsidRPr="008D1918" w:rsidR="005554D7">
        <w:rPr>
          <w:rFonts w:eastAsia="Segoe UI"/>
          <w:lang w:val="en-AU"/>
        </w:rPr>
        <w:t>reference</w:t>
      </w:r>
      <w:r w:rsidRPr="008D1918" w:rsidR="00940DB5">
        <w:rPr>
          <w:rFonts w:eastAsia="Segoe UI"/>
          <w:lang w:val="en-AU"/>
        </w:rPr>
        <w:t xml:space="preserve"> time applied in the previous APR</w:t>
      </w:r>
      <w:r w:rsidRPr="008D1918" w:rsidR="00E00BF3">
        <w:rPr>
          <w:rFonts w:eastAsia="Segoe UI"/>
          <w:lang w:val="en-AU"/>
        </w:rPr>
        <w:t>. It</w:t>
      </w:r>
      <w:r w:rsidRPr="008D1918" w:rsidR="00430A5E">
        <w:rPr>
          <w:rFonts w:eastAsia="Segoe UI"/>
          <w:lang w:val="en-AU"/>
        </w:rPr>
        <w:t xml:space="preserve"> represents the midpoint of the conservative range tested in the sensitivity analysis</w:t>
      </w:r>
      <w:r w:rsidRPr="008D1918" w:rsidR="00330EB8">
        <w:rPr>
          <w:rFonts w:eastAsia="Segoe UI"/>
          <w:lang w:val="en-AU"/>
        </w:rPr>
        <w:t xml:space="preserve">. </w:t>
      </w:r>
    </w:p>
    <w:p w:rsidRPr="008D1918" w:rsidR="00430A5E" w:rsidP="00430A5E" w:rsidRDefault="00430A5E" w14:paraId="6AAC3EAC" w14:textId="1B769A0B">
      <w:pPr>
        <w:rPr>
          <w:rFonts w:eastAsia="Segoe UI"/>
          <w:lang w:val="en-AU"/>
        </w:rPr>
      </w:pPr>
      <w:r w:rsidRPr="008D1918">
        <w:rPr>
          <w:rFonts w:eastAsia="Segoe UI"/>
          <w:lang w:val="en-AU"/>
        </w:rPr>
        <w:t xml:space="preserve">In this APR, the NDIA applies a 35-minute session length assumption pending further analysis through the </w:t>
      </w:r>
      <w:r w:rsidRPr="008D1918" w:rsidR="0002167C">
        <w:rPr>
          <w:rFonts w:eastAsia="Segoe UI"/>
          <w:lang w:val="en-AU"/>
        </w:rPr>
        <w:t>Quality Supports Program</w:t>
      </w:r>
      <w:r w:rsidRPr="008D1918">
        <w:rPr>
          <w:rFonts w:eastAsia="Segoe UI"/>
          <w:lang w:val="en-AU"/>
        </w:rPr>
        <w:t xml:space="preserve"> Therapy </w:t>
      </w:r>
      <w:r w:rsidRPr="008D1918" w:rsidR="0002167C">
        <w:rPr>
          <w:rFonts w:eastAsia="Segoe UI"/>
          <w:lang w:val="en-AU"/>
        </w:rPr>
        <w:t>p</w:t>
      </w:r>
      <w:r w:rsidRPr="008D1918">
        <w:rPr>
          <w:rFonts w:eastAsia="Segoe UI"/>
          <w:lang w:val="en-AU"/>
        </w:rPr>
        <w:t xml:space="preserve">ilot and the scheduled Therapy Pricing Review, which will undertake more detailed work on session structure, conversion methodology and benchmarking translation. </w:t>
      </w:r>
    </w:p>
    <w:p w:rsidRPr="008D1918" w:rsidR="00430A5E" w:rsidP="00430A5E" w:rsidRDefault="00430A5E" w14:paraId="5B3FFEE0" w14:textId="1604F6D0">
      <w:pPr>
        <w:rPr>
          <w:lang w:val="en-AU"/>
        </w:rPr>
      </w:pPr>
      <w:r w:rsidRPr="008D1918">
        <w:rPr>
          <w:rFonts w:eastAsia="Segoe UI"/>
          <w:lang w:val="en-AU"/>
        </w:rPr>
        <w:t>Taken together, the monitoring evidence, consultation findings and sensitivity analysis do not support a sufficiently robust case for a further adjustment to the physiotherapy price</w:t>
      </w:r>
      <w:r w:rsidR="006D40BB">
        <w:rPr>
          <w:rFonts w:eastAsia="Segoe UI"/>
          <w:lang w:val="en-AU"/>
        </w:rPr>
        <w:t>s</w:t>
      </w:r>
      <w:r w:rsidRPr="008D1918">
        <w:rPr>
          <w:rFonts w:eastAsia="Segoe UI"/>
          <w:lang w:val="en-AU"/>
        </w:rPr>
        <w:t xml:space="preserve"> in this APR. The observed provider response to the reduction in the previous APR does not indicate access disruption or provider withdrawal, and within the plausible range of session length assumptions, the current price</w:t>
      </w:r>
      <w:r w:rsidR="006D40BB">
        <w:rPr>
          <w:rFonts w:eastAsia="Segoe UI"/>
          <w:lang w:val="en-AU"/>
        </w:rPr>
        <w:t xml:space="preserve"> </w:t>
      </w:r>
      <w:r w:rsidRPr="008D1918">
        <w:rPr>
          <w:rFonts w:eastAsia="Segoe UI"/>
          <w:lang w:val="en-AU"/>
        </w:rPr>
        <w:t>sits broadly within the benchmark range. On that basis, the physiotherapy price will remain unchanged at $183.99 per hour</w:t>
      </w:r>
      <w:r w:rsidRPr="008D1918" w:rsidR="00E00BF3">
        <w:rPr>
          <w:rFonts w:eastAsia="Segoe UI"/>
          <w:lang w:val="en-AU"/>
        </w:rPr>
        <w:t>.</w:t>
      </w:r>
    </w:p>
    <w:p w:rsidRPr="008D1918" w:rsidR="00F16644" w:rsidP="00354F83" w:rsidRDefault="00F16644" w14:paraId="6B7833E9" w14:textId="77777777">
      <w:pPr>
        <w:pStyle w:val="AppendixH4"/>
      </w:pPr>
      <w:r w:rsidRPr="008D1918">
        <w:t xml:space="preserve">Addressing known methodological questions </w:t>
      </w:r>
    </w:p>
    <w:p w:rsidRPr="008D1918" w:rsidR="00F16644" w:rsidP="00354F83" w:rsidRDefault="00F16644" w14:paraId="7D6C5525" w14:textId="77777777">
      <w:pPr>
        <w:pStyle w:val="AppendixH5"/>
      </w:pPr>
      <w:r w:rsidRPr="008D1918">
        <w:t>Bulk billing in MBS data</w:t>
      </w:r>
    </w:p>
    <w:p w:rsidRPr="008D1918" w:rsidR="00F16644" w:rsidP="00F16644" w:rsidRDefault="00F16644" w14:paraId="400B7509" w14:textId="4B37C3DB">
      <w:pPr>
        <w:rPr>
          <w:lang w:val="en-AU"/>
        </w:rPr>
      </w:pPr>
      <w:r w:rsidRPr="008D1918">
        <w:rPr>
          <w:lang w:val="en-AU"/>
        </w:rPr>
        <w:t xml:space="preserve">The MBS dataset includes bulk-billed services. The NDIA’s benchmarking </w:t>
      </w:r>
      <w:r w:rsidRPr="008D1918" w:rsidR="000A60F0">
        <w:rPr>
          <w:lang w:val="en-AU"/>
        </w:rPr>
        <w:t xml:space="preserve">reference range </w:t>
      </w:r>
      <w:r w:rsidRPr="008D1918">
        <w:rPr>
          <w:lang w:val="en-AU"/>
        </w:rPr>
        <w:t>uses the full fee charged, government rebate plus any patient co-payment, not the rebate alone. Bulk-billed services sit toward the lower end of the price distribution and do not materially affect the upper half of the distribution, where the reference range</w:t>
      </w:r>
      <w:r w:rsidRPr="008D1918" w:rsidDel="009B061F">
        <w:rPr>
          <w:lang w:val="en-AU"/>
        </w:rPr>
        <w:t xml:space="preserve"> </w:t>
      </w:r>
      <w:r w:rsidRPr="008D1918" w:rsidDel="00903DB2">
        <w:rPr>
          <w:lang w:val="en-AU"/>
        </w:rPr>
        <w:t>sits</w:t>
      </w:r>
      <w:r w:rsidRPr="008D1918">
        <w:rPr>
          <w:lang w:val="en-AU"/>
        </w:rPr>
        <w:t xml:space="preserve"> and where privately billed transactions dominate. </w:t>
      </w:r>
    </w:p>
    <w:p w:rsidRPr="008D1918" w:rsidR="00F16644" w:rsidP="00354F83" w:rsidRDefault="00F16644" w14:paraId="1295B935" w14:textId="77777777">
      <w:pPr>
        <w:pStyle w:val="AppendixH5"/>
      </w:pPr>
      <w:r w:rsidRPr="008D1918">
        <w:t xml:space="preserve">Patient mix and comparability </w:t>
      </w:r>
    </w:p>
    <w:p w:rsidRPr="008D1918" w:rsidR="00354F83" w:rsidP="00091829" w:rsidRDefault="00F16644" w14:paraId="7DFB2F86" w14:textId="200DDB76">
      <w:pPr>
        <w:rPr>
          <w:lang w:val="en-AU"/>
        </w:rPr>
      </w:pPr>
      <w:r w:rsidRPr="008D1918">
        <w:rPr>
          <w:lang w:val="en-AU"/>
        </w:rPr>
        <w:t xml:space="preserve">Claimant profiles differ across data sources. The </w:t>
      </w:r>
      <w:r w:rsidRPr="008D1918" w:rsidR="00433F6A">
        <w:rPr>
          <w:lang w:val="en-AU"/>
        </w:rPr>
        <w:t xml:space="preserve">NDIA’s </w:t>
      </w:r>
      <w:r w:rsidRPr="008D1918">
        <w:rPr>
          <w:lang w:val="en-AU"/>
        </w:rPr>
        <w:t xml:space="preserve">benchmarking </w:t>
      </w:r>
      <w:r w:rsidRPr="008D1918" w:rsidR="00433F6A">
        <w:rPr>
          <w:lang w:val="en-AU"/>
        </w:rPr>
        <w:t xml:space="preserve">approach </w:t>
      </w:r>
      <w:r w:rsidRPr="008D1918">
        <w:rPr>
          <w:lang w:val="en-AU"/>
        </w:rPr>
        <w:t xml:space="preserve">is a price comparison, not a clinical equivalence assessment. There is a question as to </w:t>
      </w:r>
      <w:r w:rsidRPr="008D1918" w:rsidR="008A75DB">
        <w:rPr>
          <w:lang w:val="en-AU"/>
        </w:rPr>
        <w:t>whether the recommended</w:t>
      </w:r>
      <w:r w:rsidRPr="008D1918">
        <w:rPr>
          <w:lang w:val="en-AU"/>
        </w:rPr>
        <w:t xml:space="preserve"> NDIS</w:t>
      </w:r>
      <w:r w:rsidRPr="008D1918" w:rsidR="008A75DB">
        <w:rPr>
          <w:lang w:val="en-AU"/>
        </w:rPr>
        <w:t xml:space="preserve"> prices</w:t>
      </w:r>
      <w:r w:rsidRPr="008D1918">
        <w:rPr>
          <w:lang w:val="en-AU"/>
        </w:rPr>
        <w:t xml:space="preserve"> are positioned appropriately within the observed range at which qualified professionals deliver therapy in broader markets. The benchmarking approach seeks to ensure that the NDIS rate is within or higher than the reference range, which places it in the upper half of </w:t>
      </w:r>
      <w:r w:rsidRPr="008D1918" w:rsidR="003A3B2A">
        <w:rPr>
          <w:lang w:val="en-AU"/>
        </w:rPr>
        <w:t>the interquartile price range</w:t>
      </w:r>
      <w:r w:rsidRPr="008D1918">
        <w:rPr>
          <w:lang w:val="en-AU"/>
        </w:rPr>
        <w:t xml:space="preserve">. </w:t>
      </w:r>
    </w:p>
    <w:p w:rsidRPr="008D1918" w:rsidR="001A093D" w:rsidP="00354F83" w:rsidRDefault="00A27406" w14:paraId="0B5EF6B7" w14:textId="13EE5A15">
      <w:pPr>
        <w:pStyle w:val="AppendixH5"/>
      </w:pPr>
      <w:r w:rsidRPr="008D1918">
        <w:t>Billing differences between NDIS and other schemes</w:t>
      </w:r>
    </w:p>
    <w:p w:rsidRPr="008D1918" w:rsidR="000F0F5C" w:rsidP="000F0F5C" w:rsidRDefault="0008667D" w14:paraId="68B27076" w14:textId="2BBAEF24">
      <w:pPr>
        <w:rPr>
          <w:lang w:val="en-AU"/>
        </w:rPr>
      </w:pPr>
      <w:r w:rsidRPr="008D1918">
        <w:rPr>
          <w:lang w:val="en-AU"/>
        </w:rPr>
        <w:t xml:space="preserve">In response to the APR, </w:t>
      </w:r>
      <w:r w:rsidRPr="008D1918" w:rsidR="000F0F5C">
        <w:rPr>
          <w:lang w:val="en-AU"/>
        </w:rPr>
        <w:t xml:space="preserve">Allied Health Professionals Australia (AHPA) submitted that direct comparison with MBS and PHI pricing does not adequately account for the higher administrative burden, coordination and reporting requirements under the NDIS, and the differences in clinical models and client cohorts. The Agency acknowledges these differences. They are addressed structurally by: (a) positioning the reference range at the upper half of the interquartile range rather than the median; (b) the NDIS’s separately claimable ancillary items (non-face-to-face time, travel, report writing) which are additional to the session rate benchmarked; and (c) the phased approach to adjustments, which avoids large or abrupt changes in markets where provider supply is constrained. </w:t>
      </w:r>
      <w:r w:rsidRPr="008D1918" w:rsidR="00A02B6A">
        <w:rPr>
          <w:lang w:val="en-AU"/>
        </w:rPr>
        <w:t>B</w:t>
      </w:r>
      <w:r w:rsidRPr="008D1918" w:rsidR="000F0F5C">
        <w:rPr>
          <w:lang w:val="en-AU"/>
        </w:rPr>
        <w:t>enchmarking does not assert that NDIS and MBS service delivery are identical</w:t>
      </w:r>
      <w:r w:rsidRPr="008D1918" w:rsidR="00A02B6A">
        <w:rPr>
          <w:lang w:val="en-AU"/>
        </w:rPr>
        <w:t>. I</w:t>
      </w:r>
      <w:r w:rsidRPr="008D1918" w:rsidR="000F0F5C">
        <w:rPr>
          <w:lang w:val="en-AU"/>
        </w:rPr>
        <w:t xml:space="preserve">t uses observable funded-system rates as the most defensible reference for pricing decisions in a professional labour market where providers operate across multiple systems. </w:t>
      </w:r>
    </w:p>
    <w:p w:rsidRPr="008D1918" w:rsidR="00F16644" w:rsidP="00354F83" w:rsidRDefault="00F16644" w14:paraId="71715E47" w14:textId="2025A219">
      <w:pPr>
        <w:pStyle w:val="AppendixH5"/>
      </w:pPr>
      <w:r w:rsidRPr="008D1918">
        <w:t xml:space="preserve">Why </w:t>
      </w:r>
      <w:r w:rsidRPr="008D1918" w:rsidR="0068669F">
        <w:t>publicly advertised</w:t>
      </w:r>
      <w:r w:rsidRPr="008D1918">
        <w:t xml:space="preserve"> provider rates are not the primary comparator</w:t>
      </w:r>
    </w:p>
    <w:p w:rsidRPr="008D1918" w:rsidR="003C3D65" w:rsidP="00DC4C6A" w:rsidRDefault="00F16644" w14:paraId="046C9551" w14:textId="08B19F61">
      <w:pPr>
        <w:rPr>
          <w:lang w:val="en-AU"/>
        </w:rPr>
      </w:pPr>
      <w:r w:rsidRPr="008D1918">
        <w:rPr>
          <w:lang w:val="en-AU"/>
        </w:rPr>
        <w:t xml:space="preserve">The benchmarking analysis uses MBS and PHI data rather than private provider advertised rates as its primary comparator. </w:t>
      </w:r>
      <w:r w:rsidRPr="008D1918" w:rsidR="00A2418F">
        <w:rPr>
          <w:lang w:val="en-AU"/>
        </w:rPr>
        <w:t xml:space="preserve">Private advertised rates do not necessarily </w:t>
      </w:r>
      <w:r w:rsidRPr="008D1918" w:rsidR="00A576CD">
        <w:rPr>
          <w:lang w:val="en-AU"/>
        </w:rPr>
        <w:t>equate to actual transacted prices</w:t>
      </w:r>
      <w:r w:rsidRPr="008D1918" w:rsidR="006A75D4">
        <w:rPr>
          <w:lang w:val="en-AU"/>
        </w:rPr>
        <w:t xml:space="preserve"> and the volume of services delivered at these rates is unknown</w:t>
      </w:r>
      <w:r w:rsidRPr="008D1918" w:rsidR="00A576CD">
        <w:rPr>
          <w:lang w:val="en-AU"/>
        </w:rPr>
        <w:t>.</w:t>
      </w:r>
      <w:r w:rsidRPr="008D1918" w:rsidR="00850572">
        <w:rPr>
          <w:lang w:val="en-AU"/>
        </w:rPr>
        <w:t xml:space="preserve"> </w:t>
      </w:r>
      <w:r w:rsidRPr="008D1918" w:rsidR="0076780F">
        <w:rPr>
          <w:lang w:val="en-AU"/>
        </w:rPr>
        <w:t>Additionally</w:t>
      </w:r>
      <w:r w:rsidRPr="008D1918" w:rsidR="006A75D4">
        <w:rPr>
          <w:lang w:val="en-AU"/>
        </w:rPr>
        <w:t>, a</w:t>
      </w:r>
      <w:r w:rsidRPr="008D1918" w:rsidR="00850572">
        <w:rPr>
          <w:lang w:val="en-AU"/>
        </w:rPr>
        <w:t>ctual prices may</w:t>
      </w:r>
      <w:r w:rsidRPr="008D1918">
        <w:rPr>
          <w:lang w:val="en-AU"/>
        </w:rPr>
        <w:t xml:space="preserve"> vary by practitioner, </w:t>
      </w:r>
      <w:r w:rsidRPr="008D1918" w:rsidR="00850572">
        <w:rPr>
          <w:lang w:val="en-AU"/>
        </w:rPr>
        <w:t>scheme coverage</w:t>
      </w:r>
      <w:r w:rsidRPr="008D1918">
        <w:rPr>
          <w:lang w:val="en-AU"/>
        </w:rPr>
        <w:t xml:space="preserve"> and negotiation, and are not captured in any national dataset with the coverage or consistency of MBS or PHI claims data. </w:t>
      </w:r>
      <w:r w:rsidRPr="008D1918" w:rsidR="003C3D65">
        <w:rPr>
          <w:lang w:val="en-AU"/>
        </w:rPr>
        <w:br w:type="page"/>
      </w:r>
    </w:p>
    <w:p w:rsidRPr="008D1918" w:rsidR="005B7508" w:rsidP="005B7508" w:rsidRDefault="005B7508" w14:paraId="58CF2824" w14:textId="0BBA4819">
      <w:pPr>
        <w:pStyle w:val="Heading2"/>
        <w:ind w:left="720" w:hanging="720"/>
        <w:rPr>
          <w:lang w:val="en-AU"/>
        </w:rPr>
      </w:pPr>
      <w:bookmarkStart w:name="_Toc223428553" w:id="2349"/>
      <w:bookmarkStart w:name="_Toc223446022" w:id="2350"/>
      <w:bookmarkStart w:name="_Toc223539789" w:id="2351"/>
      <w:bookmarkStart w:name="_Toc223540002" w:id="2352"/>
      <w:bookmarkStart w:name="_Toc223540470" w:id="2353"/>
      <w:bookmarkStart w:name="_Toc223540686" w:id="2354"/>
      <w:bookmarkStart w:name="_Toc223542234" w:id="2355"/>
      <w:bookmarkStart w:name="_Toc223604416" w:id="2356"/>
      <w:bookmarkStart w:name="_Toc223604627" w:id="2357"/>
      <w:bookmarkStart w:name="_Toc223604873" w:id="2358"/>
      <w:bookmarkStart w:name="_Toc223618713" w:id="2359"/>
      <w:bookmarkStart w:name="_Toc223702942" w:id="2360"/>
      <w:bookmarkStart w:name="_Toc224036354" w:id="2361"/>
      <w:bookmarkStart w:name="_Toc227337202" w:id="2362"/>
      <w:r w:rsidRPr="008D1918">
        <w:rPr>
          <w:lang w:val="en-AU"/>
        </w:rPr>
        <w:t>National Disability Insurance Agency</w:t>
      </w:r>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p>
    <w:p w:rsidRPr="008D1918" w:rsidR="005B7508" w:rsidP="005B7508" w:rsidRDefault="005B7508" w14:paraId="1E43D5AE" w14:textId="1EA60A7B">
      <w:pPr>
        <w:autoSpaceDE w:val="0"/>
        <w:autoSpaceDN w:val="0"/>
        <w:adjustRightInd w:val="0"/>
        <w:spacing w:before="116" w:line="338" w:lineRule="auto"/>
        <w:ind w:right="4"/>
        <w:rPr>
          <w:rStyle w:val="Hyperlink"/>
          <w:spacing w:val="-5"/>
          <w:kern w:val="1"/>
          <w:szCs w:val="22"/>
          <w:lang w:val="en-AU"/>
        </w:rPr>
      </w:pPr>
      <w:r w:rsidRPr="008D1918">
        <w:rPr>
          <w:kern w:val="1"/>
          <w:szCs w:val="22"/>
          <w:lang w:val="en-AU"/>
        </w:rPr>
        <w:fldChar w:fldCharType="begin"/>
      </w:r>
      <w:r w:rsidRPr="008D1918">
        <w:rPr>
          <w:kern w:val="1"/>
          <w:szCs w:val="22"/>
          <w:lang w:val="en-AU"/>
        </w:rPr>
        <w:instrText xml:space="preserve"> HYPERLINK "http://ndis.gov.au/" </w:instrText>
      </w:r>
      <w:r w:rsidRPr="008D1918">
        <w:rPr>
          <w:kern w:val="1"/>
          <w:szCs w:val="22"/>
          <w:lang w:val="en-AU"/>
        </w:rPr>
      </w:r>
      <w:r w:rsidRPr="008D1918">
        <w:rPr>
          <w:kern w:val="1"/>
          <w:szCs w:val="22"/>
          <w:lang w:val="en-AU"/>
        </w:rPr>
        <w:fldChar w:fldCharType="separate"/>
      </w:r>
      <w:r w:rsidRPr="008D1918">
        <w:rPr>
          <w:rStyle w:val="Hyperlink"/>
          <w:kern w:val="1"/>
          <w:szCs w:val="22"/>
          <w:lang w:val="en-AU"/>
        </w:rPr>
        <w:t>ndis.gov.au</w:t>
      </w:r>
    </w:p>
    <w:p w:rsidRPr="008D1918" w:rsidR="005B7508" w:rsidP="005B7508" w:rsidRDefault="005B7508" w14:paraId="2B693D91" w14:textId="77777777">
      <w:pPr>
        <w:autoSpaceDE w:val="0"/>
        <w:autoSpaceDN w:val="0"/>
        <w:adjustRightInd w:val="0"/>
        <w:spacing w:before="110"/>
        <w:ind w:right="4"/>
        <w:rPr>
          <w:kern w:val="1"/>
          <w:szCs w:val="22"/>
          <w:lang w:val="en-AU"/>
        </w:rPr>
      </w:pPr>
      <w:r w:rsidRPr="008D1918">
        <w:rPr>
          <w:kern w:val="1"/>
          <w:szCs w:val="22"/>
          <w:lang w:val="en-AU"/>
        </w:rPr>
        <w:fldChar w:fldCharType="end"/>
      </w:r>
      <w:r w:rsidRPr="008D1918">
        <w:rPr>
          <w:kern w:val="1"/>
          <w:szCs w:val="22"/>
          <w:lang w:val="en-AU"/>
        </w:rPr>
        <w:t>Telephone 1800 800 110</w:t>
      </w:r>
    </w:p>
    <w:p w:rsidRPr="008D1918" w:rsidR="005B7508" w:rsidP="005B7508" w:rsidRDefault="005B7508" w14:paraId="7F6BB6D8" w14:textId="32F70A7F">
      <w:pPr>
        <w:autoSpaceDE w:val="0"/>
        <w:autoSpaceDN w:val="0"/>
        <w:adjustRightInd w:val="0"/>
        <w:spacing w:before="110"/>
        <w:ind w:right="4"/>
        <w:rPr>
          <w:kern w:val="1"/>
          <w:szCs w:val="22"/>
          <w:lang w:val="en-AU"/>
        </w:rPr>
      </w:pPr>
      <w:r w:rsidRPr="008D1918">
        <w:rPr>
          <w:kern w:val="1"/>
          <w:szCs w:val="22"/>
          <w:lang w:val="en-AU"/>
        </w:rPr>
        <w:t xml:space="preserve">Webchat </w:t>
      </w:r>
      <w:hyperlink w:history="1" r:id="rId92">
        <w:r w:rsidRPr="008D1918">
          <w:rPr>
            <w:rStyle w:val="Hyperlink"/>
            <w:kern w:val="1"/>
            <w:szCs w:val="22"/>
            <w:lang w:val="en-AU"/>
          </w:rPr>
          <w:t>ndis.gov.au</w:t>
        </w:r>
      </w:hyperlink>
    </w:p>
    <w:p w:rsidRPr="008D1918" w:rsidR="005B7508" w:rsidP="005B7508" w:rsidRDefault="005B7508" w14:paraId="62526E22" w14:textId="77777777">
      <w:pPr>
        <w:autoSpaceDE w:val="0"/>
        <w:autoSpaceDN w:val="0"/>
        <w:adjustRightInd w:val="0"/>
        <w:spacing w:before="116"/>
        <w:ind w:right="4"/>
        <w:rPr>
          <w:spacing w:val="-5"/>
          <w:kern w:val="1"/>
          <w:szCs w:val="22"/>
          <w:lang w:val="en-AU"/>
        </w:rPr>
      </w:pPr>
      <w:r w:rsidRPr="008D1918">
        <w:rPr>
          <w:spacing w:val="-5"/>
          <w:kern w:val="1"/>
          <w:szCs w:val="22"/>
          <w:lang w:val="en-AU"/>
        </w:rPr>
        <w:t>Follow us on our social channels</w:t>
      </w:r>
    </w:p>
    <w:p w:rsidRPr="008D1918" w:rsidR="005B7508" w:rsidP="005B7508" w:rsidRDefault="005B7508" w14:paraId="0F57FD53" w14:textId="43266F09">
      <w:pPr>
        <w:autoSpaceDE w:val="0"/>
        <w:autoSpaceDN w:val="0"/>
        <w:adjustRightInd w:val="0"/>
        <w:spacing w:before="116"/>
        <w:ind w:right="4"/>
        <w:rPr>
          <w:spacing w:val="-5"/>
          <w:kern w:val="1"/>
          <w:szCs w:val="22"/>
          <w:lang w:val="en-AU"/>
        </w:rPr>
      </w:pPr>
      <w:hyperlink w:history="1" r:id="rId93">
        <w:r w:rsidRPr="008D1918">
          <w:rPr>
            <w:rStyle w:val="Hyperlink"/>
            <w:spacing w:val="-5"/>
            <w:kern w:val="1"/>
            <w:szCs w:val="22"/>
            <w:lang w:val="en-AU"/>
          </w:rPr>
          <w:t>Facebook</w:t>
        </w:r>
      </w:hyperlink>
      <w:r w:rsidRPr="008D1918">
        <w:rPr>
          <w:spacing w:val="-5"/>
          <w:kern w:val="1"/>
          <w:szCs w:val="22"/>
          <w:lang w:val="en-AU"/>
        </w:rPr>
        <w:t xml:space="preserve">, </w:t>
      </w:r>
      <w:hyperlink w:history="1" r:id="rId94">
        <w:r w:rsidRPr="008D1918">
          <w:rPr>
            <w:rStyle w:val="Hyperlink"/>
            <w:spacing w:val="-5"/>
            <w:kern w:val="1"/>
            <w:szCs w:val="22"/>
            <w:lang w:val="en-AU"/>
          </w:rPr>
          <w:t>Twitter</w:t>
        </w:r>
      </w:hyperlink>
      <w:r w:rsidRPr="008D1918">
        <w:rPr>
          <w:spacing w:val="-5"/>
          <w:kern w:val="1"/>
          <w:szCs w:val="22"/>
          <w:lang w:val="en-AU"/>
        </w:rPr>
        <w:t xml:space="preserve">, </w:t>
      </w:r>
      <w:hyperlink w:history="1" r:id="rId95">
        <w:r w:rsidRPr="008D1918">
          <w:rPr>
            <w:rStyle w:val="Hyperlink"/>
            <w:spacing w:val="-5"/>
            <w:kern w:val="1"/>
            <w:szCs w:val="22"/>
            <w:lang w:val="en-AU"/>
          </w:rPr>
          <w:t>Instagram</w:t>
        </w:r>
      </w:hyperlink>
      <w:r w:rsidRPr="008D1918">
        <w:rPr>
          <w:spacing w:val="-5"/>
          <w:kern w:val="1"/>
          <w:szCs w:val="22"/>
          <w:lang w:val="en-AU"/>
        </w:rPr>
        <w:t xml:space="preserve">, </w:t>
      </w:r>
      <w:hyperlink w:history="1" r:id="rId96">
        <w:r w:rsidRPr="008D1918">
          <w:rPr>
            <w:rStyle w:val="Hyperlink"/>
            <w:spacing w:val="-5"/>
            <w:kern w:val="1"/>
            <w:szCs w:val="22"/>
            <w:lang w:val="en-AU"/>
          </w:rPr>
          <w:t>YouTube</w:t>
        </w:r>
      </w:hyperlink>
      <w:r w:rsidRPr="008D1918">
        <w:rPr>
          <w:spacing w:val="-5"/>
          <w:kern w:val="1"/>
          <w:szCs w:val="22"/>
          <w:lang w:val="en-AU"/>
        </w:rPr>
        <w:t xml:space="preserve">, </w:t>
      </w:r>
      <w:hyperlink w:history="1" r:id="rId97">
        <w:r w:rsidRPr="008D1918">
          <w:rPr>
            <w:rStyle w:val="Hyperlink"/>
            <w:spacing w:val="-5"/>
            <w:kern w:val="1"/>
            <w:szCs w:val="22"/>
            <w:lang w:val="en-AU"/>
          </w:rPr>
          <w:t>LinkedIn</w:t>
        </w:r>
      </w:hyperlink>
    </w:p>
    <w:p w:rsidRPr="008D1918" w:rsidR="005B7508" w:rsidP="005B7508" w:rsidRDefault="005B7508" w14:paraId="3D9E0D01" w14:textId="77777777">
      <w:pPr>
        <w:autoSpaceDE w:val="0"/>
        <w:autoSpaceDN w:val="0"/>
        <w:adjustRightInd w:val="0"/>
        <w:spacing w:before="116"/>
        <w:ind w:right="4"/>
        <w:rPr>
          <w:b/>
          <w:bCs/>
          <w:kern w:val="1"/>
          <w:szCs w:val="22"/>
          <w:lang w:val="en-AU"/>
        </w:rPr>
      </w:pPr>
      <w:r w:rsidRPr="008D1918">
        <w:rPr>
          <w:b/>
          <w:bCs/>
          <w:kern w:val="1"/>
          <w:szCs w:val="22"/>
          <w:lang w:val="en-AU"/>
        </w:rPr>
        <w:t>For people who need help with English</w:t>
      </w:r>
    </w:p>
    <w:p w:rsidRPr="008D1918" w:rsidR="005B7508" w:rsidP="005B7508" w:rsidRDefault="005B7508" w14:paraId="7365AD83" w14:textId="77777777">
      <w:pPr>
        <w:autoSpaceDE w:val="0"/>
        <w:autoSpaceDN w:val="0"/>
        <w:adjustRightInd w:val="0"/>
        <w:spacing w:before="54"/>
        <w:ind w:right="4"/>
        <w:rPr>
          <w:kern w:val="1"/>
          <w:szCs w:val="22"/>
          <w:lang w:val="en-AU"/>
        </w:rPr>
      </w:pPr>
      <w:r w:rsidRPr="008D1918">
        <w:rPr>
          <w:b/>
          <w:kern w:val="1"/>
          <w:szCs w:val="22"/>
          <w:lang w:val="en-AU"/>
        </w:rPr>
        <w:t>TIS:</w:t>
      </w:r>
      <w:r w:rsidRPr="008D1918">
        <w:rPr>
          <w:kern w:val="1"/>
          <w:szCs w:val="22"/>
          <w:lang w:val="en-AU"/>
        </w:rPr>
        <w:t xml:space="preserve"> 131 450</w:t>
      </w:r>
    </w:p>
    <w:p w:rsidRPr="008D1918" w:rsidR="005B7508" w:rsidP="005B7508" w:rsidRDefault="005B7508" w14:paraId="1EBE65BD" w14:textId="77777777">
      <w:pPr>
        <w:autoSpaceDE w:val="0"/>
        <w:autoSpaceDN w:val="0"/>
        <w:adjustRightInd w:val="0"/>
        <w:spacing w:before="235"/>
        <w:ind w:right="4"/>
        <w:rPr>
          <w:b/>
          <w:bCs/>
          <w:kern w:val="1"/>
          <w:szCs w:val="22"/>
          <w:lang w:val="en-AU"/>
        </w:rPr>
      </w:pPr>
      <w:r w:rsidRPr="008D1918">
        <w:rPr>
          <w:b/>
          <w:bCs/>
          <w:kern w:val="1"/>
          <w:szCs w:val="22"/>
          <w:lang w:val="en-AU"/>
        </w:rPr>
        <w:t>For people who are deaf or hard of hearing</w:t>
      </w:r>
    </w:p>
    <w:p w:rsidRPr="008D1918" w:rsidR="005B7508" w:rsidP="005B7508" w:rsidRDefault="005B7508" w14:paraId="0951D3E9" w14:textId="77777777">
      <w:pPr>
        <w:autoSpaceDE w:val="0"/>
        <w:autoSpaceDN w:val="0"/>
        <w:adjustRightInd w:val="0"/>
        <w:spacing w:before="53"/>
        <w:ind w:right="4"/>
        <w:rPr>
          <w:kern w:val="1"/>
          <w:szCs w:val="22"/>
          <w:lang w:val="en-AU"/>
        </w:rPr>
      </w:pPr>
      <w:r w:rsidRPr="008D1918">
        <w:rPr>
          <w:b/>
          <w:kern w:val="1"/>
          <w:szCs w:val="22"/>
          <w:lang w:val="en-AU"/>
        </w:rPr>
        <w:t>TTY:</w:t>
      </w:r>
      <w:r w:rsidRPr="008D1918">
        <w:rPr>
          <w:kern w:val="1"/>
          <w:szCs w:val="22"/>
          <w:lang w:val="en-AU"/>
        </w:rPr>
        <w:t xml:space="preserve"> 1800 555 677</w:t>
      </w:r>
    </w:p>
    <w:p w:rsidRPr="008D1918" w:rsidR="005B7508" w:rsidP="005B7508" w:rsidRDefault="005B7508" w14:paraId="233B59BA" w14:textId="77777777">
      <w:pPr>
        <w:autoSpaceDE w:val="0"/>
        <w:autoSpaceDN w:val="0"/>
        <w:adjustRightInd w:val="0"/>
        <w:spacing w:before="116"/>
        <w:ind w:right="4"/>
        <w:rPr>
          <w:kern w:val="1"/>
          <w:szCs w:val="22"/>
          <w:lang w:val="en-AU"/>
        </w:rPr>
      </w:pPr>
      <w:r w:rsidRPr="008D1918">
        <w:rPr>
          <w:b/>
          <w:kern w:val="1"/>
          <w:szCs w:val="22"/>
          <w:lang w:val="en-AU"/>
        </w:rPr>
        <w:t>Voice relay:</w:t>
      </w:r>
      <w:r w:rsidRPr="008D1918">
        <w:rPr>
          <w:kern w:val="1"/>
          <w:szCs w:val="22"/>
          <w:lang w:val="en-AU"/>
        </w:rPr>
        <w:t xml:space="preserve"> 1800 555 727</w:t>
      </w:r>
    </w:p>
    <w:p w:rsidRPr="00EC36ED" w:rsidR="00F74162" w:rsidP="005B7508" w:rsidRDefault="005B7508" w14:paraId="36EE045F" w14:textId="73258646">
      <w:pPr>
        <w:autoSpaceDE w:val="0"/>
        <w:autoSpaceDN w:val="0"/>
        <w:adjustRightInd w:val="0"/>
        <w:spacing w:before="116" w:line="338" w:lineRule="auto"/>
        <w:ind w:right="4"/>
        <w:rPr>
          <w:b/>
          <w:bCs/>
          <w:spacing w:val="-5"/>
          <w:kern w:val="1"/>
          <w:szCs w:val="22"/>
          <w:lang w:val="en-AU"/>
        </w:rPr>
      </w:pPr>
      <w:r w:rsidRPr="008D1918">
        <w:rPr>
          <w:b/>
          <w:bCs/>
          <w:spacing w:val="-5"/>
          <w:kern w:val="1"/>
          <w:szCs w:val="22"/>
          <w:lang w:val="en-AU"/>
        </w:rPr>
        <w:t xml:space="preserve">National Relay Service: </w:t>
      </w:r>
      <w:hyperlink w:history="1" r:id="rId98">
        <w:r w:rsidRPr="008D1918">
          <w:rPr>
            <w:rStyle w:val="Hyperlink"/>
            <w:kern w:val="1"/>
            <w:szCs w:val="22"/>
            <w:lang w:val="en-AU"/>
          </w:rPr>
          <w:t>relayservice.gov.au</w:t>
        </w:r>
      </w:hyperlink>
    </w:p>
    <w:sectPr w:rsidRPr="00EC36ED" w:rsidR="00F74162" w:rsidSect="00296C42">
      <w:headerReference w:type="even" r:id="rId99"/>
      <w:footerReference w:type="even" r:id="rId100"/>
      <w:footerReference w:type="default" r:id="rId101"/>
      <w:headerReference w:type="first" r:id="rId102"/>
      <w:footerReference w:type="first" r:id="rId103"/>
      <w:pgSz w:w="11906" w:h="16838" w:orient="portrait" w:code="9"/>
      <w:pgMar w:top="1300" w:right="1440" w:bottom="1440" w:left="1440" w:header="51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7C6" w:rsidP="00863C7F" w:rsidRDefault="007E67C6" w14:paraId="33CC5C9C" w14:textId="77777777">
      <w:r>
        <w:separator/>
      </w:r>
    </w:p>
    <w:p w:rsidR="007E67C6" w:rsidP="00863C7F" w:rsidRDefault="007E67C6" w14:paraId="42099FEB" w14:textId="77777777"/>
    <w:p w:rsidR="007E67C6" w:rsidP="00863C7F" w:rsidRDefault="007E67C6" w14:paraId="0648CCA5" w14:textId="77777777"/>
    <w:p w:rsidR="007E67C6" w:rsidP="00863C7F" w:rsidRDefault="007E67C6" w14:paraId="31DF9A5A" w14:textId="77777777"/>
    <w:p w:rsidR="007E67C6" w:rsidP="00863C7F" w:rsidRDefault="007E67C6" w14:paraId="6A314250" w14:textId="77777777"/>
    <w:p w:rsidR="007E67C6" w:rsidP="00863C7F" w:rsidRDefault="007E67C6" w14:paraId="7EC9EC2C" w14:textId="77777777"/>
    <w:p w:rsidR="007E67C6" w:rsidP="00863C7F" w:rsidRDefault="007E67C6" w14:paraId="23765084" w14:textId="77777777"/>
    <w:p w:rsidR="007E67C6" w:rsidP="00863C7F" w:rsidRDefault="007E67C6" w14:paraId="0CFBAD99" w14:textId="77777777"/>
    <w:p w:rsidR="007E67C6" w:rsidP="00863C7F" w:rsidRDefault="007E67C6" w14:paraId="2E3F91A9" w14:textId="77777777"/>
    <w:p w:rsidR="007E67C6" w:rsidP="00863C7F" w:rsidRDefault="007E67C6" w14:paraId="57C3DA62" w14:textId="77777777"/>
  </w:endnote>
  <w:endnote w:type="continuationSeparator" w:id="0">
    <w:p w:rsidR="007E67C6" w:rsidP="00863C7F" w:rsidRDefault="007E67C6" w14:paraId="320A05C4" w14:textId="77777777">
      <w:r>
        <w:continuationSeparator/>
      </w:r>
    </w:p>
    <w:p w:rsidR="007E67C6" w:rsidP="00863C7F" w:rsidRDefault="007E67C6" w14:paraId="458BFF2D" w14:textId="77777777"/>
    <w:p w:rsidR="007E67C6" w:rsidP="00863C7F" w:rsidRDefault="007E67C6" w14:paraId="26C94C6C" w14:textId="77777777"/>
    <w:p w:rsidR="007E67C6" w:rsidP="00863C7F" w:rsidRDefault="007E67C6" w14:paraId="1385945E" w14:textId="77777777"/>
    <w:p w:rsidR="007E67C6" w:rsidP="00863C7F" w:rsidRDefault="007E67C6" w14:paraId="0699986B" w14:textId="77777777"/>
    <w:p w:rsidR="007E67C6" w:rsidP="00863C7F" w:rsidRDefault="007E67C6" w14:paraId="4D78F22C" w14:textId="77777777"/>
    <w:p w:rsidR="007E67C6" w:rsidP="00863C7F" w:rsidRDefault="007E67C6" w14:paraId="33EF6FC1" w14:textId="77777777"/>
    <w:p w:rsidR="007E67C6" w:rsidP="00863C7F" w:rsidRDefault="007E67C6" w14:paraId="039F1CED" w14:textId="77777777"/>
    <w:p w:rsidR="007E67C6" w:rsidP="00863C7F" w:rsidRDefault="007E67C6" w14:paraId="0A257376" w14:textId="77777777"/>
    <w:p w:rsidR="007E67C6" w:rsidP="00863C7F" w:rsidRDefault="007E67C6" w14:paraId="59CB34A8" w14:textId="77777777"/>
  </w:endnote>
  <w:endnote w:type="continuationNotice" w:id="1">
    <w:p w:rsidR="007E67C6" w:rsidRDefault="007E67C6" w14:paraId="700E707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FSMePro">
    <w:altName w:val="Calibri"/>
    <w:panose1 w:val="02000506040000020004"/>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B76" w:rsidP="00863C7F" w:rsidRDefault="008D4B76" w14:paraId="44BEF161" w14:textId="77777777">
    <w:pPr>
      <w:pStyle w:val="Footer"/>
    </w:pPr>
  </w:p>
  <w:p w:rsidR="00AA6762" w:rsidP="00863C7F" w:rsidRDefault="00AA6762" w14:paraId="6C3EF086" w14:textId="77777777"/>
  <w:p w:rsidR="00AA6762" w:rsidP="00863C7F" w:rsidRDefault="00AA6762" w14:paraId="459E4029" w14:textId="77777777"/>
  <w:p w:rsidR="00A71751" w:rsidP="00863C7F" w:rsidRDefault="00A71751" w14:paraId="63104BEB" w14:textId="77777777"/>
  <w:p w:rsidR="00A71751" w:rsidP="00863C7F" w:rsidRDefault="00A71751" w14:paraId="033D6D36" w14:textId="77777777"/>
  <w:p w:rsidR="00A71751" w:rsidP="00863C7F" w:rsidRDefault="00A71751" w14:paraId="6693673D" w14:textId="77777777"/>
  <w:p w:rsidR="00A71751" w:rsidP="00863C7F" w:rsidRDefault="00A71751" w14:paraId="3FEC78F6"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51" w:rsidP="00863C7F" w:rsidRDefault="00323BB7" w14:paraId="2B0090E2" w14:textId="57D83475">
    <w:pPr>
      <w:pStyle w:val="Footer"/>
    </w:pPr>
    <w:r w:rsidRPr="00FA334F">
      <w:rPr>
        <w:b/>
        <w:bCs/>
      </w:rPr>
      <w:t>ndis.gov.au</w:t>
    </w:r>
    <w:r w:rsidR="0023603F">
      <w:tab/>
    </w:r>
    <w:r w:rsidR="00A40336">
      <w:t>June</w:t>
    </w:r>
    <w:r w:rsidRPr="00FA334F" w:rsidR="00A40336">
      <w:t xml:space="preserve"> </w:t>
    </w:r>
    <w:r w:rsidRPr="00FA334F" w:rsidR="00A21351">
      <w:t>20</w:t>
    </w:r>
    <w:r w:rsidR="00C61541">
      <w:t>26</w:t>
    </w:r>
    <w:r w:rsidRPr="00FA334F" w:rsidR="004D32B5">
      <w:t xml:space="preserve"> | </w:t>
    </w:r>
    <w:r w:rsidR="00C61541">
      <w:t>Annual Pricing Review</w:t>
    </w:r>
    <w:r w:rsidR="0023603F">
      <w:tab/>
    </w:r>
    <w:r w:rsidRPr="00FA334F" w:rsidR="004D32B5">
      <w:fldChar w:fldCharType="begin"/>
    </w:r>
    <w:r w:rsidRPr="00FA334F" w:rsidR="004D32B5">
      <w:instrText xml:space="preserve"> PAGE   \* MERGEFORMAT </w:instrText>
    </w:r>
    <w:r w:rsidRPr="00FA334F" w:rsidR="004D32B5">
      <w:fldChar w:fldCharType="separate"/>
    </w:r>
    <w:r w:rsidR="00D35FF8">
      <w:rPr>
        <w:noProof/>
      </w:rPr>
      <w:t>2</w:t>
    </w:r>
    <w:r w:rsidRPr="00FA334F" w:rsidR="004D32B5">
      <w:fldChar w:fldCharType="end"/>
    </w:r>
  </w:p>
  <w:p w:rsidR="00830A50" w:rsidP="00830A50" w:rsidRDefault="00830A50" w14:paraId="4FC3004C" w14:textId="77777777">
    <w:pPr>
      <w:pStyle w:val="Head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11AB2" w:rsidR="00C27827" w:rsidP="00863C7F" w:rsidRDefault="00A11AB2" w14:paraId="2CCEA2AA" w14:textId="77777777">
    <w:pPr>
      <w:rPr>
        <w:b/>
        <w:bCs/>
        <w:color w:val="F9F9F9" w:themeColor="background1"/>
        <w:sz w:val="26"/>
        <w:szCs w:val="26"/>
      </w:rPr>
    </w:pPr>
    <w:r w:rsidRPr="008E2B0B">
      <w:rPr>
        <w:b/>
        <w:bCs/>
        <w:color w:val="F9F9F9" w:themeColor="background1"/>
        <w:sz w:val="26"/>
        <w:szCs w:val="26"/>
      </w:rPr>
      <w:t>ndis.gov.au</w:t>
    </w:r>
  </w:p>
  <w:p w:rsidRPr="00C4194A" w:rsidR="00C27827" w:rsidP="00C4194A" w:rsidRDefault="00C27827" w14:paraId="0E430F08" w14:textId="711B30D1">
    <w:pPr>
      <w:jc w:val="center"/>
      <w:rPr>
        <w:b/>
        <w:bCs/>
        <w:color w:val="F9F9F9" w:themeColor="background1"/>
      </w:rPr>
    </w:pPr>
    <w:r w:rsidRPr="00C4194A">
      <w:rPr>
        <w:b/>
        <w:bCs/>
        <w:color w:val="F9F9F9" w:themeColor="background1"/>
      </w:rPr>
      <w:t>OFFICIAL: SENSITIVE</w:t>
    </w:r>
  </w:p>
  <w:p w:rsidRPr="007219F1" w:rsidR="007219F1" w:rsidP="00863C7F" w:rsidRDefault="007219F1" w14:paraId="3DA44D05"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7C6" w:rsidP="00863C7F" w:rsidRDefault="007E67C6" w14:paraId="709F43ED" w14:textId="77777777">
      <w:r>
        <w:separator/>
      </w:r>
    </w:p>
  </w:footnote>
  <w:footnote w:type="continuationSeparator" w:id="0">
    <w:p w:rsidR="007E67C6" w:rsidP="00863C7F" w:rsidRDefault="007E67C6" w14:paraId="2A43B3CB" w14:textId="77777777">
      <w:r>
        <w:continuationSeparator/>
      </w:r>
    </w:p>
    <w:p w:rsidR="007E67C6" w:rsidP="00863C7F" w:rsidRDefault="007E67C6" w14:paraId="025535BC" w14:textId="77777777"/>
    <w:p w:rsidR="007E67C6" w:rsidP="00863C7F" w:rsidRDefault="007E67C6" w14:paraId="19FB2F9C" w14:textId="77777777"/>
    <w:p w:rsidR="007E67C6" w:rsidP="00863C7F" w:rsidRDefault="007E67C6" w14:paraId="545E43FF" w14:textId="77777777"/>
    <w:p w:rsidR="007E67C6" w:rsidP="00863C7F" w:rsidRDefault="007E67C6" w14:paraId="3F6373B0" w14:textId="77777777"/>
    <w:p w:rsidR="007E67C6" w:rsidP="00863C7F" w:rsidRDefault="007E67C6" w14:paraId="655A0FE9" w14:textId="77777777"/>
    <w:p w:rsidR="007E67C6" w:rsidP="00863C7F" w:rsidRDefault="007E67C6" w14:paraId="4B2149D7" w14:textId="77777777"/>
    <w:p w:rsidR="007E67C6" w:rsidP="00863C7F" w:rsidRDefault="007E67C6" w14:paraId="571AA208" w14:textId="77777777"/>
    <w:p w:rsidR="007E67C6" w:rsidP="00863C7F" w:rsidRDefault="007E67C6" w14:paraId="33C70072" w14:textId="77777777"/>
    <w:p w:rsidR="007E67C6" w:rsidP="00863C7F" w:rsidRDefault="007E67C6" w14:paraId="7468F2B2" w14:textId="77777777"/>
  </w:footnote>
  <w:footnote w:type="continuationNotice" w:id="1">
    <w:p w:rsidR="007E67C6" w:rsidRDefault="007E67C6" w14:paraId="4C016AE1" w14:textId="77777777">
      <w:pPr>
        <w:spacing w:after="0" w:line="240" w:lineRule="auto"/>
      </w:pPr>
    </w:p>
  </w:footnote>
  <w:footnote w:id="2">
    <w:p w:rsidR="009A64B2" w:rsidRDefault="009A64B2" w14:paraId="0DC8245C" w14:textId="2C674D22">
      <w:pPr>
        <w:pStyle w:val="FootnoteText"/>
      </w:pPr>
      <w:r>
        <w:rPr>
          <w:rStyle w:val="FootnoteReference"/>
        </w:rPr>
        <w:footnoteRef/>
      </w:r>
      <w:r w:rsidR="00B013C6">
        <w:t xml:space="preserve"> </w:t>
      </w:r>
      <w:r w:rsidRPr="008034CE">
        <w:t>Australian Bureau of Statistics (202</w:t>
      </w:r>
      <w:r w:rsidR="00D969AE">
        <w:t>6</w:t>
      </w:r>
      <w:r w:rsidRPr="008034CE">
        <w:t xml:space="preserve">). </w:t>
      </w:r>
      <w:r w:rsidRPr="008034CE">
        <w:rPr>
          <w:i/>
          <w:iCs/>
        </w:rPr>
        <w:t xml:space="preserve">Australian National Accounts: National Income, Expenditure and Product, </w:t>
      </w:r>
      <w:r w:rsidR="00D969AE">
        <w:rPr>
          <w:i/>
          <w:iCs/>
        </w:rPr>
        <w:t>December</w:t>
      </w:r>
      <w:r w:rsidRPr="008034CE">
        <w:rPr>
          <w:i/>
          <w:iCs/>
        </w:rPr>
        <w:t xml:space="preserve"> 202</w:t>
      </w:r>
      <w:r>
        <w:rPr>
          <w:i/>
          <w:iCs/>
        </w:rPr>
        <w:t>5</w:t>
      </w:r>
      <w:r w:rsidRPr="008034CE">
        <w:t>.</w:t>
      </w:r>
      <w:r>
        <w:t xml:space="preserve"> </w:t>
      </w:r>
      <w:hyperlink w:history="1" r:id="rId1">
        <w:r w:rsidRPr="00D969AE" w:rsidR="00D969AE">
          <w:rPr>
            <w:rStyle w:val="Hyperlink"/>
          </w:rPr>
          <w:t>https://www.abs.gov.au/statistics/economy/national-accounts/australian-national-accounts-national-income-expenditure-and-product/dec-2025</w:t>
        </w:r>
      </w:hyperlink>
      <w:r w:rsidR="005D6294">
        <w:t xml:space="preserve"> </w:t>
      </w:r>
    </w:p>
  </w:footnote>
  <w:footnote w:id="3">
    <w:p w:rsidR="009A64B2" w:rsidRDefault="009A64B2" w14:paraId="52278968" w14:textId="5260091D">
      <w:pPr>
        <w:pStyle w:val="FootnoteText"/>
      </w:pPr>
      <w:r>
        <w:rPr>
          <w:rStyle w:val="FootnoteReference"/>
        </w:rPr>
        <w:footnoteRef/>
      </w:r>
      <w:r w:rsidR="00B013C6">
        <w:t xml:space="preserve"> </w:t>
      </w:r>
      <w:r w:rsidRPr="008034CE">
        <w:t>ibid</w:t>
      </w:r>
    </w:p>
  </w:footnote>
  <w:footnote w:id="4">
    <w:p w:rsidR="009A64B2" w:rsidRDefault="009A64B2" w14:paraId="51CF3D29" w14:textId="7679049F">
      <w:pPr>
        <w:pStyle w:val="FootnoteText"/>
      </w:pPr>
      <w:r>
        <w:rPr>
          <w:rStyle w:val="FootnoteReference"/>
        </w:rPr>
        <w:footnoteRef/>
      </w:r>
      <w:r w:rsidR="00B013C6">
        <w:t xml:space="preserve"> </w:t>
      </w:r>
      <w:r w:rsidRPr="008034CE">
        <w:t>Reserve Bank of Australia (202</w:t>
      </w:r>
      <w:r>
        <w:t>6</w:t>
      </w:r>
      <w:r w:rsidRPr="008034CE">
        <w:t xml:space="preserve">). </w:t>
      </w:r>
      <w:r w:rsidRPr="008034CE">
        <w:rPr>
          <w:i/>
          <w:iCs/>
        </w:rPr>
        <w:t xml:space="preserve">Statement on Monetary Policy – </w:t>
      </w:r>
      <w:r>
        <w:rPr>
          <w:i/>
          <w:iCs/>
        </w:rPr>
        <w:t>February</w:t>
      </w:r>
      <w:r w:rsidRPr="008034CE">
        <w:rPr>
          <w:i/>
          <w:iCs/>
        </w:rPr>
        <w:t xml:space="preserve"> 202</w:t>
      </w:r>
      <w:r>
        <w:rPr>
          <w:i/>
          <w:iCs/>
        </w:rPr>
        <w:t>6</w:t>
      </w:r>
      <w:r w:rsidRPr="008034CE">
        <w:t xml:space="preserve">. </w:t>
      </w:r>
      <w:hyperlink w:history="1" r:id="rId2">
        <w:r w:rsidRPr="00C4502E">
          <w:rPr>
            <w:rStyle w:val="Hyperlink"/>
          </w:rPr>
          <w:t>https://www.rba.gov.au/publications/smp/2026/feb/</w:t>
        </w:r>
      </w:hyperlink>
    </w:p>
  </w:footnote>
  <w:footnote w:id="5">
    <w:p w:rsidR="004A64E8" w:rsidRDefault="004A64E8" w14:paraId="256223AC" w14:textId="75046F84">
      <w:pPr>
        <w:pStyle w:val="FootnoteText"/>
      </w:pPr>
      <w:r>
        <w:rPr>
          <w:rStyle w:val="FootnoteReference"/>
        </w:rPr>
        <w:footnoteRef/>
      </w:r>
      <w:r>
        <w:t xml:space="preserve"> </w:t>
      </w:r>
      <w:r w:rsidRPr="00AB23B1">
        <w:t>Reserve Bank of Australia (2026).</w:t>
      </w:r>
      <w:r>
        <w:t xml:space="preserve"> </w:t>
      </w:r>
      <w:r w:rsidRPr="00345372">
        <w:rPr>
          <w:i/>
          <w:iCs/>
        </w:rPr>
        <w:t xml:space="preserve">Statement by the Monetary Policy Board: Monetary Policy Decision </w:t>
      </w:r>
      <w:r w:rsidRPr="004E4E16">
        <w:rPr>
          <w:i/>
          <w:iCs/>
        </w:rPr>
        <w:t xml:space="preserve">– </w:t>
      </w:r>
      <w:r w:rsidRPr="00345372">
        <w:rPr>
          <w:i/>
          <w:iCs/>
        </w:rPr>
        <w:t>17 March 2026</w:t>
      </w:r>
      <w:r>
        <w:t xml:space="preserve">. </w:t>
      </w:r>
      <w:hyperlink w:history="1" r:id="rId3">
        <w:r w:rsidRPr="00A23C27">
          <w:rPr>
            <w:rStyle w:val="Hyperlink"/>
          </w:rPr>
          <w:t>https://www.rba.gov.au/media-releases/2026/mr-26-08.html</w:t>
        </w:r>
      </w:hyperlink>
    </w:p>
  </w:footnote>
  <w:footnote w:id="6">
    <w:p w:rsidR="009A64B2" w:rsidRDefault="009A64B2" w14:paraId="166A3AB1" w14:textId="60B2A4F4">
      <w:pPr>
        <w:pStyle w:val="FootnoteText"/>
      </w:pPr>
      <w:r>
        <w:rPr>
          <w:rStyle w:val="FootnoteReference"/>
        </w:rPr>
        <w:footnoteRef/>
      </w:r>
      <w:r w:rsidR="00B013C6">
        <w:t xml:space="preserve"> </w:t>
      </w:r>
      <w:r w:rsidRPr="008034CE" w:rsidR="009566D9">
        <w:t>ibid</w:t>
      </w:r>
    </w:p>
  </w:footnote>
  <w:footnote w:id="7">
    <w:p w:rsidR="009A64B2" w:rsidRDefault="009A64B2" w14:paraId="07AA2593" w14:textId="323A7AFE">
      <w:pPr>
        <w:pStyle w:val="FootnoteText"/>
      </w:pPr>
      <w:r>
        <w:rPr>
          <w:rStyle w:val="FootnoteReference"/>
        </w:rPr>
        <w:footnoteRef/>
      </w:r>
      <w:r w:rsidR="00B013C6">
        <w:t xml:space="preserve"> </w:t>
      </w:r>
      <w:r w:rsidR="00394251">
        <w:t xml:space="preserve">Australian Bureau of Statistics (2026). </w:t>
      </w:r>
      <w:r w:rsidRPr="005472BC" w:rsidR="00394251">
        <w:rPr>
          <w:i/>
          <w:iCs/>
        </w:rPr>
        <w:t xml:space="preserve">Consumer Price Index, Australia, </w:t>
      </w:r>
      <w:r w:rsidR="00394251">
        <w:rPr>
          <w:i/>
          <w:iCs/>
        </w:rPr>
        <w:t>January</w:t>
      </w:r>
      <w:r w:rsidRPr="005472BC" w:rsidR="00394251">
        <w:rPr>
          <w:i/>
          <w:iCs/>
        </w:rPr>
        <w:t xml:space="preserve"> 202</w:t>
      </w:r>
      <w:r w:rsidR="00394251">
        <w:rPr>
          <w:i/>
          <w:iCs/>
        </w:rPr>
        <w:t xml:space="preserve">6. </w:t>
      </w:r>
      <w:hyperlink w:history="1" r:id="rId4">
        <w:r w:rsidRPr="00A1012E" w:rsidR="00394251">
          <w:rPr>
            <w:rStyle w:val="Hyperlink"/>
          </w:rPr>
          <w:t>https://www.abs.gov.au/statistics/economy/price-indexes-and-inflation/consumer-</w:t>
        </w:r>
        <w:bookmarkStart w:name="_Hlt227153533" w:id="420"/>
        <w:bookmarkStart w:name="_Hlt227153534" w:id="421"/>
        <w:r w:rsidRPr="00A1012E" w:rsidR="00394251">
          <w:rPr>
            <w:rStyle w:val="Hyperlink"/>
          </w:rPr>
          <w:t>p</w:t>
        </w:r>
        <w:bookmarkEnd w:id="420"/>
        <w:bookmarkEnd w:id="421"/>
        <w:r w:rsidRPr="00A1012E" w:rsidR="00394251">
          <w:rPr>
            <w:rStyle w:val="Hyperlink"/>
          </w:rPr>
          <w:t>rice-index-australia/jan-2026</w:t>
        </w:r>
      </w:hyperlink>
    </w:p>
  </w:footnote>
  <w:footnote w:id="8">
    <w:p w:rsidR="00092313" w:rsidRDefault="00092313" w14:paraId="2E656CA1" w14:textId="32E58395">
      <w:pPr>
        <w:pStyle w:val="FootnoteText"/>
      </w:pPr>
      <w:r>
        <w:rPr>
          <w:rStyle w:val="FootnoteReference"/>
        </w:rPr>
        <w:footnoteRef/>
      </w:r>
      <w:r>
        <w:t xml:space="preserve"> </w:t>
      </w:r>
      <w:r w:rsidRPr="008034CE" w:rsidR="008400F1">
        <w:t>ibid</w:t>
      </w:r>
    </w:p>
  </w:footnote>
  <w:footnote w:id="9">
    <w:p w:rsidRPr="008034CE" w:rsidR="009A64B2" w:rsidRDefault="009A64B2" w14:paraId="25703B8A" w14:textId="4F5D9DEE">
      <w:pPr>
        <w:pStyle w:val="FootnoteText"/>
      </w:pPr>
      <w:r w:rsidRPr="008034CE">
        <w:rPr>
          <w:rStyle w:val="FootnoteReference"/>
        </w:rPr>
        <w:footnoteRef/>
      </w:r>
      <w:r w:rsidR="00FD5B95">
        <w:t xml:space="preserve"> </w:t>
      </w:r>
      <w:r w:rsidRPr="008034CE">
        <w:t>Reserve Bank of Australia (202</w:t>
      </w:r>
      <w:r>
        <w:t>6</w:t>
      </w:r>
      <w:r w:rsidRPr="008034CE">
        <w:t xml:space="preserve">). </w:t>
      </w:r>
      <w:r w:rsidRPr="008034CE">
        <w:rPr>
          <w:i/>
          <w:iCs/>
        </w:rPr>
        <w:t xml:space="preserve">Statement on Monetary Policy – </w:t>
      </w:r>
      <w:r>
        <w:rPr>
          <w:i/>
          <w:iCs/>
        </w:rPr>
        <w:t>February</w:t>
      </w:r>
      <w:r w:rsidRPr="008034CE">
        <w:rPr>
          <w:i/>
          <w:iCs/>
        </w:rPr>
        <w:t xml:space="preserve"> 202</w:t>
      </w:r>
      <w:r>
        <w:rPr>
          <w:i/>
          <w:iCs/>
        </w:rPr>
        <w:t>6</w:t>
      </w:r>
      <w:r w:rsidRPr="008034CE">
        <w:t xml:space="preserve">. </w:t>
      </w:r>
      <w:r w:rsidRPr="00A27DFC">
        <w:t xml:space="preserve"> </w:t>
      </w:r>
      <w:hyperlink w:history="1" r:id="rId5">
        <w:r w:rsidRPr="002372A0">
          <w:rPr>
            <w:rStyle w:val="Hyperlink"/>
          </w:rPr>
          <w:t>https://www.rba.gov.au/publications/smp/2026</w:t>
        </w:r>
        <w:bookmarkStart w:name="_Hlt227153535" w:id="422"/>
        <w:bookmarkStart w:name="_Hlt227153536" w:id="423"/>
        <w:r w:rsidRPr="002372A0">
          <w:rPr>
            <w:rStyle w:val="Hyperlink"/>
          </w:rPr>
          <w:t>/</w:t>
        </w:r>
        <w:bookmarkEnd w:id="422"/>
        <w:bookmarkEnd w:id="423"/>
        <w:r w:rsidRPr="002372A0">
          <w:rPr>
            <w:rStyle w:val="Hyperlink"/>
          </w:rPr>
          <w:t>feb/</w:t>
        </w:r>
      </w:hyperlink>
    </w:p>
  </w:footnote>
  <w:footnote w:id="10">
    <w:p w:rsidRPr="00EA49DF" w:rsidR="00971EBD" w:rsidRDefault="00971EBD" w14:paraId="425A3086" w14:textId="49FD9D9F">
      <w:pPr>
        <w:pStyle w:val="FootnoteText"/>
      </w:pPr>
      <w:r>
        <w:rPr>
          <w:rStyle w:val="FootnoteReference"/>
        </w:rPr>
        <w:footnoteRef/>
      </w:r>
      <w:r>
        <w:t xml:space="preserve"> </w:t>
      </w:r>
      <w:r w:rsidRPr="00971EBD">
        <w:t>Reserve Bank of Australia (2026).</w:t>
      </w:r>
      <w:r w:rsidR="00C342AF">
        <w:t xml:space="preserve"> </w:t>
      </w:r>
      <w:r w:rsidRPr="00747707" w:rsidR="00C342AF">
        <w:rPr>
          <w:i/>
        </w:rPr>
        <w:t>Minutes of the Monetary Policy Board Meeting –</w:t>
      </w:r>
      <w:r w:rsidRPr="00747707" w:rsidR="00EA49DF">
        <w:rPr>
          <w:i/>
        </w:rPr>
        <w:t xml:space="preserve"> 16 and 17 March 2026</w:t>
      </w:r>
      <w:r w:rsidR="00EA49DF">
        <w:rPr>
          <w:i/>
          <w:iCs/>
        </w:rPr>
        <w:t>.</w:t>
      </w:r>
      <w:r w:rsidR="00EA49DF">
        <w:t xml:space="preserve"> </w:t>
      </w:r>
      <w:hyperlink w:history="1" r:id="rId6">
        <w:r w:rsidRPr="00AD7313" w:rsidR="00B31FD2">
          <w:rPr>
            <w:rStyle w:val="Hyperlink"/>
          </w:rPr>
          <w:t>https://www.rba.gov.au/monetary-policy/rba-board-minutes/2026/2026-03-17.h</w:t>
        </w:r>
        <w:bookmarkStart w:name="_Hlt227153537" w:id="424"/>
        <w:bookmarkStart w:name="_Hlt227153538" w:id="425"/>
        <w:r w:rsidRPr="00AD7313" w:rsidR="00B31FD2">
          <w:rPr>
            <w:rStyle w:val="Hyperlink"/>
          </w:rPr>
          <w:t>t</w:t>
        </w:r>
        <w:bookmarkEnd w:id="424"/>
        <w:bookmarkEnd w:id="425"/>
        <w:r w:rsidRPr="00AD7313" w:rsidR="00B31FD2">
          <w:rPr>
            <w:rStyle w:val="Hyperlink"/>
          </w:rPr>
          <w:t>ml</w:t>
        </w:r>
      </w:hyperlink>
      <w:r w:rsidR="00B31FD2">
        <w:t xml:space="preserve"> </w:t>
      </w:r>
    </w:p>
  </w:footnote>
  <w:footnote w:id="11">
    <w:p w:rsidRPr="00B631F3" w:rsidR="00AB23B1" w:rsidRDefault="00AB23B1" w14:paraId="714236A9" w14:textId="4C6B3AC3">
      <w:pPr>
        <w:pStyle w:val="FootnoteText"/>
      </w:pPr>
      <w:r>
        <w:rPr>
          <w:rStyle w:val="FootnoteReference"/>
        </w:rPr>
        <w:footnoteRef/>
      </w:r>
      <w:r>
        <w:t xml:space="preserve"> </w:t>
      </w:r>
      <w:r w:rsidRPr="00AB23B1">
        <w:t>Reserve Bank of Australia (2026).</w:t>
      </w:r>
      <w:r w:rsidR="00C306DE">
        <w:t xml:space="preserve"> </w:t>
      </w:r>
      <w:r w:rsidRPr="00747707" w:rsidR="006F5A1C">
        <w:rPr>
          <w:i/>
        </w:rPr>
        <w:t>Statement by the Monetary Policy Board: Monetary Policy Decision</w:t>
      </w:r>
      <w:r w:rsidRPr="00747707" w:rsidR="00F4666F">
        <w:rPr>
          <w:i/>
        </w:rPr>
        <w:t xml:space="preserve"> </w:t>
      </w:r>
      <w:r w:rsidRPr="004E4E16" w:rsidR="00F4666F">
        <w:rPr>
          <w:i/>
          <w:iCs/>
        </w:rPr>
        <w:t>–</w:t>
      </w:r>
      <w:r w:rsidRPr="004E4E16" w:rsidR="004E4E16">
        <w:rPr>
          <w:i/>
          <w:iCs/>
        </w:rPr>
        <w:t xml:space="preserve"> </w:t>
      </w:r>
      <w:r w:rsidRPr="00747707" w:rsidR="00F4666F">
        <w:rPr>
          <w:i/>
        </w:rPr>
        <w:t>17 March 2026</w:t>
      </w:r>
      <w:r w:rsidR="00B631F3">
        <w:t xml:space="preserve">. </w:t>
      </w:r>
      <w:hyperlink w:history="1" r:id="rId7">
        <w:r w:rsidRPr="00A23C27" w:rsidR="003E7CFA">
          <w:rPr>
            <w:rStyle w:val="Hyperlink"/>
          </w:rPr>
          <w:t>https://www.rba.gov.au/media-releases/2026/mr-26-08</w:t>
        </w:r>
        <w:bookmarkStart w:name="_Hlt227153540" w:id="426"/>
        <w:bookmarkStart w:name="_Hlt227153541" w:id="427"/>
        <w:r w:rsidRPr="00A23C27" w:rsidR="003E7CFA">
          <w:rPr>
            <w:rStyle w:val="Hyperlink"/>
          </w:rPr>
          <w:t>.</w:t>
        </w:r>
        <w:bookmarkEnd w:id="426"/>
        <w:bookmarkEnd w:id="427"/>
        <w:r w:rsidRPr="00A23C27" w:rsidR="003E7CFA">
          <w:rPr>
            <w:rStyle w:val="Hyperlink"/>
          </w:rPr>
          <w:t>html</w:t>
        </w:r>
      </w:hyperlink>
      <w:r w:rsidR="003E7CFA">
        <w:t xml:space="preserve"> </w:t>
      </w:r>
    </w:p>
  </w:footnote>
  <w:footnote w:id="12">
    <w:p w:rsidR="009A64B2" w:rsidRDefault="009A64B2" w14:paraId="34A790AF" w14:textId="5F21E9CE">
      <w:pPr>
        <w:pStyle w:val="FootnoteText"/>
      </w:pPr>
      <w:r>
        <w:rPr>
          <w:rStyle w:val="FootnoteReference"/>
        </w:rPr>
        <w:footnoteRef/>
      </w:r>
      <w:r w:rsidR="00FD5B95">
        <w:t xml:space="preserve"> </w:t>
      </w:r>
      <w:r>
        <w:t>Australian Bureau of Statistics (202</w:t>
      </w:r>
      <w:r w:rsidR="00372D09">
        <w:t>6</w:t>
      </w:r>
      <w:r>
        <w:t xml:space="preserve">). </w:t>
      </w:r>
      <w:r w:rsidRPr="005472BC">
        <w:rPr>
          <w:i/>
          <w:iCs/>
        </w:rPr>
        <w:t xml:space="preserve">Consumer Price Index, Australia, </w:t>
      </w:r>
      <w:r w:rsidR="00372D09">
        <w:rPr>
          <w:i/>
          <w:iCs/>
        </w:rPr>
        <w:t>January</w:t>
      </w:r>
      <w:r w:rsidRPr="005472BC">
        <w:rPr>
          <w:i/>
          <w:iCs/>
        </w:rPr>
        <w:t xml:space="preserve"> 202</w:t>
      </w:r>
      <w:r w:rsidR="00372D09">
        <w:rPr>
          <w:i/>
          <w:iCs/>
        </w:rPr>
        <w:t>6</w:t>
      </w:r>
      <w:r>
        <w:rPr>
          <w:i/>
          <w:iCs/>
        </w:rPr>
        <w:t xml:space="preserve">. </w:t>
      </w:r>
      <w:hyperlink w:history="1" r:id="rId8">
        <w:r w:rsidRPr="00A1012E" w:rsidR="00A1012E">
          <w:rPr>
            <w:rStyle w:val="Hyperlink"/>
          </w:rPr>
          <w:t>https://www.abs.gov.au/statistics/economy/price-indexes-and-inflation/consumer-pr</w:t>
        </w:r>
        <w:bookmarkStart w:name="_Hlt227153542" w:id="428"/>
        <w:bookmarkStart w:name="_Hlt227153543" w:id="429"/>
        <w:r w:rsidRPr="00A1012E" w:rsidR="00A1012E">
          <w:rPr>
            <w:rStyle w:val="Hyperlink"/>
          </w:rPr>
          <w:t>i</w:t>
        </w:r>
        <w:bookmarkEnd w:id="428"/>
        <w:bookmarkEnd w:id="429"/>
        <w:r w:rsidRPr="00A1012E" w:rsidR="00A1012E">
          <w:rPr>
            <w:rStyle w:val="Hyperlink"/>
          </w:rPr>
          <w:t>ce-index-australia/jan-2026</w:t>
        </w:r>
      </w:hyperlink>
      <w:r w:rsidR="00A1012E">
        <w:t xml:space="preserve"> </w:t>
      </w:r>
    </w:p>
  </w:footnote>
  <w:footnote w:id="13">
    <w:p w:rsidRPr="005472BC" w:rsidR="009A64B2" w:rsidRDefault="009A64B2" w14:paraId="1B665960" w14:textId="4B4113E6">
      <w:pPr>
        <w:pStyle w:val="FootnoteText"/>
        <w:rPr>
          <w:i/>
          <w:iCs/>
        </w:rPr>
      </w:pPr>
      <w:r>
        <w:rPr>
          <w:rStyle w:val="FootnoteReference"/>
        </w:rPr>
        <w:footnoteRef/>
      </w:r>
      <w:r w:rsidR="00FD5B95">
        <w:t xml:space="preserve"> </w:t>
      </w:r>
      <w:r w:rsidRPr="008034CE">
        <w:t>ibid</w:t>
      </w:r>
    </w:p>
  </w:footnote>
  <w:footnote w:id="14">
    <w:p w:rsidR="004D18D9" w:rsidP="004D18D9" w:rsidRDefault="004D18D9" w14:paraId="18C4C0B5" w14:textId="77777777">
      <w:pPr>
        <w:pStyle w:val="FootnoteText"/>
      </w:pPr>
      <w:r>
        <w:rPr>
          <w:rStyle w:val="FootnoteReference"/>
        </w:rPr>
        <w:footnoteRef/>
      </w:r>
      <w:r>
        <w:t xml:space="preserve"> </w:t>
      </w:r>
      <w:r w:rsidRPr="008034CE">
        <w:t>ibid</w:t>
      </w:r>
    </w:p>
  </w:footnote>
  <w:footnote w:id="15">
    <w:p w:rsidRPr="008034CE" w:rsidR="009A64B2" w:rsidRDefault="009A64B2" w14:paraId="0B440181" w14:textId="132A556B">
      <w:pPr>
        <w:pStyle w:val="FootnoteText"/>
      </w:pPr>
      <w:r w:rsidRPr="008034CE">
        <w:rPr>
          <w:rStyle w:val="FootnoteReference"/>
        </w:rPr>
        <w:footnoteRef/>
      </w:r>
      <w:r w:rsidR="00FD5B95">
        <w:t xml:space="preserve"> </w:t>
      </w:r>
      <w:r w:rsidRPr="008034CE" w:rsidR="00840B02">
        <w:t>Australian Bureau of Statistics (202</w:t>
      </w:r>
      <w:r w:rsidR="00FF0672">
        <w:t>6</w:t>
      </w:r>
      <w:r w:rsidRPr="008034CE" w:rsidR="00840B02">
        <w:t xml:space="preserve">). </w:t>
      </w:r>
      <w:r w:rsidRPr="008034CE" w:rsidR="00840B02">
        <w:rPr>
          <w:i/>
          <w:iCs/>
        </w:rPr>
        <w:t xml:space="preserve">Labour Force, Australia, </w:t>
      </w:r>
      <w:r w:rsidR="002A2E26">
        <w:rPr>
          <w:i/>
          <w:iCs/>
        </w:rPr>
        <w:t>February</w:t>
      </w:r>
      <w:r w:rsidRPr="008034CE" w:rsidR="00840B02">
        <w:rPr>
          <w:i/>
          <w:iCs/>
        </w:rPr>
        <w:t xml:space="preserve"> 202</w:t>
      </w:r>
      <w:r w:rsidR="002A2E26">
        <w:rPr>
          <w:i/>
          <w:iCs/>
        </w:rPr>
        <w:t>6</w:t>
      </w:r>
      <w:r w:rsidRPr="008034CE" w:rsidR="00840B02">
        <w:rPr>
          <w:i/>
          <w:iCs/>
        </w:rPr>
        <w:t>.</w:t>
      </w:r>
      <w:r w:rsidRPr="008034CE" w:rsidR="00840B02">
        <w:t xml:space="preserve"> </w:t>
      </w:r>
      <w:hyperlink w:history="1" r:id="rId9">
        <w:r w:rsidRPr="002A2E26" w:rsidR="002A2E26">
          <w:rPr>
            <w:rStyle w:val="Hyperlink"/>
          </w:rPr>
          <w:t>https://www.abs.gov.au/statistics/labour/employment-and-unemployment/labour-force-australia/feb-2026</w:t>
        </w:r>
      </w:hyperlink>
      <w:r w:rsidR="002A2E26">
        <w:t xml:space="preserve"> </w:t>
      </w:r>
    </w:p>
  </w:footnote>
  <w:footnote w:id="16">
    <w:p w:rsidRPr="008034CE" w:rsidR="00002020" w:rsidP="00002020" w:rsidRDefault="00002020" w14:paraId="706F35DE" w14:textId="77777777">
      <w:pPr>
        <w:pStyle w:val="FootnoteText"/>
      </w:pPr>
      <w:r w:rsidRPr="008034CE">
        <w:rPr>
          <w:rStyle w:val="FootnoteReference"/>
        </w:rPr>
        <w:footnoteRef/>
      </w:r>
      <w:r>
        <w:t xml:space="preserve"> </w:t>
      </w:r>
      <w:r w:rsidRPr="008034CE">
        <w:t>ibid</w:t>
      </w:r>
    </w:p>
  </w:footnote>
  <w:footnote w:id="17">
    <w:p w:rsidR="009A64B2" w:rsidRDefault="009A64B2" w14:paraId="4AFA62F1" w14:textId="5F806FFA">
      <w:pPr>
        <w:pStyle w:val="FootnoteText"/>
      </w:pPr>
      <w:r>
        <w:rPr>
          <w:rStyle w:val="FootnoteReference"/>
        </w:rPr>
        <w:footnoteRef/>
      </w:r>
      <w:r w:rsidR="00FD5B95">
        <w:t xml:space="preserve"> </w:t>
      </w:r>
      <w:r w:rsidRPr="008034CE" w:rsidR="003D1729">
        <w:t>Reserve Bank of Australia (202</w:t>
      </w:r>
      <w:r w:rsidR="003D1729">
        <w:t>6</w:t>
      </w:r>
      <w:r w:rsidRPr="008034CE" w:rsidR="003D1729">
        <w:t xml:space="preserve">). </w:t>
      </w:r>
      <w:r w:rsidRPr="008034CE" w:rsidR="003D1729">
        <w:rPr>
          <w:i/>
          <w:iCs/>
        </w:rPr>
        <w:t xml:space="preserve">Statement on Monetary Policy – </w:t>
      </w:r>
      <w:r w:rsidR="003D1729">
        <w:rPr>
          <w:i/>
          <w:iCs/>
        </w:rPr>
        <w:t>February</w:t>
      </w:r>
      <w:r w:rsidRPr="008034CE" w:rsidR="003D1729">
        <w:rPr>
          <w:i/>
          <w:iCs/>
        </w:rPr>
        <w:t xml:space="preserve"> 202</w:t>
      </w:r>
      <w:r w:rsidR="003D1729">
        <w:rPr>
          <w:i/>
          <w:iCs/>
        </w:rPr>
        <w:t>6</w:t>
      </w:r>
      <w:r w:rsidRPr="008034CE" w:rsidR="003D1729">
        <w:t xml:space="preserve">. </w:t>
      </w:r>
      <w:hyperlink w:history="1" r:id="rId10">
        <w:r w:rsidRPr="00C4502E" w:rsidR="003D1729">
          <w:rPr>
            <w:rStyle w:val="Hyperlink"/>
          </w:rPr>
          <w:t>https://www.rba.gov.au/publications/smp/2026/feb/</w:t>
        </w:r>
      </w:hyperlink>
    </w:p>
  </w:footnote>
  <w:footnote w:id="18">
    <w:p w:rsidR="00E54A49" w:rsidRDefault="00E54A49" w14:paraId="130A6A3B" w14:textId="0C3FD879">
      <w:pPr>
        <w:pStyle w:val="FootnoteText"/>
      </w:pPr>
      <w:r>
        <w:rPr>
          <w:rStyle w:val="FootnoteReference"/>
        </w:rPr>
        <w:footnoteRef/>
      </w:r>
      <w:r>
        <w:t xml:space="preserve"> </w:t>
      </w:r>
      <w:r w:rsidR="00671D51">
        <w:t>Department of the</w:t>
      </w:r>
      <w:r w:rsidRPr="008034CE" w:rsidR="00671D51">
        <w:t xml:space="preserve"> Treasury (2025). </w:t>
      </w:r>
      <w:r w:rsidRPr="00AB282C" w:rsidR="00671D51">
        <w:rPr>
          <w:i/>
          <w:iCs/>
        </w:rPr>
        <w:t>Mid-Year Economic and Fiscal Outlook 2025–26</w:t>
      </w:r>
      <w:r w:rsidRPr="008034CE" w:rsidR="00671D51">
        <w:t xml:space="preserve">. </w:t>
      </w:r>
      <w:hyperlink w:history="1" r:id="rId11">
        <w:r w:rsidRPr="00D06DA9" w:rsidR="00671D51">
          <w:rPr>
            <w:rStyle w:val="Hyperlink"/>
          </w:rPr>
          <w:t>https://budget.gov.au/content/myefo/download/myefo-2025-26.pdf</w:t>
        </w:r>
      </w:hyperlink>
    </w:p>
  </w:footnote>
  <w:footnote w:id="19">
    <w:p w:rsidR="009A64B2" w:rsidRDefault="009A64B2" w14:paraId="02B2906B" w14:textId="5AC31023">
      <w:pPr>
        <w:pStyle w:val="FootnoteText"/>
      </w:pPr>
      <w:r>
        <w:rPr>
          <w:rStyle w:val="FootnoteReference"/>
        </w:rPr>
        <w:footnoteRef/>
      </w:r>
      <w:r w:rsidR="00FD5B95">
        <w:t xml:space="preserve"> </w:t>
      </w:r>
      <w:r w:rsidRPr="008034CE">
        <w:t>ibid</w:t>
      </w:r>
      <w:r w:rsidDel="00671D51" w:rsidR="00671D51">
        <w:t xml:space="preserve"> </w:t>
      </w:r>
    </w:p>
  </w:footnote>
  <w:footnote w:id="20">
    <w:p w:rsidRPr="008034CE" w:rsidR="009A64B2" w:rsidRDefault="009A64B2" w14:paraId="175B1CAF" w14:textId="349FE415">
      <w:pPr>
        <w:pStyle w:val="FootnoteText"/>
      </w:pPr>
      <w:r w:rsidRPr="008034CE">
        <w:rPr>
          <w:rStyle w:val="FootnoteReference"/>
        </w:rPr>
        <w:footnoteRef/>
      </w:r>
      <w:r w:rsidR="00FD5B95">
        <w:t xml:space="preserve"> </w:t>
      </w:r>
      <w:r w:rsidRPr="008034CE">
        <w:t>Australian Bureau of Statistics (202</w:t>
      </w:r>
      <w:r w:rsidR="0051638F">
        <w:t>6</w:t>
      </w:r>
      <w:r w:rsidRPr="008034CE">
        <w:t xml:space="preserve">). </w:t>
      </w:r>
      <w:r w:rsidRPr="00C87FF1">
        <w:rPr>
          <w:i/>
          <w:iCs/>
        </w:rPr>
        <w:t>Labour Account Australia</w:t>
      </w:r>
      <w:r w:rsidRPr="008034CE">
        <w:rPr>
          <w:i/>
          <w:iCs/>
        </w:rPr>
        <w:t>,</w:t>
      </w:r>
      <w:r>
        <w:rPr>
          <w:i/>
          <w:iCs/>
        </w:rPr>
        <w:t xml:space="preserve"> </w:t>
      </w:r>
      <w:r w:rsidR="0051638F">
        <w:rPr>
          <w:i/>
          <w:iCs/>
        </w:rPr>
        <w:t>December</w:t>
      </w:r>
      <w:r w:rsidRPr="008034CE">
        <w:rPr>
          <w:i/>
          <w:iCs/>
        </w:rPr>
        <w:t xml:space="preserve"> 2025.</w:t>
      </w:r>
      <w:r w:rsidRPr="008034CE">
        <w:t xml:space="preserve"> </w:t>
      </w:r>
      <w:hyperlink w:history="1" r:id="rId12">
        <w:r w:rsidRPr="00546F2C" w:rsidR="00546F2C">
          <w:rPr>
            <w:rStyle w:val="Hyperlink"/>
          </w:rPr>
          <w:t>https://www.abs.gov.au/statistics/labour/labour-accounts/labour-account-australia/dec-2025</w:t>
        </w:r>
      </w:hyperlink>
      <w:r w:rsidR="00C1236D">
        <w:t xml:space="preserve"> </w:t>
      </w:r>
      <w:r>
        <w:t xml:space="preserve"> </w:t>
      </w:r>
    </w:p>
  </w:footnote>
  <w:footnote w:id="21">
    <w:p w:rsidRPr="008034CE" w:rsidR="009A64B2" w:rsidRDefault="009A64B2" w14:paraId="1D6827D1" w14:textId="32091715">
      <w:pPr>
        <w:pStyle w:val="FootnoteText"/>
      </w:pPr>
      <w:r w:rsidRPr="008034CE">
        <w:rPr>
          <w:rStyle w:val="FootnoteReference"/>
        </w:rPr>
        <w:footnoteRef/>
      </w:r>
      <w:r w:rsidR="00FD5B95">
        <w:t xml:space="preserve"> </w:t>
      </w:r>
      <w:r>
        <w:t>i</w:t>
      </w:r>
      <w:r w:rsidRPr="008034CE">
        <w:t>bid</w:t>
      </w:r>
    </w:p>
  </w:footnote>
  <w:footnote w:id="22">
    <w:p w:rsidR="009A64B2" w:rsidRDefault="009A64B2" w14:paraId="3FCC36EC" w14:textId="40AD4557">
      <w:pPr>
        <w:pStyle w:val="FootnoteText"/>
      </w:pPr>
      <w:r>
        <w:rPr>
          <w:rStyle w:val="FootnoteReference"/>
        </w:rPr>
        <w:footnoteRef/>
      </w:r>
      <w:r w:rsidR="00FD5B95">
        <w:t xml:space="preserve"> </w:t>
      </w:r>
      <w:r w:rsidRPr="008034CE">
        <w:t>Australian Bureau of Statistics (2025).</w:t>
      </w:r>
      <w:r>
        <w:t xml:space="preserve"> </w:t>
      </w:r>
      <w:r w:rsidRPr="00576E90">
        <w:rPr>
          <w:i/>
          <w:iCs/>
        </w:rPr>
        <w:t>Labour Force, Australia, Detailed</w:t>
      </w:r>
      <w:r w:rsidRPr="008034CE">
        <w:rPr>
          <w:i/>
          <w:iCs/>
        </w:rPr>
        <w:t xml:space="preserve">, </w:t>
      </w:r>
      <w:r>
        <w:rPr>
          <w:i/>
          <w:iCs/>
        </w:rPr>
        <w:t xml:space="preserve">November </w:t>
      </w:r>
      <w:r w:rsidRPr="008034CE">
        <w:rPr>
          <w:i/>
          <w:iCs/>
        </w:rPr>
        <w:t>2025.</w:t>
      </w:r>
      <w:r>
        <w:t xml:space="preserve"> </w:t>
      </w:r>
      <w:hyperlink w:history="1" r:id="rId13">
        <w:r w:rsidRPr="00E90C39">
          <w:rPr>
            <w:rStyle w:val="Hyperlink"/>
          </w:rPr>
          <w:t>https://www.abs.gov.au/statistics/labour/employment-and-unemployment/labour-force-australia-detailed/nov-2025</w:t>
        </w:r>
      </w:hyperlink>
    </w:p>
  </w:footnote>
  <w:footnote w:id="23">
    <w:p w:rsidR="009A64B2" w:rsidRDefault="009A64B2" w14:paraId="1863C5D7" w14:textId="23B36319">
      <w:pPr>
        <w:pStyle w:val="FootnoteText"/>
      </w:pPr>
      <w:r>
        <w:rPr>
          <w:rStyle w:val="FootnoteReference"/>
        </w:rPr>
        <w:footnoteRef/>
      </w:r>
      <w:r w:rsidR="00FD5B95">
        <w:t xml:space="preserve"> </w:t>
      </w:r>
      <w:r w:rsidRPr="008034CE">
        <w:t>ibid</w:t>
      </w:r>
    </w:p>
  </w:footnote>
  <w:footnote w:id="24">
    <w:p w:rsidRPr="008034CE" w:rsidR="009A64B2" w:rsidRDefault="009A64B2" w14:paraId="46A9953C" w14:textId="6C6D0BA5">
      <w:pPr>
        <w:pStyle w:val="FootnoteText"/>
      </w:pPr>
      <w:r w:rsidRPr="008034CE">
        <w:rPr>
          <w:rStyle w:val="FootnoteReference"/>
        </w:rPr>
        <w:footnoteRef/>
      </w:r>
      <w:r w:rsidR="00FD5B95">
        <w:t xml:space="preserve"> </w:t>
      </w:r>
      <w:r w:rsidRPr="008034CE">
        <w:t xml:space="preserve">Australian Bureau of Statistics (2025). </w:t>
      </w:r>
      <w:r w:rsidRPr="008034CE">
        <w:rPr>
          <w:i/>
          <w:iCs/>
        </w:rPr>
        <w:t xml:space="preserve">Job Vacancies, Australia, </w:t>
      </w:r>
      <w:r>
        <w:rPr>
          <w:i/>
          <w:iCs/>
        </w:rPr>
        <w:t>November</w:t>
      </w:r>
      <w:r w:rsidRPr="008034CE">
        <w:rPr>
          <w:i/>
          <w:iCs/>
        </w:rPr>
        <w:t xml:space="preserve"> 2025.</w:t>
      </w:r>
      <w:r w:rsidRPr="008034CE">
        <w:t xml:space="preserve"> </w:t>
      </w:r>
      <w:hyperlink w:history="1" r:id="rId14">
        <w:r w:rsidRPr="006377E6">
          <w:rPr>
            <w:rStyle w:val="Hyperlink"/>
          </w:rPr>
          <w:t>https://www.abs.gov.au/statistics/labour/jobs/job-vacancies-australia/nov-2025</w:t>
        </w:r>
      </w:hyperlink>
    </w:p>
  </w:footnote>
  <w:footnote w:id="25">
    <w:p w:rsidRPr="008034CE" w:rsidR="009A64B2" w:rsidRDefault="009A64B2" w14:paraId="376BDFC9" w14:textId="77777777">
      <w:pPr>
        <w:pStyle w:val="FootnoteText"/>
      </w:pPr>
      <w:r w:rsidRPr="008034CE">
        <w:rPr>
          <w:rStyle w:val="FootnoteReference"/>
        </w:rPr>
        <w:footnoteRef/>
      </w:r>
      <w:r w:rsidR="00FD5B95">
        <w:t xml:space="preserve"> </w:t>
      </w:r>
      <w:r w:rsidRPr="008034CE">
        <w:t xml:space="preserve">Jobs and Skills Australia (2025). </w:t>
      </w:r>
      <w:r w:rsidRPr="008034CE">
        <w:rPr>
          <w:i/>
          <w:iCs/>
        </w:rPr>
        <w:t xml:space="preserve">Internet Vacancy Index, </w:t>
      </w:r>
      <w:r>
        <w:rPr>
          <w:i/>
          <w:iCs/>
        </w:rPr>
        <w:t>December</w:t>
      </w:r>
      <w:r w:rsidRPr="008034CE">
        <w:rPr>
          <w:i/>
          <w:iCs/>
        </w:rPr>
        <w:t xml:space="preserve"> 2025.</w:t>
      </w:r>
      <w:r w:rsidRPr="008034CE">
        <w:t xml:space="preserve"> </w:t>
      </w:r>
      <w:hyperlink w:history="1" w:anchor="downloads" r:id="rId15">
        <w:r w:rsidRPr="008034CE">
          <w:rPr>
            <w:rStyle w:val="Hyperlink"/>
          </w:rPr>
          <w:t>https://www.jobsandskills.gov.au/data/internet-vacancy-index#downloads</w:t>
        </w:r>
      </w:hyperlink>
    </w:p>
  </w:footnote>
  <w:footnote w:id="26">
    <w:p w:rsidRPr="008034CE" w:rsidR="009A64B2" w:rsidRDefault="009A64B2" w14:paraId="068A74E5" w14:textId="08F44224">
      <w:pPr>
        <w:pStyle w:val="FootnoteText"/>
      </w:pPr>
      <w:r w:rsidRPr="008034CE">
        <w:rPr>
          <w:rStyle w:val="FootnoteReference"/>
        </w:rPr>
        <w:footnoteRef/>
      </w:r>
      <w:r w:rsidR="00FD5B95">
        <w:t xml:space="preserve"> </w:t>
      </w:r>
      <w:r w:rsidRPr="008034CE">
        <w:t>Jobs and Skills Australia (202</w:t>
      </w:r>
      <w:r>
        <w:t>6</w:t>
      </w:r>
      <w:r w:rsidRPr="008034CE">
        <w:t xml:space="preserve">). </w:t>
      </w:r>
      <w:r w:rsidRPr="008034CE" w:rsidR="00E928FF">
        <w:rPr>
          <w:i/>
          <w:iCs/>
        </w:rPr>
        <w:t>Jobs and Skills Atlas</w:t>
      </w:r>
      <w:r w:rsidRPr="008034CE">
        <w:rPr>
          <w:i/>
          <w:iCs/>
        </w:rPr>
        <w:t xml:space="preserve"> </w:t>
      </w:r>
      <w:r w:rsidRPr="00473500">
        <w:t>accessed January 2026.</w:t>
      </w:r>
      <w:r w:rsidRPr="008034CE">
        <w:t xml:space="preserve"> </w:t>
      </w:r>
      <w:hyperlink w:history="1" r:id="rId16">
        <w:r w:rsidRPr="008034CE">
          <w:rPr>
            <w:rStyle w:val="Hyperlink"/>
          </w:rPr>
          <w:t>https://www.jobsandskills.gov.au/jobs-and-skills-atlas</w:t>
        </w:r>
      </w:hyperlink>
    </w:p>
  </w:footnote>
  <w:footnote w:id="27">
    <w:p w:rsidR="009A64B2" w:rsidRDefault="009A64B2" w14:paraId="08B32560" w14:textId="2EB75C88">
      <w:pPr>
        <w:pStyle w:val="FootnoteText"/>
      </w:pPr>
      <w:r>
        <w:rPr>
          <w:rStyle w:val="FootnoteReference"/>
        </w:rPr>
        <w:footnoteRef/>
      </w:r>
      <w:r w:rsidR="00FD5B95">
        <w:t xml:space="preserve"> </w:t>
      </w:r>
      <w:r w:rsidRPr="008034CE">
        <w:t>Jobs and Skills Australia (2025).</w:t>
      </w:r>
      <w:r>
        <w:t xml:space="preserve"> </w:t>
      </w:r>
      <w:r w:rsidRPr="00664CB4">
        <w:rPr>
          <w:i/>
          <w:iCs/>
        </w:rPr>
        <w:t>Occupation Shortage Drivers Report, October 2025.</w:t>
      </w:r>
      <w:r>
        <w:t xml:space="preserve"> </w:t>
      </w:r>
      <w:hyperlink w:history="1" w:anchor="occupationshortage-1" r:id="rId17">
        <w:r w:rsidRPr="00B6130A">
          <w:rPr>
            <w:rStyle w:val="Hyperlink"/>
          </w:rPr>
          <w:t>https://www.jobsandskills.gov.au/data/occupation-shortage#occupationshortage-1</w:t>
        </w:r>
      </w:hyperlink>
    </w:p>
  </w:footnote>
  <w:footnote w:id="28">
    <w:p w:rsidRPr="008034CE" w:rsidR="009A64B2" w:rsidRDefault="009A64B2" w14:paraId="5BAD7F7B" w14:textId="3B7DC481">
      <w:pPr>
        <w:pStyle w:val="FootnoteText"/>
      </w:pPr>
      <w:r w:rsidRPr="008034CE">
        <w:rPr>
          <w:rStyle w:val="FootnoteReference"/>
        </w:rPr>
        <w:footnoteRef/>
      </w:r>
      <w:r w:rsidR="00FD5B95">
        <w:t xml:space="preserve"> </w:t>
      </w:r>
      <w:r w:rsidRPr="008034CE">
        <w:t>Jobs and Skills Australia (202</w:t>
      </w:r>
      <w:r>
        <w:t>5</w:t>
      </w:r>
      <w:r w:rsidRPr="008034CE">
        <w:t xml:space="preserve">). </w:t>
      </w:r>
      <w:r w:rsidRPr="008034CE">
        <w:rPr>
          <w:i/>
          <w:iCs/>
        </w:rPr>
        <w:t>Employment Projections</w:t>
      </w:r>
      <w:r>
        <w:rPr>
          <w:i/>
          <w:iCs/>
        </w:rPr>
        <w:t xml:space="preserve"> – </w:t>
      </w:r>
      <w:r w:rsidRPr="008034CE">
        <w:rPr>
          <w:i/>
          <w:iCs/>
        </w:rPr>
        <w:t>May 202</w:t>
      </w:r>
      <w:r>
        <w:rPr>
          <w:i/>
          <w:iCs/>
        </w:rPr>
        <w:t>5</w:t>
      </w:r>
      <w:r w:rsidRPr="008034CE">
        <w:rPr>
          <w:i/>
          <w:iCs/>
        </w:rPr>
        <w:t xml:space="preserve"> </w:t>
      </w:r>
      <w:r>
        <w:rPr>
          <w:i/>
          <w:iCs/>
        </w:rPr>
        <w:t>to</w:t>
      </w:r>
      <w:r w:rsidRPr="008034CE">
        <w:rPr>
          <w:i/>
          <w:iCs/>
        </w:rPr>
        <w:t xml:space="preserve"> May 203</w:t>
      </w:r>
      <w:r>
        <w:rPr>
          <w:i/>
          <w:iCs/>
        </w:rPr>
        <w:t>5</w:t>
      </w:r>
      <w:r w:rsidRPr="008034CE">
        <w:rPr>
          <w:i/>
          <w:iCs/>
        </w:rPr>
        <w:t>.</w:t>
      </w:r>
      <w:r w:rsidRPr="008034CE">
        <w:t xml:space="preserve"> </w:t>
      </w:r>
      <w:hyperlink w:history="1" w:anchor="downloads" r:id="rId18">
        <w:r w:rsidRPr="00B6130A">
          <w:rPr>
            <w:rStyle w:val="Hyperlink"/>
          </w:rPr>
          <w:t>https://www.jobsandskills.gov.au/data/employment-projections#downloads</w:t>
        </w:r>
      </w:hyperlink>
    </w:p>
  </w:footnote>
  <w:footnote w:id="29">
    <w:p w:rsidRPr="008034CE" w:rsidR="009A64B2" w:rsidRDefault="009A64B2" w14:paraId="2A0086F3" w14:textId="0DB0DCD0">
      <w:pPr>
        <w:pStyle w:val="FootnoteText"/>
      </w:pPr>
      <w:r w:rsidRPr="008034CE">
        <w:rPr>
          <w:rStyle w:val="FootnoteReference"/>
        </w:rPr>
        <w:footnoteRef/>
      </w:r>
      <w:r w:rsidR="00FD5B95">
        <w:t xml:space="preserve"> </w:t>
      </w:r>
      <w:r w:rsidRPr="008034CE">
        <w:t>ibid</w:t>
      </w:r>
    </w:p>
  </w:footnote>
  <w:footnote w:id="30">
    <w:p w:rsidR="009A64B2" w:rsidRDefault="009A64B2" w14:paraId="7145D604" w14:textId="1F6F93B7">
      <w:pPr>
        <w:pStyle w:val="FootnoteText"/>
      </w:pPr>
      <w:r>
        <w:rPr>
          <w:rStyle w:val="FootnoteReference"/>
        </w:rPr>
        <w:footnoteRef/>
      </w:r>
      <w:r w:rsidR="00FD5B95">
        <w:t xml:space="preserve"> </w:t>
      </w:r>
      <w:r>
        <w:t>ibid</w:t>
      </w:r>
    </w:p>
  </w:footnote>
  <w:footnote w:id="31">
    <w:p w:rsidRPr="008034CE" w:rsidR="009A64B2" w:rsidRDefault="009A64B2" w14:paraId="1F304B12" w14:textId="6E81988E">
      <w:pPr>
        <w:pStyle w:val="FootnoteText"/>
      </w:pPr>
      <w:r w:rsidRPr="008034CE">
        <w:rPr>
          <w:rStyle w:val="FootnoteReference"/>
        </w:rPr>
        <w:footnoteRef/>
      </w:r>
      <w:r w:rsidR="00FD5B95">
        <w:t xml:space="preserve"> </w:t>
      </w:r>
      <w:r>
        <w:t>i</w:t>
      </w:r>
      <w:r w:rsidRPr="008034CE">
        <w:t>bid</w:t>
      </w:r>
    </w:p>
  </w:footnote>
  <w:footnote w:id="32">
    <w:p w:rsidRPr="008034CE" w:rsidR="009A64B2" w:rsidRDefault="009A64B2" w14:paraId="1ABCAF82" w14:textId="38F24D9E">
      <w:pPr>
        <w:pStyle w:val="FootnoteText"/>
        <w:spacing w:before="0"/>
      </w:pPr>
      <w:r w:rsidRPr="008034CE">
        <w:rPr>
          <w:rStyle w:val="FootnoteReference"/>
        </w:rPr>
        <w:footnoteRef/>
      </w:r>
      <w:r w:rsidR="00FD5B95">
        <w:t xml:space="preserve"> </w:t>
      </w:r>
      <w:r w:rsidRPr="008034CE">
        <w:t>Australian Bureau of Statistics (202</w:t>
      </w:r>
      <w:r w:rsidR="00FC1F5F">
        <w:t>6</w:t>
      </w:r>
      <w:r w:rsidRPr="008034CE">
        <w:t xml:space="preserve">). </w:t>
      </w:r>
      <w:r w:rsidRPr="008034CE">
        <w:rPr>
          <w:i/>
          <w:iCs/>
        </w:rPr>
        <w:t xml:space="preserve">Wage Price Index, Australia, </w:t>
      </w:r>
      <w:r w:rsidR="005245F9">
        <w:rPr>
          <w:i/>
          <w:iCs/>
        </w:rPr>
        <w:t>December</w:t>
      </w:r>
      <w:r w:rsidRPr="008034CE">
        <w:rPr>
          <w:i/>
          <w:iCs/>
        </w:rPr>
        <w:t xml:space="preserve"> 2025.</w:t>
      </w:r>
      <w:r w:rsidRPr="008034CE">
        <w:t xml:space="preserve"> </w:t>
      </w:r>
      <w:hyperlink w:history="1" r:id="rId19">
        <w:r w:rsidRPr="0036575A" w:rsidR="0036575A">
          <w:rPr>
            <w:rStyle w:val="Hyperlink"/>
          </w:rPr>
          <w:t>https://www.abs.gov.au/statistics/economy/price-indexes-and-inflation/wage-price-index-australia/dec-2025</w:t>
        </w:r>
      </w:hyperlink>
      <w:r w:rsidR="0036575A">
        <w:t xml:space="preserve"> </w:t>
      </w:r>
    </w:p>
  </w:footnote>
  <w:footnote w:id="33">
    <w:p w:rsidRPr="008034CE" w:rsidR="00F57B4E" w:rsidP="00F57B4E" w:rsidRDefault="00F57B4E" w14:paraId="4B9E548B" w14:textId="792D95DC">
      <w:pPr>
        <w:pStyle w:val="FootnoteText"/>
        <w:spacing w:before="0"/>
      </w:pPr>
      <w:r w:rsidRPr="008034CE">
        <w:rPr>
          <w:rStyle w:val="FootnoteReference"/>
        </w:rPr>
        <w:footnoteRef/>
      </w:r>
      <w:r>
        <w:t xml:space="preserve"> </w:t>
      </w:r>
      <w:r w:rsidRPr="008034CE" w:rsidR="00750B5D">
        <w:t>Reserve Bank of Australia (202</w:t>
      </w:r>
      <w:r w:rsidR="00750B5D">
        <w:t>6</w:t>
      </w:r>
      <w:r w:rsidRPr="008034CE" w:rsidR="00750B5D">
        <w:t xml:space="preserve">). </w:t>
      </w:r>
      <w:r w:rsidRPr="008034CE" w:rsidR="00750B5D">
        <w:rPr>
          <w:i/>
          <w:iCs/>
        </w:rPr>
        <w:t xml:space="preserve">Statement on Monetary Policy – </w:t>
      </w:r>
      <w:r w:rsidR="00750B5D">
        <w:rPr>
          <w:i/>
          <w:iCs/>
        </w:rPr>
        <w:t>February</w:t>
      </w:r>
      <w:r w:rsidRPr="008034CE" w:rsidR="00750B5D">
        <w:rPr>
          <w:i/>
          <w:iCs/>
        </w:rPr>
        <w:t xml:space="preserve"> 202</w:t>
      </w:r>
      <w:r w:rsidR="00750B5D">
        <w:rPr>
          <w:i/>
          <w:iCs/>
        </w:rPr>
        <w:t>6</w:t>
      </w:r>
      <w:r w:rsidRPr="008034CE" w:rsidR="00750B5D">
        <w:t xml:space="preserve">. </w:t>
      </w:r>
      <w:r w:rsidRPr="00A27DFC" w:rsidR="00750B5D">
        <w:t xml:space="preserve"> </w:t>
      </w:r>
      <w:hyperlink w:history="1" r:id="rId20">
        <w:r w:rsidRPr="002372A0" w:rsidR="00750B5D">
          <w:rPr>
            <w:rStyle w:val="Hyperlink"/>
          </w:rPr>
          <w:t>https://www.rba.gov.au/publications/smp/2026/feb/</w:t>
        </w:r>
      </w:hyperlink>
    </w:p>
  </w:footnote>
  <w:footnote w:id="34">
    <w:p w:rsidRPr="008034CE" w:rsidR="009A64B2" w:rsidRDefault="009A64B2" w14:paraId="0DA6B01E" w14:textId="77777777">
      <w:pPr>
        <w:pStyle w:val="FootnoteText"/>
        <w:spacing w:before="0"/>
      </w:pPr>
      <w:r w:rsidRPr="008034CE">
        <w:rPr>
          <w:rStyle w:val="FootnoteReference"/>
        </w:rPr>
        <w:footnoteRef/>
      </w:r>
      <w:r w:rsidR="00FD5B95">
        <w:t xml:space="preserve"> </w:t>
      </w:r>
      <w:r w:rsidRPr="008034CE">
        <w:t>Australian Bureau of Statistics (202</w:t>
      </w:r>
      <w:r w:rsidR="00FC1F5F">
        <w:t>6</w:t>
      </w:r>
      <w:r w:rsidRPr="008034CE">
        <w:t xml:space="preserve">). </w:t>
      </w:r>
      <w:r w:rsidRPr="008034CE">
        <w:rPr>
          <w:i/>
          <w:iCs/>
        </w:rPr>
        <w:t xml:space="preserve">Wage Price Index, Australia, </w:t>
      </w:r>
      <w:r w:rsidR="00821820">
        <w:rPr>
          <w:i/>
          <w:iCs/>
        </w:rPr>
        <w:t>December</w:t>
      </w:r>
      <w:r w:rsidRPr="008034CE">
        <w:rPr>
          <w:i/>
          <w:iCs/>
        </w:rPr>
        <w:t xml:space="preserve"> 2025</w:t>
      </w:r>
      <w:r w:rsidRPr="008034CE">
        <w:t xml:space="preserve">. </w:t>
      </w:r>
      <w:hyperlink w:history="1" r:id="rId21">
        <w:r w:rsidRPr="00821820" w:rsidR="00821820">
          <w:rPr>
            <w:rStyle w:val="Hyperlink"/>
          </w:rPr>
          <w:t>https://www.abs.gov.au/statistics/economy/price-indexes-and-inflation/wage-price-index-australia/dec-2025</w:t>
        </w:r>
      </w:hyperlink>
      <w:r w:rsidR="00821820">
        <w:t xml:space="preserve"> </w:t>
      </w:r>
    </w:p>
  </w:footnote>
  <w:footnote w:id="35">
    <w:p w:rsidRPr="008034CE" w:rsidR="009A64B2" w:rsidRDefault="009A64B2" w14:paraId="1A43F9B6" w14:textId="015F05D0">
      <w:pPr>
        <w:pStyle w:val="FootnoteText"/>
        <w:spacing w:before="0"/>
      </w:pPr>
      <w:r w:rsidRPr="008034CE">
        <w:rPr>
          <w:rStyle w:val="FootnoteReference"/>
        </w:rPr>
        <w:footnoteRef/>
      </w:r>
      <w:r w:rsidR="00FD5B95">
        <w:t xml:space="preserve"> </w:t>
      </w:r>
      <w:r w:rsidRPr="008034CE">
        <w:t>Australian Bureau of Statistics (202</w:t>
      </w:r>
      <w:r w:rsidR="00FC1F5F">
        <w:t>6</w:t>
      </w:r>
      <w:r w:rsidRPr="008034CE">
        <w:t xml:space="preserve">). </w:t>
      </w:r>
      <w:r w:rsidRPr="008034CE">
        <w:rPr>
          <w:i/>
          <w:iCs/>
        </w:rPr>
        <w:t xml:space="preserve">Wage Price Index, Australia, </w:t>
      </w:r>
      <w:r w:rsidR="00821820">
        <w:rPr>
          <w:i/>
          <w:iCs/>
        </w:rPr>
        <w:t>December</w:t>
      </w:r>
      <w:r w:rsidRPr="008034CE">
        <w:rPr>
          <w:i/>
          <w:iCs/>
        </w:rPr>
        <w:t xml:space="preserve"> 2025</w:t>
      </w:r>
      <w:r w:rsidRPr="008034CE">
        <w:t xml:space="preserve">. </w:t>
      </w:r>
      <w:hyperlink w:history="1" r:id="rId22">
        <w:r w:rsidRPr="00821820" w:rsidR="00821820">
          <w:rPr>
            <w:rStyle w:val="Hyperlink"/>
          </w:rPr>
          <w:t>https://www.abs.gov.au/statistics/economy/price-indexes-and-inflation/wage-price-index-australia/dec-2025</w:t>
        </w:r>
      </w:hyperlink>
      <w:r w:rsidR="00821820">
        <w:t xml:space="preserve"> </w:t>
      </w:r>
    </w:p>
  </w:footnote>
  <w:footnote w:id="36">
    <w:p w:rsidRPr="008034CE" w:rsidR="009A64B2" w:rsidRDefault="009A64B2" w14:paraId="7D316A9F" w14:textId="4C1C6DAF">
      <w:pPr>
        <w:pStyle w:val="FootnoteText"/>
        <w:spacing w:before="0"/>
      </w:pPr>
      <w:r w:rsidRPr="008034CE">
        <w:rPr>
          <w:rStyle w:val="FootnoteReference"/>
        </w:rPr>
        <w:footnoteRef/>
      </w:r>
      <w:r w:rsidR="00FD5B95">
        <w:t xml:space="preserve"> </w:t>
      </w:r>
      <w:r>
        <w:t>i</w:t>
      </w:r>
      <w:r w:rsidRPr="008034CE">
        <w:t>bid</w:t>
      </w:r>
    </w:p>
  </w:footnote>
  <w:footnote w:id="37">
    <w:p w:rsidR="00EA7663" w:rsidRDefault="00EA7663" w14:paraId="7E95AF3D" w14:textId="13D94366">
      <w:pPr>
        <w:pStyle w:val="FootnoteText"/>
      </w:pPr>
      <w:r>
        <w:rPr>
          <w:rStyle w:val="FootnoteReference"/>
        </w:rPr>
        <w:footnoteRef/>
      </w:r>
      <w:r>
        <w:t xml:space="preserve"> See </w:t>
      </w:r>
      <w:r w:rsidRPr="000A6F8A" w:rsidR="008819F3">
        <w:rPr>
          <w:i/>
          <w:iCs/>
        </w:rPr>
        <w:t>Occupation and Industry Profiles</w:t>
      </w:r>
      <w:r w:rsidR="00CE5B30">
        <w:t>, Jobs and Skills Australia (</w:t>
      </w:r>
      <w:hyperlink w:history="1" r:id="rId23">
        <w:r w:rsidRPr="00B21BCD" w:rsidR="00786D38">
          <w:rPr>
            <w:rStyle w:val="Hyperlink"/>
          </w:rPr>
          <w:t>https://www.jobsandskills.gov.au/data/occupation-and-industry-profiles</w:t>
        </w:r>
      </w:hyperlink>
      <w:r w:rsidR="00786D38">
        <w:t>)</w:t>
      </w:r>
    </w:p>
  </w:footnote>
  <w:footnote w:id="38">
    <w:p w:rsidR="00EA7663" w:rsidRDefault="00EA7663" w14:paraId="526C7C2E" w14:textId="2D40C348">
      <w:pPr>
        <w:pStyle w:val="FootnoteText"/>
      </w:pPr>
      <w:r>
        <w:rPr>
          <w:rStyle w:val="FootnoteReference"/>
        </w:rPr>
        <w:footnoteRef/>
      </w:r>
      <w:r>
        <w:t xml:space="preserve"> </w:t>
      </w:r>
      <w:r w:rsidR="00F14F97">
        <w:t xml:space="preserve">See </w:t>
      </w:r>
      <w:r w:rsidRPr="000A6F8A" w:rsidR="00F14F97">
        <w:rPr>
          <w:i/>
          <w:iCs/>
        </w:rPr>
        <w:t>Statistics</w:t>
      </w:r>
      <w:r w:rsidR="002B204D">
        <w:t>,</w:t>
      </w:r>
      <w:r w:rsidR="007D4CB0">
        <w:t xml:space="preserve"> </w:t>
      </w:r>
      <w:r w:rsidRPr="007D4CB0" w:rsidR="007D4CB0">
        <w:t>Psychology Board of Australia</w:t>
      </w:r>
      <w:r w:rsidR="00DF6C1F">
        <w:t xml:space="preserve"> (</w:t>
      </w:r>
      <w:hyperlink w:history="1" r:id="rId24">
        <w:r w:rsidRPr="00B21BCD" w:rsidR="00DF6C1F">
          <w:rPr>
            <w:rStyle w:val="Hyperlink"/>
          </w:rPr>
          <w:t>https://www.psychologyboard.gov.au/About/Statistics.aspx</w:t>
        </w:r>
      </w:hyperlink>
      <w:r w:rsidR="00DF6C1F">
        <w:t>)</w:t>
      </w:r>
    </w:p>
  </w:footnote>
  <w:footnote w:id="39">
    <w:p w:rsidR="00B8722D" w:rsidRDefault="00B8722D" w14:paraId="6BE3BA73" w14:textId="1FA574E9">
      <w:pPr>
        <w:pStyle w:val="FootnoteText"/>
      </w:pPr>
      <w:r>
        <w:rPr>
          <w:rStyle w:val="FootnoteReference"/>
        </w:rPr>
        <w:footnoteRef/>
      </w:r>
      <w:r>
        <w:t xml:space="preserve"> See </w:t>
      </w:r>
      <w:r w:rsidRPr="00600DE7" w:rsidR="00BF79CC">
        <w:rPr>
          <w:i/>
          <w:iCs/>
        </w:rPr>
        <w:t>Socio-Economic Indexes for Areas (SEIFA), Australia 2021</w:t>
      </w:r>
      <w:r w:rsidR="00600DE7">
        <w:t>, Australian Bureau of Statistics (</w:t>
      </w:r>
      <w:hyperlink w:history="1" r:id="rId25">
        <w:r w:rsidRPr="007E563B" w:rsidR="002E7C10">
          <w:rPr>
            <w:rStyle w:val="Hyperlink"/>
          </w:rPr>
          <w:t>https://experience.arcgis.com/experience/32dcbb18c1d24f4aa89caf680413c741/page/IRSD</w:t>
        </w:r>
      </w:hyperlink>
      <w:r w:rsidR="0071715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B76" w:rsidP="00863C7F" w:rsidRDefault="008D4B76" w14:paraId="630482C3" w14:textId="77777777">
    <w:pPr>
      <w:pStyle w:val="Header"/>
    </w:pPr>
  </w:p>
  <w:p w:rsidR="00AA6762" w:rsidP="00863C7F" w:rsidRDefault="00AA6762" w14:paraId="3F19511A" w14:textId="77777777"/>
  <w:p w:rsidR="00AA6762" w:rsidP="00863C7F" w:rsidRDefault="00AA6762" w14:paraId="49491941" w14:textId="77777777"/>
  <w:p w:rsidR="00A71751" w:rsidP="00863C7F" w:rsidRDefault="00A71751" w14:paraId="145A9F0B" w14:textId="77777777"/>
  <w:p w:rsidR="00A71751" w:rsidP="00863C7F" w:rsidRDefault="00A71751" w14:paraId="739426F5" w14:textId="77777777"/>
  <w:p w:rsidR="00A71751" w:rsidP="00863C7F" w:rsidRDefault="00A71751" w14:paraId="15A78D87" w14:textId="77777777"/>
  <w:p w:rsidR="00A71751" w:rsidP="00863C7F" w:rsidRDefault="00A71751" w14:paraId="57ED25B8"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4194A" w:rsidR="00180D51" w:rsidP="00C4194A" w:rsidRDefault="00C27827" w14:paraId="4A6BB6A0" w14:textId="044B4885">
    <w:pPr>
      <w:jc w:val="center"/>
      <w:rPr>
        <w:b/>
        <w:bCs/>
      </w:rPr>
    </w:pPr>
    <w:r w:rsidRPr="00C4194A">
      <w:rPr>
        <w:b/>
        <w:bCs/>
        <w:color w:val="F9F9F9" w:themeColor="background1"/>
      </w:rPr>
      <w:t>OFFICIAL: SENSITIVE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0EE"/>
    <w:multiLevelType w:val="multilevel"/>
    <w:tmpl w:val="52864A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50A74C6"/>
    <w:multiLevelType w:val="multilevel"/>
    <w:tmpl w:val="32509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5E26F40"/>
    <w:multiLevelType w:val="multilevel"/>
    <w:tmpl w:val="893654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75D2377"/>
    <w:multiLevelType w:val="multilevel"/>
    <w:tmpl w:val="9E5827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7E62CC5"/>
    <w:multiLevelType w:val="hybridMultilevel"/>
    <w:tmpl w:val="7BE8F9BA"/>
    <w:lvl w:ilvl="0" w:tplc="EA1E3034">
      <w:start w:val="1"/>
      <w:numFmt w:val="bullet"/>
      <w:pStyle w:val="DotPoint"/>
      <w:lvlText w:val=""/>
      <w:lvlJc w:val="left"/>
      <w:pPr>
        <w:ind w:left="567" w:hanging="283"/>
      </w:pPr>
      <w:rPr>
        <w:rFonts w:hint="default" w:ascii="Symbol" w:hAnsi="Symbol"/>
      </w:rPr>
    </w:lvl>
    <w:lvl w:ilvl="1" w:tplc="FF88AB46">
      <w:start w:val="1"/>
      <w:numFmt w:val="bullet"/>
      <w:lvlText w:val="o"/>
      <w:lvlJc w:val="left"/>
      <w:pPr>
        <w:ind w:left="851" w:hanging="284"/>
      </w:pPr>
      <w:rPr>
        <w:rFonts w:hint="default" w:ascii="Courier New" w:hAnsi="Courier New" w:cs="Times New Roman"/>
      </w:rPr>
    </w:lvl>
    <w:lvl w:ilvl="2" w:tplc="0C090005">
      <w:start w:val="1"/>
      <w:numFmt w:val="bullet"/>
      <w:lvlText w:val=""/>
      <w:lvlJc w:val="left"/>
      <w:pPr>
        <w:ind w:left="2160" w:hanging="360"/>
      </w:pPr>
      <w:rPr>
        <w:rFonts w:hint="default" w:ascii="Wingdings" w:hAnsi="Wingdings"/>
      </w:rPr>
    </w:lvl>
    <w:lvl w:ilvl="3" w:tplc="0C090001">
      <w:numFmt w:val="bullet"/>
      <w:lvlText w:val="•"/>
      <w:lvlJc w:val="left"/>
      <w:pPr>
        <w:ind w:left="2880" w:hanging="360"/>
      </w:pPr>
      <w:rPr>
        <w:rFonts w:hint="default" w:ascii="Arial" w:hAnsi="Arial" w:cs="Arial" w:eastAsiaTheme="minorEastAsia"/>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5" w15:restartNumberingAfterBreak="0">
    <w:nsid w:val="087E6A02"/>
    <w:multiLevelType w:val="hybridMultilevel"/>
    <w:tmpl w:val="FFFFFFFF"/>
    <w:lvl w:ilvl="0" w:tplc="FB4AD3B2">
      <w:start w:val="1"/>
      <w:numFmt w:val="bullet"/>
      <w:lvlText w:val=""/>
      <w:lvlJc w:val="left"/>
      <w:pPr>
        <w:ind w:left="720" w:hanging="360"/>
      </w:pPr>
      <w:rPr>
        <w:rFonts w:hint="default" w:ascii="Symbol" w:hAnsi="Symbol"/>
      </w:rPr>
    </w:lvl>
    <w:lvl w:ilvl="1" w:tplc="F1D046C4">
      <w:start w:val="1"/>
      <w:numFmt w:val="bullet"/>
      <w:lvlText w:val="o"/>
      <w:lvlJc w:val="left"/>
      <w:pPr>
        <w:ind w:left="1440" w:hanging="360"/>
      </w:pPr>
      <w:rPr>
        <w:rFonts w:hint="default" w:ascii="Courier New" w:hAnsi="Courier New"/>
      </w:rPr>
    </w:lvl>
    <w:lvl w:ilvl="2" w:tplc="1C449C9A">
      <w:start w:val="1"/>
      <w:numFmt w:val="bullet"/>
      <w:lvlText w:val=""/>
      <w:lvlJc w:val="left"/>
      <w:pPr>
        <w:ind w:left="2160" w:hanging="360"/>
      </w:pPr>
      <w:rPr>
        <w:rFonts w:hint="default" w:ascii="Wingdings" w:hAnsi="Wingdings"/>
      </w:rPr>
    </w:lvl>
    <w:lvl w:ilvl="3" w:tplc="364A0940">
      <w:start w:val="1"/>
      <w:numFmt w:val="bullet"/>
      <w:lvlText w:val=""/>
      <w:lvlJc w:val="left"/>
      <w:pPr>
        <w:ind w:left="2880" w:hanging="360"/>
      </w:pPr>
      <w:rPr>
        <w:rFonts w:hint="default" w:ascii="Symbol" w:hAnsi="Symbol"/>
      </w:rPr>
    </w:lvl>
    <w:lvl w:ilvl="4" w:tplc="51720A0A">
      <w:start w:val="1"/>
      <w:numFmt w:val="bullet"/>
      <w:lvlText w:val="o"/>
      <w:lvlJc w:val="left"/>
      <w:pPr>
        <w:ind w:left="3600" w:hanging="360"/>
      </w:pPr>
      <w:rPr>
        <w:rFonts w:hint="default" w:ascii="Courier New" w:hAnsi="Courier New"/>
      </w:rPr>
    </w:lvl>
    <w:lvl w:ilvl="5" w:tplc="628869CC">
      <w:start w:val="1"/>
      <w:numFmt w:val="bullet"/>
      <w:lvlText w:val=""/>
      <w:lvlJc w:val="left"/>
      <w:pPr>
        <w:ind w:left="4320" w:hanging="360"/>
      </w:pPr>
      <w:rPr>
        <w:rFonts w:hint="default" w:ascii="Wingdings" w:hAnsi="Wingdings"/>
      </w:rPr>
    </w:lvl>
    <w:lvl w:ilvl="6" w:tplc="4EB84528">
      <w:start w:val="1"/>
      <w:numFmt w:val="bullet"/>
      <w:lvlText w:val=""/>
      <w:lvlJc w:val="left"/>
      <w:pPr>
        <w:ind w:left="5040" w:hanging="360"/>
      </w:pPr>
      <w:rPr>
        <w:rFonts w:hint="default" w:ascii="Symbol" w:hAnsi="Symbol"/>
      </w:rPr>
    </w:lvl>
    <w:lvl w:ilvl="7" w:tplc="74185A5A">
      <w:start w:val="1"/>
      <w:numFmt w:val="bullet"/>
      <w:lvlText w:val="o"/>
      <w:lvlJc w:val="left"/>
      <w:pPr>
        <w:ind w:left="5760" w:hanging="360"/>
      </w:pPr>
      <w:rPr>
        <w:rFonts w:hint="default" w:ascii="Courier New" w:hAnsi="Courier New"/>
      </w:rPr>
    </w:lvl>
    <w:lvl w:ilvl="8" w:tplc="8E32A3C2">
      <w:start w:val="1"/>
      <w:numFmt w:val="bullet"/>
      <w:lvlText w:val=""/>
      <w:lvlJc w:val="left"/>
      <w:pPr>
        <w:ind w:left="6480" w:hanging="360"/>
      </w:pPr>
      <w:rPr>
        <w:rFonts w:hint="default" w:ascii="Wingdings" w:hAnsi="Wingdings"/>
      </w:rPr>
    </w:lvl>
  </w:abstractNum>
  <w:abstractNum w:abstractNumId="6" w15:restartNumberingAfterBreak="0">
    <w:nsid w:val="0CE721F8"/>
    <w:multiLevelType w:val="multilevel"/>
    <w:tmpl w:val="6EBA75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4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DA41A7"/>
    <w:multiLevelType w:val="hybridMultilevel"/>
    <w:tmpl w:val="BB6CD11C"/>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8"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hAnsi="Arial" w:eastAsia="Times New Roman" w:cs="Aria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5A05DEC"/>
    <w:multiLevelType w:val="multilevel"/>
    <w:tmpl w:val="E55CB9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1CC6127C"/>
    <w:multiLevelType w:val="multilevel"/>
    <w:tmpl w:val="999206DE"/>
    <w:lvl w:ilvl="0">
      <w:start w:val="1"/>
      <w:numFmt w:val="decimal"/>
      <w:pStyle w:val="Heading21"/>
      <w:lvlText w:val="%1."/>
      <w:lvlJc w:val="left"/>
      <w:pPr>
        <w:ind w:left="998" w:hanging="714"/>
      </w:pPr>
      <w:rPr>
        <w:rFonts w:hint="default"/>
      </w:rPr>
    </w:lvl>
    <w:lvl w:ilvl="1">
      <w:start w:val="1"/>
      <w:numFmt w:val="decimal"/>
      <w:pStyle w:val="Heading31"/>
      <w:lvlText w:val="%1.%2."/>
      <w:lvlJc w:val="left"/>
      <w:pPr>
        <w:ind w:left="999" w:hanging="715"/>
      </w:pPr>
      <w:rPr>
        <w:rFonts w:hint="default"/>
      </w:rPr>
    </w:lvl>
    <w:lvl w:ilvl="2">
      <w:start w:val="1"/>
      <w:numFmt w:val="decimal"/>
      <w:pStyle w:val="Style1"/>
      <w:lvlText w:val="%1.%2.%3"/>
      <w:lvlJc w:val="left"/>
      <w:pPr>
        <w:ind w:left="720" w:hanging="720"/>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D6E2B74"/>
    <w:multiLevelType w:val="multilevel"/>
    <w:tmpl w:val="862CC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13055FF"/>
    <w:multiLevelType w:val="hybridMultilevel"/>
    <w:tmpl w:val="A0848650"/>
    <w:lvl w:ilvl="0" w:tplc="489E4EDC">
      <w:start w:val="1"/>
      <w:numFmt w:val="bullet"/>
      <w:pStyle w:val="Bullet"/>
      <w:lvlText w:val=""/>
      <w:lvlJc w:val="left"/>
      <w:pPr>
        <w:ind w:left="-1779" w:hanging="360"/>
      </w:pPr>
      <w:rPr>
        <w:rFonts w:hint="default" w:ascii="Symbol" w:hAnsi="Symbol"/>
      </w:rPr>
    </w:lvl>
    <w:lvl w:ilvl="1" w:tplc="08090003" w:tentative="1">
      <w:start w:val="1"/>
      <w:numFmt w:val="bullet"/>
      <w:lvlText w:val="o"/>
      <w:lvlJc w:val="left"/>
      <w:pPr>
        <w:ind w:left="-1059" w:hanging="360"/>
      </w:pPr>
      <w:rPr>
        <w:rFonts w:hint="default" w:ascii="Courier New" w:hAnsi="Courier New" w:cs="Courier New"/>
      </w:rPr>
    </w:lvl>
    <w:lvl w:ilvl="2" w:tplc="08090005" w:tentative="1">
      <w:start w:val="1"/>
      <w:numFmt w:val="bullet"/>
      <w:lvlText w:val=""/>
      <w:lvlJc w:val="left"/>
      <w:pPr>
        <w:ind w:left="-339" w:hanging="360"/>
      </w:pPr>
      <w:rPr>
        <w:rFonts w:hint="default" w:ascii="Wingdings" w:hAnsi="Wingdings"/>
      </w:rPr>
    </w:lvl>
    <w:lvl w:ilvl="3" w:tplc="08090001" w:tentative="1">
      <w:start w:val="1"/>
      <w:numFmt w:val="bullet"/>
      <w:lvlText w:val=""/>
      <w:lvlJc w:val="left"/>
      <w:pPr>
        <w:ind w:left="381" w:hanging="360"/>
      </w:pPr>
      <w:rPr>
        <w:rFonts w:hint="default" w:ascii="Symbol" w:hAnsi="Symbol"/>
      </w:rPr>
    </w:lvl>
    <w:lvl w:ilvl="4" w:tplc="08090003" w:tentative="1">
      <w:start w:val="1"/>
      <w:numFmt w:val="bullet"/>
      <w:lvlText w:val="o"/>
      <w:lvlJc w:val="left"/>
      <w:pPr>
        <w:ind w:left="1101" w:hanging="360"/>
      </w:pPr>
      <w:rPr>
        <w:rFonts w:hint="default" w:ascii="Courier New" w:hAnsi="Courier New" w:cs="Courier New"/>
      </w:rPr>
    </w:lvl>
    <w:lvl w:ilvl="5" w:tplc="08090005" w:tentative="1">
      <w:start w:val="1"/>
      <w:numFmt w:val="bullet"/>
      <w:lvlText w:val=""/>
      <w:lvlJc w:val="left"/>
      <w:pPr>
        <w:ind w:left="1821" w:hanging="360"/>
      </w:pPr>
      <w:rPr>
        <w:rFonts w:hint="default" w:ascii="Wingdings" w:hAnsi="Wingdings"/>
      </w:rPr>
    </w:lvl>
    <w:lvl w:ilvl="6" w:tplc="08090001" w:tentative="1">
      <w:start w:val="1"/>
      <w:numFmt w:val="bullet"/>
      <w:lvlText w:val=""/>
      <w:lvlJc w:val="left"/>
      <w:pPr>
        <w:ind w:left="2541" w:hanging="360"/>
      </w:pPr>
      <w:rPr>
        <w:rFonts w:hint="default" w:ascii="Symbol" w:hAnsi="Symbol"/>
      </w:rPr>
    </w:lvl>
    <w:lvl w:ilvl="7" w:tplc="08090003" w:tentative="1">
      <w:start w:val="1"/>
      <w:numFmt w:val="bullet"/>
      <w:lvlText w:val="o"/>
      <w:lvlJc w:val="left"/>
      <w:pPr>
        <w:ind w:left="3261" w:hanging="360"/>
      </w:pPr>
      <w:rPr>
        <w:rFonts w:hint="default" w:ascii="Courier New" w:hAnsi="Courier New" w:cs="Courier New"/>
      </w:rPr>
    </w:lvl>
    <w:lvl w:ilvl="8" w:tplc="08090005" w:tentative="1">
      <w:start w:val="1"/>
      <w:numFmt w:val="bullet"/>
      <w:lvlText w:val=""/>
      <w:lvlJc w:val="left"/>
      <w:pPr>
        <w:ind w:left="3981" w:hanging="360"/>
      </w:pPr>
      <w:rPr>
        <w:rFonts w:hint="default" w:ascii="Wingdings" w:hAnsi="Wingdings"/>
      </w:rPr>
    </w:lvl>
  </w:abstractNum>
  <w:abstractNum w:abstractNumId="14" w15:restartNumberingAfterBreak="0">
    <w:nsid w:val="215C7DDE"/>
    <w:multiLevelType w:val="hybridMultilevel"/>
    <w:tmpl w:val="E5266CD2"/>
    <w:lvl w:ilvl="0" w:tplc="0C090001">
      <w:start w:val="1"/>
      <w:numFmt w:val="bullet"/>
      <w:lvlText w:val=""/>
      <w:lvlJc w:val="left"/>
      <w:pPr>
        <w:ind w:left="1287"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15" w15:restartNumberingAfterBreak="0">
    <w:nsid w:val="21A8ECB1"/>
    <w:multiLevelType w:val="hybridMultilevel"/>
    <w:tmpl w:val="FFFFFFFF"/>
    <w:lvl w:ilvl="0" w:tplc="26C6CC3C">
      <w:start w:val="1"/>
      <w:numFmt w:val="decimal"/>
      <w:pStyle w:val="RecDotPoint"/>
      <w:lvlText w:val="%1."/>
      <w:lvlJc w:val="left"/>
      <w:pPr>
        <w:ind w:left="720" w:hanging="360"/>
      </w:pPr>
    </w:lvl>
    <w:lvl w:ilvl="1" w:tplc="B1F2223C">
      <w:start w:val="1"/>
      <w:numFmt w:val="lowerLetter"/>
      <w:lvlText w:val="%2."/>
      <w:lvlJc w:val="left"/>
      <w:pPr>
        <w:ind w:left="1440" w:hanging="360"/>
      </w:pPr>
    </w:lvl>
    <w:lvl w:ilvl="2" w:tplc="DFF2EA02">
      <w:start w:val="1"/>
      <w:numFmt w:val="lowerRoman"/>
      <w:lvlText w:val="%3."/>
      <w:lvlJc w:val="right"/>
      <w:pPr>
        <w:ind w:left="2160" w:hanging="180"/>
      </w:pPr>
    </w:lvl>
    <w:lvl w:ilvl="3" w:tplc="E558F3A0">
      <w:start w:val="1"/>
      <w:numFmt w:val="decimal"/>
      <w:lvlText w:val="%4."/>
      <w:lvlJc w:val="left"/>
      <w:pPr>
        <w:ind w:left="2880" w:hanging="360"/>
      </w:pPr>
    </w:lvl>
    <w:lvl w:ilvl="4" w:tplc="F0CEB8E6">
      <w:start w:val="1"/>
      <w:numFmt w:val="lowerLetter"/>
      <w:lvlText w:val="%5."/>
      <w:lvlJc w:val="left"/>
      <w:pPr>
        <w:ind w:left="3600" w:hanging="360"/>
      </w:pPr>
    </w:lvl>
    <w:lvl w:ilvl="5" w:tplc="D7626670">
      <w:start w:val="1"/>
      <w:numFmt w:val="lowerRoman"/>
      <w:lvlText w:val="%6."/>
      <w:lvlJc w:val="right"/>
      <w:pPr>
        <w:ind w:left="4320" w:hanging="180"/>
      </w:pPr>
    </w:lvl>
    <w:lvl w:ilvl="6" w:tplc="4182A5E4">
      <w:start w:val="1"/>
      <w:numFmt w:val="decimal"/>
      <w:lvlText w:val="%7."/>
      <w:lvlJc w:val="left"/>
      <w:pPr>
        <w:ind w:left="5040" w:hanging="360"/>
      </w:pPr>
    </w:lvl>
    <w:lvl w:ilvl="7" w:tplc="A85C47D0">
      <w:start w:val="1"/>
      <w:numFmt w:val="lowerLetter"/>
      <w:lvlText w:val="%8."/>
      <w:lvlJc w:val="left"/>
      <w:pPr>
        <w:ind w:left="5760" w:hanging="360"/>
      </w:pPr>
    </w:lvl>
    <w:lvl w:ilvl="8" w:tplc="64B28464">
      <w:start w:val="1"/>
      <w:numFmt w:val="lowerRoman"/>
      <w:lvlText w:val="%9."/>
      <w:lvlJc w:val="right"/>
      <w:pPr>
        <w:ind w:left="6480" w:hanging="180"/>
      </w:pPr>
    </w:lvl>
  </w:abstractNum>
  <w:abstractNum w:abstractNumId="16" w15:restartNumberingAfterBreak="0">
    <w:nsid w:val="232D2E7A"/>
    <w:multiLevelType w:val="multilevel"/>
    <w:tmpl w:val="513CC8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52D5ED9"/>
    <w:multiLevelType w:val="multilevel"/>
    <w:tmpl w:val="C77C97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7331660"/>
    <w:multiLevelType w:val="hybridMultilevel"/>
    <w:tmpl w:val="4B380330"/>
    <w:lvl w:ilvl="0" w:tplc="0E74F980">
      <w:numFmt w:val="bullet"/>
      <w:lvlText w:val=""/>
      <w:lvlJc w:val="left"/>
      <w:pPr>
        <w:ind w:left="720" w:hanging="360"/>
      </w:pPr>
      <w:rPr>
        <w:rFonts w:hint="default" w:ascii="Symbol" w:hAnsi="Symbol" w:eastAsia="Times New Roman"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28AC7E23"/>
    <w:multiLevelType w:val="multilevel"/>
    <w:tmpl w:val="C5B095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B285CA3"/>
    <w:multiLevelType w:val="multilevel"/>
    <w:tmpl w:val="60086E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2" w15:restartNumberingAfterBreak="0">
    <w:nsid w:val="2F1C0E73"/>
    <w:multiLevelType w:val="hybridMultilevel"/>
    <w:tmpl w:val="7F069064"/>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3336D4E7"/>
    <w:multiLevelType w:val="hybridMultilevel"/>
    <w:tmpl w:val="FFFFFFFF"/>
    <w:lvl w:ilvl="0" w:tplc="8F24F7EC">
      <w:start w:val="1"/>
      <w:numFmt w:val="bullet"/>
      <w:lvlText w:val=""/>
      <w:lvlJc w:val="left"/>
      <w:pPr>
        <w:ind w:left="720" w:hanging="360"/>
      </w:pPr>
      <w:rPr>
        <w:rFonts w:hint="default" w:ascii="Symbol" w:hAnsi="Symbol"/>
      </w:rPr>
    </w:lvl>
    <w:lvl w:ilvl="1" w:tplc="E1AC16A6">
      <w:start w:val="1"/>
      <w:numFmt w:val="bullet"/>
      <w:lvlText w:val="o"/>
      <w:lvlJc w:val="left"/>
      <w:pPr>
        <w:ind w:left="1440" w:hanging="360"/>
      </w:pPr>
      <w:rPr>
        <w:rFonts w:hint="default" w:ascii="Courier New" w:hAnsi="Courier New"/>
      </w:rPr>
    </w:lvl>
    <w:lvl w:ilvl="2" w:tplc="2C5E9656">
      <w:start w:val="1"/>
      <w:numFmt w:val="bullet"/>
      <w:lvlText w:val=""/>
      <w:lvlJc w:val="left"/>
      <w:pPr>
        <w:ind w:left="2160" w:hanging="360"/>
      </w:pPr>
      <w:rPr>
        <w:rFonts w:hint="default" w:ascii="Wingdings" w:hAnsi="Wingdings"/>
      </w:rPr>
    </w:lvl>
    <w:lvl w:ilvl="3" w:tplc="CF3CBFAE">
      <w:start w:val="1"/>
      <w:numFmt w:val="bullet"/>
      <w:lvlText w:val=""/>
      <w:lvlJc w:val="left"/>
      <w:pPr>
        <w:ind w:left="2880" w:hanging="360"/>
      </w:pPr>
      <w:rPr>
        <w:rFonts w:hint="default" w:ascii="Symbol" w:hAnsi="Symbol"/>
      </w:rPr>
    </w:lvl>
    <w:lvl w:ilvl="4" w:tplc="0054EA4E">
      <w:start w:val="1"/>
      <w:numFmt w:val="bullet"/>
      <w:lvlText w:val="o"/>
      <w:lvlJc w:val="left"/>
      <w:pPr>
        <w:ind w:left="3600" w:hanging="360"/>
      </w:pPr>
      <w:rPr>
        <w:rFonts w:hint="default" w:ascii="Courier New" w:hAnsi="Courier New"/>
      </w:rPr>
    </w:lvl>
    <w:lvl w:ilvl="5" w:tplc="6284CE78">
      <w:start w:val="1"/>
      <w:numFmt w:val="bullet"/>
      <w:lvlText w:val=""/>
      <w:lvlJc w:val="left"/>
      <w:pPr>
        <w:ind w:left="4320" w:hanging="360"/>
      </w:pPr>
      <w:rPr>
        <w:rFonts w:hint="default" w:ascii="Wingdings" w:hAnsi="Wingdings"/>
      </w:rPr>
    </w:lvl>
    <w:lvl w:ilvl="6" w:tplc="9132BE44">
      <w:start w:val="1"/>
      <w:numFmt w:val="bullet"/>
      <w:lvlText w:val=""/>
      <w:lvlJc w:val="left"/>
      <w:pPr>
        <w:ind w:left="5040" w:hanging="360"/>
      </w:pPr>
      <w:rPr>
        <w:rFonts w:hint="default" w:ascii="Symbol" w:hAnsi="Symbol"/>
      </w:rPr>
    </w:lvl>
    <w:lvl w:ilvl="7" w:tplc="B02CFF38">
      <w:start w:val="1"/>
      <w:numFmt w:val="bullet"/>
      <w:lvlText w:val="o"/>
      <w:lvlJc w:val="left"/>
      <w:pPr>
        <w:ind w:left="5760" w:hanging="360"/>
      </w:pPr>
      <w:rPr>
        <w:rFonts w:hint="default" w:ascii="Courier New" w:hAnsi="Courier New"/>
      </w:rPr>
    </w:lvl>
    <w:lvl w:ilvl="8" w:tplc="B1AA5332">
      <w:start w:val="1"/>
      <w:numFmt w:val="bullet"/>
      <w:lvlText w:val=""/>
      <w:lvlJc w:val="left"/>
      <w:pPr>
        <w:ind w:left="6480" w:hanging="360"/>
      </w:pPr>
      <w:rPr>
        <w:rFonts w:hint="default" w:ascii="Wingdings" w:hAnsi="Wingdings"/>
      </w:rPr>
    </w:lvl>
  </w:abstractNum>
  <w:abstractNum w:abstractNumId="24" w15:restartNumberingAfterBreak="0">
    <w:nsid w:val="3347727E"/>
    <w:multiLevelType w:val="multilevel"/>
    <w:tmpl w:val="2B8853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3367D119"/>
    <w:multiLevelType w:val="hybridMultilevel"/>
    <w:tmpl w:val="FFFFFFFF"/>
    <w:lvl w:ilvl="0" w:tplc="C9F69064">
      <w:start w:val="1"/>
      <w:numFmt w:val="bullet"/>
      <w:lvlText w:val=""/>
      <w:lvlJc w:val="left"/>
      <w:pPr>
        <w:ind w:left="1140" w:hanging="360"/>
      </w:pPr>
      <w:rPr>
        <w:rFonts w:hint="default" w:ascii="Symbol" w:hAnsi="Symbol"/>
      </w:rPr>
    </w:lvl>
    <w:lvl w:ilvl="1" w:tplc="EEEA3B40">
      <w:start w:val="1"/>
      <w:numFmt w:val="bullet"/>
      <w:lvlText w:val="o"/>
      <w:lvlJc w:val="left"/>
      <w:pPr>
        <w:ind w:left="1860" w:hanging="360"/>
      </w:pPr>
      <w:rPr>
        <w:rFonts w:hint="default" w:ascii="Courier New" w:hAnsi="Courier New"/>
      </w:rPr>
    </w:lvl>
    <w:lvl w:ilvl="2" w:tplc="744CF232">
      <w:start w:val="1"/>
      <w:numFmt w:val="bullet"/>
      <w:lvlText w:val=""/>
      <w:lvlJc w:val="left"/>
      <w:pPr>
        <w:ind w:left="2580" w:hanging="360"/>
      </w:pPr>
      <w:rPr>
        <w:rFonts w:hint="default" w:ascii="Wingdings" w:hAnsi="Wingdings"/>
      </w:rPr>
    </w:lvl>
    <w:lvl w:ilvl="3" w:tplc="04464A8E">
      <w:start w:val="1"/>
      <w:numFmt w:val="bullet"/>
      <w:lvlText w:val=""/>
      <w:lvlJc w:val="left"/>
      <w:pPr>
        <w:ind w:left="3300" w:hanging="360"/>
      </w:pPr>
      <w:rPr>
        <w:rFonts w:hint="default" w:ascii="Symbol" w:hAnsi="Symbol"/>
      </w:rPr>
    </w:lvl>
    <w:lvl w:ilvl="4" w:tplc="ACBC3DBA">
      <w:start w:val="1"/>
      <w:numFmt w:val="bullet"/>
      <w:lvlText w:val="o"/>
      <w:lvlJc w:val="left"/>
      <w:pPr>
        <w:ind w:left="4020" w:hanging="360"/>
      </w:pPr>
      <w:rPr>
        <w:rFonts w:hint="default" w:ascii="Courier New" w:hAnsi="Courier New"/>
      </w:rPr>
    </w:lvl>
    <w:lvl w:ilvl="5" w:tplc="5EB23C5C">
      <w:start w:val="1"/>
      <w:numFmt w:val="bullet"/>
      <w:lvlText w:val=""/>
      <w:lvlJc w:val="left"/>
      <w:pPr>
        <w:ind w:left="4740" w:hanging="360"/>
      </w:pPr>
      <w:rPr>
        <w:rFonts w:hint="default" w:ascii="Wingdings" w:hAnsi="Wingdings"/>
      </w:rPr>
    </w:lvl>
    <w:lvl w:ilvl="6" w:tplc="1FB6DBAC">
      <w:start w:val="1"/>
      <w:numFmt w:val="bullet"/>
      <w:lvlText w:val=""/>
      <w:lvlJc w:val="left"/>
      <w:pPr>
        <w:ind w:left="5460" w:hanging="360"/>
      </w:pPr>
      <w:rPr>
        <w:rFonts w:hint="default" w:ascii="Symbol" w:hAnsi="Symbol"/>
      </w:rPr>
    </w:lvl>
    <w:lvl w:ilvl="7" w:tplc="D06AEAEE">
      <w:start w:val="1"/>
      <w:numFmt w:val="bullet"/>
      <w:lvlText w:val="o"/>
      <w:lvlJc w:val="left"/>
      <w:pPr>
        <w:ind w:left="6180" w:hanging="360"/>
      </w:pPr>
      <w:rPr>
        <w:rFonts w:hint="default" w:ascii="Courier New" w:hAnsi="Courier New"/>
      </w:rPr>
    </w:lvl>
    <w:lvl w:ilvl="8" w:tplc="3724A848">
      <w:start w:val="1"/>
      <w:numFmt w:val="bullet"/>
      <w:lvlText w:val=""/>
      <w:lvlJc w:val="left"/>
      <w:pPr>
        <w:ind w:left="6900" w:hanging="360"/>
      </w:pPr>
      <w:rPr>
        <w:rFonts w:hint="default" w:ascii="Wingdings" w:hAnsi="Wingdings"/>
      </w:rPr>
    </w:lvl>
  </w:abstractNum>
  <w:abstractNum w:abstractNumId="26" w15:restartNumberingAfterBreak="0">
    <w:nsid w:val="35E25ACA"/>
    <w:multiLevelType w:val="hybridMultilevel"/>
    <w:tmpl w:val="8D7C2FC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36371832"/>
    <w:multiLevelType w:val="hybridMultilevel"/>
    <w:tmpl w:val="56A2D9C2"/>
    <w:lvl w:ilvl="0" w:tplc="8076A17C">
      <w:start w:val="1"/>
      <w:numFmt w:val="decimal"/>
      <w:pStyle w:val="QUESTION"/>
      <w:lvlText w:val="%1."/>
      <w:lvlJc w:val="left"/>
      <w:pPr>
        <w:ind w:left="567" w:hanging="283"/>
      </w:pPr>
      <w:rPr>
        <w:rFonts w:hint="default"/>
      </w:rPr>
    </w:lvl>
    <w:lvl w:ilvl="1" w:tplc="8BA0E6D6">
      <w:start w:val="1"/>
      <w:numFmt w:val="bullet"/>
      <w:lvlText w:val="o"/>
      <w:lvlJc w:val="left"/>
      <w:pPr>
        <w:ind w:left="709" w:hanging="284"/>
      </w:pPr>
      <w:rPr>
        <w:rFonts w:hint="default" w:ascii="Courier New" w:hAnsi="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394D7EEF"/>
    <w:multiLevelType w:val="hybridMultilevel"/>
    <w:tmpl w:val="E98406B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40CA4883"/>
    <w:multiLevelType w:val="multilevel"/>
    <w:tmpl w:val="1D9643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42B63CA"/>
    <w:multiLevelType w:val="multilevel"/>
    <w:tmpl w:val="1256D7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44D726E4"/>
    <w:multiLevelType w:val="multilevel"/>
    <w:tmpl w:val="7856F9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452A108B"/>
    <w:multiLevelType w:val="multilevel"/>
    <w:tmpl w:val="C6D201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4D493BCD"/>
    <w:multiLevelType w:val="hybridMultilevel"/>
    <w:tmpl w:val="D8B2CE7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5" w15:restartNumberingAfterBreak="0">
    <w:nsid w:val="53BC1006"/>
    <w:multiLevelType w:val="multilevel"/>
    <w:tmpl w:val="06624526"/>
    <w:lvl w:ilvl="0">
      <w:start w:val="1"/>
      <w:numFmt w:val="decimal"/>
      <w:pStyle w:val="ExecBrief-Heading1"/>
      <w:lvlText w:val="%1."/>
      <w:lvlJc w:val="left"/>
      <w:pPr>
        <w:tabs>
          <w:tab w:val="num" w:pos="680"/>
        </w:tabs>
        <w:ind w:left="680" w:hanging="680"/>
      </w:pPr>
      <w:rPr>
        <w:b/>
        <w:bCs w:val="0"/>
      </w:rPr>
    </w:lvl>
    <w:lvl w:ilvl="1">
      <w:start w:val="1"/>
      <w:numFmt w:val="decimal"/>
      <w:pStyle w:val="ExecBrief-Heading2"/>
      <w:lvlText w:val="%1.%2."/>
      <w:lvlJc w:val="left"/>
      <w:pPr>
        <w:tabs>
          <w:tab w:val="num" w:pos="1673"/>
        </w:tabs>
        <w:ind w:left="1673" w:hanging="680"/>
      </w:pPr>
      <w:rPr>
        <w:b w:val="0"/>
      </w:rPr>
    </w:lvl>
    <w:lvl w:ilvl="2">
      <w:start w:val="1"/>
      <w:numFmt w:val="lowerLetter"/>
      <w:pStyle w:val="ExecBrief-Heading3"/>
      <w:lvlText w:val="%3."/>
      <w:lvlJc w:val="left"/>
      <w:pPr>
        <w:tabs>
          <w:tab w:val="num" w:pos="1361"/>
        </w:tabs>
        <w:ind w:left="1361" w:hanging="681"/>
      </w:pPr>
      <w:rPr>
        <w:rFonts w:hint="default" w:ascii="Arial" w:hAnsi="Arial" w:cs="Arial"/>
        <w:b w:val="0"/>
        <w:i w:val="0"/>
        <w:sz w:val="24"/>
        <w:szCs w:val="24"/>
      </w:rPr>
    </w:lvl>
    <w:lvl w:ilvl="3">
      <w:start w:val="1"/>
      <w:numFmt w:val="lowerRoman"/>
      <w:pStyle w:val="ExecBrief-Heading4"/>
      <w:lvlText w:val="%4."/>
      <w:lvlJc w:val="left"/>
      <w:pPr>
        <w:tabs>
          <w:tab w:val="num" w:pos="2041"/>
        </w:tabs>
        <w:ind w:left="2041" w:hanging="680"/>
      </w:pPr>
      <w:rPr>
        <w:i w:val="0"/>
      </w:rPr>
    </w:lvl>
    <w:lvl w:ilvl="4">
      <w:start w:val="1"/>
      <w:numFmt w:val="decimal"/>
      <w:pStyle w:val="ExecBrief-Heading5"/>
      <w:lvlText w:val="%5."/>
      <w:lvlJc w:val="left"/>
      <w:pPr>
        <w:tabs>
          <w:tab w:val="num" w:pos="2722"/>
        </w:tabs>
        <w:ind w:left="2722" w:hanging="681"/>
      </w:pPr>
    </w:lvl>
    <w:lvl w:ilvl="5">
      <w:start w:val="1"/>
      <w:numFmt w:val="bullet"/>
      <w:lvlText w:val=""/>
      <w:lvlJc w:val="left"/>
      <w:pPr>
        <w:tabs>
          <w:tab w:val="num" w:pos="3402"/>
        </w:tabs>
        <w:ind w:left="3402" w:hanging="680"/>
      </w:pPr>
      <w:rPr>
        <w:rFonts w:hint="default" w:ascii="Symbol" w:hAnsi="Symbol"/>
        <w:color w:val="auto"/>
      </w:rPr>
    </w:lvl>
    <w:lvl w:ilvl="6">
      <w:start w:val="1"/>
      <w:numFmt w:val="bullet"/>
      <w:lvlText w:val=""/>
      <w:lvlJc w:val="left"/>
      <w:pPr>
        <w:tabs>
          <w:tab w:val="num" w:pos="4082"/>
        </w:tabs>
        <w:ind w:left="4082" w:hanging="680"/>
      </w:pPr>
      <w:rPr>
        <w:rFonts w:hint="default" w:ascii="Symbol" w:hAnsi="Symbol"/>
        <w:color w:val="auto"/>
      </w:rPr>
    </w:lvl>
    <w:lvl w:ilvl="7">
      <w:start w:val="1"/>
      <w:numFmt w:val="bullet"/>
      <w:lvlText w:val=""/>
      <w:lvlJc w:val="left"/>
      <w:pPr>
        <w:tabs>
          <w:tab w:val="num" w:pos="4763"/>
        </w:tabs>
        <w:ind w:left="4763" w:hanging="681"/>
      </w:pPr>
      <w:rPr>
        <w:rFonts w:hint="default" w:ascii="Symbol" w:hAnsi="Symbol"/>
        <w:color w:val="auto"/>
      </w:rPr>
    </w:lvl>
    <w:lvl w:ilvl="8">
      <w:start w:val="1"/>
      <w:numFmt w:val="bullet"/>
      <w:lvlText w:val=""/>
      <w:lvlJc w:val="left"/>
      <w:pPr>
        <w:tabs>
          <w:tab w:val="num" w:pos="5443"/>
        </w:tabs>
        <w:ind w:left="5443" w:hanging="680"/>
      </w:pPr>
      <w:rPr>
        <w:rFonts w:hint="default" w:ascii="Symbol" w:hAnsi="Symbol"/>
        <w:color w:val="auto"/>
      </w:rPr>
    </w:lvl>
  </w:abstractNum>
  <w:abstractNum w:abstractNumId="36" w15:restartNumberingAfterBreak="0">
    <w:nsid w:val="604214F7"/>
    <w:multiLevelType w:val="multilevel"/>
    <w:tmpl w:val="0E7AC8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CF96163"/>
    <w:multiLevelType w:val="hybridMultilevel"/>
    <w:tmpl w:val="729C4754"/>
    <w:lvl w:ilvl="0" w:tplc="FFFFFFFF">
      <w:start w:val="1"/>
      <w:numFmt w:val="lowerLetter"/>
      <w:lvlText w:val="%1."/>
      <w:lvlJc w:val="left"/>
      <w:pPr>
        <w:ind w:left="1400" w:hanging="360"/>
      </w:pPr>
    </w:lvl>
    <w:lvl w:ilvl="1" w:tplc="0C09001B">
      <w:start w:val="1"/>
      <w:numFmt w:val="lowerRoman"/>
      <w:lvlText w:val="%2."/>
      <w:lvlJc w:val="right"/>
      <w:pPr>
        <w:ind w:left="2120" w:hanging="360"/>
      </w:p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38" w15:restartNumberingAfterBreak="0">
    <w:nsid w:val="6F8D47C0"/>
    <w:multiLevelType w:val="multilevel"/>
    <w:tmpl w:val="B5D893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0" w15:restartNumberingAfterBreak="0">
    <w:nsid w:val="7EA2F431"/>
    <w:multiLevelType w:val="hybridMultilevel"/>
    <w:tmpl w:val="FFFFFFFF"/>
    <w:lvl w:ilvl="0" w:tplc="8B3A9B5C">
      <w:start w:val="1"/>
      <w:numFmt w:val="bullet"/>
      <w:lvlText w:val=""/>
      <w:lvlJc w:val="left"/>
      <w:pPr>
        <w:ind w:left="720" w:hanging="360"/>
      </w:pPr>
      <w:rPr>
        <w:rFonts w:hint="default" w:ascii="Symbol" w:hAnsi="Symbol"/>
      </w:rPr>
    </w:lvl>
    <w:lvl w:ilvl="1" w:tplc="8EFA9FE2">
      <w:start w:val="1"/>
      <w:numFmt w:val="bullet"/>
      <w:lvlText w:val="o"/>
      <w:lvlJc w:val="left"/>
      <w:pPr>
        <w:ind w:left="1440" w:hanging="360"/>
      </w:pPr>
      <w:rPr>
        <w:rFonts w:hint="default" w:ascii="Courier New" w:hAnsi="Courier New"/>
      </w:rPr>
    </w:lvl>
    <w:lvl w:ilvl="2" w:tplc="155CEB08">
      <w:start w:val="1"/>
      <w:numFmt w:val="bullet"/>
      <w:lvlText w:val=""/>
      <w:lvlJc w:val="left"/>
      <w:pPr>
        <w:ind w:left="2160" w:hanging="360"/>
      </w:pPr>
      <w:rPr>
        <w:rFonts w:hint="default" w:ascii="Wingdings" w:hAnsi="Wingdings"/>
      </w:rPr>
    </w:lvl>
    <w:lvl w:ilvl="3" w:tplc="34CA83CC">
      <w:start w:val="1"/>
      <w:numFmt w:val="bullet"/>
      <w:lvlText w:val=""/>
      <w:lvlJc w:val="left"/>
      <w:pPr>
        <w:ind w:left="2880" w:hanging="360"/>
      </w:pPr>
      <w:rPr>
        <w:rFonts w:hint="default" w:ascii="Symbol" w:hAnsi="Symbol"/>
      </w:rPr>
    </w:lvl>
    <w:lvl w:ilvl="4" w:tplc="C1F800C2">
      <w:start w:val="1"/>
      <w:numFmt w:val="bullet"/>
      <w:lvlText w:val="o"/>
      <w:lvlJc w:val="left"/>
      <w:pPr>
        <w:ind w:left="3600" w:hanging="360"/>
      </w:pPr>
      <w:rPr>
        <w:rFonts w:hint="default" w:ascii="Courier New" w:hAnsi="Courier New"/>
      </w:rPr>
    </w:lvl>
    <w:lvl w:ilvl="5" w:tplc="7FEC0BBC">
      <w:start w:val="1"/>
      <w:numFmt w:val="bullet"/>
      <w:lvlText w:val=""/>
      <w:lvlJc w:val="left"/>
      <w:pPr>
        <w:ind w:left="4320" w:hanging="360"/>
      </w:pPr>
      <w:rPr>
        <w:rFonts w:hint="default" w:ascii="Wingdings" w:hAnsi="Wingdings"/>
      </w:rPr>
    </w:lvl>
    <w:lvl w:ilvl="6" w:tplc="A4B077D8">
      <w:start w:val="1"/>
      <w:numFmt w:val="bullet"/>
      <w:lvlText w:val=""/>
      <w:lvlJc w:val="left"/>
      <w:pPr>
        <w:ind w:left="5040" w:hanging="360"/>
      </w:pPr>
      <w:rPr>
        <w:rFonts w:hint="default" w:ascii="Symbol" w:hAnsi="Symbol"/>
      </w:rPr>
    </w:lvl>
    <w:lvl w:ilvl="7" w:tplc="08560CBC">
      <w:start w:val="1"/>
      <w:numFmt w:val="bullet"/>
      <w:lvlText w:val="o"/>
      <w:lvlJc w:val="left"/>
      <w:pPr>
        <w:ind w:left="5760" w:hanging="360"/>
      </w:pPr>
      <w:rPr>
        <w:rFonts w:hint="default" w:ascii="Courier New" w:hAnsi="Courier New"/>
      </w:rPr>
    </w:lvl>
    <w:lvl w:ilvl="8" w:tplc="036A4752">
      <w:start w:val="1"/>
      <w:numFmt w:val="bullet"/>
      <w:lvlText w:val=""/>
      <w:lvlJc w:val="left"/>
      <w:pPr>
        <w:ind w:left="6480" w:hanging="360"/>
      </w:pPr>
      <w:rPr>
        <w:rFonts w:hint="default" w:ascii="Wingdings" w:hAnsi="Wingdings"/>
      </w:rPr>
    </w:lvl>
  </w:abstractNum>
  <w:abstractNum w:abstractNumId="41" w15:restartNumberingAfterBreak="0">
    <w:nsid w:val="7EDF7D93"/>
    <w:multiLevelType w:val="hybridMultilevel"/>
    <w:tmpl w:val="632034C4"/>
    <w:lvl w:ilvl="0" w:tplc="0C09001B">
      <w:start w:val="1"/>
      <w:numFmt w:val="lowerRoman"/>
      <w:lvlText w:val="%1."/>
      <w:lvlJc w:val="right"/>
      <w:pPr>
        <w:ind w:left="2120" w:hanging="360"/>
      </w:pPr>
    </w:lvl>
    <w:lvl w:ilvl="1" w:tplc="0C090019" w:tentative="1">
      <w:start w:val="1"/>
      <w:numFmt w:val="lowerLetter"/>
      <w:lvlText w:val="%2."/>
      <w:lvlJc w:val="left"/>
      <w:pPr>
        <w:ind w:left="2840" w:hanging="360"/>
      </w:pPr>
    </w:lvl>
    <w:lvl w:ilvl="2" w:tplc="0C09001B" w:tentative="1">
      <w:start w:val="1"/>
      <w:numFmt w:val="lowerRoman"/>
      <w:lvlText w:val="%3."/>
      <w:lvlJc w:val="right"/>
      <w:pPr>
        <w:ind w:left="3560" w:hanging="180"/>
      </w:pPr>
    </w:lvl>
    <w:lvl w:ilvl="3" w:tplc="0C09000F" w:tentative="1">
      <w:start w:val="1"/>
      <w:numFmt w:val="decimal"/>
      <w:lvlText w:val="%4."/>
      <w:lvlJc w:val="left"/>
      <w:pPr>
        <w:ind w:left="4280" w:hanging="360"/>
      </w:pPr>
    </w:lvl>
    <w:lvl w:ilvl="4" w:tplc="0C090019" w:tentative="1">
      <w:start w:val="1"/>
      <w:numFmt w:val="lowerLetter"/>
      <w:lvlText w:val="%5."/>
      <w:lvlJc w:val="left"/>
      <w:pPr>
        <w:ind w:left="5000" w:hanging="360"/>
      </w:pPr>
    </w:lvl>
    <w:lvl w:ilvl="5" w:tplc="0C09001B" w:tentative="1">
      <w:start w:val="1"/>
      <w:numFmt w:val="lowerRoman"/>
      <w:lvlText w:val="%6."/>
      <w:lvlJc w:val="right"/>
      <w:pPr>
        <w:ind w:left="5720" w:hanging="180"/>
      </w:pPr>
    </w:lvl>
    <w:lvl w:ilvl="6" w:tplc="0C09000F" w:tentative="1">
      <w:start w:val="1"/>
      <w:numFmt w:val="decimal"/>
      <w:lvlText w:val="%7."/>
      <w:lvlJc w:val="left"/>
      <w:pPr>
        <w:ind w:left="6440" w:hanging="360"/>
      </w:pPr>
    </w:lvl>
    <w:lvl w:ilvl="7" w:tplc="0C090019" w:tentative="1">
      <w:start w:val="1"/>
      <w:numFmt w:val="lowerLetter"/>
      <w:lvlText w:val="%8."/>
      <w:lvlJc w:val="left"/>
      <w:pPr>
        <w:ind w:left="7160" w:hanging="360"/>
      </w:pPr>
    </w:lvl>
    <w:lvl w:ilvl="8" w:tplc="0C09001B" w:tentative="1">
      <w:start w:val="1"/>
      <w:numFmt w:val="lowerRoman"/>
      <w:lvlText w:val="%9."/>
      <w:lvlJc w:val="right"/>
      <w:pPr>
        <w:ind w:left="7880" w:hanging="180"/>
      </w:pPr>
    </w:lvl>
  </w:abstractNum>
  <w:num w:numId="1" w16cid:durableId="862402279">
    <w:abstractNumId w:val="8"/>
  </w:num>
  <w:num w:numId="2" w16cid:durableId="1991639433">
    <w:abstractNumId w:val="13"/>
  </w:num>
  <w:num w:numId="3" w16cid:durableId="1731490631">
    <w:abstractNumId w:val="33"/>
  </w:num>
  <w:num w:numId="4" w16cid:durableId="739518056">
    <w:abstractNumId w:val="39"/>
  </w:num>
  <w:num w:numId="5" w16cid:durableId="145901810">
    <w:abstractNumId w:val="21"/>
  </w:num>
  <w:num w:numId="6" w16cid:durableId="2084796931">
    <w:abstractNumId w:val="10"/>
  </w:num>
  <w:num w:numId="7" w16cid:durableId="1588542531">
    <w:abstractNumId w:val="18"/>
  </w:num>
  <w:num w:numId="8" w16cid:durableId="1326855418">
    <w:abstractNumId w:val="6"/>
  </w:num>
  <w:num w:numId="9" w16cid:durableId="1619601461">
    <w:abstractNumId w:val="26"/>
  </w:num>
  <w:num w:numId="10" w16cid:durableId="1549030878">
    <w:abstractNumId w:val="5"/>
  </w:num>
  <w:num w:numId="11" w16cid:durableId="2063170462">
    <w:abstractNumId w:val="4"/>
  </w:num>
  <w:num w:numId="12" w16cid:durableId="982007725">
    <w:abstractNumId w:val="15"/>
  </w:num>
  <w:num w:numId="13" w16cid:durableId="1301687664">
    <w:abstractNumId w:val="27"/>
  </w:num>
  <w:num w:numId="14" w16cid:durableId="1964188379">
    <w:abstractNumId w:val="22"/>
  </w:num>
  <w:num w:numId="15" w16cid:durableId="487982726">
    <w:abstractNumId w:val="11"/>
  </w:num>
  <w:num w:numId="16" w16cid:durableId="234631357">
    <w:abstractNumId w:val="40"/>
  </w:num>
  <w:num w:numId="17" w16cid:durableId="1240139549">
    <w:abstractNumId w:val="0"/>
  </w:num>
  <w:num w:numId="18" w16cid:durableId="169609132">
    <w:abstractNumId w:val="12"/>
  </w:num>
  <w:num w:numId="19" w16cid:durableId="1817719028">
    <w:abstractNumId w:val="38"/>
  </w:num>
  <w:num w:numId="20" w16cid:durableId="110629620">
    <w:abstractNumId w:val="31"/>
  </w:num>
  <w:num w:numId="21" w16cid:durableId="1086540465">
    <w:abstractNumId w:val="32"/>
  </w:num>
  <w:num w:numId="22" w16cid:durableId="1601141829">
    <w:abstractNumId w:val="25"/>
  </w:num>
  <w:num w:numId="23" w16cid:durableId="1132134808">
    <w:abstractNumId w:val="23"/>
  </w:num>
  <w:num w:numId="24" w16cid:durableId="1936091346">
    <w:abstractNumId w:val="17"/>
  </w:num>
  <w:num w:numId="25" w16cid:durableId="723600305">
    <w:abstractNumId w:val="1"/>
  </w:num>
  <w:num w:numId="26" w16cid:durableId="1108163949">
    <w:abstractNumId w:val="19"/>
  </w:num>
  <w:num w:numId="27" w16cid:durableId="959726874">
    <w:abstractNumId w:val="24"/>
  </w:num>
  <w:num w:numId="28" w16cid:durableId="460343409">
    <w:abstractNumId w:val="30"/>
  </w:num>
  <w:num w:numId="29" w16cid:durableId="919681148">
    <w:abstractNumId w:val="36"/>
  </w:num>
  <w:num w:numId="30" w16cid:durableId="2099402185">
    <w:abstractNumId w:val="20"/>
  </w:num>
  <w:num w:numId="31" w16cid:durableId="1629968177">
    <w:abstractNumId w:val="29"/>
  </w:num>
  <w:num w:numId="32" w16cid:durableId="1908495939">
    <w:abstractNumId w:val="2"/>
  </w:num>
  <w:num w:numId="33" w16cid:durableId="265968048">
    <w:abstractNumId w:val="9"/>
  </w:num>
  <w:num w:numId="34" w16cid:durableId="872381812">
    <w:abstractNumId w:val="3"/>
  </w:num>
  <w:num w:numId="35" w16cid:durableId="1333725567">
    <w:abstractNumId w:val="16"/>
  </w:num>
  <w:num w:numId="36" w16cid:durableId="1371613981">
    <w:abstractNumId w:val="37"/>
  </w:num>
  <w:num w:numId="37" w16cid:durableId="230234486">
    <w:abstractNumId w:val="41"/>
  </w:num>
  <w:num w:numId="38" w16cid:durableId="4343731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381404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40" w16cid:durableId="1027221857">
    <w:abstractNumId w:val="28"/>
  </w:num>
  <w:num w:numId="41" w16cid:durableId="1828789741">
    <w:abstractNumId w:val="34"/>
  </w:num>
  <w:num w:numId="42" w16cid:durableId="784471471">
    <w:abstractNumId w:val="14"/>
  </w:num>
  <w:num w:numId="43" w16cid:durableId="1299260685">
    <w:abstractNumId w:val="7"/>
  </w:num>
  <w:numIdMacAtCleanup w:val="4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1"/>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E33"/>
    <w:rsid w:val="00000104"/>
    <w:rsid w:val="000001A8"/>
    <w:rsid w:val="0000022E"/>
    <w:rsid w:val="000003EE"/>
    <w:rsid w:val="00000516"/>
    <w:rsid w:val="000005E0"/>
    <w:rsid w:val="0000064A"/>
    <w:rsid w:val="00000A0A"/>
    <w:rsid w:val="00000A26"/>
    <w:rsid w:val="00000F0F"/>
    <w:rsid w:val="00000F57"/>
    <w:rsid w:val="00000F70"/>
    <w:rsid w:val="00001193"/>
    <w:rsid w:val="00001194"/>
    <w:rsid w:val="00001195"/>
    <w:rsid w:val="000011DB"/>
    <w:rsid w:val="0000143E"/>
    <w:rsid w:val="0000161F"/>
    <w:rsid w:val="0000163F"/>
    <w:rsid w:val="000016BB"/>
    <w:rsid w:val="000016DC"/>
    <w:rsid w:val="000016F0"/>
    <w:rsid w:val="00001891"/>
    <w:rsid w:val="000018C7"/>
    <w:rsid w:val="00001990"/>
    <w:rsid w:val="00001AF2"/>
    <w:rsid w:val="00001B97"/>
    <w:rsid w:val="00001BB7"/>
    <w:rsid w:val="00002020"/>
    <w:rsid w:val="000020FA"/>
    <w:rsid w:val="000021A9"/>
    <w:rsid w:val="00002353"/>
    <w:rsid w:val="00002356"/>
    <w:rsid w:val="00002443"/>
    <w:rsid w:val="000024EB"/>
    <w:rsid w:val="00002669"/>
    <w:rsid w:val="0000271A"/>
    <w:rsid w:val="000027C2"/>
    <w:rsid w:val="000028AF"/>
    <w:rsid w:val="000028B4"/>
    <w:rsid w:val="000028DC"/>
    <w:rsid w:val="0000292B"/>
    <w:rsid w:val="00002967"/>
    <w:rsid w:val="00002AC9"/>
    <w:rsid w:val="00002D56"/>
    <w:rsid w:val="00002F68"/>
    <w:rsid w:val="00002F70"/>
    <w:rsid w:val="00002F7C"/>
    <w:rsid w:val="00002FD8"/>
    <w:rsid w:val="00003027"/>
    <w:rsid w:val="00003080"/>
    <w:rsid w:val="00003193"/>
    <w:rsid w:val="000032B6"/>
    <w:rsid w:val="000033D0"/>
    <w:rsid w:val="00003412"/>
    <w:rsid w:val="0000342C"/>
    <w:rsid w:val="000037C7"/>
    <w:rsid w:val="00003B54"/>
    <w:rsid w:val="00003B6E"/>
    <w:rsid w:val="00003F82"/>
    <w:rsid w:val="00003FA9"/>
    <w:rsid w:val="000040A2"/>
    <w:rsid w:val="000041BA"/>
    <w:rsid w:val="0000443F"/>
    <w:rsid w:val="00004497"/>
    <w:rsid w:val="0000450E"/>
    <w:rsid w:val="00004593"/>
    <w:rsid w:val="00004A81"/>
    <w:rsid w:val="00004B3E"/>
    <w:rsid w:val="00004BBE"/>
    <w:rsid w:val="00004D4B"/>
    <w:rsid w:val="00004E22"/>
    <w:rsid w:val="00004FC4"/>
    <w:rsid w:val="00005054"/>
    <w:rsid w:val="000051C9"/>
    <w:rsid w:val="000052A3"/>
    <w:rsid w:val="0000543E"/>
    <w:rsid w:val="000055A8"/>
    <w:rsid w:val="000055CB"/>
    <w:rsid w:val="000055F8"/>
    <w:rsid w:val="000057B2"/>
    <w:rsid w:val="00005D11"/>
    <w:rsid w:val="00006109"/>
    <w:rsid w:val="00006273"/>
    <w:rsid w:val="0000629C"/>
    <w:rsid w:val="00006368"/>
    <w:rsid w:val="000063E9"/>
    <w:rsid w:val="000064F8"/>
    <w:rsid w:val="000066EF"/>
    <w:rsid w:val="000067BA"/>
    <w:rsid w:val="00006BD7"/>
    <w:rsid w:val="00006E20"/>
    <w:rsid w:val="00006E5D"/>
    <w:rsid w:val="00006F42"/>
    <w:rsid w:val="00006FEC"/>
    <w:rsid w:val="00007440"/>
    <w:rsid w:val="00007534"/>
    <w:rsid w:val="00007578"/>
    <w:rsid w:val="000076AB"/>
    <w:rsid w:val="00007827"/>
    <w:rsid w:val="00007A03"/>
    <w:rsid w:val="00007ADD"/>
    <w:rsid w:val="00007B8D"/>
    <w:rsid w:val="00007C02"/>
    <w:rsid w:val="00007DA5"/>
    <w:rsid w:val="00007F8B"/>
    <w:rsid w:val="00007FA0"/>
    <w:rsid w:val="000100BF"/>
    <w:rsid w:val="00010133"/>
    <w:rsid w:val="00010317"/>
    <w:rsid w:val="00010383"/>
    <w:rsid w:val="000103B6"/>
    <w:rsid w:val="000103E2"/>
    <w:rsid w:val="0001045B"/>
    <w:rsid w:val="00010571"/>
    <w:rsid w:val="000105DA"/>
    <w:rsid w:val="0001069D"/>
    <w:rsid w:val="000107CA"/>
    <w:rsid w:val="00010804"/>
    <w:rsid w:val="000108B3"/>
    <w:rsid w:val="000108B5"/>
    <w:rsid w:val="00010BFD"/>
    <w:rsid w:val="00010C30"/>
    <w:rsid w:val="00010D98"/>
    <w:rsid w:val="00010DA0"/>
    <w:rsid w:val="00010E56"/>
    <w:rsid w:val="00011052"/>
    <w:rsid w:val="00011124"/>
    <w:rsid w:val="00011180"/>
    <w:rsid w:val="00011183"/>
    <w:rsid w:val="000111CA"/>
    <w:rsid w:val="00011480"/>
    <w:rsid w:val="000114A6"/>
    <w:rsid w:val="0001177E"/>
    <w:rsid w:val="00011883"/>
    <w:rsid w:val="00011B57"/>
    <w:rsid w:val="000122C5"/>
    <w:rsid w:val="0001232A"/>
    <w:rsid w:val="00012452"/>
    <w:rsid w:val="000124F6"/>
    <w:rsid w:val="000126FA"/>
    <w:rsid w:val="00012760"/>
    <w:rsid w:val="00012771"/>
    <w:rsid w:val="0001295D"/>
    <w:rsid w:val="00012BA8"/>
    <w:rsid w:val="00012CB0"/>
    <w:rsid w:val="00012CFB"/>
    <w:rsid w:val="00012D8C"/>
    <w:rsid w:val="00012D9E"/>
    <w:rsid w:val="00012F16"/>
    <w:rsid w:val="00012F4A"/>
    <w:rsid w:val="00012FE9"/>
    <w:rsid w:val="0001307B"/>
    <w:rsid w:val="00013092"/>
    <w:rsid w:val="000130AF"/>
    <w:rsid w:val="000130E6"/>
    <w:rsid w:val="0001363D"/>
    <w:rsid w:val="000136FA"/>
    <w:rsid w:val="0001399A"/>
    <w:rsid w:val="00013D0D"/>
    <w:rsid w:val="00013D8C"/>
    <w:rsid w:val="00013E86"/>
    <w:rsid w:val="00013F88"/>
    <w:rsid w:val="0001405C"/>
    <w:rsid w:val="0001409B"/>
    <w:rsid w:val="000141B7"/>
    <w:rsid w:val="0001453E"/>
    <w:rsid w:val="0001466D"/>
    <w:rsid w:val="000148A5"/>
    <w:rsid w:val="00014901"/>
    <w:rsid w:val="0001490B"/>
    <w:rsid w:val="00014A4A"/>
    <w:rsid w:val="00014A8C"/>
    <w:rsid w:val="00014AEC"/>
    <w:rsid w:val="00014C1F"/>
    <w:rsid w:val="00014CFA"/>
    <w:rsid w:val="00014D13"/>
    <w:rsid w:val="00014E32"/>
    <w:rsid w:val="00014E98"/>
    <w:rsid w:val="00014FDB"/>
    <w:rsid w:val="000150A7"/>
    <w:rsid w:val="000150D2"/>
    <w:rsid w:val="00015172"/>
    <w:rsid w:val="0001543A"/>
    <w:rsid w:val="000155CF"/>
    <w:rsid w:val="00015603"/>
    <w:rsid w:val="00015921"/>
    <w:rsid w:val="0001599C"/>
    <w:rsid w:val="00015BA0"/>
    <w:rsid w:val="00015BCC"/>
    <w:rsid w:val="00015D55"/>
    <w:rsid w:val="00015DCF"/>
    <w:rsid w:val="000163B9"/>
    <w:rsid w:val="00016444"/>
    <w:rsid w:val="0001657D"/>
    <w:rsid w:val="0001677F"/>
    <w:rsid w:val="0001692E"/>
    <w:rsid w:val="00017003"/>
    <w:rsid w:val="0001722C"/>
    <w:rsid w:val="000172C0"/>
    <w:rsid w:val="0001758A"/>
    <w:rsid w:val="00017749"/>
    <w:rsid w:val="00017764"/>
    <w:rsid w:val="0001785B"/>
    <w:rsid w:val="00017A38"/>
    <w:rsid w:val="00017C3A"/>
    <w:rsid w:val="00017CB2"/>
    <w:rsid w:val="00017CCA"/>
    <w:rsid w:val="00017D1A"/>
    <w:rsid w:val="00017DBC"/>
    <w:rsid w:val="00017E44"/>
    <w:rsid w:val="00020101"/>
    <w:rsid w:val="000201A4"/>
    <w:rsid w:val="000201E2"/>
    <w:rsid w:val="000203DA"/>
    <w:rsid w:val="000203FA"/>
    <w:rsid w:val="00020714"/>
    <w:rsid w:val="0002071C"/>
    <w:rsid w:val="00020780"/>
    <w:rsid w:val="00020817"/>
    <w:rsid w:val="0002085D"/>
    <w:rsid w:val="000209DA"/>
    <w:rsid w:val="00020A0C"/>
    <w:rsid w:val="00020A67"/>
    <w:rsid w:val="00020A8E"/>
    <w:rsid w:val="00020C13"/>
    <w:rsid w:val="00020E5E"/>
    <w:rsid w:val="00020E91"/>
    <w:rsid w:val="00020F03"/>
    <w:rsid w:val="00020FD9"/>
    <w:rsid w:val="00021347"/>
    <w:rsid w:val="00021421"/>
    <w:rsid w:val="00021447"/>
    <w:rsid w:val="00021474"/>
    <w:rsid w:val="00021619"/>
    <w:rsid w:val="0002167C"/>
    <w:rsid w:val="00021825"/>
    <w:rsid w:val="00021929"/>
    <w:rsid w:val="00021979"/>
    <w:rsid w:val="00021A91"/>
    <w:rsid w:val="00021ACF"/>
    <w:rsid w:val="00021B22"/>
    <w:rsid w:val="00021C3A"/>
    <w:rsid w:val="00021E2B"/>
    <w:rsid w:val="00021FD4"/>
    <w:rsid w:val="0002215C"/>
    <w:rsid w:val="00022189"/>
    <w:rsid w:val="000221C7"/>
    <w:rsid w:val="00022293"/>
    <w:rsid w:val="000223B5"/>
    <w:rsid w:val="000223C0"/>
    <w:rsid w:val="00022657"/>
    <w:rsid w:val="00022B19"/>
    <w:rsid w:val="00022D41"/>
    <w:rsid w:val="00022E08"/>
    <w:rsid w:val="00022ED9"/>
    <w:rsid w:val="00023028"/>
    <w:rsid w:val="000230EE"/>
    <w:rsid w:val="0002316A"/>
    <w:rsid w:val="0002323B"/>
    <w:rsid w:val="000232F2"/>
    <w:rsid w:val="00023335"/>
    <w:rsid w:val="00023344"/>
    <w:rsid w:val="00023493"/>
    <w:rsid w:val="000235AB"/>
    <w:rsid w:val="000236A7"/>
    <w:rsid w:val="0002379A"/>
    <w:rsid w:val="00023942"/>
    <w:rsid w:val="00024154"/>
    <w:rsid w:val="000241F5"/>
    <w:rsid w:val="000242F4"/>
    <w:rsid w:val="00024552"/>
    <w:rsid w:val="000245E0"/>
    <w:rsid w:val="00024697"/>
    <w:rsid w:val="000247A1"/>
    <w:rsid w:val="00024A4B"/>
    <w:rsid w:val="00024BB0"/>
    <w:rsid w:val="00024BB2"/>
    <w:rsid w:val="00024EAE"/>
    <w:rsid w:val="0002520A"/>
    <w:rsid w:val="0002528E"/>
    <w:rsid w:val="000254AB"/>
    <w:rsid w:val="000254ED"/>
    <w:rsid w:val="0002557B"/>
    <w:rsid w:val="000255D4"/>
    <w:rsid w:val="000256AC"/>
    <w:rsid w:val="0002581B"/>
    <w:rsid w:val="00025A49"/>
    <w:rsid w:val="00025BE5"/>
    <w:rsid w:val="00025C4B"/>
    <w:rsid w:val="00025C5B"/>
    <w:rsid w:val="00025DD5"/>
    <w:rsid w:val="00025DDB"/>
    <w:rsid w:val="00025DE9"/>
    <w:rsid w:val="00025E96"/>
    <w:rsid w:val="0002610B"/>
    <w:rsid w:val="0002621D"/>
    <w:rsid w:val="0002622E"/>
    <w:rsid w:val="000262B4"/>
    <w:rsid w:val="000262DB"/>
    <w:rsid w:val="00026484"/>
    <w:rsid w:val="00026643"/>
    <w:rsid w:val="000267F6"/>
    <w:rsid w:val="000268AE"/>
    <w:rsid w:val="000269C7"/>
    <w:rsid w:val="00026C91"/>
    <w:rsid w:val="00026CEB"/>
    <w:rsid w:val="00026D1B"/>
    <w:rsid w:val="00026F23"/>
    <w:rsid w:val="00026F4D"/>
    <w:rsid w:val="000271C5"/>
    <w:rsid w:val="0002723B"/>
    <w:rsid w:val="00027647"/>
    <w:rsid w:val="00027662"/>
    <w:rsid w:val="00027671"/>
    <w:rsid w:val="00027AE0"/>
    <w:rsid w:val="00027B06"/>
    <w:rsid w:val="00027B24"/>
    <w:rsid w:val="00027BEA"/>
    <w:rsid w:val="00027D04"/>
    <w:rsid w:val="00027DD0"/>
    <w:rsid w:val="00027F1B"/>
    <w:rsid w:val="0003002A"/>
    <w:rsid w:val="000301E8"/>
    <w:rsid w:val="000301F2"/>
    <w:rsid w:val="0003032A"/>
    <w:rsid w:val="000304A0"/>
    <w:rsid w:val="000304E4"/>
    <w:rsid w:val="0003052B"/>
    <w:rsid w:val="000305A4"/>
    <w:rsid w:val="000305A5"/>
    <w:rsid w:val="00030743"/>
    <w:rsid w:val="000307E3"/>
    <w:rsid w:val="00030A59"/>
    <w:rsid w:val="00030A87"/>
    <w:rsid w:val="00030B81"/>
    <w:rsid w:val="00030BC3"/>
    <w:rsid w:val="00030D1E"/>
    <w:rsid w:val="00030DAD"/>
    <w:rsid w:val="00031051"/>
    <w:rsid w:val="00031215"/>
    <w:rsid w:val="000312C0"/>
    <w:rsid w:val="00031406"/>
    <w:rsid w:val="0003156A"/>
    <w:rsid w:val="000315B7"/>
    <w:rsid w:val="000316AA"/>
    <w:rsid w:val="00031996"/>
    <w:rsid w:val="00031B41"/>
    <w:rsid w:val="00031BE5"/>
    <w:rsid w:val="00031C4C"/>
    <w:rsid w:val="00031C83"/>
    <w:rsid w:val="00031D0E"/>
    <w:rsid w:val="00031D54"/>
    <w:rsid w:val="00031D5D"/>
    <w:rsid w:val="0003204C"/>
    <w:rsid w:val="00032201"/>
    <w:rsid w:val="000322DB"/>
    <w:rsid w:val="00032394"/>
    <w:rsid w:val="000323AA"/>
    <w:rsid w:val="000323AB"/>
    <w:rsid w:val="0003249D"/>
    <w:rsid w:val="0003255E"/>
    <w:rsid w:val="00032598"/>
    <w:rsid w:val="000325E2"/>
    <w:rsid w:val="00032603"/>
    <w:rsid w:val="00032615"/>
    <w:rsid w:val="00032A05"/>
    <w:rsid w:val="00032AB2"/>
    <w:rsid w:val="00032B62"/>
    <w:rsid w:val="00032B98"/>
    <w:rsid w:val="00032BF2"/>
    <w:rsid w:val="00032C2E"/>
    <w:rsid w:val="00032CF6"/>
    <w:rsid w:val="00032E0E"/>
    <w:rsid w:val="00032F45"/>
    <w:rsid w:val="000333EA"/>
    <w:rsid w:val="00033468"/>
    <w:rsid w:val="00033486"/>
    <w:rsid w:val="000334B4"/>
    <w:rsid w:val="0003355F"/>
    <w:rsid w:val="0003359F"/>
    <w:rsid w:val="00033640"/>
    <w:rsid w:val="0003366F"/>
    <w:rsid w:val="00033704"/>
    <w:rsid w:val="0003371E"/>
    <w:rsid w:val="000337B2"/>
    <w:rsid w:val="000339C7"/>
    <w:rsid w:val="00033A77"/>
    <w:rsid w:val="00033C29"/>
    <w:rsid w:val="00033CD0"/>
    <w:rsid w:val="00033D80"/>
    <w:rsid w:val="00033DD6"/>
    <w:rsid w:val="00033E30"/>
    <w:rsid w:val="00033E55"/>
    <w:rsid w:val="00033E8E"/>
    <w:rsid w:val="0003416B"/>
    <w:rsid w:val="0003432B"/>
    <w:rsid w:val="00034660"/>
    <w:rsid w:val="000346C8"/>
    <w:rsid w:val="0003477C"/>
    <w:rsid w:val="00034A95"/>
    <w:rsid w:val="00034C7B"/>
    <w:rsid w:val="00034CCD"/>
    <w:rsid w:val="00034D52"/>
    <w:rsid w:val="00034E51"/>
    <w:rsid w:val="00034E63"/>
    <w:rsid w:val="00034E82"/>
    <w:rsid w:val="00034F78"/>
    <w:rsid w:val="0003504E"/>
    <w:rsid w:val="000350D3"/>
    <w:rsid w:val="00035138"/>
    <w:rsid w:val="00035172"/>
    <w:rsid w:val="0003517E"/>
    <w:rsid w:val="0003518F"/>
    <w:rsid w:val="00035373"/>
    <w:rsid w:val="000353BC"/>
    <w:rsid w:val="00035634"/>
    <w:rsid w:val="000356D8"/>
    <w:rsid w:val="000357E1"/>
    <w:rsid w:val="000358BB"/>
    <w:rsid w:val="00035A48"/>
    <w:rsid w:val="00035ADB"/>
    <w:rsid w:val="00035C0E"/>
    <w:rsid w:val="00035CD2"/>
    <w:rsid w:val="00035D40"/>
    <w:rsid w:val="00035ED6"/>
    <w:rsid w:val="00035F1D"/>
    <w:rsid w:val="00035F78"/>
    <w:rsid w:val="00036200"/>
    <w:rsid w:val="00036244"/>
    <w:rsid w:val="0003633D"/>
    <w:rsid w:val="0003638F"/>
    <w:rsid w:val="00036421"/>
    <w:rsid w:val="0003657F"/>
    <w:rsid w:val="0003663C"/>
    <w:rsid w:val="00036871"/>
    <w:rsid w:val="000369C1"/>
    <w:rsid w:val="00036D66"/>
    <w:rsid w:val="00036E4F"/>
    <w:rsid w:val="00036EA7"/>
    <w:rsid w:val="00036EAA"/>
    <w:rsid w:val="000370CB"/>
    <w:rsid w:val="000370E8"/>
    <w:rsid w:val="00037118"/>
    <w:rsid w:val="0003752D"/>
    <w:rsid w:val="00037588"/>
    <w:rsid w:val="000375A7"/>
    <w:rsid w:val="000375DD"/>
    <w:rsid w:val="000375EF"/>
    <w:rsid w:val="00037617"/>
    <w:rsid w:val="000377D0"/>
    <w:rsid w:val="00037901"/>
    <w:rsid w:val="00037C5A"/>
    <w:rsid w:val="00037D45"/>
    <w:rsid w:val="00037EEE"/>
    <w:rsid w:val="0004003B"/>
    <w:rsid w:val="000403C7"/>
    <w:rsid w:val="00040450"/>
    <w:rsid w:val="000405CD"/>
    <w:rsid w:val="000406BF"/>
    <w:rsid w:val="000409CA"/>
    <w:rsid w:val="00040A4D"/>
    <w:rsid w:val="00040DBF"/>
    <w:rsid w:val="00040E84"/>
    <w:rsid w:val="00041137"/>
    <w:rsid w:val="000413D0"/>
    <w:rsid w:val="00041414"/>
    <w:rsid w:val="00041468"/>
    <w:rsid w:val="000414AE"/>
    <w:rsid w:val="00041ABD"/>
    <w:rsid w:val="00041DC6"/>
    <w:rsid w:val="00041E54"/>
    <w:rsid w:val="00041FB0"/>
    <w:rsid w:val="000421DA"/>
    <w:rsid w:val="00042269"/>
    <w:rsid w:val="000422A6"/>
    <w:rsid w:val="0004280C"/>
    <w:rsid w:val="0004282A"/>
    <w:rsid w:val="00042A19"/>
    <w:rsid w:val="00042A76"/>
    <w:rsid w:val="00043195"/>
    <w:rsid w:val="000433CA"/>
    <w:rsid w:val="000433CE"/>
    <w:rsid w:val="0004345B"/>
    <w:rsid w:val="000435AF"/>
    <w:rsid w:val="000436BD"/>
    <w:rsid w:val="000437F0"/>
    <w:rsid w:val="0004381B"/>
    <w:rsid w:val="00043ABF"/>
    <w:rsid w:val="00043C34"/>
    <w:rsid w:val="00043FF0"/>
    <w:rsid w:val="0004405F"/>
    <w:rsid w:val="00044359"/>
    <w:rsid w:val="0004440D"/>
    <w:rsid w:val="00044549"/>
    <w:rsid w:val="000445D9"/>
    <w:rsid w:val="00044681"/>
    <w:rsid w:val="000447FA"/>
    <w:rsid w:val="000448DF"/>
    <w:rsid w:val="00044A60"/>
    <w:rsid w:val="00044A61"/>
    <w:rsid w:val="00044AEB"/>
    <w:rsid w:val="00044B1E"/>
    <w:rsid w:val="00044FDF"/>
    <w:rsid w:val="000452DE"/>
    <w:rsid w:val="000456AA"/>
    <w:rsid w:val="000459EC"/>
    <w:rsid w:val="00045B31"/>
    <w:rsid w:val="00045BCD"/>
    <w:rsid w:val="00045C1F"/>
    <w:rsid w:val="00045C69"/>
    <w:rsid w:val="00045DBC"/>
    <w:rsid w:val="00045E1B"/>
    <w:rsid w:val="00045EB6"/>
    <w:rsid w:val="00045EF7"/>
    <w:rsid w:val="000460A0"/>
    <w:rsid w:val="000460A9"/>
    <w:rsid w:val="000460C2"/>
    <w:rsid w:val="000460CE"/>
    <w:rsid w:val="00046248"/>
    <w:rsid w:val="00046287"/>
    <w:rsid w:val="0004645F"/>
    <w:rsid w:val="00046460"/>
    <w:rsid w:val="000464AF"/>
    <w:rsid w:val="000464DA"/>
    <w:rsid w:val="0004652A"/>
    <w:rsid w:val="00046731"/>
    <w:rsid w:val="00046767"/>
    <w:rsid w:val="000467A1"/>
    <w:rsid w:val="00046973"/>
    <w:rsid w:val="00046A35"/>
    <w:rsid w:val="00046BB9"/>
    <w:rsid w:val="00046E17"/>
    <w:rsid w:val="00046E8A"/>
    <w:rsid w:val="00046EC1"/>
    <w:rsid w:val="00047004"/>
    <w:rsid w:val="000472C7"/>
    <w:rsid w:val="000478CF"/>
    <w:rsid w:val="00047902"/>
    <w:rsid w:val="00047B43"/>
    <w:rsid w:val="00047D46"/>
    <w:rsid w:val="00047D56"/>
    <w:rsid w:val="00047E7D"/>
    <w:rsid w:val="00047F40"/>
    <w:rsid w:val="00050167"/>
    <w:rsid w:val="00050344"/>
    <w:rsid w:val="00050349"/>
    <w:rsid w:val="00050358"/>
    <w:rsid w:val="00050426"/>
    <w:rsid w:val="00050A1D"/>
    <w:rsid w:val="00050A42"/>
    <w:rsid w:val="00050B55"/>
    <w:rsid w:val="00050D3D"/>
    <w:rsid w:val="00050E85"/>
    <w:rsid w:val="00050E95"/>
    <w:rsid w:val="00050FB8"/>
    <w:rsid w:val="000510DC"/>
    <w:rsid w:val="00051226"/>
    <w:rsid w:val="000512C0"/>
    <w:rsid w:val="00051330"/>
    <w:rsid w:val="000513BF"/>
    <w:rsid w:val="00051587"/>
    <w:rsid w:val="0005166A"/>
    <w:rsid w:val="00051810"/>
    <w:rsid w:val="00051825"/>
    <w:rsid w:val="00051831"/>
    <w:rsid w:val="000519A4"/>
    <w:rsid w:val="00051AE7"/>
    <w:rsid w:val="00051B59"/>
    <w:rsid w:val="00051C0A"/>
    <w:rsid w:val="00051DC3"/>
    <w:rsid w:val="00051F91"/>
    <w:rsid w:val="000520E7"/>
    <w:rsid w:val="000522B9"/>
    <w:rsid w:val="000523B1"/>
    <w:rsid w:val="000524DD"/>
    <w:rsid w:val="00052514"/>
    <w:rsid w:val="0005285C"/>
    <w:rsid w:val="00052A32"/>
    <w:rsid w:val="00052A5C"/>
    <w:rsid w:val="00052CBE"/>
    <w:rsid w:val="00052CF1"/>
    <w:rsid w:val="00052EE2"/>
    <w:rsid w:val="00052EF2"/>
    <w:rsid w:val="00052F15"/>
    <w:rsid w:val="0005302B"/>
    <w:rsid w:val="0005322C"/>
    <w:rsid w:val="00053300"/>
    <w:rsid w:val="00053481"/>
    <w:rsid w:val="0005360C"/>
    <w:rsid w:val="000536C9"/>
    <w:rsid w:val="000536CA"/>
    <w:rsid w:val="0005374E"/>
    <w:rsid w:val="0005379C"/>
    <w:rsid w:val="000537D4"/>
    <w:rsid w:val="000538F9"/>
    <w:rsid w:val="00053970"/>
    <w:rsid w:val="00053AB5"/>
    <w:rsid w:val="00053B98"/>
    <w:rsid w:val="00053BAE"/>
    <w:rsid w:val="00053BEB"/>
    <w:rsid w:val="00053D28"/>
    <w:rsid w:val="00053E09"/>
    <w:rsid w:val="00053EB8"/>
    <w:rsid w:val="00053FA9"/>
    <w:rsid w:val="0005408E"/>
    <w:rsid w:val="0005409F"/>
    <w:rsid w:val="00054289"/>
    <w:rsid w:val="00054487"/>
    <w:rsid w:val="000544A5"/>
    <w:rsid w:val="000547F8"/>
    <w:rsid w:val="00054804"/>
    <w:rsid w:val="000549A7"/>
    <w:rsid w:val="00054A2D"/>
    <w:rsid w:val="00054A35"/>
    <w:rsid w:val="00054A86"/>
    <w:rsid w:val="00054AB9"/>
    <w:rsid w:val="00054D76"/>
    <w:rsid w:val="00054E81"/>
    <w:rsid w:val="00054F0C"/>
    <w:rsid w:val="00054F0D"/>
    <w:rsid w:val="000550E0"/>
    <w:rsid w:val="00055177"/>
    <w:rsid w:val="00055299"/>
    <w:rsid w:val="0005552A"/>
    <w:rsid w:val="0005557D"/>
    <w:rsid w:val="0005596A"/>
    <w:rsid w:val="00055B2D"/>
    <w:rsid w:val="00055B7D"/>
    <w:rsid w:val="00055C11"/>
    <w:rsid w:val="00055C78"/>
    <w:rsid w:val="00055D0E"/>
    <w:rsid w:val="00055D76"/>
    <w:rsid w:val="00055DAC"/>
    <w:rsid w:val="00055E57"/>
    <w:rsid w:val="00055EB4"/>
    <w:rsid w:val="000561C7"/>
    <w:rsid w:val="0005621B"/>
    <w:rsid w:val="00056304"/>
    <w:rsid w:val="00056353"/>
    <w:rsid w:val="00056403"/>
    <w:rsid w:val="0005651D"/>
    <w:rsid w:val="00056706"/>
    <w:rsid w:val="00056736"/>
    <w:rsid w:val="0005675D"/>
    <w:rsid w:val="00056764"/>
    <w:rsid w:val="000567DC"/>
    <w:rsid w:val="00056A67"/>
    <w:rsid w:val="00056ACC"/>
    <w:rsid w:val="00056D45"/>
    <w:rsid w:val="00056DED"/>
    <w:rsid w:val="00056EF9"/>
    <w:rsid w:val="00057005"/>
    <w:rsid w:val="00057141"/>
    <w:rsid w:val="000571DB"/>
    <w:rsid w:val="000572EF"/>
    <w:rsid w:val="0005731D"/>
    <w:rsid w:val="000573AE"/>
    <w:rsid w:val="000574AE"/>
    <w:rsid w:val="000574B3"/>
    <w:rsid w:val="000575D9"/>
    <w:rsid w:val="00057695"/>
    <w:rsid w:val="000576A1"/>
    <w:rsid w:val="0005777E"/>
    <w:rsid w:val="000577E1"/>
    <w:rsid w:val="0005781E"/>
    <w:rsid w:val="000579F3"/>
    <w:rsid w:val="000579F8"/>
    <w:rsid w:val="000579FE"/>
    <w:rsid w:val="00057A8D"/>
    <w:rsid w:val="00057ACD"/>
    <w:rsid w:val="00057CD8"/>
    <w:rsid w:val="00057D73"/>
    <w:rsid w:val="00057D86"/>
    <w:rsid w:val="00057E6D"/>
    <w:rsid w:val="00057F7C"/>
    <w:rsid w:val="00060046"/>
    <w:rsid w:val="000600EE"/>
    <w:rsid w:val="00060155"/>
    <w:rsid w:val="000604C1"/>
    <w:rsid w:val="000604F5"/>
    <w:rsid w:val="00060678"/>
    <w:rsid w:val="0006085B"/>
    <w:rsid w:val="00060877"/>
    <w:rsid w:val="00060A5B"/>
    <w:rsid w:val="00060A5F"/>
    <w:rsid w:val="00060BFB"/>
    <w:rsid w:val="00060C27"/>
    <w:rsid w:val="00060C70"/>
    <w:rsid w:val="00060C74"/>
    <w:rsid w:val="00060CB5"/>
    <w:rsid w:val="00060CC0"/>
    <w:rsid w:val="00060CFA"/>
    <w:rsid w:val="00060D3D"/>
    <w:rsid w:val="00060DAB"/>
    <w:rsid w:val="00060E1C"/>
    <w:rsid w:val="0006112D"/>
    <w:rsid w:val="0006113A"/>
    <w:rsid w:val="000611A0"/>
    <w:rsid w:val="000611C3"/>
    <w:rsid w:val="00061206"/>
    <w:rsid w:val="00061361"/>
    <w:rsid w:val="0006141B"/>
    <w:rsid w:val="0006158E"/>
    <w:rsid w:val="0006163A"/>
    <w:rsid w:val="00061748"/>
    <w:rsid w:val="000618DA"/>
    <w:rsid w:val="0006191A"/>
    <w:rsid w:val="0006191B"/>
    <w:rsid w:val="00061AB5"/>
    <w:rsid w:val="00061C9B"/>
    <w:rsid w:val="00061CDC"/>
    <w:rsid w:val="00061E06"/>
    <w:rsid w:val="00061EE0"/>
    <w:rsid w:val="000620C9"/>
    <w:rsid w:val="000622B9"/>
    <w:rsid w:val="00062555"/>
    <w:rsid w:val="000625CE"/>
    <w:rsid w:val="00062600"/>
    <w:rsid w:val="000629AD"/>
    <w:rsid w:val="00062A06"/>
    <w:rsid w:val="00062A4A"/>
    <w:rsid w:val="00062B9B"/>
    <w:rsid w:val="00062C28"/>
    <w:rsid w:val="00062EC4"/>
    <w:rsid w:val="0006301C"/>
    <w:rsid w:val="00063029"/>
    <w:rsid w:val="000631E0"/>
    <w:rsid w:val="0006322F"/>
    <w:rsid w:val="000633C7"/>
    <w:rsid w:val="00063423"/>
    <w:rsid w:val="00063428"/>
    <w:rsid w:val="000634C5"/>
    <w:rsid w:val="00063566"/>
    <w:rsid w:val="000635B5"/>
    <w:rsid w:val="000636AA"/>
    <w:rsid w:val="00063BA5"/>
    <w:rsid w:val="00063D57"/>
    <w:rsid w:val="00063D66"/>
    <w:rsid w:val="00063D7F"/>
    <w:rsid w:val="00063D8E"/>
    <w:rsid w:val="00063DC4"/>
    <w:rsid w:val="00064194"/>
    <w:rsid w:val="000641BC"/>
    <w:rsid w:val="000649E7"/>
    <w:rsid w:val="00064ADF"/>
    <w:rsid w:val="00064FFF"/>
    <w:rsid w:val="0006543B"/>
    <w:rsid w:val="0006546B"/>
    <w:rsid w:val="000654C5"/>
    <w:rsid w:val="00065573"/>
    <w:rsid w:val="00065581"/>
    <w:rsid w:val="0006564E"/>
    <w:rsid w:val="000656C4"/>
    <w:rsid w:val="0006598D"/>
    <w:rsid w:val="000659DD"/>
    <w:rsid w:val="00065BB2"/>
    <w:rsid w:val="00065C79"/>
    <w:rsid w:val="00065D42"/>
    <w:rsid w:val="00065D5E"/>
    <w:rsid w:val="00065EFE"/>
    <w:rsid w:val="00065F8E"/>
    <w:rsid w:val="00066157"/>
    <w:rsid w:val="00066189"/>
    <w:rsid w:val="0006630A"/>
    <w:rsid w:val="000664BD"/>
    <w:rsid w:val="00066502"/>
    <w:rsid w:val="00066632"/>
    <w:rsid w:val="00066722"/>
    <w:rsid w:val="0006673A"/>
    <w:rsid w:val="000668D1"/>
    <w:rsid w:val="00066914"/>
    <w:rsid w:val="00066D29"/>
    <w:rsid w:val="00067018"/>
    <w:rsid w:val="00067048"/>
    <w:rsid w:val="0006704D"/>
    <w:rsid w:val="0006723E"/>
    <w:rsid w:val="0006739A"/>
    <w:rsid w:val="000673D3"/>
    <w:rsid w:val="000674D8"/>
    <w:rsid w:val="00067641"/>
    <w:rsid w:val="00067887"/>
    <w:rsid w:val="00067A13"/>
    <w:rsid w:val="00067AED"/>
    <w:rsid w:val="00067BFA"/>
    <w:rsid w:val="00067CAC"/>
    <w:rsid w:val="00067E4A"/>
    <w:rsid w:val="00067F67"/>
    <w:rsid w:val="00070113"/>
    <w:rsid w:val="000701E0"/>
    <w:rsid w:val="00070252"/>
    <w:rsid w:val="000702F3"/>
    <w:rsid w:val="00070334"/>
    <w:rsid w:val="0007038B"/>
    <w:rsid w:val="0007060A"/>
    <w:rsid w:val="00070ADA"/>
    <w:rsid w:val="00070B00"/>
    <w:rsid w:val="00070BB1"/>
    <w:rsid w:val="00070C6B"/>
    <w:rsid w:val="00070D47"/>
    <w:rsid w:val="00070FBE"/>
    <w:rsid w:val="00070FDC"/>
    <w:rsid w:val="00070FF0"/>
    <w:rsid w:val="00071144"/>
    <w:rsid w:val="00071145"/>
    <w:rsid w:val="000711FE"/>
    <w:rsid w:val="0007123E"/>
    <w:rsid w:val="000713E7"/>
    <w:rsid w:val="00071587"/>
    <w:rsid w:val="00071620"/>
    <w:rsid w:val="000716C6"/>
    <w:rsid w:val="000717F8"/>
    <w:rsid w:val="000718E1"/>
    <w:rsid w:val="00071913"/>
    <w:rsid w:val="00071AAB"/>
    <w:rsid w:val="00071B40"/>
    <w:rsid w:val="00071B59"/>
    <w:rsid w:val="00071F63"/>
    <w:rsid w:val="00072134"/>
    <w:rsid w:val="000721DC"/>
    <w:rsid w:val="00072464"/>
    <w:rsid w:val="00072484"/>
    <w:rsid w:val="000724E8"/>
    <w:rsid w:val="00072581"/>
    <w:rsid w:val="000727F4"/>
    <w:rsid w:val="0007285F"/>
    <w:rsid w:val="00072AEE"/>
    <w:rsid w:val="00072B41"/>
    <w:rsid w:val="00072BBA"/>
    <w:rsid w:val="00072C77"/>
    <w:rsid w:val="00072C93"/>
    <w:rsid w:val="00072DC0"/>
    <w:rsid w:val="00072F93"/>
    <w:rsid w:val="00072FC2"/>
    <w:rsid w:val="000730C6"/>
    <w:rsid w:val="00073291"/>
    <w:rsid w:val="000734B1"/>
    <w:rsid w:val="000734FD"/>
    <w:rsid w:val="000735CE"/>
    <w:rsid w:val="00073626"/>
    <w:rsid w:val="000736DE"/>
    <w:rsid w:val="000736E6"/>
    <w:rsid w:val="00073ACC"/>
    <w:rsid w:val="00073C8D"/>
    <w:rsid w:val="00073DC5"/>
    <w:rsid w:val="00073ED2"/>
    <w:rsid w:val="00073ED7"/>
    <w:rsid w:val="00074044"/>
    <w:rsid w:val="000740AD"/>
    <w:rsid w:val="0007416F"/>
    <w:rsid w:val="0007419D"/>
    <w:rsid w:val="000743BF"/>
    <w:rsid w:val="0007442B"/>
    <w:rsid w:val="00074451"/>
    <w:rsid w:val="0007491A"/>
    <w:rsid w:val="00074A0F"/>
    <w:rsid w:val="00074C2F"/>
    <w:rsid w:val="00074DAD"/>
    <w:rsid w:val="00074E62"/>
    <w:rsid w:val="000750E5"/>
    <w:rsid w:val="00075151"/>
    <w:rsid w:val="000752AD"/>
    <w:rsid w:val="000752D8"/>
    <w:rsid w:val="00075470"/>
    <w:rsid w:val="00075638"/>
    <w:rsid w:val="00075786"/>
    <w:rsid w:val="000757A9"/>
    <w:rsid w:val="00075833"/>
    <w:rsid w:val="00075B46"/>
    <w:rsid w:val="00075B97"/>
    <w:rsid w:val="00075BCA"/>
    <w:rsid w:val="00075D0A"/>
    <w:rsid w:val="00075F74"/>
    <w:rsid w:val="0007608B"/>
    <w:rsid w:val="00076125"/>
    <w:rsid w:val="000763E3"/>
    <w:rsid w:val="00076458"/>
    <w:rsid w:val="00076579"/>
    <w:rsid w:val="000765B7"/>
    <w:rsid w:val="00076659"/>
    <w:rsid w:val="00076A14"/>
    <w:rsid w:val="00076C17"/>
    <w:rsid w:val="00076C3C"/>
    <w:rsid w:val="00076C80"/>
    <w:rsid w:val="00076C94"/>
    <w:rsid w:val="00076EFE"/>
    <w:rsid w:val="00076F50"/>
    <w:rsid w:val="00076FB7"/>
    <w:rsid w:val="0007707C"/>
    <w:rsid w:val="000770BE"/>
    <w:rsid w:val="00077486"/>
    <w:rsid w:val="00077C6A"/>
    <w:rsid w:val="00077D9A"/>
    <w:rsid w:val="00077E2D"/>
    <w:rsid w:val="00077EA2"/>
    <w:rsid w:val="00077EED"/>
    <w:rsid w:val="00077F85"/>
    <w:rsid w:val="00077F8E"/>
    <w:rsid w:val="00080192"/>
    <w:rsid w:val="00080370"/>
    <w:rsid w:val="000803C9"/>
    <w:rsid w:val="0008044C"/>
    <w:rsid w:val="000806D3"/>
    <w:rsid w:val="00080751"/>
    <w:rsid w:val="0008077C"/>
    <w:rsid w:val="0008092F"/>
    <w:rsid w:val="00080AA0"/>
    <w:rsid w:val="00080B94"/>
    <w:rsid w:val="00080C5F"/>
    <w:rsid w:val="00080CAD"/>
    <w:rsid w:val="00080D0C"/>
    <w:rsid w:val="00080FC2"/>
    <w:rsid w:val="000810A4"/>
    <w:rsid w:val="0008133F"/>
    <w:rsid w:val="00081501"/>
    <w:rsid w:val="0008152A"/>
    <w:rsid w:val="000816FB"/>
    <w:rsid w:val="00081755"/>
    <w:rsid w:val="0008184A"/>
    <w:rsid w:val="000819CB"/>
    <w:rsid w:val="000819D9"/>
    <w:rsid w:val="000819E6"/>
    <w:rsid w:val="00081D2F"/>
    <w:rsid w:val="00081FC3"/>
    <w:rsid w:val="00082028"/>
    <w:rsid w:val="0008208F"/>
    <w:rsid w:val="000821B4"/>
    <w:rsid w:val="0008221F"/>
    <w:rsid w:val="00082226"/>
    <w:rsid w:val="00082328"/>
    <w:rsid w:val="000823E0"/>
    <w:rsid w:val="000823E2"/>
    <w:rsid w:val="00082515"/>
    <w:rsid w:val="00082556"/>
    <w:rsid w:val="0008264A"/>
    <w:rsid w:val="00082690"/>
    <w:rsid w:val="000827C0"/>
    <w:rsid w:val="0008283A"/>
    <w:rsid w:val="00082B47"/>
    <w:rsid w:val="00082C64"/>
    <w:rsid w:val="00082E21"/>
    <w:rsid w:val="00082E28"/>
    <w:rsid w:val="00082E6A"/>
    <w:rsid w:val="000832F9"/>
    <w:rsid w:val="0008358B"/>
    <w:rsid w:val="00083594"/>
    <w:rsid w:val="00083612"/>
    <w:rsid w:val="00083764"/>
    <w:rsid w:val="000837E1"/>
    <w:rsid w:val="00083A97"/>
    <w:rsid w:val="00083B44"/>
    <w:rsid w:val="00083D3D"/>
    <w:rsid w:val="00083D91"/>
    <w:rsid w:val="00083E32"/>
    <w:rsid w:val="0008408D"/>
    <w:rsid w:val="000842F7"/>
    <w:rsid w:val="000843DE"/>
    <w:rsid w:val="00084459"/>
    <w:rsid w:val="00084684"/>
    <w:rsid w:val="00084789"/>
    <w:rsid w:val="00084882"/>
    <w:rsid w:val="00084A7F"/>
    <w:rsid w:val="00084C6C"/>
    <w:rsid w:val="00084D09"/>
    <w:rsid w:val="00084F32"/>
    <w:rsid w:val="00084F4D"/>
    <w:rsid w:val="0008509F"/>
    <w:rsid w:val="000851CB"/>
    <w:rsid w:val="000855F5"/>
    <w:rsid w:val="00085655"/>
    <w:rsid w:val="000856FC"/>
    <w:rsid w:val="00085716"/>
    <w:rsid w:val="000859B6"/>
    <w:rsid w:val="00085A5E"/>
    <w:rsid w:val="00085B82"/>
    <w:rsid w:val="00085CFE"/>
    <w:rsid w:val="00085D19"/>
    <w:rsid w:val="00085DD9"/>
    <w:rsid w:val="00085EFA"/>
    <w:rsid w:val="0008605C"/>
    <w:rsid w:val="00086065"/>
    <w:rsid w:val="000861FA"/>
    <w:rsid w:val="00086219"/>
    <w:rsid w:val="0008634E"/>
    <w:rsid w:val="0008662F"/>
    <w:rsid w:val="0008667D"/>
    <w:rsid w:val="000866FB"/>
    <w:rsid w:val="0008677D"/>
    <w:rsid w:val="00086898"/>
    <w:rsid w:val="0008694C"/>
    <w:rsid w:val="00086BCC"/>
    <w:rsid w:val="00086D3E"/>
    <w:rsid w:val="00086F3D"/>
    <w:rsid w:val="0008708B"/>
    <w:rsid w:val="00087129"/>
    <w:rsid w:val="000873A8"/>
    <w:rsid w:val="00087512"/>
    <w:rsid w:val="0008757B"/>
    <w:rsid w:val="0008775C"/>
    <w:rsid w:val="00087A8C"/>
    <w:rsid w:val="0008A95E"/>
    <w:rsid w:val="0009001C"/>
    <w:rsid w:val="00090207"/>
    <w:rsid w:val="000904D6"/>
    <w:rsid w:val="0009058E"/>
    <w:rsid w:val="000905DE"/>
    <w:rsid w:val="000905E0"/>
    <w:rsid w:val="00090615"/>
    <w:rsid w:val="00090739"/>
    <w:rsid w:val="00090808"/>
    <w:rsid w:val="00090DA9"/>
    <w:rsid w:val="00090EB8"/>
    <w:rsid w:val="00091138"/>
    <w:rsid w:val="000911BC"/>
    <w:rsid w:val="00091319"/>
    <w:rsid w:val="0009136D"/>
    <w:rsid w:val="00091453"/>
    <w:rsid w:val="00091582"/>
    <w:rsid w:val="00091655"/>
    <w:rsid w:val="000916EB"/>
    <w:rsid w:val="00091829"/>
    <w:rsid w:val="0009192B"/>
    <w:rsid w:val="000919A4"/>
    <w:rsid w:val="00091A5A"/>
    <w:rsid w:val="00091C08"/>
    <w:rsid w:val="00091C40"/>
    <w:rsid w:val="00091C55"/>
    <w:rsid w:val="00091D5E"/>
    <w:rsid w:val="00091DAB"/>
    <w:rsid w:val="00091E52"/>
    <w:rsid w:val="00091EAA"/>
    <w:rsid w:val="00092108"/>
    <w:rsid w:val="00092129"/>
    <w:rsid w:val="000922FE"/>
    <w:rsid w:val="00092313"/>
    <w:rsid w:val="0009231A"/>
    <w:rsid w:val="0009234A"/>
    <w:rsid w:val="000924B0"/>
    <w:rsid w:val="000925BC"/>
    <w:rsid w:val="000927B0"/>
    <w:rsid w:val="00092903"/>
    <w:rsid w:val="00092924"/>
    <w:rsid w:val="00092971"/>
    <w:rsid w:val="00092BEE"/>
    <w:rsid w:val="00092C90"/>
    <w:rsid w:val="00092CC5"/>
    <w:rsid w:val="00092D01"/>
    <w:rsid w:val="00092DCC"/>
    <w:rsid w:val="00092ECC"/>
    <w:rsid w:val="00093119"/>
    <w:rsid w:val="00093130"/>
    <w:rsid w:val="00093131"/>
    <w:rsid w:val="00093312"/>
    <w:rsid w:val="0009377B"/>
    <w:rsid w:val="000938EE"/>
    <w:rsid w:val="000939D7"/>
    <w:rsid w:val="00093A9A"/>
    <w:rsid w:val="00093B4F"/>
    <w:rsid w:val="00093D3A"/>
    <w:rsid w:val="00093D3C"/>
    <w:rsid w:val="00093D7F"/>
    <w:rsid w:val="00093DD6"/>
    <w:rsid w:val="00093E32"/>
    <w:rsid w:val="00093F10"/>
    <w:rsid w:val="00093F6E"/>
    <w:rsid w:val="0009404F"/>
    <w:rsid w:val="000941CA"/>
    <w:rsid w:val="00094253"/>
    <w:rsid w:val="0009436A"/>
    <w:rsid w:val="000943A9"/>
    <w:rsid w:val="00094492"/>
    <w:rsid w:val="0009467C"/>
    <w:rsid w:val="00094A6F"/>
    <w:rsid w:val="00094C50"/>
    <w:rsid w:val="000951B9"/>
    <w:rsid w:val="00095283"/>
    <w:rsid w:val="00095506"/>
    <w:rsid w:val="00095771"/>
    <w:rsid w:val="00095837"/>
    <w:rsid w:val="00095B22"/>
    <w:rsid w:val="00095B34"/>
    <w:rsid w:val="00095B4C"/>
    <w:rsid w:val="00095CEB"/>
    <w:rsid w:val="00095EED"/>
    <w:rsid w:val="0009609A"/>
    <w:rsid w:val="00096108"/>
    <w:rsid w:val="000961D9"/>
    <w:rsid w:val="00096346"/>
    <w:rsid w:val="000963CC"/>
    <w:rsid w:val="0009640D"/>
    <w:rsid w:val="000966A0"/>
    <w:rsid w:val="000967C3"/>
    <w:rsid w:val="00096817"/>
    <w:rsid w:val="00096940"/>
    <w:rsid w:val="00096A73"/>
    <w:rsid w:val="00096A79"/>
    <w:rsid w:val="00096D56"/>
    <w:rsid w:val="00096D96"/>
    <w:rsid w:val="00096DC2"/>
    <w:rsid w:val="00096E85"/>
    <w:rsid w:val="00097035"/>
    <w:rsid w:val="0009703E"/>
    <w:rsid w:val="00097049"/>
    <w:rsid w:val="000971B5"/>
    <w:rsid w:val="000972D3"/>
    <w:rsid w:val="000972F6"/>
    <w:rsid w:val="0009752A"/>
    <w:rsid w:val="00097559"/>
    <w:rsid w:val="0009764C"/>
    <w:rsid w:val="00097696"/>
    <w:rsid w:val="000976FA"/>
    <w:rsid w:val="0009794F"/>
    <w:rsid w:val="00097D18"/>
    <w:rsid w:val="00097D95"/>
    <w:rsid w:val="00097ED7"/>
    <w:rsid w:val="00097EDE"/>
    <w:rsid w:val="000A002F"/>
    <w:rsid w:val="000A0049"/>
    <w:rsid w:val="000A008B"/>
    <w:rsid w:val="000A0155"/>
    <w:rsid w:val="000A0344"/>
    <w:rsid w:val="000A0408"/>
    <w:rsid w:val="000A04C2"/>
    <w:rsid w:val="000A04F1"/>
    <w:rsid w:val="000A05CE"/>
    <w:rsid w:val="000A067E"/>
    <w:rsid w:val="000A06A9"/>
    <w:rsid w:val="000A06D5"/>
    <w:rsid w:val="000A0741"/>
    <w:rsid w:val="000A07DB"/>
    <w:rsid w:val="000A07E3"/>
    <w:rsid w:val="000A07F9"/>
    <w:rsid w:val="000A08AB"/>
    <w:rsid w:val="000A08D6"/>
    <w:rsid w:val="000A0927"/>
    <w:rsid w:val="000A0929"/>
    <w:rsid w:val="000A0A47"/>
    <w:rsid w:val="000A0AF2"/>
    <w:rsid w:val="000A0BC8"/>
    <w:rsid w:val="000A0C43"/>
    <w:rsid w:val="000A0CD7"/>
    <w:rsid w:val="000A0F37"/>
    <w:rsid w:val="000A10F7"/>
    <w:rsid w:val="000A1196"/>
    <w:rsid w:val="000A124F"/>
    <w:rsid w:val="000A132F"/>
    <w:rsid w:val="000A1435"/>
    <w:rsid w:val="000A167D"/>
    <w:rsid w:val="000A1839"/>
    <w:rsid w:val="000A1886"/>
    <w:rsid w:val="000A1904"/>
    <w:rsid w:val="000A193F"/>
    <w:rsid w:val="000A1B96"/>
    <w:rsid w:val="000A1CE1"/>
    <w:rsid w:val="000A1D4A"/>
    <w:rsid w:val="000A1D86"/>
    <w:rsid w:val="000A1ED7"/>
    <w:rsid w:val="000A20AA"/>
    <w:rsid w:val="000A20B6"/>
    <w:rsid w:val="000A20EB"/>
    <w:rsid w:val="000A229E"/>
    <w:rsid w:val="000A22F4"/>
    <w:rsid w:val="000A241F"/>
    <w:rsid w:val="000A2445"/>
    <w:rsid w:val="000A2473"/>
    <w:rsid w:val="000A2595"/>
    <w:rsid w:val="000A2615"/>
    <w:rsid w:val="000A27D0"/>
    <w:rsid w:val="000A2915"/>
    <w:rsid w:val="000A2A2F"/>
    <w:rsid w:val="000A2B6C"/>
    <w:rsid w:val="000A2CCF"/>
    <w:rsid w:val="000A2D52"/>
    <w:rsid w:val="000A2D9C"/>
    <w:rsid w:val="000A2E4E"/>
    <w:rsid w:val="000A321F"/>
    <w:rsid w:val="000A32E6"/>
    <w:rsid w:val="000A34DB"/>
    <w:rsid w:val="000A3545"/>
    <w:rsid w:val="000A35B8"/>
    <w:rsid w:val="000A37BE"/>
    <w:rsid w:val="000A3B85"/>
    <w:rsid w:val="000A3F60"/>
    <w:rsid w:val="000A40E4"/>
    <w:rsid w:val="000A4429"/>
    <w:rsid w:val="000A44CD"/>
    <w:rsid w:val="000A4701"/>
    <w:rsid w:val="000A4809"/>
    <w:rsid w:val="000A4872"/>
    <w:rsid w:val="000A493F"/>
    <w:rsid w:val="000A4B43"/>
    <w:rsid w:val="000A4DB0"/>
    <w:rsid w:val="000A4E14"/>
    <w:rsid w:val="000A4E56"/>
    <w:rsid w:val="000A50A1"/>
    <w:rsid w:val="000A51BA"/>
    <w:rsid w:val="000A53D5"/>
    <w:rsid w:val="000A55B4"/>
    <w:rsid w:val="000A56C3"/>
    <w:rsid w:val="000A5736"/>
    <w:rsid w:val="000A580B"/>
    <w:rsid w:val="000A58C0"/>
    <w:rsid w:val="000A5AFB"/>
    <w:rsid w:val="000A5B47"/>
    <w:rsid w:val="000A5CB5"/>
    <w:rsid w:val="000A5D6B"/>
    <w:rsid w:val="000A5E3F"/>
    <w:rsid w:val="000A5E99"/>
    <w:rsid w:val="000A5E9F"/>
    <w:rsid w:val="000A5F16"/>
    <w:rsid w:val="000A5F71"/>
    <w:rsid w:val="000A601D"/>
    <w:rsid w:val="000A6033"/>
    <w:rsid w:val="000A60F0"/>
    <w:rsid w:val="000A6359"/>
    <w:rsid w:val="000A636E"/>
    <w:rsid w:val="000A643E"/>
    <w:rsid w:val="000A6578"/>
    <w:rsid w:val="000A6752"/>
    <w:rsid w:val="000A67B4"/>
    <w:rsid w:val="000A691C"/>
    <w:rsid w:val="000A6943"/>
    <w:rsid w:val="000A6C97"/>
    <w:rsid w:val="000A6E20"/>
    <w:rsid w:val="000A6EF7"/>
    <w:rsid w:val="000A6F8A"/>
    <w:rsid w:val="000A707B"/>
    <w:rsid w:val="000A7226"/>
    <w:rsid w:val="000A7434"/>
    <w:rsid w:val="000A7485"/>
    <w:rsid w:val="000A7BE8"/>
    <w:rsid w:val="000A7C45"/>
    <w:rsid w:val="000A7F29"/>
    <w:rsid w:val="000A7FB3"/>
    <w:rsid w:val="000B00CA"/>
    <w:rsid w:val="000B0117"/>
    <w:rsid w:val="000B0195"/>
    <w:rsid w:val="000B01F5"/>
    <w:rsid w:val="000B02D2"/>
    <w:rsid w:val="000B0354"/>
    <w:rsid w:val="000B055B"/>
    <w:rsid w:val="000B074E"/>
    <w:rsid w:val="000B074F"/>
    <w:rsid w:val="000B092C"/>
    <w:rsid w:val="000B0981"/>
    <w:rsid w:val="000B0A7A"/>
    <w:rsid w:val="000B0B50"/>
    <w:rsid w:val="000B0D96"/>
    <w:rsid w:val="000B0FCF"/>
    <w:rsid w:val="000B114F"/>
    <w:rsid w:val="000B1222"/>
    <w:rsid w:val="000B12C9"/>
    <w:rsid w:val="000B12F8"/>
    <w:rsid w:val="000B150E"/>
    <w:rsid w:val="000B1647"/>
    <w:rsid w:val="000B1743"/>
    <w:rsid w:val="000B1844"/>
    <w:rsid w:val="000B1877"/>
    <w:rsid w:val="000B1992"/>
    <w:rsid w:val="000B1A13"/>
    <w:rsid w:val="000B1A7D"/>
    <w:rsid w:val="000B1B38"/>
    <w:rsid w:val="000B1CE8"/>
    <w:rsid w:val="000B1FEB"/>
    <w:rsid w:val="000B2169"/>
    <w:rsid w:val="000B25A6"/>
    <w:rsid w:val="000B27DD"/>
    <w:rsid w:val="000B2955"/>
    <w:rsid w:val="000B2AA1"/>
    <w:rsid w:val="000B2C28"/>
    <w:rsid w:val="000B2E37"/>
    <w:rsid w:val="000B2EDE"/>
    <w:rsid w:val="000B2F55"/>
    <w:rsid w:val="000B2FDD"/>
    <w:rsid w:val="000B303C"/>
    <w:rsid w:val="000B3102"/>
    <w:rsid w:val="000B34EC"/>
    <w:rsid w:val="000B3595"/>
    <w:rsid w:val="000B375E"/>
    <w:rsid w:val="000B380A"/>
    <w:rsid w:val="000B391C"/>
    <w:rsid w:val="000B3C47"/>
    <w:rsid w:val="000B3D5B"/>
    <w:rsid w:val="000B3E9E"/>
    <w:rsid w:val="000B3F61"/>
    <w:rsid w:val="000B3FE6"/>
    <w:rsid w:val="000B4041"/>
    <w:rsid w:val="000B436D"/>
    <w:rsid w:val="000B439A"/>
    <w:rsid w:val="000B439E"/>
    <w:rsid w:val="000B4474"/>
    <w:rsid w:val="000B4495"/>
    <w:rsid w:val="000B44DB"/>
    <w:rsid w:val="000B468D"/>
    <w:rsid w:val="000B4D43"/>
    <w:rsid w:val="000B4D7D"/>
    <w:rsid w:val="000B4D8A"/>
    <w:rsid w:val="000B4DFE"/>
    <w:rsid w:val="000B4F5D"/>
    <w:rsid w:val="000B4FDF"/>
    <w:rsid w:val="000B4FEA"/>
    <w:rsid w:val="000B5101"/>
    <w:rsid w:val="000B519E"/>
    <w:rsid w:val="000B524F"/>
    <w:rsid w:val="000B52C4"/>
    <w:rsid w:val="000B5388"/>
    <w:rsid w:val="000B5463"/>
    <w:rsid w:val="000B552B"/>
    <w:rsid w:val="000B56B2"/>
    <w:rsid w:val="000B5941"/>
    <w:rsid w:val="000B5B67"/>
    <w:rsid w:val="000B5C9F"/>
    <w:rsid w:val="000B5D20"/>
    <w:rsid w:val="000B5D82"/>
    <w:rsid w:val="000B5D9C"/>
    <w:rsid w:val="000B5F21"/>
    <w:rsid w:val="000B5F95"/>
    <w:rsid w:val="000B6049"/>
    <w:rsid w:val="000B62BE"/>
    <w:rsid w:val="000B62DF"/>
    <w:rsid w:val="000B632B"/>
    <w:rsid w:val="000B6341"/>
    <w:rsid w:val="000B6A68"/>
    <w:rsid w:val="000B6E61"/>
    <w:rsid w:val="000B702D"/>
    <w:rsid w:val="000B7053"/>
    <w:rsid w:val="000B74D7"/>
    <w:rsid w:val="000B75AD"/>
    <w:rsid w:val="000B75F0"/>
    <w:rsid w:val="000B75FB"/>
    <w:rsid w:val="000B763F"/>
    <w:rsid w:val="000B76FD"/>
    <w:rsid w:val="000B780D"/>
    <w:rsid w:val="000B781E"/>
    <w:rsid w:val="000B7935"/>
    <w:rsid w:val="000B793C"/>
    <w:rsid w:val="000B7E8B"/>
    <w:rsid w:val="000B7ED7"/>
    <w:rsid w:val="000B7F64"/>
    <w:rsid w:val="000C01E7"/>
    <w:rsid w:val="000C020C"/>
    <w:rsid w:val="000C02FD"/>
    <w:rsid w:val="000C0376"/>
    <w:rsid w:val="000C044E"/>
    <w:rsid w:val="000C0531"/>
    <w:rsid w:val="000C060B"/>
    <w:rsid w:val="000C08C5"/>
    <w:rsid w:val="000C0923"/>
    <w:rsid w:val="000C0A7E"/>
    <w:rsid w:val="000C0B69"/>
    <w:rsid w:val="000C0D11"/>
    <w:rsid w:val="000C0D87"/>
    <w:rsid w:val="000C0F1A"/>
    <w:rsid w:val="000C0FEF"/>
    <w:rsid w:val="000C11E5"/>
    <w:rsid w:val="000C14DE"/>
    <w:rsid w:val="000C158E"/>
    <w:rsid w:val="000C1724"/>
    <w:rsid w:val="000C1B9C"/>
    <w:rsid w:val="000C1C09"/>
    <w:rsid w:val="000C1C68"/>
    <w:rsid w:val="000C1CC4"/>
    <w:rsid w:val="000C1D15"/>
    <w:rsid w:val="000C1D26"/>
    <w:rsid w:val="000C1D6B"/>
    <w:rsid w:val="000C1DD9"/>
    <w:rsid w:val="000C21C1"/>
    <w:rsid w:val="000C22FA"/>
    <w:rsid w:val="000C2317"/>
    <w:rsid w:val="000C292C"/>
    <w:rsid w:val="000C29FB"/>
    <w:rsid w:val="000C2B57"/>
    <w:rsid w:val="000C2B94"/>
    <w:rsid w:val="000C2DEB"/>
    <w:rsid w:val="000C2E41"/>
    <w:rsid w:val="000C2F59"/>
    <w:rsid w:val="000C31C0"/>
    <w:rsid w:val="000C3240"/>
    <w:rsid w:val="000C3247"/>
    <w:rsid w:val="000C3513"/>
    <w:rsid w:val="000C35E4"/>
    <w:rsid w:val="000C372F"/>
    <w:rsid w:val="000C39FE"/>
    <w:rsid w:val="000C3A82"/>
    <w:rsid w:val="000C3B2B"/>
    <w:rsid w:val="000C3B8A"/>
    <w:rsid w:val="000C3BD5"/>
    <w:rsid w:val="000C3BF0"/>
    <w:rsid w:val="000C3CF5"/>
    <w:rsid w:val="000C3E97"/>
    <w:rsid w:val="000C3F97"/>
    <w:rsid w:val="000C3FC5"/>
    <w:rsid w:val="000C40CF"/>
    <w:rsid w:val="000C439A"/>
    <w:rsid w:val="000C46C6"/>
    <w:rsid w:val="000C4720"/>
    <w:rsid w:val="000C47A6"/>
    <w:rsid w:val="000C48E8"/>
    <w:rsid w:val="000C4CBC"/>
    <w:rsid w:val="000C4E0A"/>
    <w:rsid w:val="000C5230"/>
    <w:rsid w:val="000C5244"/>
    <w:rsid w:val="000C53FD"/>
    <w:rsid w:val="000C553B"/>
    <w:rsid w:val="000C5589"/>
    <w:rsid w:val="000C55C2"/>
    <w:rsid w:val="000C5609"/>
    <w:rsid w:val="000C563A"/>
    <w:rsid w:val="000C5739"/>
    <w:rsid w:val="000C57A0"/>
    <w:rsid w:val="000C5830"/>
    <w:rsid w:val="000C58CB"/>
    <w:rsid w:val="000C5C19"/>
    <w:rsid w:val="000C5E8C"/>
    <w:rsid w:val="000C5F0D"/>
    <w:rsid w:val="000C5F8D"/>
    <w:rsid w:val="000C60AE"/>
    <w:rsid w:val="000C60B3"/>
    <w:rsid w:val="000C6148"/>
    <w:rsid w:val="000C6499"/>
    <w:rsid w:val="000C65AB"/>
    <w:rsid w:val="000C66A4"/>
    <w:rsid w:val="000C6993"/>
    <w:rsid w:val="000C6A39"/>
    <w:rsid w:val="000C6D76"/>
    <w:rsid w:val="000C6DE5"/>
    <w:rsid w:val="000C6E52"/>
    <w:rsid w:val="000C6E55"/>
    <w:rsid w:val="000C6E79"/>
    <w:rsid w:val="000C6EFD"/>
    <w:rsid w:val="000C6F23"/>
    <w:rsid w:val="000C6FDD"/>
    <w:rsid w:val="000C70A5"/>
    <w:rsid w:val="000C71C2"/>
    <w:rsid w:val="000C731F"/>
    <w:rsid w:val="000C73AF"/>
    <w:rsid w:val="000C76F0"/>
    <w:rsid w:val="000C7872"/>
    <w:rsid w:val="000C78A0"/>
    <w:rsid w:val="000C7920"/>
    <w:rsid w:val="000C7956"/>
    <w:rsid w:val="000C7A4B"/>
    <w:rsid w:val="000C7AAB"/>
    <w:rsid w:val="000C7AF7"/>
    <w:rsid w:val="000C7BBC"/>
    <w:rsid w:val="000C7D4A"/>
    <w:rsid w:val="000C7F16"/>
    <w:rsid w:val="000C7F9B"/>
    <w:rsid w:val="000C7FA7"/>
    <w:rsid w:val="000D01C5"/>
    <w:rsid w:val="000D023C"/>
    <w:rsid w:val="000D0244"/>
    <w:rsid w:val="000D0345"/>
    <w:rsid w:val="000D0565"/>
    <w:rsid w:val="000D05F2"/>
    <w:rsid w:val="000D06E6"/>
    <w:rsid w:val="000D0714"/>
    <w:rsid w:val="000D08FB"/>
    <w:rsid w:val="000D0D61"/>
    <w:rsid w:val="000D0DD9"/>
    <w:rsid w:val="000D0E1A"/>
    <w:rsid w:val="000D0F5C"/>
    <w:rsid w:val="000D1011"/>
    <w:rsid w:val="000D114A"/>
    <w:rsid w:val="000D11BA"/>
    <w:rsid w:val="000D121E"/>
    <w:rsid w:val="000D12CB"/>
    <w:rsid w:val="000D1323"/>
    <w:rsid w:val="000D13CC"/>
    <w:rsid w:val="000D1406"/>
    <w:rsid w:val="000D14F9"/>
    <w:rsid w:val="000D15AA"/>
    <w:rsid w:val="000D16B1"/>
    <w:rsid w:val="000D171C"/>
    <w:rsid w:val="000D184C"/>
    <w:rsid w:val="000D1873"/>
    <w:rsid w:val="000D190B"/>
    <w:rsid w:val="000D1B93"/>
    <w:rsid w:val="000D1B96"/>
    <w:rsid w:val="000D1BBC"/>
    <w:rsid w:val="000D1D1B"/>
    <w:rsid w:val="000D2021"/>
    <w:rsid w:val="000D2102"/>
    <w:rsid w:val="000D25A4"/>
    <w:rsid w:val="000D2605"/>
    <w:rsid w:val="000D2693"/>
    <w:rsid w:val="000D26AA"/>
    <w:rsid w:val="000D282E"/>
    <w:rsid w:val="000D285A"/>
    <w:rsid w:val="000D2919"/>
    <w:rsid w:val="000D3027"/>
    <w:rsid w:val="000D311A"/>
    <w:rsid w:val="000D31FD"/>
    <w:rsid w:val="000D32DE"/>
    <w:rsid w:val="000D3376"/>
    <w:rsid w:val="000D3380"/>
    <w:rsid w:val="000D34C7"/>
    <w:rsid w:val="000D3514"/>
    <w:rsid w:val="000D35E5"/>
    <w:rsid w:val="000D3762"/>
    <w:rsid w:val="000D38BC"/>
    <w:rsid w:val="000D39BE"/>
    <w:rsid w:val="000D3B6B"/>
    <w:rsid w:val="000D3C4F"/>
    <w:rsid w:val="000D3DCE"/>
    <w:rsid w:val="000D3DF5"/>
    <w:rsid w:val="000D3E00"/>
    <w:rsid w:val="000D3E7F"/>
    <w:rsid w:val="000D3EC4"/>
    <w:rsid w:val="000D3F0A"/>
    <w:rsid w:val="000D3FEF"/>
    <w:rsid w:val="000D407C"/>
    <w:rsid w:val="000D4094"/>
    <w:rsid w:val="000D40AD"/>
    <w:rsid w:val="000D4103"/>
    <w:rsid w:val="000D41C2"/>
    <w:rsid w:val="000D42B4"/>
    <w:rsid w:val="000D433A"/>
    <w:rsid w:val="000D4405"/>
    <w:rsid w:val="000D44AF"/>
    <w:rsid w:val="000D474A"/>
    <w:rsid w:val="000D4782"/>
    <w:rsid w:val="000D47D6"/>
    <w:rsid w:val="000D47F3"/>
    <w:rsid w:val="000D49AD"/>
    <w:rsid w:val="000D4ABE"/>
    <w:rsid w:val="000D4AFB"/>
    <w:rsid w:val="000D4D3C"/>
    <w:rsid w:val="000D4ED9"/>
    <w:rsid w:val="000D4F04"/>
    <w:rsid w:val="000D5253"/>
    <w:rsid w:val="000D52E3"/>
    <w:rsid w:val="000D5378"/>
    <w:rsid w:val="000D54BE"/>
    <w:rsid w:val="000D54DB"/>
    <w:rsid w:val="000D55C5"/>
    <w:rsid w:val="000D574F"/>
    <w:rsid w:val="000D57B7"/>
    <w:rsid w:val="000D581A"/>
    <w:rsid w:val="000D583B"/>
    <w:rsid w:val="000D59ED"/>
    <w:rsid w:val="000D5A31"/>
    <w:rsid w:val="000D5BA3"/>
    <w:rsid w:val="000D5BFA"/>
    <w:rsid w:val="000D5C62"/>
    <w:rsid w:val="000D5D92"/>
    <w:rsid w:val="000D5E09"/>
    <w:rsid w:val="000D5F60"/>
    <w:rsid w:val="000D60AB"/>
    <w:rsid w:val="000D64BA"/>
    <w:rsid w:val="000D64D5"/>
    <w:rsid w:val="000D662E"/>
    <w:rsid w:val="000D66B6"/>
    <w:rsid w:val="000D6727"/>
    <w:rsid w:val="000D68A0"/>
    <w:rsid w:val="000D68CF"/>
    <w:rsid w:val="000D6AED"/>
    <w:rsid w:val="000D6AF2"/>
    <w:rsid w:val="000D6C9E"/>
    <w:rsid w:val="000D6CE1"/>
    <w:rsid w:val="000D6D4D"/>
    <w:rsid w:val="000D730A"/>
    <w:rsid w:val="000D7405"/>
    <w:rsid w:val="000D74F3"/>
    <w:rsid w:val="000D7587"/>
    <w:rsid w:val="000D7644"/>
    <w:rsid w:val="000D7791"/>
    <w:rsid w:val="000D77EB"/>
    <w:rsid w:val="000D784C"/>
    <w:rsid w:val="000D7A92"/>
    <w:rsid w:val="000D7B5C"/>
    <w:rsid w:val="000D7C5A"/>
    <w:rsid w:val="000D7C5C"/>
    <w:rsid w:val="000D7CE0"/>
    <w:rsid w:val="000D7D9D"/>
    <w:rsid w:val="000D7E79"/>
    <w:rsid w:val="000E00A2"/>
    <w:rsid w:val="000E0222"/>
    <w:rsid w:val="000E0272"/>
    <w:rsid w:val="000E0277"/>
    <w:rsid w:val="000E033E"/>
    <w:rsid w:val="000E03DD"/>
    <w:rsid w:val="000E040F"/>
    <w:rsid w:val="000E056B"/>
    <w:rsid w:val="000E05E1"/>
    <w:rsid w:val="000E0732"/>
    <w:rsid w:val="000E0803"/>
    <w:rsid w:val="000E0B06"/>
    <w:rsid w:val="000E0C08"/>
    <w:rsid w:val="000E0E47"/>
    <w:rsid w:val="000E0ED5"/>
    <w:rsid w:val="000E0FF9"/>
    <w:rsid w:val="000E1265"/>
    <w:rsid w:val="000E1495"/>
    <w:rsid w:val="000E14C8"/>
    <w:rsid w:val="000E15B1"/>
    <w:rsid w:val="000E15CB"/>
    <w:rsid w:val="000E15FA"/>
    <w:rsid w:val="000E190A"/>
    <w:rsid w:val="000E196A"/>
    <w:rsid w:val="000E1A15"/>
    <w:rsid w:val="000E1C8E"/>
    <w:rsid w:val="000E1CD7"/>
    <w:rsid w:val="000E1DD8"/>
    <w:rsid w:val="000E1E26"/>
    <w:rsid w:val="000E1F15"/>
    <w:rsid w:val="000E20CF"/>
    <w:rsid w:val="000E216A"/>
    <w:rsid w:val="000E223E"/>
    <w:rsid w:val="000E2367"/>
    <w:rsid w:val="000E254F"/>
    <w:rsid w:val="000E25F9"/>
    <w:rsid w:val="000E26B2"/>
    <w:rsid w:val="000E2798"/>
    <w:rsid w:val="000E293A"/>
    <w:rsid w:val="000E298C"/>
    <w:rsid w:val="000E2A0D"/>
    <w:rsid w:val="000E2A8E"/>
    <w:rsid w:val="000E2B12"/>
    <w:rsid w:val="000E2CB2"/>
    <w:rsid w:val="000E2D44"/>
    <w:rsid w:val="000E2E5D"/>
    <w:rsid w:val="000E3328"/>
    <w:rsid w:val="000E335D"/>
    <w:rsid w:val="000E3427"/>
    <w:rsid w:val="000E3523"/>
    <w:rsid w:val="000E3581"/>
    <w:rsid w:val="000E35F2"/>
    <w:rsid w:val="000E3762"/>
    <w:rsid w:val="000E3822"/>
    <w:rsid w:val="000E391B"/>
    <w:rsid w:val="000E3D02"/>
    <w:rsid w:val="000E3DF4"/>
    <w:rsid w:val="000E3F19"/>
    <w:rsid w:val="000E40DD"/>
    <w:rsid w:val="000E410F"/>
    <w:rsid w:val="000E418D"/>
    <w:rsid w:val="000E4229"/>
    <w:rsid w:val="000E426A"/>
    <w:rsid w:val="000E42C5"/>
    <w:rsid w:val="000E4480"/>
    <w:rsid w:val="000E4744"/>
    <w:rsid w:val="000E49F9"/>
    <w:rsid w:val="000E4A28"/>
    <w:rsid w:val="000E4AC5"/>
    <w:rsid w:val="000E4AEF"/>
    <w:rsid w:val="000E4C2A"/>
    <w:rsid w:val="000E4CF5"/>
    <w:rsid w:val="000E4D6F"/>
    <w:rsid w:val="000E4FE9"/>
    <w:rsid w:val="000E5145"/>
    <w:rsid w:val="000E51DB"/>
    <w:rsid w:val="000E52C0"/>
    <w:rsid w:val="000E5323"/>
    <w:rsid w:val="000E5473"/>
    <w:rsid w:val="000E554F"/>
    <w:rsid w:val="000E5698"/>
    <w:rsid w:val="000E56D3"/>
    <w:rsid w:val="000E58E6"/>
    <w:rsid w:val="000E5A20"/>
    <w:rsid w:val="000E5BF9"/>
    <w:rsid w:val="000E5C87"/>
    <w:rsid w:val="000E5D5B"/>
    <w:rsid w:val="000E6266"/>
    <w:rsid w:val="000E6302"/>
    <w:rsid w:val="000E65F0"/>
    <w:rsid w:val="000E67A9"/>
    <w:rsid w:val="000E67D0"/>
    <w:rsid w:val="000E6805"/>
    <w:rsid w:val="000E694E"/>
    <w:rsid w:val="000E6A4D"/>
    <w:rsid w:val="000E6A8F"/>
    <w:rsid w:val="000E6AC7"/>
    <w:rsid w:val="000E6B19"/>
    <w:rsid w:val="000E6B7B"/>
    <w:rsid w:val="000E6C96"/>
    <w:rsid w:val="000E6DEC"/>
    <w:rsid w:val="000E6E45"/>
    <w:rsid w:val="000E719C"/>
    <w:rsid w:val="000E7265"/>
    <w:rsid w:val="000E72D6"/>
    <w:rsid w:val="000E7605"/>
    <w:rsid w:val="000E76CD"/>
    <w:rsid w:val="000E7B76"/>
    <w:rsid w:val="000E7B8E"/>
    <w:rsid w:val="000E7F57"/>
    <w:rsid w:val="000E7F76"/>
    <w:rsid w:val="000F0005"/>
    <w:rsid w:val="000F0089"/>
    <w:rsid w:val="000F0275"/>
    <w:rsid w:val="000F0342"/>
    <w:rsid w:val="000F0514"/>
    <w:rsid w:val="000F06E5"/>
    <w:rsid w:val="000F0730"/>
    <w:rsid w:val="000F0947"/>
    <w:rsid w:val="000F09DE"/>
    <w:rsid w:val="000F0A43"/>
    <w:rsid w:val="000F0F5C"/>
    <w:rsid w:val="000F0FDD"/>
    <w:rsid w:val="000F0FDE"/>
    <w:rsid w:val="000F1018"/>
    <w:rsid w:val="000F1066"/>
    <w:rsid w:val="000F1085"/>
    <w:rsid w:val="000F10D9"/>
    <w:rsid w:val="000F12CB"/>
    <w:rsid w:val="000F1512"/>
    <w:rsid w:val="000F151D"/>
    <w:rsid w:val="000F1751"/>
    <w:rsid w:val="000F180D"/>
    <w:rsid w:val="000F1855"/>
    <w:rsid w:val="000F18B0"/>
    <w:rsid w:val="000F19BD"/>
    <w:rsid w:val="000F1CA5"/>
    <w:rsid w:val="000F1D44"/>
    <w:rsid w:val="000F1D9E"/>
    <w:rsid w:val="000F1F20"/>
    <w:rsid w:val="000F2026"/>
    <w:rsid w:val="000F202E"/>
    <w:rsid w:val="000F227C"/>
    <w:rsid w:val="000F22A7"/>
    <w:rsid w:val="000F2706"/>
    <w:rsid w:val="000F271D"/>
    <w:rsid w:val="000F2783"/>
    <w:rsid w:val="000F2D38"/>
    <w:rsid w:val="000F2D75"/>
    <w:rsid w:val="000F2DB3"/>
    <w:rsid w:val="000F2F43"/>
    <w:rsid w:val="000F3028"/>
    <w:rsid w:val="000F3285"/>
    <w:rsid w:val="000F33D1"/>
    <w:rsid w:val="000F356A"/>
    <w:rsid w:val="000F38F1"/>
    <w:rsid w:val="000F391F"/>
    <w:rsid w:val="000F39D7"/>
    <w:rsid w:val="000F3AD3"/>
    <w:rsid w:val="000F3AE1"/>
    <w:rsid w:val="000F3AEE"/>
    <w:rsid w:val="000F3BBE"/>
    <w:rsid w:val="000F3D45"/>
    <w:rsid w:val="000F3F19"/>
    <w:rsid w:val="000F3FD9"/>
    <w:rsid w:val="000F405A"/>
    <w:rsid w:val="000F4062"/>
    <w:rsid w:val="000F4091"/>
    <w:rsid w:val="000F4181"/>
    <w:rsid w:val="000F43F7"/>
    <w:rsid w:val="000F461C"/>
    <w:rsid w:val="000F47A5"/>
    <w:rsid w:val="000F4917"/>
    <w:rsid w:val="000F4D38"/>
    <w:rsid w:val="000F4FB8"/>
    <w:rsid w:val="000F501D"/>
    <w:rsid w:val="000F5290"/>
    <w:rsid w:val="000F52F3"/>
    <w:rsid w:val="000F5421"/>
    <w:rsid w:val="000F5578"/>
    <w:rsid w:val="000F55E0"/>
    <w:rsid w:val="000F55E2"/>
    <w:rsid w:val="000F5605"/>
    <w:rsid w:val="000F5611"/>
    <w:rsid w:val="000F5BC9"/>
    <w:rsid w:val="000F5BDF"/>
    <w:rsid w:val="000F5BFD"/>
    <w:rsid w:val="000F5CDD"/>
    <w:rsid w:val="000F5D0B"/>
    <w:rsid w:val="000F5D86"/>
    <w:rsid w:val="000F5E69"/>
    <w:rsid w:val="000F5FB8"/>
    <w:rsid w:val="000F601C"/>
    <w:rsid w:val="000F612D"/>
    <w:rsid w:val="000F622B"/>
    <w:rsid w:val="000F655A"/>
    <w:rsid w:val="000F65CB"/>
    <w:rsid w:val="000F666C"/>
    <w:rsid w:val="000F6679"/>
    <w:rsid w:val="000F667D"/>
    <w:rsid w:val="000F6745"/>
    <w:rsid w:val="000F693F"/>
    <w:rsid w:val="000F6BD6"/>
    <w:rsid w:val="000F6DE2"/>
    <w:rsid w:val="000F6DE4"/>
    <w:rsid w:val="000F70CD"/>
    <w:rsid w:val="000F70FE"/>
    <w:rsid w:val="000F7191"/>
    <w:rsid w:val="000F73B3"/>
    <w:rsid w:val="000F74BA"/>
    <w:rsid w:val="000F769D"/>
    <w:rsid w:val="000F7721"/>
    <w:rsid w:val="000F7801"/>
    <w:rsid w:val="000F783A"/>
    <w:rsid w:val="000F785E"/>
    <w:rsid w:val="000F79D3"/>
    <w:rsid w:val="000F79E8"/>
    <w:rsid w:val="000F79EE"/>
    <w:rsid w:val="000F7B69"/>
    <w:rsid w:val="000F7C69"/>
    <w:rsid w:val="000F7CF7"/>
    <w:rsid w:val="000F7FA6"/>
    <w:rsid w:val="00100054"/>
    <w:rsid w:val="001000EF"/>
    <w:rsid w:val="00100280"/>
    <w:rsid w:val="001003ED"/>
    <w:rsid w:val="001003FF"/>
    <w:rsid w:val="001004F3"/>
    <w:rsid w:val="00100531"/>
    <w:rsid w:val="00100559"/>
    <w:rsid w:val="00100573"/>
    <w:rsid w:val="001008C1"/>
    <w:rsid w:val="00100933"/>
    <w:rsid w:val="00100B2A"/>
    <w:rsid w:val="00100BD9"/>
    <w:rsid w:val="00100D2B"/>
    <w:rsid w:val="00100D43"/>
    <w:rsid w:val="00100DB3"/>
    <w:rsid w:val="00100EFF"/>
    <w:rsid w:val="0010107F"/>
    <w:rsid w:val="001011F7"/>
    <w:rsid w:val="00101334"/>
    <w:rsid w:val="0010151D"/>
    <w:rsid w:val="001016E6"/>
    <w:rsid w:val="00101714"/>
    <w:rsid w:val="00101754"/>
    <w:rsid w:val="00101D1F"/>
    <w:rsid w:val="00101D80"/>
    <w:rsid w:val="00101DB0"/>
    <w:rsid w:val="00101DF6"/>
    <w:rsid w:val="00101E60"/>
    <w:rsid w:val="00101F2D"/>
    <w:rsid w:val="00102023"/>
    <w:rsid w:val="0010205B"/>
    <w:rsid w:val="001020A9"/>
    <w:rsid w:val="001021BF"/>
    <w:rsid w:val="0010229D"/>
    <w:rsid w:val="001022CB"/>
    <w:rsid w:val="0010230D"/>
    <w:rsid w:val="0010250F"/>
    <w:rsid w:val="00102753"/>
    <w:rsid w:val="001029DA"/>
    <w:rsid w:val="00102A1D"/>
    <w:rsid w:val="00102B46"/>
    <w:rsid w:val="00102CE9"/>
    <w:rsid w:val="00102D03"/>
    <w:rsid w:val="00102F48"/>
    <w:rsid w:val="001032FD"/>
    <w:rsid w:val="001033A4"/>
    <w:rsid w:val="001034E1"/>
    <w:rsid w:val="001034E4"/>
    <w:rsid w:val="001034EC"/>
    <w:rsid w:val="001035CA"/>
    <w:rsid w:val="0010399D"/>
    <w:rsid w:val="00103B27"/>
    <w:rsid w:val="00103CA6"/>
    <w:rsid w:val="00103F9F"/>
    <w:rsid w:val="00104122"/>
    <w:rsid w:val="001043FE"/>
    <w:rsid w:val="001044DE"/>
    <w:rsid w:val="00104727"/>
    <w:rsid w:val="00104749"/>
    <w:rsid w:val="001048B4"/>
    <w:rsid w:val="00104935"/>
    <w:rsid w:val="00104A61"/>
    <w:rsid w:val="00104B3A"/>
    <w:rsid w:val="00104C23"/>
    <w:rsid w:val="00104C3C"/>
    <w:rsid w:val="00104C81"/>
    <w:rsid w:val="00104F0C"/>
    <w:rsid w:val="00104FBE"/>
    <w:rsid w:val="001050DE"/>
    <w:rsid w:val="00105112"/>
    <w:rsid w:val="001051E7"/>
    <w:rsid w:val="001053D4"/>
    <w:rsid w:val="001053EE"/>
    <w:rsid w:val="001054C4"/>
    <w:rsid w:val="00105665"/>
    <w:rsid w:val="0010567B"/>
    <w:rsid w:val="00105717"/>
    <w:rsid w:val="00105768"/>
    <w:rsid w:val="001057DB"/>
    <w:rsid w:val="0010585F"/>
    <w:rsid w:val="001058B7"/>
    <w:rsid w:val="0010595C"/>
    <w:rsid w:val="00105A31"/>
    <w:rsid w:val="00105C95"/>
    <w:rsid w:val="00105E27"/>
    <w:rsid w:val="00105E54"/>
    <w:rsid w:val="00105F59"/>
    <w:rsid w:val="00106067"/>
    <w:rsid w:val="00106091"/>
    <w:rsid w:val="00106109"/>
    <w:rsid w:val="00106138"/>
    <w:rsid w:val="001062C5"/>
    <w:rsid w:val="00106388"/>
    <w:rsid w:val="0010640B"/>
    <w:rsid w:val="0010644C"/>
    <w:rsid w:val="001065B1"/>
    <w:rsid w:val="001066E9"/>
    <w:rsid w:val="0010670B"/>
    <w:rsid w:val="0010684F"/>
    <w:rsid w:val="001068C6"/>
    <w:rsid w:val="00106940"/>
    <w:rsid w:val="001069B4"/>
    <w:rsid w:val="00106C7A"/>
    <w:rsid w:val="00106D7D"/>
    <w:rsid w:val="00106E19"/>
    <w:rsid w:val="00106E31"/>
    <w:rsid w:val="00106E56"/>
    <w:rsid w:val="00106F2E"/>
    <w:rsid w:val="00107058"/>
    <w:rsid w:val="001073D1"/>
    <w:rsid w:val="0010746D"/>
    <w:rsid w:val="001075C1"/>
    <w:rsid w:val="0010769E"/>
    <w:rsid w:val="0010778D"/>
    <w:rsid w:val="001079EF"/>
    <w:rsid w:val="00107BF7"/>
    <w:rsid w:val="00107C78"/>
    <w:rsid w:val="0011027A"/>
    <w:rsid w:val="0011029E"/>
    <w:rsid w:val="00110449"/>
    <w:rsid w:val="001104F0"/>
    <w:rsid w:val="00110535"/>
    <w:rsid w:val="00110592"/>
    <w:rsid w:val="00110664"/>
    <w:rsid w:val="0011067E"/>
    <w:rsid w:val="00110722"/>
    <w:rsid w:val="00110783"/>
    <w:rsid w:val="001107F3"/>
    <w:rsid w:val="00110807"/>
    <w:rsid w:val="001108FB"/>
    <w:rsid w:val="001109E3"/>
    <w:rsid w:val="00110A52"/>
    <w:rsid w:val="00110AB1"/>
    <w:rsid w:val="00110EC7"/>
    <w:rsid w:val="0011109A"/>
    <w:rsid w:val="0011138A"/>
    <w:rsid w:val="00111455"/>
    <w:rsid w:val="00111504"/>
    <w:rsid w:val="00111510"/>
    <w:rsid w:val="00111673"/>
    <w:rsid w:val="001116C2"/>
    <w:rsid w:val="00111733"/>
    <w:rsid w:val="00111778"/>
    <w:rsid w:val="001118AC"/>
    <w:rsid w:val="00111939"/>
    <w:rsid w:val="00111964"/>
    <w:rsid w:val="00111AA5"/>
    <w:rsid w:val="00111B52"/>
    <w:rsid w:val="00111C39"/>
    <w:rsid w:val="00111C5D"/>
    <w:rsid w:val="00111C6C"/>
    <w:rsid w:val="00111F30"/>
    <w:rsid w:val="001120F2"/>
    <w:rsid w:val="001120F8"/>
    <w:rsid w:val="0011216D"/>
    <w:rsid w:val="001121C6"/>
    <w:rsid w:val="00112275"/>
    <w:rsid w:val="00112376"/>
    <w:rsid w:val="001124A7"/>
    <w:rsid w:val="0011260B"/>
    <w:rsid w:val="001126CA"/>
    <w:rsid w:val="0011284E"/>
    <w:rsid w:val="00112966"/>
    <w:rsid w:val="00112A6F"/>
    <w:rsid w:val="00112D90"/>
    <w:rsid w:val="00112F88"/>
    <w:rsid w:val="001132C8"/>
    <w:rsid w:val="00113320"/>
    <w:rsid w:val="00113430"/>
    <w:rsid w:val="001134CB"/>
    <w:rsid w:val="0011358B"/>
    <w:rsid w:val="0011364A"/>
    <w:rsid w:val="00113657"/>
    <w:rsid w:val="00113676"/>
    <w:rsid w:val="0011368A"/>
    <w:rsid w:val="00113741"/>
    <w:rsid w:val="00113869"/>
    <w:rsid w:val="00113C10"/>
    <w:rsid w:val="00113CFF"/>
    <w:rsid w:val="00113D25"/>
    <w:rsid w:val="00113DBC"/>
    <w:rsid w:val="00113F14"/>
    <w:rsid w:val="00113F17"/>
    <w:rsid w:val="001140CC"/>
    <w:rsid w:val="001142A5"/>
    <w:rsid w:val="001143BE"/>
    <w:rsid w:val="0011440F"/>
    <w:rsid w:val="00114527"/>
    <w:rsid w:val="00114597"/>
    <w:rsid w:val="0011461C"/>
    <w:rsid w:val="00114711"/>
    <w:rsid w:val="001147F7"/>
    <w:rsid w:val="0011495B"/>
    <w:rsid w:val="00114A9C"/>
    <w:rsid w:val="00114CC4"/>
    <w:rsid w:val="00114CC5"/>
    <w:rsid w:val="00114D71"/>
    <w:rsid w:val="00114E2F"/>
    <w:rsid w:val="00114EA8"/>
    <w:rsid w:val="00114F1D"/>
    <w:rsid w:val="00114F7C"/>
    <w:rsid w:val="00115206"/>
    <w:rsid w:val="0011527B"/>
    <w:rsid w:val="001153D6"/>
    <w:rsid w:val="00115402"/>
    <w:rsid w:val="001154DD"/>
    <w:rsid w:val="00115509"/>
    <w:rsid w:val="00115554"/>
    <w:rsid w:val="0011594C"/>
    <w:rsid w:val="00115AA7"/>
    <w:rsid w:val="00115AAE"/>
    <w:rsid w:val="00115B34"/>
    <w:rsid w:val="00115B8E"/>
    <w:rsid w:val="00115D47"/>
    <w:rsid w:val="00115E93"/>
    <w:rsid w:val="00115F1E"/>
    <w:rsid w:val="00115F38"/>
    <w:rsid w:val="0011608D"/>
    <w:rsid w:val="001161EB"/>
    <w:rsid w:val="0011621A"/>
    <w:rsid w:val="001162F2"/>
    <w:rsid w:val="00116611"/>
    <w:rsid w:val="0011667A"/>
    <w:rsid w:val="0011671F"/>
    <w:rsid w:val="00116A25"/>
    <w:rsid w:val="00116B57"/>
    <w:rsid w:val="00116C16"/>
    <w:rsid w:val="00116CCD"/>
    <w:rsid w:val="00116E11"/>
    <w:rsid w:val="00116EE1"/>
    <w:rsid w:val="0011711C"/>
    <w:rsid w:val="0011712E"/>
    <w:rsid w:val="0011719E"/>
    <w:rsid w:val="001171DE"/>
    <w:rsid w:val="00117222"/>
    <w:rsid w:val="0011742A"/>
    <w:rsid w:val="00117476"/>
    <w:rsid w:val="0011771D"/>
    <w:rsid w:val="00117724"/>
    <w:rsid w:val="001179DA"/>
    <w:rsid w:val="001179E9"/>
    <w:rsid w:val="00117AB4"/>
    <w:rsid w:val="00117AFA"/>
    <w:rsid w:val="00117E5F"/>
    <w:rsid w:val="00117E82"/>
    <w:rsid w:val="00117F63"/>
    <w:rsid w:val="00117FD4"/>
    <w:rsid w:val="001200EC"/>
    <w:rsid w:val="00120113"/>
    <w:rsid w:val="001201CA"/>
    <w:rsid w:val="00120290"/>
    <w:rsid w:val="001204BA"/>
    <w:rsid w:val="001204E3"/>
    <w:rsid w:val="001205F2"/>
    <w:rsid w:val="001205FC"/>
    <w:rsid w:val="00120641"/>
    <w:rsid w:val="0012070D"/>
    <w:rsid w:val="001207C4"/>
    <w:rsid w:val="0012093C"/>
    <w:rsid w:val="0012098C"/>
    <w:rsid w:val="00120AD4"/>
    <w:rsid w:val="00120FBF"/>
    <w:rsid w:val="00121064"/>
    <w:rsid w:val="0012110D"/>
    <w:rsid w:val="0012123B"/>
    <w:rsid w:val="00121283"/>
    <w:rsid w:val="001213CE"/>
    <w:rsid w:val="001213CF"/>
    <w:rsid w:val="00121453"/>
    <w:rsid w:val="0012178F"/>
    <w:rsid w:val="001218EF"/>
    <w:rsid w:val="00121A29"/>
    <w:rsid w:val="00121B15"/>
    <w:rsid w:val="00121CC4"/>
    <w:rsid w:val="00121D2D"/>
    <w:rsid w:val="00121E16"/>
    <w:rsid w:val="00121E3F"/>
    <w:rsid w:val="00121EB0"/>
    <w:rsid w:val="00121FA5"/>
    <w:rsid w:val="00121FA6"/>
    <w:rsid w:val="00122036"/>
    <w:rsid w:val="0012205D"/>
    <w:rsid w:val="00122117"/>
    <w:rsid w:val="001221A1"/>
    <w:rsid w:val="00122203"/>
    <w:rsid w:val="001222D6"/>
    <w:rsid w:val="001223A0"/>
    <w:rsid w:val="001224FB"/>
    <w:rsid w:val="00122777"/>
    <w:rsid w:val="001228D3"/>
    <w:rsid w:val="001229A7"/>
    <w:rsid w:val="00122CA5"/>
    <w:rsid w:val="00122E4E"/>
    <w:rsid w:val="00122F7B"/>
    <w:rsid w:val="00123038"/>
    <w:rsid w:val="00123300"/>
    <w:rsid w:val="001233D3"/>
    <w:rsid w:val="00123588"/>
    <w:rsid w:val="00123628"/>
    <w:rsid w:val="001236DA"/>
    <w:rsid w:val="00123860"/>
    <w:rsid w:val="001238F9"/>
    <w:rsid w:val="00123ABE"/>
    <w:rsid w:val="00123B41"/>
    <w:rsid w:val="00123C71"/>
    <w:rsid w:val="00123CC8"/>
    <w:rsid w:val="00123E42"/>
    <w:rsid w:val="00123EA1"/>
    <w:rsid w:val="00123F65"/>
    <w:rsid w:val="00123F72"/>
    <w:rsid w:val="00123F9A"/>
    <w:rsid w:val="00124091"/>
    <w:rsid w:val="0012410D"/>
    <w:rsid w:val="00124139"/>
    <w:rsid w:val="001243B1"/>
    <w:rsid w:val="0012445E"/>
    <w:rsid w:val="001245D7"/>
    <w:rsid w:val="00124695"/>
    <w:rsid w:val="001246F2"/>
    <w:rsid w:val="0012471F"/>
    <w:rsid w:val="00124737"/>
    <w:rsid w:val="001247E8"/>
    <w:rsid w:val="00124905"/>
    <w:rsid w:val="001249E0"/>
    <w:rsid w:val="00124A8D"/>
    <w:rsid w:val="00124BD3"/>
    <w:rsid w:val="00124C2D"/>
    <w:rsid w:val="00124D2B"/>
    <w:rsid w:val="00124D69"/>
    <w:rsid w:val="00125017"/>
    <w:rsid w:val="0012506A"/>
    <w:rsid w:val="00125367"/>
    <w:rsid w:val="00125373"/>
    <w:rsid w:val="001254C7"/>
    <w:rsid w:val="001255A6"/>
    <w:rsid w:val="001255E5"/>
    <w:rsid w:val="001258AE"/>
    <w:rsid w:val="0012593F"/>
    <w:rsid w:val="001259A6"/>
    <w:rsid w:val="001259F9"/>
    <w:rsid w:val="00125CBF"/>
    <w:rsid w:val="00125DD0"/>
    <w:rsid w:val="00126254"/>
    <w:rsid w:val="0012629D"/>
    <w:rsid w:val="001262CB"/>
    <w:rsid w:val="001262E0"/>
    <w:rsid w:val="001262FA"/>
    <w:rsid w:val="00126361"/>
    <w:rsid w:val="00126525"/>
    <w:rsid w:val="0012661F"/>
    <w:rsid w:val="00126738"/>
    <w:rsid w:val="00126821"/>
    <w:rsid w:val="00126867"/>
    <w:rsid w:val="00126ABD"/>
    <w:rsid w:val="00126B1E"/>
    <w:rsid w:val="00126D2C"/>
    <w:rsid w:val="00126E34"/>
    <w:rsid w:val="00126E9C"/>
    <w:rsid w:val="00126EF2"/>
    <w:rsid w:val="00126F58"/>
    <w:rsid w:val="00126F72"/>
    <w:rsid w:val="00127288"/>
    <w:rsid w:val="0012748A"/>
    <w:rsid w:val="001274A4"/>
    <w:rsid w:val="001274DA"/>
    <w:rsid w:val="0012758F"/>
    <w:rsid w:val="00127761"/>
    <w:rsid w:val="001277F3"/>
    <w:rsid w:val="00127C56"/>
    <w:rsid w:val="00127D59"/>
    <w:rsid w:val="00127E45"/>
    <w:rsid w:val="00127EA8"/>
    <w:rsid w:val="00127EBD"/>
    <w:rsid w:val="00127F92"/>
    <w:rsid w:val="00130076"/>
    <w:rsid w:val="00130139"/>
    <w:rsid w:val="0013029D"/>
    <w:rsid w:val="0013037F"/>
    <w:rsid w:val="00130381"/>
    <w:rsid w:val="00130462"/>
    <w:rsid w:val="001306E7"/>
    <w:rsid w:val="001308E1"/>
    <w:rsid w:val="00130A2C"/>
    <w:rsid w:val="00130AB5"/>
    <w:rsid w:val="00130B28"/>
    <w:rsid w:val="00130C8A"/>
    <w:rsid w:val="00130CD6"/>
    <w:rsid w:val="00130E3A"/>
    <w:rsid w:val="00130E58"/>
    <w:rsid w:val="00130EAC"/>
    <w:rsid w:val="00130F3B"/>
    <w:rsid w:val="00130FFE"/>
    <w:rsid w:val="0013107E"/>
    <w:rsid w:val="001310A2"/>
    <w:rsid w:val="00131321"/>
    <w:rsid w:val="00131376"/>
    <w:rsid w:val="0013153C"/>
    <w:rsid w:val="00131784"/>
    <w:rsid w:val="001318DF"/>
    <w:rsid w:val="00131C38"/>
    <w:rsid w:val="00131D4C"/>
    <w:rsid w:val="00131F12"/>
    <w:rsid w:val="00131F33"/>
    <w:rsid w:val="00131FD0"/>
    <w:rsid w:val="00132078"/>
    <w:rsid w:val="00132299"/>
    <w:rsid w:val="001324FC"/>
    <w:rsid w:val="00132601"/>
    <w:rsid w:val="001327BA"/>
    <w:rsid w:val="0013280B"/>
    <w:rsid w:val="0013288B"/>
    <w:rsid w:val="00132C53"/>
    <w:rsid w:val="00132CA8"/>
    <w:rsid w:val="00132D66"/>
    <w:rsid w:val="00132EA9"/>
    <w:rsid w:val="00132F97"/>
    <w:rsid w:val="00132F9E"/>
    <w:rsid w:val="00132FAE"/>
    <w:rsid w:val="001334A2"/>
    <w:rsid w:val="00133534"/>
    <w:rsid w:val="0013370F"/>
    <w:rsid w:val="001337AA"/>
    <w:rsid w:val="001337EE"/>
    <w:rsid w:val="001339BB"/>
    <w:rsid w:val="001339F4"/>
    <w:rsid w:val="00133A91"/>
    <w:rsid w:val="00133D4E"/>
    <w:rsid w:val="00133E95"/>
    <w:rsid w:val="00133EF5"/>
    <w:rsid w:val="00133F4D"/>
    <w:rsid w:val="00133F53"/>
    <w:rsid w:val="00134052"/>
    <w:rsid w:val="00134174"/>
    <w:rsid w:val="001341A2"/>
    <w:rsid w:val="001342C1"/>
    <w:rsid w:val="001343AF"/>
    <w:rsid w:val="00134415"/>
    <w:rsid w:val="0013457D"/>
    <w:rsid w:val="0013464F"/>
    <w:rsid w:val="001347F8"/>
    <w:rsid w:val="001349AB"/>
    <w:rsid w:val="00134B60"/>
    <w:rsid w:val="00134BB2"/>
    <w:rsid w:val="00134D72"/>
    <w:rsid w:val="00134E53"/>
    <w:rsid w:val="00134EEA"/>
    <w:rsid w:val="00135082"/>
    <w:rsid w:val="00135178"/>
    <w:rsid w:val="0013531D"/>
    <w:rsid w:val="0013544A"/>
    <w:rsid w:val="001354D7"/>
    <w:rsid w:val="00135723"/>
    <w:rsid w:val="00135835"/>
    <w:rsid w:val="00135882"/>
    <w:rsid w:val="00135921"/>
    <w:rsid w:val="00135AF1"/>
    <w:rsid w:val="00135B02"/>
    <w:rsid w:val="00135D80"/>
    <w:rsid w:val="00135EBA"/>
    <w:rsid w:val="00135F48"/>
    <w:rsid w:val="00136036"/>
    <w:rsid w:val="001362A0"/>
    <w:rsid w:val="00136303"/>
    <w:rsid w:val="0013651A"/>
    <w:rsid w:val="001365B2"/>
    <w:rsid w:val="001369BB"/>
    <w:rsid w:val="001369D1"/>
    <w:rsid w:val="00136D80"/>
    <w:rsid w:val="00136DA0"/>
    <w:rsid w:val="00136DD1"/>
    <w:rsid w:val="00136E23"/>
    <w:rsid w:val="00136E7E"/>
    <w:rsid w:val="00136FA7"/>
    <w:rsid w:val="00136FD7"/>
    <w:rsid w:val="00137000"/>
    <w:rsid w:val="001370A6"/>
    <w:rsid w:val="00137167"/>
    <w:rsid w:val="0013735A"/>
    <w:rsid w:val="001374D5"/>
    <w:rsid w:val="0013767F"/>
    <w:rsid w:val="00137727"/>
    <w:rsid w:val="001378C8"/>
    <w:rsid w:val="0013794A"/>
    <w:rsid w:val="0013797E"/>
    <w:rsid w:val="00137ABA"/>
    <w:rsid w:val="00137D4E"/>
    <w:rsid w:val="00137EE4"/>
    <w:rsid w:val="00137FFA"/>
    <w:rsid w:val="00140053"/>
    <w:rsid w:val="001400EF"/>
    <w:rsid w:val="001402DC"/>
    <w:rsid w:val="001403C5"/>
    <w:rsid w:val="001405E9"/>
    <w:rsid w:val="0014073C"/>
    <w:rsid w:val="00140775"/>
    <w:rsid w:val="0014094A"/>
    <w:rsid w:val="001409B2"/>
    <w:rsid w:val="00140C34"/>
    <w:rsid w:val="00140CDA"/>
    <w:rsid w:val="00140D71"/>
    <w:rsid w:val="00140DA7"/>
    <w:rsid w:val="00140E3E"/>
    <w:rsid w:val="00140F48"/>
    <w:rsid w:val="00140FCE"/>
    <w:rsid w:val="00140FFA"/>
    <w:rsid w:val="00141103"/>
    <w:rsid w:val="0014122C"/>
    <w:rsid w:val="001412A8"/>
    <w:rsid w:val="001413DA"/>
    <w:rsid w:val="0014169E"/>
    <w:rsid w:val="001416C2"/>
    <w:rsid w:val="00141778"/>
    <w:rsid w:val="0014180B"/>
    <w:rsid w:val="0014184A"/>
    <w:rsid w:val="00141936"/>
    <w:rsid w:val="00141A91"/>
    <w:rsid w:val="00141B12"/>
    <w:rsid w:val="00141B44"/>
    <w:rsid w:val="00141B63"/>
    <w:rsid w:val="00141EE7"/>
    <w:rsid w:val="00141FE4"/>
    <w:rsid w:val="0014207A"/>
    <w:rsid w:val="001420C7"/>
    <w:rsid w:val="001421A0"/>
    <w:rsid w:val="001423E7"/>
    <w:rsid w:val="0014266D"/>
    <w:rsid w:val="0014268E"/>
    <w:rsid w:val="001426BA"/>
    <w:rsid w:val="001427E6"/>
    <w:rsid w:val="00142855"/>
    <w:rsid w:val="00142B23"/>
    <w:rsid w:val="00142B3A"/>
    <w:rsid w:val="00142C1F"/>
    <w:rsid w:val="00142C3F"/>
    <w:rsid w:val="00142C44"/>
    <w:rsid w:val="00142D0D"/>
    <w:rsid w:val="00142DB8"/>
    <w:rsid w:val="00142DD1"/>
    <w:rsid w:val="00142E52"/>
    <w:rsid w:val="00142F76"/>
    <w:rsid w:val="00142FF6"/>
    <w:rsid w:val="00143028"/>
    <w:rsid w:val="0014320E"/>
    <w:rsid w:val="001432C7"/>
    <w:rsid w:val="001432F0"/>
    <w:rsid w:val="001435FF"/>
    <w:rsid w:val="0014378F"/>
    <w:rsid w:val="001439DE"/>
    <w:rsid w:val="00143A77"/>
    <w:rsid w:val="00143BB7"/>
    <w:rsid w:val="00143BED"/>
    <w:rsid w:val="00143D0D"/>
    <w:rsid w:val="00143E36"/>
    <w:rsid w:val="00143FCA"/>
    <w:rsid w:val="0014424D"/>
    <w:rsid w:val="00144291"/>
    <w:rsid w:val="00144312"/>
    <w:rsid w:val="0014431C"/>
    <w:rsid w:val="0014432E"/>
    <w:rsid w:val="001445AF"/>
    <w:rsid w:val="00144682"/>
    <w:rsid w:val="00144795"/>
    <w:rsid w:val="00144822"/>
    <w:rsid w:val="001449EA"/>
    <w:rsid w:val="00144B03"/>
    <w:rsid w:val="00144DBA"/>
    <w:rsid w:val="00144E6B"/>
    <w:rsid w:val="00144F32"/>
    <w:rsid w:val="00145131"/>
    <w:rsid w:val="0014524E"/>
    <w:rsid w:val="001452B5"/>
    <w:rsid w:val="001453F9"/>
    <w:rsid w:val="00145451"/>
    <w:rsid w:val="00145554"/>
    <w:rsid w:val="0014555E"/>
    <w:rsid w:val="0014564D"/>
    <w:rsid w:val="0014584B"/>
    <w:rsid w:val="00145B41"/>
    <w:rsid w:val="00145BAD"/>
    <w:rsid w:val="00145BE3"/>
    <w:rsid w:val="00145D3F"/>
    <w:rsid w:val="00145EE3"/>
    <w:rsid w:val="00145EE6"/>
    <w:rsid w:val="00145FD1"/>
    <w:rsid w:val="00146228"/>
    <w:rsid w:val="00146405"/>
    <w:rsid w:val="001464AE"/>
    <w:rsid w:val="00146598"/>
    <w:rsid w:val="0014664E"/>
    <w:rsid w:val="00146B02"/>
    <w:rsid w:val="00146D66"/>
    <w:rsid w:val="00146E68"/>
    <w:rsid w:val="00146F28"/>
    <w:rsid w:val="0014711A"/>
    <w:rsid w:val="0014715C"/>
    <w:rsid w:val="00147228"/>
    <w:rsid w:val="00147292"/>
    <w:rsid w:val="00147390"/>
    <w:rsid w:val="00147519"/>
    <w:rsid w:val="001476A7"/>
    <w:rsid w:val="0014774E"/>
    <w:rsid w:val="001477CC"/>
    <w:rsid w:val="001477F1"/>
    <w:rsid w:val="00147915"/>
    <w:rsid w:val="001479C4"/>
    <w:rsid w:val="00147C0A"/>
    <w:rsid w:val="00147D82"/>
    <w:rsid w:val="0015008B"/>
    <w:rsid w:val="00150509"/>
    <w:rsid w:val="00150864"/>
    <w:rsid w:val="0015093F"/>
    <w:rsid w:val="00150DE6"/>
    <w:rsid w:val="00150EFB"/>
    <w:rsid w:val="00150F44"/>
    <w:rsid w:val="00150F85"/>
    <w:rsid w:val="00151277"/>
    <w:rsid w:val="001517C3"/>
    <w:rsid w:val="001519EA"/>
    <w:rsid w:val="00151A81"/>
    <w:rsid w:val="00151AD0"/>
    <w:rsid w:val="00151B78"/>
    <w:rsid w:val="00151C87"/>
    <w:rsid w:val="00151E3C"/>
    <w:rsid w:val="00151FD1"/>
    <w:rsid w:val="001520E1"/>
    <w:rsid w:val="0015226D"/>
    <w:rsid w:val="0015237D"/>
    <w:rsid w:val="0015249A"/>
    <w:rsid w:val="00152862"/>
    <w:rsid w:val="001528FC"/>
    <w:rsid w:val="00152A7A"/>
    <w:rsid w:val="00152BFD"/>
    <w:rsid w:val="00152C55"/>
    <w:rsid w:val="00152C9D"/>
    <w:rsid w:val="00152D34"/>
    <w:rsid w:val="00152D7A"/>
    <w:rsid w:val="00152E91"/>
    <w:rsid w:val="00153032"/>
    <w:rsid w:val="001534AB"/>
    <w:rsid w:val="0015360C"/>
    <w:rsid w:val="00153674"/>
    <w:rsid w:val="001536CE"/>
    <w:rsid w:val="001537B2"/>
    <w:rsid w:val="00153924"/>
    <w:rsid w:val="00153943"/>
    <w:rsid w:val="00153989"/>
    <w:rsid w:val="001539B7"/>
    <w:rsid w:val="00153A8C"/>
    <w:rsid w:val="00153AB2"/>
    <w:rsid w:val="00153B5E"/>
    <w:rsid w:val="00153D67"/>
    <w:rsid w:val="00153F4B"/>
    <w:rsid w:val="00153FE0"/>
    <w:rsid w:val="00154040"/>
    <w:rsid w:val="001540C3"/>
    <w:rsid w:val="00154160"/>
    <w:rsid w:val="001543F4"/>
    <w:rsid w:val="0015440B"/>
    <w:rsid w:val="0015453E"/>
    <w:rsid w:val="00154633"/>
    <w:rsid w:val="00154860"/>
    <w:rsid w:val="00154956"/>
    <w:rsid w:val="00154A77"/>
    <w:rsid w:val="00154C2F"/>
    <w:rsid w:val="00154D6A"/>
    <w:rsid w:val="00154D9F"/>
    <w:rsid w:val="00154DA8"/>
    <w:rsid w:val="00154F94"/>
    <w:rsid w:val="00155031"/>
    <w:rsid w:val="0015536D"/>
    <w:rsid w:val="00155422"/>
    <w:rsid w:val="0015543A"/>
    <w:rsid w:val="0015570B"/>
    <w:rsid w:val="00155752"/>
    <w:rsid w:val="001557BD"/>
    <w:rsid w:val="001557DF"/>
    <w:rsid w:val="001558B8"/>
    <w:rsid w:val="00155925"/>
    <w:rsid w:val="001559E6"/>
    <w:rsid w:val="001559EB"/>
    <w:rsid w:val="00155ADC"/>
    <w:rsid w:val="00155B87"/>
    <w:rsid w:val="00155CA4"/>
    <w:rsid w:val="00155D51"/>
    <w:rsid w:val="00155DF6"/>
    <w:rsid w:val="00155E56"/>
    <w:rsid w:val="001560B1"/>
    <w:rsid w:val="0015637E"/>
    <w:rsid w:val="001563AC"/>
    <w:rsid w:val="00156462"/>
    <w:rsid w:val="00156536"/>
    <w:rsid w:val="001565D6"/>
    <w:rsid w:val="001566BC"/>
    <w:rsid w:val="001567CE"/>
    <w:rsid w:val="0015687D"/>
    <w:rsid w:val="0015690C"/>
    <w:rsid w:val="0015697F"/>
    <w:rsid w:val="00156AE6"/>
    <w:rsid w:val="00156C3F"/>
    <w:rsid w:val="00156C52"/>
    <w:rsid w:val="00156D4C"/>
    <w:rsid w:val="00156D83"/>
    <w:rsid w:val="00156DD0"/>
    <w:rsid w:val="00156E96"/>
    <w:rsid w:val="0015705E"/>
    <w:rsid w:val="001570E5"/>
    <w:rsid w:val="00157236"/>
    <w:rsid w:val="0015724D"/>
    <w:rsid w:val="00157282"/>
    <w:rsid w:val="00157370"/>
    <w:rsid w:val="00157376"/>
    <w:rsid w:val="00157582"/>
    <w:rsid w:val="001575F2"/>
    <w:rsid w:val="00157812"/>
    <w:rsid w:val="00157975"/>
    <w:rsid w:val="00157A85"/>
    <w:rsid w:val="00157BCB"/>
    <w:rsid w:val="00157D35"/>
    <w:rsid w:val="00157DDF"/>
    <w:rsid w:val="00157F70"/>
    <w:rsid w:val="00157FE7"/>
    <w:rsid w:val="0016009D"/>
    <w:rsid w:val="0016062B"/>
    <w:rsid w:val="001606D0"/>
    <w:rsid w:val="0016087E"/>
    <w:rsid w:val="00160929"/>
    <w:rsid w:val="00160A45"/>
    <w:rsid w:val="00160A6D"/>
    <w:rsid w:val="00160F62"/>
    <w:rsid w:val="00161051"/>
    <w:rsid w:val="00161067"/>
    <w:rsid w:val="001610D0"/>
    <w:rsid w:val="00161152"/>
    <w:rsid w:val="00161239"/>
    <w:rsid w:val="00161303"/>
    <w:rsid w:val="00161523"/>
    <w:rsid w:val="001616D0"/>
    <w:rsid w:val="00161929"/>
    <w:rsid w:val="00161B70"/>
    <w:rsid w:val="00161BD4"/>
    <w:rsid w:val="00161C4E"/>
    <w:rsid w:val="00161CA7"/>
    <w:rsid w:val="00161CE7"/>
    <w:rsid w:val="00161DF0"/>
    <w:rsid w:val="00161E68"/>
    <w:rsid w:val="00161F45"/>
    <w:rsid w:val="00162139"/>
    <w:rsid w:val="00162190"/>
    <w:rsid w:val="001623F2"/>
    <w:rsid w:val="00162403"/>
    <w:rsid w:val="00162870"/>
    <w:rsid w:val="001628AA"/>
    <w:rsid w:val="001628DB"/>
    <w:rsid w:val="00162BDD"/>
    <w:rsid w:val="00162CBD"/>
    <w:rsid w:val="00162D45"/>
    <w:rsid w:val="00162E1B"/>
    <w:rsid w:val="00162FDC"/>
    <w:rsid w:val="00163055"/>
    <w:rsid w:val="00163142"/>
    <w:rsid w:val="0016326C"/>
    <w:rsid w:val="0016329A"/>
    <w:rsid w:val="001633E0"/>
    <w:rsid w:val="00163697"/>
    <w:rsid w:val="001636E1"/>
    <w:rsid w:val="00163702"/>
    <w:rsid w:val="00163823"/>
    <w:rsid w:val="00163851"/>
    <w:rsid w:val="0016385A"/>
    <w:rsid w:val="00163957"/>
    <w:rsid w:val="00163A61"/>
    <w:rsid w:val="00163B0F"/>
    <w:rsid w:val="00163C3A"/>
    <w:rsid w:val="00163C73"/>
    <w:rsid w:val="00163CFB"/>
    <w:rsid w:val="00163DED"/>
    <w:rsid w:val="00163E71"/>
    <w:rsid w:val="00163E81"/>
    <w:rsid w:val="0016411F"/>
    <w:rsid w:val="00164122"/>
    <w:rsid w:val="001642F1"/>
    <w:rsid w:val="00164403"/>
    <w:rsid w:val="00164418"/>
    <w:rsid w:val="001645F2"/>
    <w:rsid w:val="00164641"/>
    <w:rsid w:val="001646C4"/>
    <w:rsid w:val="0016483E"/>
    <w:rsid w:val="0016484C"/>
    <w:rsid w:val="001648C0"/>
    <w:rsid w:val="00164932"/>
    <w:rsid w:val="00164983"/>
    <w:rsid w:val="0016499A"/>
    <w:rsid w:val="0016499F"/>
    <w:rsid w:val="00164AFC"/>
    <w:rsid w:val="00164B31"/>
    <w:rsid w:val="00164CD7"/>
    <w:rsid w:val="00164DD4"/>
    <w:rsid w:val="00164F1C"/>
    <w:rsid w:val="00164F58"/>
    <w:rsid w:val="00165097"/>
    <w:rsid w:val="00165170"/>
    <w:rsid w:val="001653C0"/>
    <w:rsid w:val="00165490"/>
    <w:rsid w:val="0016561E"/>
    <w:rsid w:val="00165962"/>
    <w:rsid w:val="00165CB6"/>
    <w:rsid w:val="00165DD4"/>
    <w:rsid w:val="0016605D"/>
    <w:rsid w:val="0016618D"/>
    <w:rsid w:val="001661D4"/>
    <w:rsid w:val="00166233"/>
    <w:rsid w:val="00166285"/>
    <w:rsid w:val="001662CF"/>
    <w:rsid w:val="00166361"/>
    <w:rsid w:val="0016642C"/>
    <w:rsid w:val="00166494"/>
    <w:rsid w:val="0016655F"/>
    <w:rsid w:val="001665A1"/>
    <w:rsid w:val="001665E0"/>
    <w:rsid w:val="001667A6"/>
    <w:rsid w:val="00166874"/>
    <w:rsid w:val="001668EC"/>
    <w:rsid w:val="00166ABC"/>
    <w:rsid w:val="00166BFE"/>
    <w:rsid w:val="0016721D"/>
    <w:rsid w:val="00167233"/>
    <w:rsid w:val="001672E5"/>
    <w:rsid w:val="001675BE"/>
    <w:rsid w:val="00167695"/>
    <w:rsid w:val="001676B7"/>
    <w:rsid w:val="00167769"/>
    <w:rsid w:val="0016793A"/>
    <w:rsid w:val="00167B8D"/>
    <w:rsid w:val="00167CE3"/>
    <w:rsid w:val="0017010F"/>
    <w:rsid w:val="00170129"/>
    <w:rsid w:val="00170138"/>
    <w:rsid w:val="001706E1"/>
    <w:rsid w:val="00170711"/>
    <w:rsid w:val="00170743"/>
    <w:rsid w:val="001707B0"/>
    <w:rsid w:val="001707F8"/>
    <w:rsid w:val="001709FD"/>
    <w:rsid w:val="00170A1B"/>
    <w:rsid w:val="00170A4A"/>
    <w:rsid w:val="00170BC5"/>
    <w:rsid w:val="00170D4B"/>
    <w:rsid w:val="00170DDA"/>
    <w:rsid w:val="00170E06"/>
    <w:rsid w:val="00170ECE"/>
    <w:rsid w:val="00171270"/>
    <w:rsid w:val="0017128B"/>
    <w:rsid w:val="0017166B"/>
    <w:rsid w:val="001716E0"/>
    <w:rsid w:val="0017176F"/>
    <w:rsid w:val="001718E2"/>
    <w:rsid w:val="00171AC4"/>
    <w:rsid w:val="00171B5C"/>
    <w:rsid w:val="00171D43"/>
    <w:rsid w:val="00171D75"/>
    <w:rsid w:val="00171F38"/>
    <w:rsid w:val="00172023"/>
    <w:rsid w:val="00172260"/>
    <w:rsid w:val="001722E7"/>
    <w:rsid w:val="0017232F"/>
    <w:rsid w:val="0017234C"/>
    <w:rsid w:val="0017259A"/>
    <w:rsid w:val="00172718"/>
    <w:rsid w:val="0017274A"/>
    <w:rsid w:val="001727FA"/>
    <w:rsid w:val="0017293F"/>
    <w:rsid w:val="00172982"/>
    <w:rsid w:val="001729E7"/>
    <w:rsid w:val="00172A69"/>
    <w:rsid w:val="00172AD0"/>
    <w:rsid w:val="00172C03"/>
    <w:rsid w:val="00172CDC"/>
    <w:rsid w:val="00172FBA"/>
    <w:rsid w:val="00173300"/>
    <w:rsid w:val="001736B0"/>
    <w:rsid w:val="001736F4"/>
    <w:rsid w:val="00173734"/>
    <w:rsid w:val="001738D4"/>
    <w:rsid w:val="001738F7"/>
    <w:rsid w:val="00173996"/>
    <w:rsid w:val="00173A73"/>
    <w:rsid w:val="00173DC6"/>
    <w:rsid w:val="00173E97"/>
    <w:rsid w:val="00173F5B"/>
    <w:rsid w:val="00173F62"/>
    <w:rsid w:val="00173FC1"/>
    <w:rsid w:val="001741EF"/>
    <w:rsid w:val="00174206"/>
    <w:rsid w:val="00174294"/>
    <w:rsid w:val="001742F4"/>
    <w:rsid w:val="00174531"/>
    <w:rsid w:val="0017455B"/>
    <w:rsid w:val="001745A0"/>
    <w:rsid w:val="001746F3"/>
    <w:rsid w:val="0017496A"/>
    <w:rsid w:val="00174A74"/>
    <w:rsid w:val="00174AF4"/>
    <w:rsid w:val="00174BD3"/>
    <w:rsid w:val="00174BF3"/>
    <w:rsid w:val="00174CFB"/>
    <w:rsid w:val="00174DE5"/>
    <w:rsid w:val="00174EE7"/>
    <w:rsid w:val="001750DB"/>
    <w:rsid w:val="00175244"/>
    <w:rsid w:val="001752EA"/>
    <w:rsid w:val="001755E9"/>
    <w:rsid w:val="00175696"/>
    <w:rsid w:val="00175733"/>
    <w:rsid w:val="00175C1F"/>
    <w:rsid w:val="00175EB2"/>
    <w:rsid w:val="00175EEB"/>
    <w:rsid w:val="00175F1C"/>
    <w:rsid w:val="00175F20"/>
    <w:rsid w:val="0017677A"/>
    <w:rsid w:val="001769F1"/>
    <w:rsid w:val="00176B55"/>
    <w:rsid w:val="00176B6A"/>
    <w:rsid w:val="00176BFE"/>
    <w:rsid w:val="00176C92"/>
    <w:rsid w:val="00176D0B"/>
    <w:rsid w:val="00176D11"/>
    <w:rsid w:val="00176E21"/>
    <w:rsid w:val="00176E84"/>
    <w:rsid w:val="00176F31"/>
    <w:rsid w:val="00176FF5"/>
    <w:rsid w:val="00177192"/>
    <w:rsid w:val="0017719B"/>
    <w:rsid w:val="001771AF"/>
    <w:rsid w:val="001772F1"/>
    <w:rsid w:val="00177365"/>
    <w:rsid w:val="00177521"/>
    <w:rsid w:val="00177652"/>
    <w:rsid w:val="00177701"/>
    <w:rsid w:val="00177802"/>
    <w:rsid w:val="00177895"/>
    <w:rsid w:val="00177A87"/>
    <w:rsid w:val="00177AA5"/>
    <w:rsid w:val="00177ABE"/>
    <w:rsid w:val="00177AF7"/>
    <w:rsid w:val="00177F25"/>
    <w:rsid w:val="0018010C"/>
    <w:rsid w:val="001801F0"/>
    <w:rsid w:val="0018053F"/>
    <w:rsid w:val="001806D7"/>
    <w:rsid w:val="00180757"/>
    <w:rsid w:val="0018093A"/>
    <w:rsid w:val="001809B3"/>
    <w:rsid w:val="00180AB9"/>
    <w:rsid w:val="00180AF9"/>
    <w:rsid w:val="00180C59"/>
    <w:rsid w:val="00180CA9"/>
    <w:rsid w:val="00180D51"/>
    <w:rsid w:val="00180D5A"/>
    <w:rsid w:val="00180DDB"/>
    <w:rsid w:val="00180E19"/>
    <w:rsid w:val="00180F65"/>
    <w:rsid w:val="00181238"/>
    <w:rsid w:val="001812AC"/>
    <w:rsid w:val="00181406"/>
    <w:rsid w:val="0018162F"/>
    <w:rsid w:val="0018177A"/>
    <w:rsid w:val="001817C3"/>
    <w:rsid w:val="00181837"/>
    <w:rsid w:val="00181867"/>
    <w:rsid w:val="0018190B"/>
    <w:rsid w:val="00181B52"/>
    <w:rsid w:val="00181BBA"/>
    <w:rsid w:val="00181D07"/>
    <w:rsid w:val="00181EE4"/>
    <w:rsid w:val="00181EF6"/>
    <w:rsid w:val="00182024"/>
    <w:rsid w:val="0018202B"/>
    <w:rsid w:val="001824F8"/>
    <w:rsid w:val="00182694"/>
    <w:rsid w:val="001826D3"/>
    <w:rsid w:val="0018290D"/>
    <w:rsid w:val="00182923"/>
    <w:rsid w:val="00182A01"/>
    <w:rsid w:val="00182C0B"/>
    <w:rsid w:val="00182F34"/>
    <w:rsid w:val="001831C3"/>
    <w:rsid w:val="0018323E"/>
    <w:rsid w:val="00183310"/>
    <w:rsid w:val="0018331D"/>
    <w:rsid w:val="00183562"/>
    <w:rsid w:val="0018357E"/>
    <w:rsid w:val="00183686"/>
    <w:rsid w:val="001836A8"/>
    <w:rsid w:val="0018370F"/>
    <w:rsid w:val="00183879"/>
    <w:rsid w:val="00183959"/>
    <w:rsid w:val="0018398F"/>
    <w:rsid w:val="00183A0E"/>
    <w:rsid w:val="00183A60"/>
    <w:rsid w:val="00183AB3"/>
    <w:rsid w:val="00183C3F"/>
    <w:rsid w:val="00183D27"/>
    <w:rsid w:val="00183E45"/>
    <w:rsid w:val="00183EEA"/>
    <w:rsid w:val="00184118"/>
    <w:rsid w:val="001841AC"/>
    <w:rsid w:val="001842B5"/>
    <w:rsid w:val="00184341"/>
    <w:rsid w:val="0018446A"/>
    <w:rsid w:val="00184574"/>
    <w:rsid w:val="001845F1"/>
    <w:rsid w:val="00184744"/>
    <w:rsid w:val="00184795"/>
    <w:rsid w:val="0018480A"/>
    <w:rsid w:val="00184831"/>
    <w:rsid w:val="001848B3"/>
    <w:rsid w:val="001848C8"/>
    <w:rsid w:val="00184B4A"/>
    <w:rsid w:val="00184DF0"/>
    <w:rsid w:val="00184E5D"/>
    <w:rsid w:val="00184E69"/>
    <w:rsid w:val="0018506E"/>
    <w:rsid w:val="00185071"/>
    <w:rsid w:val="001850CE"/>
    <w:rsid w:val="001851CF"/>
    <w:rsid w:val="001854A6"/>
    <w:rsid w:val="0018552C"/>
    <w:rsid w:val="00185654"/>
    <w:rsid w:val="001856F7"/>
    <w:rsid w:val="00185713"/>
    <w:rsid w:val="0018572E"/>
    <w:rsid w:val="00185787"/>
    <w:rsid w:val="001857BA"/>
    <w:rsid w:val="00185856"/>
    <w:rsid w:val="00185958"/>
    <w:rsid w:val="00185A31"/>
    <w:rsid w:val="00185B19"/>
    <w:rsid w:val="00185B27"/>
    <w:rsid w:val="00185C02"/>
    <w:rsid w:val="00185D52"/>
    <w:rsid w:val="00185D61"/>
    <w:rsid w:val="00185DA9"/>
    <w:rsid w:val="00186248"/>
    <w:rsid w:val="00186271"/>
    <w:rsid w:val="0018639C"/>
    <w:rsid w:val="00186468"/>
    <w:rsid w:val="001866BF"/>
    <w:rsid w:val="001866D8"/>
    <w:rsid w:val="0018672D"/>
    <w:rsid w:val="0018679B"/>
    <w:rsid w:val="0018699D"/>
    <w:rsid w:val="00186B40"/>
    <w:rsid w:val="00186BB2"/>
    <w:rsid w:val="00186CCF"/>
    <w:rsid w:val="00186E41"/>
    <w:rsid w:val="00186FB7"/>
    <w:rsid w:val="0018719D"/>
    <w:rsid w:val="001872F2"/>
    <w:rsid w:val="00187378"/>
    <w:rsid w:val="00187397"/>
    <w:rsid w:val="0018741C"/>
    <w:rsid w:val="001874C0"/>
    <w:rsid w:val="001874FC"/>
    <w:rsid w:val="00187512"/>
    <w:rsid w:val="001875AD"/>
    <w:rsid w:val="0018779F"/>
    <w:rsid w:val="0018792C"/>
    <w:rsid w:val="001879B2"/>
    <w:rsid w:val="00187AA0"/>
    <w:rsid w:val="00187BE7"/>
    <w:rsid w:val="00187DF3"/>
    <w:rsid w:val="00187E47"/>
    <w:rsid w:val="00187EA6"/>
    <w:rsid w:val="00187ECA"/>
    <w:rsid w:val="00187FEC"/>
    <w:rsid w:val="00190025"/>
    <w:rsid w:val="0019012C"/>
    <w:rsid w:val="00190225"/>
    <w:rsid w:val="001904B6"/>
    <w:rsid w:val="00190559"/>
    <w:rsid w:val="0019061A"/>
    <w:rsid w:val="001906AC"/>
    <w:rsid w:val="00190ABA"/>
    <w:rsid w:val="00190B70"/>
    <w:rsid w:val="00190C54"/>
    <w:rsid w:val="00190CB6"/>
    <w:rsid w:val="00190E65"/>
    <w:rsid w:val="001910E9"/>
    <w:rsid w:val="0019111B"/>
    <w:rsid w:val="0019116C"/>
    <w:rsid w:val="00191248"/>
    <w:rsid w:val="0019188C"/>
    <w:rsid w:val="001918F2"/>
    <w:rsid w:val="001919DF"/>
    <w:rsid w:val="00191A4A"/>
    <w:rsid w:val="00191AA6"/>
    <w:rsid w:val="00191D4F"/>
    <w:rsid w:val="00191DF3"/>
    <w:rsid w:val="00191EE5"/>
    <w:rsid w:val="00191F9E"/>
    <w:rsid w:val="00191FE2"/>
    <w:rsid w:val="00192051"/>
    <w:rsid w:val="0019216D"/>
    <w:rsid w:val="00192285"/>
    <w:rsid w:val="001923E8"/>
    <w:rsid w:val="00192619"/>
    <w:rsid w:val="00192716"/>
    <w:rsid w:val="00192855"/>
    <w:rsid w:val="001928DF"/>
    <w:rsid w:val="00192911"/>
    <w:rsid w:val="00192A85"/>
    <w:rsid w:val="00192B07"/>
    <w:rsid w:val="00192C19"/>
    <w:rsid w:val="00192C3F"/>
    <w:rsid w:val="00192EA3"/>
    <w:rsid w:val="00192EB6"/>
    <w:rsid w:val="001931C3"/>
    <w:rsid w:val="001931F1"/>
    <w:rsid w:val="0019324D"/>
    <w:rsid w:val="00193379"/>
    <w:rsid w:val="001933BC"/>
    <w:rsid w:val="001933ED"/>
    <w:rsid w:val="00193473"/>
    <w:rsid w:val="001934AC"/>
    <w:rsid w:val="0019357B"/>
    <w:rsid w:val="0019359B"/>
    <w:rsid w:val="0019360D"/>
    <w:rsid w:val="0019368A"/>
    <w:rsid w:val="0019376D"/>
    <w:rsid w:val="00193849"/>
    <w:rsid w:val="00193988"/>
    <w:rsid w:val="001939EA"/>
    <w:rsid w:val="00193B2B"/>
    <w:rsid w:val="00193BF4"/>
    <w:rsid w:val="00193C9B"/>
    <w:rsid w:val="00193D96"/>
    <w:rsid w:val="00193EA6"/>
    <w:rsid w:val="00194097"/>
    <w:rsid w:val="0019409E"/>
    <w:rsid w:val="001940F0"/>
    <w:rsid w:val="00194313"/>
    <w:rsid w:val="00194387"/>
    <w:rsid w:val="00194425"/>
    <w:rsid w:val="0019452A"/>
    <w:rsid w:val="0019469D"/>
    <w:rsid w:val="0019477C"/>
    <w:rsid w:val="00194950"/>
    <w:rsid w:val="00194B75"/>
    <w:rsid w:val="00194DA5"/>
    <w:rsid w:val="00194E2D"/>
    <w:rsid w:val="00195124"/>
    <w:rsid w:val="001952AA"/>
    <w:rsid w:val="001952E3"/>
    <w:rsid w:val="00195363"/>
    <w:rsid w:val="0019543C"/>
    <w:rsid w:val="00195501"/>
    <w:rsid w:val="00195755"/>
    <w:rsid w:val="0019582B"/>
    <w:rsid w:val="00195A4F"/>
    <w:rsid w:val="00195A6E"/>
    <w:rsid w:val="00195D18"/>
    <w:rsid w:val="00195D30"/>
    <w:rsid w:val="00195D5F"/>
    <w:rsid w:val="001960B7"/>
    <w:rsid w:val="001960E8"/>
    <w:rsid w:val="001965D0"/>
    <w:rsid w:val="00196600"/>
    <w:rsid w:val="00196812"/>
    <w:rsid w:val="00196C24"/>
    <w:rsid w:val="00196D48"/>
    <w:rsid w:val="00196DEF"/>
    <w:rsid w:val="00196F74"/>
    <w:rsid w:val="001970BF"/>
    <w:rsid w:val="0019724E"/>
    <w:rsid w:val="001973D5"/>
    <w:rsid w:val="001974DB"/>
    <w:rsid w:val="0019754F"/>
    <w:rsid w:val="001975FD"/>
    <w:rsid w:val="001977D3"/>
    <w:rsid w:val="001977E0"/>
    <w:rsid w:val="00197946"/>
    <w:rsid w:val="001979EC"/>
    <w:rsid w:val="00197A30"/>
    <w:rsid w:val="00197AB5"/>
    <w:rsid w:val="00197C46"/>
    <w:rsid w:val="00197EBC"/>
    <w:rsid w:val="001A0182"/>
    <w:rsid w:val="001A0197"/>
    <w:rsid w:val="001A01C8"/>
    <w:rsid w:val="001A0245"/>
    <w:rsid w:val="001A028C"/>
    <w:rsid w:val="001A0398"/>
    <w:rsid w:val="001A0436"/>
    <w:rsid w:val="001A072C"/>
    <w:rsid w:val="001A074C"/>
    <w:rsid w:val="001A07C4"/>
    <w:rsid w:val="001A0865"/>
    <w:rsid w:val="001A0895"/>
    <w:rsid w:val="001A093D"/>
    <w:rsid w:val="001A0ACC"/>
    <w:rsid w:val="001A0CEC"/>
    <w:rsid w:val="001A0D26"/>
    <w:rsid w:val="001A0F1D"/>
    <w:rsid w:val="001A0FB2"/>
    <w:rsid w:val="001A0FDE"/>
    <w:rsid w:val="001A1175"/>
    <w:rsid w:val="001A13F2"/>
    <w:rsid w:val="001A140B"/>
    <w:rsid w:val="001A144E"/>
    <w:rsid w:val="001A15AB"/>
    <w:rsid w:val="001A17C7"/>
    <w:rsid w:val="001A1845"/>
    <w:rsid w:val="001A189E"/>
    <w:rsid w:val="001A1B13"/>
    <w:rsid w:val="001A1DD6"/>
    <w:rsid w:val="001A2006"/>
    <w:rsid w:val="001A2161"/>
    <w:rsid w:val="001A22A4"/>
    <w:rsid w:val="001A2638"/>
    <w:rsid w:val="001A263E"/>
    <w:rsid w:val="001A275E"/>
    <w:rsid w:val="001A27FB"/>
    <w:rsid w:val="001A2822"/>
    <w:rsid w:val="001A2838"/>
    <w:rsid w:val="001A288E"/>
    <w:rsid w:val="001A2ADA"/>
    <w:rsid w:val="001A2B5E"/>
    <w:rsid w:val="001A2BDE"/>
    <w:rsid w:val="001A2CD8"/>
    <w:rsid w:val="001A2DB6"/>
    <w:rsid w:val="001A2E4F"/>
    <w:rsid w:val="001A2EF3"/>
    <w:rsid w:val="001A30A2"/>
    <w:rsid w:val="001A31E1"/>
    <w:rsid w:val="001A323B"/>
    <w:rsid w:val="001A32A4"/>
    <w:rsid w:val="001A3373"/>
    <w:rsid w:val="001A341F"/>
    <w:rsid w:val="001A35A3"/>
    <w:rsid w:val="001A366A"/>
    <w:rsid w:val="001A3940"/>
    <w:rsid w:val="001A395E"/>
    <w:rsid w:val="001A3961"/>
    <w:rsid w:val="001A3A44"/>
    <w:rsid w:val="001A3C60"/>
    <w:rsid w:val="001A3FC6"/>
    <w:rsid w:val="001A4223"/>
    <w:rsid w:val="001A4262"/>
    <w:rsid w:val="001A429C"/>
    <w:rsid w:val="001A42DA"/>
    <w:rsid w:val="001A43E0"/>
    <w:rsid w:val="001A468B"/>
    <w:rsid w:val="001A4713"/>
    <w:rsid w:val="001A4873"/>
    <w:rsid w:val="001A489A"/>
    <w:rsid w:val="001A4AB5"/>
    <w:rsid w:val="001A4AE0"/>
    <w:rsid w:val="001A4BA8"/>
    <w:rsid w:val="001A4CD9"/>
    <w:rsid w:val="001A4CDC"/>
    <w:rsid w:val="001A4DE5"/>
    <w:rsid w:val="001A4DEB"/>
    <w:rsid w:val="001A4E7F"/>
    <w:rsid w:val="001A4EDB"/>
    <w:rsid w:val="001A4EE3"/>
    <w:rsid w:val="001A50E1"/>
    <w:rsid w:val="001A5197"/>
    <w:rsid w:val="001A51ED"/>
    <w:rsid w:val="001A5356"/>
    <w:rsid w:val="001A5489"/>
    <w:rsid w:val="001A56DC"/>
    <w:rsid w:val="001A5709"/>
    <w:rsid w:val="001A5838"/>
    <w:rsid w:val="001A5B16"/>
    <w:rsid w:val="001A5C3D"/>
    <w:rsid w:val="001A5CEA"/>
    <w:rsid w:val="001A5D55"/>
    <w:rsid w:val="001A5D8D"/>
    <w:rsid w:val="001A607B"/>
    <w:rsid w:val="001A609D"/>
    <w:rsid w:val="001A611E"/>
    <w:rsid w:val="001A61E5"/>
    <w:rsid w:val="001A626F"/>
    <w:rsid w:val="001A62A4"/>
    <w:rsid w:val="001A6408"/>
    <w:rsid w:val="001A641D"/>
    <w:rsid w:val="001A648F"/>
    <w:rsid w:val="001A64EC"/>
    <w:rsid w:val="001A6772"/>
    <w:rsid w:val="001A6907"/>
    <w:rsid w:val="001A6A37"/>
    <w:rsid w:val="001A6AAC"/>
    <w:rsid w:val="001A6BA7"/>
    <w:rsid w:val="001A6E2A"/>
    <w:rsid w:val="001A6E5C"/>
    <w:rsid w:val="001A6ED7"/>
    <w:rsid w:val="001A6FA3"/>
    <w:rsid w:val="001A7219"/>
    <w:rsid w:val="001A7272"/>
    <w:rsid w:val="001A737B"/>
    <w:rsid w:val="001A73B5"/>
    <w:rsid w:val="001A7749"/>
    <w:rsid w:val="001A7A42"/>
    <w:rsid w:val="001A7B49"/>
    <w:rsid w:val="001A7C5E"/>
    <w:rsid w:val="001A7C7C"/>
    <w:rsid w:val="001A7D37"/>
    <w:rsid w:val="001A7DB5"/>
    <w:rsid w:val="001A7DD5"/>
    <w:rsid w:val="001A7E9A"/>
    <w:rsid w:val="001A7F60"/>
    <w:rsid w:val="001B01C1"/>
    <w:rsid w:val="001B024D"/>
    <w:rsid w:val="001B0261"/>
    <w:rsid w:val="001B06C4"/>
    <w:rsid w:val="001B082C"/>
    <w:rsid w:val="001B08E9"/>
    <w:rsid w:val="001B0932"/>
    <w:rsid w:val="001B097E"/>
    <w:rsid w:val="001B09CB"/>
    <w:rsid w:val="001B0CA9"/>
    <w:rsid w:val="001B0CDA"/>
    <w:rsid w:val="001B0F9B"/>
    <w:rsid w:val="001B0FFF"/>
    <w:rsid w:val="001B11BE"/>
    <w:rsid w:val="001B1273"/>
    <w:rsid w:val="001B12CB"/>
    <w:rsid w:val="001B1345"/>
    <w:rsid w:val="001B1374"/>
    <w:rsid w:val="001B137C"/>
    <w:rsid w:val="001B1447"/>
    <w:rsid w:val="001B152B"/>
    <w:rsid w:val="001B152D"/>
    <w:rsid w:val="001B1635"/>
    <w:rsid w:val="001B17C0"/>
    <w:rsid w:val="001B18AC"/>
    <w:rsid w:val="001B1958"/>
    <w:rsid w:val="001B197C"/>
    <w:rsid w:val="001B19BF"/>
    <w:rsid w:val="001B1B4D"/>
    <w:rsid w:val="001B1E46"/>
    <w:rsid w:val="001B1E98"/>
    <w:rsid w:val="001B1FE4"/>
    <w:rsid w:val="001B22CC"/>
    <w:rsid w:val="001B2346"/>
    <w:rsid w:val="001B2353"/>
    <w:rsid w:val="001B24DD"/>
    <w:rsid w:val="001B252A"/>
    <w:rsid w:val="001B25E3"/>
    <w:rsid w:val="001B27FD"/>
    <w:rsid w:val="001B2906"/>
    <w:rsid w:val="001B2A3C"/>
    <w:rsid w:val="001B2AA6"/>
    <w:rsid w:val="001B2AAF"/>
    <w:rsid w:val="001B2B2A"/>
    <w:rsid w:val="001B2B33"/>
    <w:rsid w:val="001B2C06"/>
    <w:rsid w:val="001B2DBA"/>
    <w:rsid w:val="001B2E7A"/>
    <w:rsid w:val="001B2F93"/>
    <w:rsid w:val="001B3393"/>
    <w:rsid w:val="001B352D"/>
    <w:rsid w:val="001B3873"/>
    <w:rsid w:val="001B3BAD"/>
    <w:rsid w:val="001B3BC5"/>
    <w:rsid w:val="001B40A8"/>
    <w:rsid w:val="001B41C1"/>
    <w:rsid w:val="001B41F4"/>
    <w:rsid w:val="001B42C3"/>
    <w:rsid w:val="001B4371"/>
    <w:rsid w:val="001B4755"/>
    <w:rsid w:val="001B4828"/>
    <w:rsid w:val="001B482D"/>
    <w:rsid w:val="001B4890"/>
    <w:rsid w:val="001B49AA"/>
    <w:rsid w:val="001B49B9"/>
    <w:rsid w:val="001B4BA5"/>
    <w:rsid w:val="001B4DDA"/>
    <w:rsid w:val="001B4E5E"/>
    <w:rsid w:val="001B4E78"/>
    <w:rsid w:val="001B4EB2"/>
    <w:rsid w:val="001B4F7B"/>
    <w:rsid w:val="001B4F86"/>
    <w:rsid w:val="001B4FDF"/>
    <w:rsid w:val="001B51F8"/>
    <w:rsid w:val="001B530B"/>
    <w:rsid w:val="001B5384"/>
    <w:rsid w:val="001B53BF"/>
    <w:rsid w:val="001B5435"/>
    <w:rsid w:val="001B5440"/>
    <w:rsid w:val="001B5591"/>
    <w:rsid w:val="001B56EF"/>
    <w:rsid w:val="001B571A"/>
    <w:rsid w:val="001B579E"/>
    <w:rsid w:val="001B5853"/>
    <w:rsid w:val="001B5893"/>
    <w:rsid w:val="001B58EF"/>
    <w:rsid w:val="001B5CAF"/>
    <w:rsid w:val="001B5D05"/>
    <w:rsid w:val="001B62BA"/>
    <w:rsid w:val="001B643C"/>
    <w:rsid w:val="001B6501"/>
    <w:rsid w:val="001B6513"/>
    <w:rsid w:val="001B6737"/>
    <w:rsid w:val="001B6874"/>
    <w:rsid w:val="001B68CF"/>
    <w:rsid w:val="001B6A04"/>
    <w:rsid w:val="001B6A27"/>
    <w:rsid w:val="001B6C2A"/>
    <w:rsid w:val="001B6EC5"/>
    <w:rsid w:val="001B6FF2"/>
    <w:rsid w:val="001B7070"/>
    <w:rsid w:val="001B7223"/>
    <w:rsid w:val="001B7411"/>
    <w:rsid w:val="001B74A5"/>
    <w:rsid w:val="001B7521"/>
    <w:rsid w:val="001B77E9"/>
    <w:rsid w:val="001B7B94"/>
    <w:rsid w:val="001B7BE9"/>
    <w:rsid w:val="001B7E18"/>
    <w:rsid w:val="001B7FA4"/>
    <w:rsid w:val="001C0017"/>
    <w:rsid w:val="001C01A3"/>
    <w:rsid w:val="001C0255"/>
    <w:rsid w:val="001C054E"/>
    <w:rsid w:val="001C0A66"/>
    <w:rsid w:val="001C0BC2"/>
    <w:rsid w:val="001C0E34"/>
    <w:rsid w:val="001C0E57"/>
    <w:rsid w:val="001C0E78"/>
    <w:rsid w:val="001C0EA5"/>
    <w:rsid w:val="001C0F89"/>
    <w:rsid w:val="001C0FD2"/>
    <w:rsid w:val="001C1111"/>
    <w:rsid w:val="001C13F1"/>
    <w:rsid w:val="001C1505"/>
    <w:rsid w:val="001C1530"/>
    <w:rsid w:val="001C16E2"/>
    <w:rsid w:val="001C1770"/>
    <w:rsid w:val="001C1787"/>
    <w:rsid w:val="001C17F6"/>
    <w:rsid w:val="001C1C10"/>
    <w:rsid w:val="001C1C54"/>
    <w:rsid w:val="001C1CFC"/>
    <w:rsid w:val="001C1D90"/>
    <w:rsid w:val="001C1DD8"/>
    <w:rsid w:val="001C201A"/>
    <w:rsid w:val="001C212E"/>
    <w:rsid w:val="001C2178"/>
    <w:rsid w:val="001C21FF"/>
    <w:rsid w:val="001C2427"/>
    <w:rsid w:val="001C250C"/>
    <w:rsid w:val="001C2709"/>
    <w:rsid w:val="001C275B"/>
    <w:rsid w:val="001C2899"/>
    <w:rsid w:val="001C2BF6"/>
    <w:rsid w:val="001C2CCE"/>
    <w:rsid w:val="001C2D90"/>
    <w:rsid w:val="001C2F08"/>
    <w:rsid w:val="001C31B8"/>
    <w:rsid w:val="001C33FC"/>
    <w:rsid w:val="001C35D0"/>
    <w:rsid w:val="001C360F"/>
    <w:rsid w:val="001C362F"/>
    <w:rsid w:val="001C3808"/>
    <w:rsid w:val="001C3A75"/>
    <w:rsid w:val="001C3CFA"/>
    <w:rsid w:val="001C3DD9"/>
    <w:rsid w:val="001C4074"/>
    <w:rsid w:val="001C42CC"/>
    <w:rsid w:val="001C4365"/>
    <w:rsid w:val="001C43DD"/>
    <w:rsid w:val="001C4498"/>
    <w:rsid w:val="001C4593"/>
    <w:rsid w:val="001C46DF"/>
    <w:rsid w:val="001C49AB"/>
    <w:rsid w:val="001C4C92"/>
    <w:rsid w:val="001C4CED"/>
    <w:rsid w:val="001C4D0A"/>
    <w:rsid w:val="001C4E21"/>
    <w:rsid w:val="001C506A"/>
    <w:rsid w:val="001C50A5"/>
    <w:rsid w:val="001C5284"/>
    <w:rsid w:val="001C54BF"/>
    <w:rsid w:val="001C5665"/>
    <w:rsid w:val="001C56E2"/>
    <w:rsid w:val="001C573D"/>
    <w:rsid w:val="001C59D5"/>
    <w:rsid w:val="001C5CFD"/>
    <w:rsid w:val="001C5D36"/>
    <w:rsid w:val="001C6026"/>
    <w:rsid w:val="001C603B"/>
    <w:rsid w:val="001C63E4"/>
    <w:rsid w:val="001C6416"/>
    <w:rsid w:val="001C645A"/>
    <w:rsid w:val="001C64C1"/>
    <w:rsid w:val="001C6905"/>
    <w:rsid w:val="001C6A7C"/>
    <w:rsid w:val="001C6B24"/>
    <w:rsid w:val="001C6BA0"/>
    <w:rsid w:val="001C6CB2"/>
    <w:rsid w:val="001C6D48"/>
    <w:rsid w:val="001C6D85"/>
    <w:rsid w:val="001C6ED0"/>
    <w:rsid w:val="001C6FF0"/>
    <w:rsid w:val="001C716F"/>
    <w:rsid w:val="001C71E7"/>
    <w:rsid w:val="001C7580"/>
    <w:rsid w:val="001C7595"/>
    <w:rsid w:val="001C75E7"/>
    <w:rsid w:val="001C7677"/>
    <w:rsid w:val="001C77C4"/>
    <w:rsid w:val="001C787D"/>
    <w:rsid w:val="001C7AAB"/>
    <w:rsid w:val="001C7EF7"/>
    <w:rsid w:val="001C7FBB"/>
    <w:rsid w:val="001D00E7"/>
    <w:rsid w:val="001D02AA"/>
    <w:rsid w:val="001D036D"/>
    <w:rsid w:val="001D03A8"/>
    <w:rsid w:val="001D03BE"/>
    <w:rsid w:val="001D0401"/>
    <w:rsid w:val="001D0417"/>
    <w:rsid w:val="001D04B0"/>
    <w:rsid w:val="001D05B6"/>
    <w:rsid w:val="001D0799"/>
    <w:rsid w:val="001D080E"/>
    <w:rsid w:val="001D087D"/>
    <w:rsid w:val="001D0A6B"/>
    <w:rsid w:val="001D0B24"/>
    <w:rsid w:val="001D0BD7"/>
    <w:rsid w:val="001D0E1F"/>
    <w:rsid w:val="001D0EF2"/>
    <w:rsid w:val="001D0F16"/>
    <w:rsid w:val="001D13B7"/>
    <w:rsid w:val="001D142E"/>
    <w:rsid w:val="001D14AD"/>
    <w:rsid w:val="001D163B"/>
    <w:rsid w:val="001D1956"/>
    <w:rsid w:val="001D19F5"/>
    <w:rsid w:val="001D1B22"/>
    <w:rsid w:val="001D1C18"/>
    <w:rsid w:val="001D1C71"/>
    <w:rsid w:val="001D1C9C"/>
    <w:rsid w:val="001D1D34"/>
    <w:rsid w:val="001D1DD7"/>
    <w:rsid w:val="001D1E2D"/>
    <w:rsid w:val="001D1FD8"/>
    <w:rsid w:val="001D2086"/>
    <w:rsid w:val="001D20EF"/>
    <w:rsid w:val="001D21BA"/>
    <w:rsid w:val="001D22BB"/>
    <w:rsid w:val="001D2453"/>
    <w:rsid w:val="001D2456"/>
    <w:rsid w:val="001D24C0"/>
    <w:rsid w:val="001D2536"/>
    <w:rsid w:val="001D2668"/>
    <w:rsid w:val="001D275E"/>
    <w:rsid w:val="001D27D3"/>
    <w:rsid w:val="001D2CB9"/>
    <w:rsid w:val="001D2E70"/>
    <w:rsid w:val="001D2FAD"/>
    <w:rsid w:val="001D302C"/>
    <w:rsid w:val="001D3116"/>
    <w:rsid w:val="001D3130"/>
    <w:rsid w:val="001D325C"/>
    <w:rsid w:val="001D3333"/>
    <w:rsid w:val="001D3356"/>
    <w:rsid w:val="001D339C"/>
    <w:rsid w:val="001D34BD"/>
    <w:rsid w:val="001D359E"/>
    <w:rsid w:val="001D3654"/>
    <w:rsid w:val="001D3894"/>
    <w:rsid w:val="001D38A6"/>
    <w:rsid w:val="001D38D9"/>
    <w:rsid w:val="001D3947"/>
    <w:rsid w:val="001D3AE3"/>
    <w:rsid w:val="001D3B17"/>
    <w:rsid w:val="001D3BAB"/>
    <w:rsid w:val="001D3C8B"/>
    <w:rsid w:val="001D3EBE"/>
    <w:rsid w:val="001D3F6D"/>
    <w:rsid w:val="001D4005"/>
    <w:rsid w:val="001D405E"/>
    <w:rsid w:val="001D430F"/>
    <w:rsid w:val="001D4342"/>
    <w:rsid w:val="001D4371"/>
    <w:rsid w:val="001D4399"/>
    <w:rsid w:val="001D452E"/>
    <w:rsid w:val="001D4678"/>
    <w:rsid w:val="001D47D6"/>
    <w:rsid w:val="001D4AB0"/>
    <w:rsid w:val="001D4BBD"/>
    <w:rsid w:val="001D4D76"/>
    <w:rsid w:val="001D5148"/>
    <w:rsid w:val="001D514D"/>
    <w:rsid w:val="001D5151"/>
    <w:rsid w:val="001D52CB"/>
    <w:rsid w:val="001D548F"/>
    <w:rsid w:val="001D572F"/>
    <w:rsid w:val="001D5761"/>
    <w:rsid w:val="001D5902"/>
    <w:rsid w:val="001D5B36"/>
    <w:rsid w:val="001D5BBA"/>
    <w:rsid w:val="001D5CB3"/>
    <w:rsid w:val="001D5DCD"/>
    <w:rsid w:val="001D5EFC"/>
    <w:rsid w:val="001D6010"/>
    <w:rsid w:val="001D6103"/>
    <w:rsid w:val="001D6261"/>
    <w:rsid w:val="001D6674"/>
    <w:rsid w:val="001D6793"/>
    <w:rsid w:val="001D685D"/>
    <w:rsid w:val="001D6C6F"/>
    <w:rsid w:val="001D6C8B"/>
    <w:rsid w:val="001D6D54"/>
    <w:rsid w:val="001D6E61"/>
    <w:rsid w:val="001D701A"/>
    <w:rsid w:val="001D7179"/>
    <w:rsid w:val="001D72D1"/>
    <w:rsid w:val="001D7666"/>
    <w:rsid w:val="001D76DF"/>
    <w:rsid w:val="001D78B3"/>
    <w:rsid w:val="001D78BD"/>
    <w:rsid w:val="001D79C6"/>
    <w:rsid w:val="001D7A28"/>
    <w:rsid w:val="001D7BF0"/>
    <w:rsid w:val="001D7C6D"/>
    <w:rsid w:val="001D7D52"/>
    <w:rsid w:val="001D7D5E"/>
    <w:rsid w:val="001D7E36"/>
    <w:rsid w:val="001E008F"/>
    <w:rsid w:val="001E010C"/>
    <w:rsid w:val="001E0209"/>
    <w:rsid w:val="001E028C"/>
    <w:rsid w:val="001E0324"/>
    <w:rsid w:val="001E03A0"/>
    <w:rsid w:val="001E0469"/>
    <w:rsid w:val="001E051F"/>
    <w:rsid w:val="001E06A0"/>
    <w:rsid w:val="001E06FE"/>
    <w:rsid w:val="001E076E"/>
    <w:rsid w:val="001E086F"/>
    <w:rsid w:val="001E0DEB"/>
    <w:rsid w:val="001E0EBC"/>
    <w:rsid w:val="001E1026"/>
    <w:rsid w:val="001E1137"/>
    <w:rsid w:val="001E1169"/>
    <w:rsid w:val="001E1500"/>
    <w:rsid w:val="001E159B"/>
    <w:rsid w:val="001E15EB"/>
    <w:rsid w:val="001E16F2"/>
    <w:rsid w:val="001E172B"/>
    <w:rsid w:val="001E1734"/>
    <w:rsid w:val="001E1798"/>
    <w:rsid w:val="001E1976"/>
    <w:rsid w:val="001E19A3"/>
    <w:rsid w:val="001E19A8"/>
    <w:rsid w:val="001E19FC"/>
    <w:rsid w:val="001E1AE3"/>
    <w:rsid w:val="001E1CC4"/>
    <w:rsid w:val="001E1D85"/>
    <w:rsid w:val="001E2130"/>
    <w:rsid w:val="001E21C1"/>
    <w:rsid w:val="001E21D2"/>
    <w:rsid w:val="001E2321"/>
    <w:rsid w:val="001E23FE"/>
    <w:rsid w:val="001E2415"/>
    <w:rsid w:val="001E2479"/>
    <w:rsid w:val="001E249A"/>
    <w:rsid w:val="001E26CE"/>
    <w:rsid w:val="001E26DF"/>
    <w:rsid w:val="001E26FF"/>
    <w:rsid w:val="001E2726"/>
    <w:rsid w:val="001E2774"/>
    <w:rsid w:val="001E27B7"/>
    <w:rsid w:val="001E289D"/>
    <w:rsid w:val="001E2997"/>
    <w:rsid w:val="001E2A23"/>
    <w:rsid w:val="001E2A3A"/>
    <w:rsid w:val="001E2C1E"/>
    <w:rsid w:val="001E2E96"/>
    <w:rsid w:val="001E2FBB"/>
    <w:rsid w:val="001E3000"/>
    <w:rsid w:val="001E3029"/>
    <w:rsid w:val="001E3041"/>
    <w:rsid w:val="001E317C"/>
    <w:rsid w:val="001E3656"/>
    <w:rsid w:val="001E3697"/>
    <w:rsid w:val="001E399F"/>
    <w:rsid w:val="001E3A7E"/>
    <w:rsid w:val="001E3A86"/>
    <w:rsid w:val="001E3ABD"/>
    <w:rsid w:val="001E3AEE"/>
    <w:rsid w:val="001E3B34"/>
    <w:rsid w:val="001E3D02"/>
    <w:rsid w:val="001E3E33"/>
    <w:rsid w:val="001E3F3E"/>
    <w:rsid w:val="001E3FAB"/>
    <w:rsid w:val="001E4164"/>
    <w:rsid w:val="001E42C1"/>
    <w:rsid w:val="001E42CE"/>
    <w:rsid w:val="001E42F7"/>
    <w:rsid w:val="001E431C"/>
    <w:rsid w:val="001E434C"/>
    <w:rsid w:val="001E4885"/>
    <w:rsid w:val="001E48EF"/>
    <w:rsid w:val="001E4ACB"/>
    <w:rsid w:val="001E4D97"/>
    <w:rsid w:val="001E4E41"/>
    <w:rsid w:val="001E4F57"/>
    <w:rsid w:val="001E4FE5"/>
    <w:rsid w:val="001E51C2"/>
    <w:rsid w:val="001E5236"/>
    <w:rsid w:val="001E533A"/>
    <w:rsid w:val="001E53DE"/>
    <w:rsid w:val="001E547B"/>
    <w:rsid w:val="001E5716"/>
    <w:rsid w:val="001E5B43"/>
    <w:rsid w:val="001E5BE6"/>
    <w:rsid w:val="001E5C0A"/>
    <w:rsid w:val="001E5C8A"/>
    <w:rsid w:val="001E5CA2"/>
    <w:rsid w:val="001E5DC4"/>
    <w:rsid w:val="001E5E06"/>
    <w:rsid w:val="001E5E32"/>
    <w:rsid w:val="001E5F1E"/>
    <w:rsid w:val="001E610D"/>
    <w:rsid w:val="001E6133"/>
    <w:rsid w:val="001E6143"/>
    <w:rsid w:val="001E61E6"/>
    <w:rsid w:val="001E630D"/>
    <w:rsid w:val="001E63EA"/>
    <w:rsid w:val="001E64F1"/>
    <w:rsid w:val="001E66BC"/>
    <w:rsid w:val="001E6816"/>
    <w:rsid w:val="001E6A78"/>
    <w:rsid w:val="001E6D3C"/>
    <w:rsid w:val="001E6D58"/>
    <w:rsid w:val="001E6DB9"/>
    <w:rsid w:val="001E6E17"/>
    <w:rsid w:val="001E6FAC"/>
    <w:rsid w:val="001E7080"/>
    <w:rsid w:val="001E708E"/>
    <w:rsid w:val="001E728C"/>
    <w:rsid w:val="001E7315"/>
    <w:rsid w:val="001E7470"/>
    <w:rsid w:val="001E74F8"/>
    <w:rsid w:val="001E756B"/>
    <w:rsid w:val="001E7581"/>
    <w:rsid w:val="001E75D1"/>
    <w:rsid w:val="001E7823"/>
    <w:rsid w:val="001E7840"/>
    <w:rsid w:val="001E7A37"/>
    <w:rsid w:val="001E7A6B"/>
    <w:rsid w:val="001E7B4C"/>
    <w:rsid w:val="001E7B53"/>
    <w:rsid w:val="001E7B88"/>
    <w:rsid w:val="001E7BED"/>
    <w:rsid w:val="001E7D20"/>
    <w:rsid w:val="001E7DCE"/>
    <w:rsid w:val="001E7DF8"/>
    <w:rsid w:val="001F0276"/>
    <w:rsid w:val="001F03BF"/>
    <w:rsid w:val="001F0484"/>
    <w:rsid w:val="001F0511"/>
    <w:rsid w:val="001F073F"/>
    <w:rsid w:val="001F07A0"/>
    <w:rsid w:val="001F0894"/>
    <w:rsid w:val="001F09EB"/>
    <w:rsid w:val="001F0A05"/>
    <w:rsid w:val="001F0B19"/>
    <w:rsid w:val="001F0C35"/>
    <w:rsid w:val="001F0E19"/>
    <w:rsid w:val="001F0E2E"/>
    <w:rsid w:val="001F0E48"/>
    <w:rsid w:val="001F0EDB"/>
    <w:rsid w:val="001F0F47"/>
    <w:rsid w:val="001F0F8C"/>
    <w:rsid w:val="001F145B"/>
    <w:rsid w:val="001F16BE"/>
    <w:rsid w:val="001F1753"/>
    <w:rsid w:val="001F187A"/>
    <w:rsid w:val="001F1A2C"/>
    <w:rsid w:val="001F1BE5"/>
    <w:rsid w:val="001F1C17"/>
    <w:rsid w:val="001F1C98"/>
    <w:rsid w:val="001F1D29"/>
    <w:rsid w:val="001F1E65"/>
    <w:rsid w:val="001F1E9A"/>
    <w:rsid w:val="001F1FDD"/>
    <w:rsid w:val="001F1FEF"/>
    <w:rsid w:val="001F2302"/>
    <w:rsid w:val="001F2364"/>
    <w:rsid w:val="001F23CD"/>
    <w:rsid w:val="001F2431"/>
    <w:rsid w:val="001F27E2"/>
    <w:rsid w:val="001F286C"/>
    <w:rsid w:val="001F28B8"/>
    <w:rsid w:val="001F28F3"/>
    <w:rsid w:val="001F29FD"/>
    <w:rsid w:val="001F2D83"/>
    <w:rsid w:val="001F2EA6"/>
    <w:rsid w:val="001F2F94"/>
    <w:rsid w:val="001F2F9E"/>
    <w:rsid w:val="001F2FFB"/>
    <w:rsid w:val="001F3000"/>
    <w:rsid w:val="001F300A"/>
    <w:rsid w:val="001F3071"/>
    <w:rsid w:val="001F3082"/>
    <w:rsid w:val="001F31F3"/>
    <w:rsid w:val="001F3253"/>
    <w:rsid w:val="001F32F9"/>
    <w:rsid w:val="001F332C"/>
    <w:rsid w:val="001F355C"/>
    <w:rsid w:val="001F36D7"/>
    <w:rsid w:val="001F385E"/>
    <w:rsid w:val="001F3AEE"/>
    <w:rsid w:val="001F3B38"/>
    <w:rsid w:val="001F3C4C"/>
    <w:rsid w:val="001F3FA8"/>
    <w:rsid w:val="001F40AE"/>
    <w:rsid w:val="001F41A4"/>
    <w:rsid w:val="001F41DD"/>
    <w:rsid w:val="001F4203"/>
    <w:rsid w:val="001F42CB"/>
    <w:rsid w:val="001F44A9"/>
    <w:rsid w:val="001F4511"/>
    <w:rsid w:val="001F469A"/>
    <w:rsid w:val="001F49A1"/>
    <w:rsid w:val="001F49AC"/>
    <w:rsid w:val="001F49D9"/>
    <w:rsid w:val="001F4ABB"/>
    <w:rsid w:val="001F4BC4"/>
    <w:rsid w:val="001F4C03"/>
    <w:rsid w:val="001F4CA6"/>
    <w:rsid w:val="001F4CCE"/>
    <w:rsid w:val="001F4DC2"/>
    <w:rsid w:val="001F4DE8"/>
    <w:rsid w:val="001F4F46"/>
    <w:rsid w:val="001F4FC0"/>
    <w:rsid w:val="001F5018"/>
    <w:rsid w:val="001F501D"/>
    <w:rsid w:val="001F50A0"/>
    <w:rsid w:val="001F526B"/>
    <w:rsid w:val="001F5288"/>
    <w:rsid w:val="001F5410"/>
    <w:rsid w:val="001F5529"/>
    <w:rsid w:val="001F553D"/>
    <w:rsid w:val="001F5548"/>
    <w:rsid w:val="001F556C"/>
    <w:rsid w:val="001F5572"/>
    <w:rsid w:val="001F5776"/>
    <w:rsid w:val="001F57C7"/>
    <w:rsid w:val="001F59C0"/>
    <w:rsid w:val="001F5AE2"/>
    <w:rsid w:val="001F5BAA"/>
    <w:rsid w:val="001F5BF2"/>
    <w:rsid w:val="001F5DAA"/>
    <w:rsid w:val="001F5F9F"/>
    <w:rsid w:val="001F6019"/>
    <w:rsid w:val="001F608D"/>
    <w:rsid w:val="001F616E"/>
    <w:rsid w:val="001F6559"/>
    <w:rsid w:val="001F6746"/>
    <w:rsid w:val="001F674B"/>
    <w:rsid w:val="001F681D"/>
    <w:rsid w:val="001F6A91"/>
    <w:rsid w:val="001F6CAA"/>
    <w:rsid w:val="001F6CE3"/>
    <w:rsid w:val="001F6D62"/>
    <w:rsid w:val="001F6D76"/>
    <w:rsid w:val="001F6E03"/>
    <w:rsid w:val="001F6FC8"/>
    <w:rsid w:val="001F7012"/>
    <w:rsid w:val="001F714A"/>
    <w:rsid w:val="001F7349"/>
    <w:rsid w:val="001F74ED"/>
    <w:rsid w:val="0020006F"/>
    <w:rsid w:val="0020007C"/>
    <w:rsid w:val="0020014D"/>
    <w:rsid w:val="0020030D"/>
    <w:rsid w:val="0020037A"/>
    <w:rsid w:val="0020044A"/>
    <w:rsid w:val="002004C9"/>
    <w:rsid w:val="00200597"/>
    <w:rsid w:val="0020070B"/>
    <w:rsid w:val="00200775"/>
    <w:rsid w:val="00200A6A"/>
    <w:rsid w:val="00200AC5"/>
    <w:rsid w:val="00200AE2"/>
    <w:rsid w:val="00200EE1"/>
    <w:rsid w:val="00200F1F"/>
    <w:rsid w:val="00201136"/>
    <w:rsid w:val="00201149"/>
    <w:rsid w:val="002011B3"/>
    <w:rsid w:val="0020130F"/>
    <w:rsid w:val="00201347"/>
    <w:rsid w:val="0020137D"/>
    <w:rsid w:val="002013E2"/>
    <w:rsid w:val="002013E6"/>
    <w:rsid w:val="0020141E"/>
    <w:rsid w:val="00201692"/>
    <w:rsid w:val="002016EC"/>
    <w:rsid w:val="0020179B"/>
    <w:rsid w:val="00201919"/>
    <w:rsid w:val="002019F4"/>
    <w:rsid w:val="00201A75"/>
    <w:rsid w:val="00201BF8"/>
    <w:rsid w:val="00201D29"/>
    <w:rsid w:val="00201EB5"/>
    <w:rsid w:val="00201ECC"/>
    <w:rsid w:val="00201EDA"/>
    <w:rsid w:val="00202011"/>
    <w:rsid w:val="00202080"/>
    <w:rsid w:val="00202218"/>
    <w:rsid w:val="002022CC"/>
    <w:rsid w:val="002022EC"/>
    <w:rsid w:val="00202323"/>
    <w:rsid w:val="00202492"/>
    <w:rsid w:val="0020256B"/>
    <w:rsid w:val="002025B3"/>
    <w:rsid w:val="0020279A"/>
    <w:rsid w:val="0020282D"/>
    <w:rsid w:val="0020285F"/>
    <w:rsid w:val="0020299B"/>
    <w:rsid w:val="002029BA"/>
    <w:rsid w:val="00202D0E"/>
    <w:rsid w:val="00202D23"/>
    <w:rsid w:val="00202DA8"/>
    <w:rsid w:val="00202E3E"/>
    <w:rsid w:val="00202F80"/>
    <w:rsid w:val="00202FA1"/>
    <w:rsid w:val="00202FC0"/>
    <w:rsid w:val="00203029"/>
    <w:rsid w:val="00203350"/>
    <w:rsid w:val="00203547"/>
    <w:rsid w:val="002037D8"/>
    <w:rsid w:val="00203892"/>
    <w:rsid w:val="002039F3"/>
    <w:rsid w:val="00203A71"/>
    <w:rsid w:val="00203B19"/>
    <w:rsid w:val="00203B3C"/>
    <w:rsid w:val="00203DC6"/>
    <w:rsid w:val="00204019"/>
    <w:rsid w:val="0020409D"/>
    <w:rsid w:val="002041B9"/>
    <w:rsid w:val="002041BF"/>
    <w:rsid w:val="00204230"/>
    <w:rsid w:val="0020451C"/>
    <w:rsid w:val="002045E2"/>
    <w:rsid w:val="00204608"/>
    <w:rsid w:val="0020479E"/>
    <w:rsid w:val="00204991"/>
    <w:rsid w:val="0020499F"/>
    <w:rsid w:val="002049C7"/>
    <w:rsid w:val="002049E9"/>
    <w:rsid w:val="00204A28"/>
    <w:rsid w:val="00204A8B"/>
    <w:rsid w:val="00204A9E"/>
    <w:rsid w:val="00204B20"/>
    <w:rsid w:val="00204C5B"/>
    <w:rsid w:val="00204E05"/>
    <w:rsid w:val="0020502F"/>
    <w:rsid w:val="0020515C"/>
    <w:rsid w:val="002052DC"/>
    <w:rsid w:val="00205364"/>
    <w:rsid w:val="00205385"/>
    <w:rsid w:val="002053D0"/>
    <w:rsid w:val="002055AF"/>
    <w:rsid w:val="002055F5"/>
    <w:rsid w:val="002056BF"/>
    <w:rsid w:val="0020578F"/>
    <w:rsid w:val="0020594D"/>
    <w:rsid w:val="00205C83"/>
    <w:rsid w:val="0020604F"/>
    <w:rsid w:val="002060D5"/>
    <w:rsid w:val="00206179"/>
    <w:rsid w:val="00206246"/>
    <w:rsid w:val="00206282"/>
    <w:rsid w:val="002063A5"/>
    <w:rsid w:val="00206485"/>
    <w:rsid w:val="002066B0"/>
    <w:rsid w:val="002067E6"/>
    <w:rsid w:val="002067FA"/>
    <w:rsid w:val="002068B6"/>
    <w:rsid w:val="0020695A"/>
    <w:rsid w:val="00206AF3"/>
    <w:rsid w:val="00206B0D"/>
    <w:rsid w:val="00206B85"/>
    <w:rsid w:val="00206BA1"/>
    <w:rsid w:val="00206DE8"/>
    <w:rsid w:val="00206EFE"/>
    <w:rsid w:val="002070DB"/>
    <w:rsid w:val="0020715D"/>
    <w:rsid w:val="002071E4"/>
    <w:rsid w:val="0020741B"/>
    <w:rsid w:val="00207491"/>
    <w:rsid w:val="00207599"/>
    <w:rsid w:val="0020778F"/>
    <w:rsid w:val="002077D4"/>
    <w:rsid w:val="00207AB1"/>
    <w:rsid w:val="00207B82"/>
    <w:rsid w:val="00207BE7"/>
    <w:rsid w:val="00210522"/>
    <w:rsid w:val="00210574"/>
    <w:rsid w:val="0021058D"/>
    <w:rsid w:val="002105FB"/>
    <w:rsid w:val="00210828"/>
    <w:rsid w:val="0021086A"/>
    <w:rsid w:val="00210A47"/>
    <w:rsid w:val="00210A87"/>
    <w:rsid w:val="00210CD5"/>
    <w:rsid w:val="00210DFB"/>
    <w:rsid w:val="00210E7D"/>
    <w:rsid w:val="00210F6A"/>
    <w:rsid w:val="00210F9E"/>
    <w:rsid w:val="00210FF5"/>
    <w:rsid w:val="0021116B"/>
    <w:rsid w:val="0021117E"/>
    <w:rsid w:val="00211327"/>
    <w:rsid w:val="0021152C"/>
    <w:rsid w:val="002115CF"/>
    <w:rsid w:val="00211660"/>
    <w:rsid w:val="002116A1"/>
    <w:rsid w:val="00211722"/>
    <w:rsid w:val="00211A67"/>
    <w:rsid w:val="00211C0D"/>
    <w:rsid w:val="00211C5A"/>
    <w:rsid w:val="00211E3A"/>
    <w:rsid w:val="00211EA0"/>
    <w:rsid w:val="00212055"/>
    <w:rsid w:val="0021206F"/>
    <w:rsid w:val="00212132"/>
    <w:rsid w:val="00212326"/>
    <w:rsid w:val="002123CC"/>
    <w:rsid w:val="002123D0"/>
    <w:rsid w:val="002123F6"/>
    <w:rsid w:val="00212454"/>
    <w:rsid w:val="002124E0"/>
    <w:rsid w:val="00212555"/>
    <w:rsid w:val="0021275F"/>
    <w:rsid w:val="00212792"/>
    <w:rsid w:val="0021295C"/>
    <w:rsid w:val="00212B56"/>
    <w:rsid w:val="00212BF4"/>
    <w:rsid w:val="00212D85"/>
    <w:rsid w:val="00212DEB"/>
    <w:rsid w:val="00212E58"/>
    <w:rsid w:val="00212E8C"/>
    <w:rsid w:val="00212E92"/>
    <w:rsid w:val="00212F0F"/>
    <w:rsid w:val="00212FF2"/>
    <w:rsid w:val="0021316A"/>
    <w:rsid w:val="002137F5"/>
    <w:rsid w:val="00213860"/>
    <w:rsid w:val="00213B26"/>
    <w:rsid w:val="00213BCA"/>
    <w:rsid w:val="00213BFE"/>
    <w:rsid w:val="00213CA1"/>
    <w:rsid w:val="00213D9E"/>
    <w:rsid w:val="00213EDC"/>
    <w:rsid w:val="00213F9B"/>
    <w:rsid w:val="002141BC"/>
    <w:rsid w:val="0021426B"/>
    <w:rsid w:val="00214288"/>
    <w:rsid w:val="0021447B"/>
    <w:rsid w:val="0021477E"/>
    <w:rsid w:val="0021487B"/>
    <w:rsid w:val="002148CD"/>
    <w:rsid w:val="0021490D"/>
    <w:rsid w:val="00214AB0"/>
    <w:rsid w:val="00214BE4"/>
    <w:rsid w:val="00214CA8"/>
    <w:rsid w:val="00214EAC"/>
    <w:rsid w:val="002150AB"/>
    <w:rsid w:val="002151C0"/>
    <w:rsid w:val="00215266"/>
    <w:rsid w:val="002154AA"/>
    <w:rsid w:val="00215565"/>
    <w:rsid w:val="002155D3"/>
    <w:rsid w:val="002157A2"/>
    <w:rsid w:val="0021586C"/>
    <w:rsid w:val="002158BD"/>
    <w:rsid w:val="00215940"/>
    <w:rsid w:val="002159AA"/>
    <w:rsid w:val="00215A1C"/>
    <w:rsid w:val="00215AB8"/>
    <w:rsid w:val="00215B40"/>
    <w:rsid w:val="00215B56"/>
    <w:rsid w:val="00215D05"/>
    <w:rsid w:val="00215DF2"/>
    <w:rsid w:val="00215F77"/>
    <w:rsid w:val="00216120"/>
    <w:rsid w:val="002162FA"/>
    <w:rsid w:val="00216309"/>
    <w:rsid w:val="0021633F"/>
    <w:rsid w:val="002163A6"/>
    <w:rsid w:val="002164C9"/>
    <w:rsid w:val="0021674E"/>
    <w:rsid w:val="00216754"/>
    <w:rsid w:val="002168AC"/>
    <w:rsid w:val="00216906"/>
    <w:rsid w:val="0021690B"/>
    <w:rsid w:val="002169A2"/>
    <w:rsid w:val="00216B70"/>
    <w:rsid w:val="00216BC0"/>
    <w:rsid w:val="00216E78"/>
    <w:rsid w:val="0021707A"/>
    <w:rsid w:val="002170D5"/>
    <w:rsid w:val="00217485"/>
    <w:rsid w:val="002176CF"/>
    <w:rsid w:val="002176E5"/>
    <w:rsid w:val="00217745"/>
    <w:rsid w:val="00217841"/>
    <w:rsid w:val="00217A3E"/>
    <w:rsid w:val="00217AFE"/>
    <w:rsid w:val="00217C0E"/>
    <w:rsid w:val="00217E26"/>
    <w:rsid w:val="00217F46"/>
    <w:rsid w:val="00217FA3"/>
    <w:rsid w:val="00217FEB"/>
    <w:rsid w:val="0022012A"/>
    <w:rsid w:val="0022049E"/>
    <w:rsid w:val="002204B0"/>
    <w:rsid w:val="002204D3"/>
    <w:rsid w:val="002205BC"/>
    <w:rsid w:val="002206D9"/>
    <w:rsid w:val="00220796"/>
    <w:rsid w:val="002207D7"/>
    <w:rsid w:val="00220963"/>
    <w:rsid w:val="00220971"/>
    <w:rsid w:val="002209FE"/>
    <w:rsid w:val="00220A7E"/>
    <w:rsid w:val="00220BE0"/>
    <w:rsid w:val="00220C5C"/>
    <w:rsid w:val="00220CCA"/>
    <w:rsid w:val="00220CFE"/>
    <w:rsid w:val="00220D2A"/>
    <w:rsid w:val="00220D92"/>
    <w:rsid w:val="00220ECC"/>
    <w:rsid w:val="00221017"/>
    <w:rsid w:val="002210E4"/>
    <w:rsid w:val="002210E8"/>
    <w:rsid w:val="00221282"/>
    <w:rsid w:val="0022141E"/>
    <w:rsid w:val="00221778"/>
    <w:rsid w:val="0022183A"/>
    <w:rsid w:val="00221AA0"/>
    <w:rsid w:val="00221E70"/>
    <w:rsid w:val="00221F6B"/>
    <w:rsid w:val="00221F6F"/>
    <w:rsid w:val="0022201C"/>
    <w:rsid w:val="00222136"/>
    <w:rsid w:val="002221F4"/>
    <w:rsid w:val="00222607"/>
    <w:rsid w:val="00222624"/>
    <w:rsid w:val="0022275D"/>
    <w:rsid w:val="002227D2"/>
    <w:rsid w:val="00222846"/>
    <w:rsid w:val="0022299A"/>
    <w:rsid w:val="00222C2E"/>
    <w:rsid w:val="00222F42"/>
    <w:rsid w:val="00223484"/>
    <w:rsid w:val="00223524"/>
    <w:rsid w:val="00223584"/>
    <w:rsid w:val="0022380F"/>
    <w:rsid w:val="002238C7"/>
    <w:rsid w:val="00223C12"/>
    <w:rsid w:val="00224187"/>
    <w:rsid w:val="00224302"/>
    <w:rsid w:val="0022440F"/>
    <w:rsid w:val="002244EF"/>
    <w:rsid w:val="0022456C"/>
    <w:rsid w:val="002245A3"/>
    <w:rsid w:val="00224971"/>
    <w:rsid w:val="002249CB"/>
    <w:rsid w:val="002249FA"/>
    <w:rsid w:val="00224A11"/>
    <w:rsid w:val="00224A1C"/>
    <w:rsid w:val="00224C3C"/>
    <w:rsid w:val="00224FA7"/>
    <w:rsid w:val="002250A9"/>
    <w:rsid w:val="00225103"/>
    <w:rsid w:val="00225393"/>
    <w:rsid w:val="002253F1"/>
    <w:rsid w:val="002254B6"/>
    <w:rsid w:val="0022550A"/>
    <w:rsid w:val="00225710"/>
    <w:rsid w:val="00225740"/>
    <w:rsid w:val="002257F9"/>
    <w:rsid w:val="0022590F"/>
    <w:rsid w:val="00225B0D"/>
    <w:rsid w:val="00225C3D"/>
    <w:rsid w:val="00225C4C"/>
    <w:rsid w:val="00225D80"/>
    <w:rsid w:val="00225EC8"/>
    <w:rsid w:val="00226156"/>
    <w:rsid w:val="00226432"/>
    <w:rsid w:val="0022648E"/>
    <w:rsid w:val="002265F7"/>
    <w:rsid w:val="00226664"/>
    <w:rsid w:val="002266A3"/>
    <w:rsid w:val="00226BB8"/>
    <w:rsid w:val="00226CC7"/>
    <w:rsid w:val="00226D16"/>
    <w:rsid w:val="00226F78"/>
    <w:rsid w:val="00226F8B"/>
    <w:rsid w:val="002270A5"/>
    <w:rsid w:val="002270E1"/>
    <w:rsid w:val="0022711A"/>
    <w:rsid w:val="00227132"/>
    <w:rsid w:val="00227133"/>
    <w:rsid w:val="00227346"/>
    <w:rsid w:val="00227436"/>
    <w:rsid w:val="0022770B"/>
    <w:rsid w:val="0022784B"/>
    <w:rsid w:val="002279B1"/>
    <w:rsid w:val="00227AF8"/>
    <w:rsid w:val="0023007D"/>
    <w:rsid w:val="00230119"/>
    <w:rsid w:val="002302CF"/>
    <w:rsid w:val="0023049B"/>
    <w:rsid w:val="00230609"/>
    <w:rsid w:val="0023060D"/>
    <w:rsid w:val="00230694"/>
    <w:rsid w:val="00230A19"/>
    <w:rsid w:val="00230A91"/>
    <w:rsid w:val="00230B3C"/>
    <w:rsid w:val="00230C92"/>
    <w:rsid w:val="00230D24"/>
    <w:rsid w:val="00230D57"/>
    <w:rsid w:val="00230DA8"/>
    <w:rsid w:val="00230DEA"/>
    <w:rsid w:val="00230FB2"/>
    <w:rsid w:val="002310CA"/>
    <w:rsid w:val="0023110F"/>
    <w:rsid w:val="002312B1"/>
    <w:rsid w:val="00231642"/>
    <w:rsid w:val="00231681"/>
    <w:rsid w:val="002316D1"/>
    <w:rsid w:val="0023176C"/>
    <w:rsid w:val="00231789"/>
    <w:rsid w:val="0023184C"/>
    <w:rsid w:val="002318D3"/>
    <w:rsid w:val="002318EA"/>
    <w:rsid w:val="002319D4"/>
    <w:rsid w:val="00231D39"/>
    <w:rsid w:val="00231DA9"/>
    <w:rsid w:val="00231DB4"/>
    <w:rsid w:val="00231E21"/>
    <w:rsid w:val="00231F7C"/>
    <w:rsid w:val="00232001"/>
    <w:rsid w:val="0023214D"/>
    <w:rsid w:val="002321EA"/>
    <w:rsid w:val="00232209"/>
    <w:rsid w:val="0023239C"/>
    <w:rsid w:val="002323F9"/>
    <w:rsid w:val="00232445"/>
    <w:rsid w:val="0023279D"/>
    <w:rsid w:val="00232882"/>
    <w:rsid w:val="002328A1"/>
    <w:rsid w:val="002328C0"/>
    <w:rsid w:val="00232A4D"/>
    <w:rsid w:val="00232B0C"/>
    <w:rsid w:val="00232D07"/>
    <w:rsid w:val="00232F07"/>
    <w:rsid w:val="002330A7"/>
    <w:rsid w:val="002331B7"/>
    <w:rsid w:val="0023322C"/>
    <w:rsid w:val="002333E8"/>
    <w:rsid w:val="0023342C"/>
    <w:rsid w:val="002334D9"/>
    <w:rsid w:val="002335A5"/>
    <w:rsid w:val="00233659"/>
    <w:rsid w:val="00233745"/>
    <w:rsid w:val="00233A00"/>
    <w:rsid w:val="00233B3A"/>
    <w:rsid w:val="00233B45"/>
    <w:rsid w:val="00233BFD"/>
    <w:rsid w:val="00233C5F"/>
    <w:rsid w:val="00233E0E"/>
    <w:rsid w:val="00233EBB"/>
    <w:rsid w:val="00233EFE"/>
    <w:rsid w:val="00233F51"/>
    <w:rsid w:val="0023404A"/>
    <w:rsid w:val="00234055"/>
    <w:rsid w:val="0023405E"/>
    <w:rsid w:val="00234105"/>
    <w:rsid w:val="002342B2"/>
    <w:rsid w:val="00234329"/>
    <w:rsid w:val="00234372"/>
    <w:rsid w:val="00234426"/>
    <w:rsid w:val="002344F4"/>
    <w:rsid w:val="00234600"/>
    <w:rsid w:val="00234656"/>
    <w:rsid w:val="00234847"/>
    <w:rsid w:val="00234879"/>
    <w:rsid w:val="00234ABD"/>
    <w:rsid w:val="00234B5C"/>
    <w:rsid w:val="00234CEB"/>
    <w:rsid w:val="00234D5F"/>
    <w:rsid w:val="00234E77"/>
    <w:rsid w:val="00234EBA"/>
    <w:rsid w:val="00234F24"/>
    <w:rsid w:val="002351A9"/>
    <w:rsid w:val="002352F9"/>
    <w:rsid w:val="00235340"/>
    <w:rsid w:val="002354A6"/>
    <w:rsid w:val="00235542"/>
    <w:rsid w:val="002355B1"/>
    <w:rsid w:val="002358A4"/>
    <w:rsid w:val="00235945"/>
    <w:rsid w:val="002359BF"/>
    <w:rsid w:val="002359D1"/>
    <w:rsid w:val="00235A7A"/>
    <w:rsid w:val="00235A7D"/>
    <w:rsid w:val="00235BB4"/>
    <w:rsid w:val="00235D3A"/>
    <w:rsid w:val="00235D6E"/>
    <w:rsid w:val="0023603F"/>
    <w:rsid w:val="00236043"/>
    <w:rsid w:val="0023613C"/>
    <w:rsid w:val="002363C3"/>
    <w:rsid w:val="00236540"/>
    <w:rsid w:val="00236CDB"/>
    <w:rsid w:val="00236DB5"/>
    <w:rsid w:val="00237092"/>
    <w:rsid w:val="002370F5"/>
    <w:rsid w:val="00237125"/>
    <w:rsid w:val="00237137"/>
    <w:rsid w:val="0023725D"/>
    <w:rsid w:val="00237287"/>
    <w:rsid w:val="002373D9"/>
    <w:rsid w:val="00237568"/>
    <w:rsid w:val="0023759B"/>
    <w:rsid w:val="002375B0"/>
    <w:rsid w:val="00237628"/>
    <w:rsid w:val="0023769E"/>
    <w:rsid w:val="002376A7"/>
    <w:rsid w:val="002376A8"/>
    <w:rsid w:val="002377A2"/>
    <w:rsid w:val="002377BD"/>
    <w:rsid w:val="0023784D"/>
    <w:rsid w:val="00237978"/>
    <w:rsid w:val="00237AF3"/>
    <w:rsid w:val="00237B0B"/>
    <w:rsid w:val="00237E18"/>
    <w:rsid w:val="00237FEB"/>
    <w:rsid w:val="0024004A"/>
    <w:rsid w:val="0024032F"/>
    <w:rsid w:val="002403EE"/>
    <w:rsid w:val="00240427"/>
    <w:rsid w:val="0024052C"/>
    <w:rsid w:val="002406A0"/>
    <w:rsid w:val="002406C4"/>
    <w:rsid w:val="002406FD"/>
    <w:rsid w:val="0024077E"/>
    <w:rsid w:val="002408CE"/>
    <w:rsid w:val="00240933"/>
    <w:rsid w:val="00240B09"/>
    <w:rsid w:val="00240B60"/>
    <w:rsid w:val="00240B83"/>
    <w:rsid w:val="00240BD2"/>
    <w:rsid w:val="00240C2B"/>
    <w:rsid w:val="00240C6F"/>
    <w:rsid w:val="00240D8A"/>
    <w:rsid w:val="00240E3F"/>
    <w:rsid w:val="00240EF0"/>
    <w:rsid w:val="00241041"/>
    <w:rsid w:val="0024116F"/>
    <w:rsid w:val="0024139B"/>
    <w:rsid w:val="0024144B"/>
    <w:rsid w:val="0024147F"/>
    <w:rsid w:val="00241491"/>
    <w:rsid w:val="002415BB"/>
    <w:rsid w:val="002418AE"/>
    <w:rsid w:val="002418C5"/>
    <w:rsid w:val="00241B5C"/>
    <w:rsid w:val="00241BCD"/>
    <w:rsid w:val="00241D7E"/>
    <w:rsid w:val="00241DA3"/>
    <w:rsid w:val="00241DDF"/>
    <w:rsid w:val="00241F50"/>
    <w:rsid w:val="0024204A"/>
    <w:rsid w:val="00242090"/>
    <w:rsid w:val="00242225"/>
    <w:rsid w:val="0024271B"/>
    <w:rsid w:val="00242BF1"/>
    <w:rsid w:val="00242C09"/>
    <w:rsid w:val="00242C20"/>
    <w:rsid w:val="00242D2F"/>
    <w:rsid w:val="00242E9A"/>
    <w:rsid w:val="002431BB"/>
    <w:rsid w:val="002431CC"/>
    <w:rsid w:val="0024374B"/>
    <w:rsid w:val="002437C2"/>
    <w:rsid w:val="0024391A"/>
    <w:rsid w:val="00243985"/>
    <w:rsid w:val="002439C3"/>
    <w:rsid w:val="00243B0C"/>
    <w:rsid w:val="00243B0D"/>
    <w:rsid w:val="00243B9A"/>
    <w:rsid w:val="00243DFC"/>
    <w:rsid w:val="00243ECF"/>
    <w:rsid w:val="00244020"/>
    <w:rsid w:val="002441AE"/>
    <w:rsid w:val="00244262"/>
    <w:rsid w:val="002442AE"/>
    <w:rsid w:val="002443D6"/>
    <w:rsid w:val="002444A3"/>
    <w:rsid w:val="00244C4D"/>
    <w:rsid w:val="00244CBC"/>
    <w:rsid w:val="00244CF1"/>
    <w:rsid w:val="00244D07"/>
    <w:rsid w:val="00244D9B"/>
    <w:rsid w:val="00244F88"/>
    <w:rsid w:val="002451DB"/>
    <w:rsid w:val="0024531D"/>
    <w:rsid w:val="00245407"/>
    <w:rsid w:val="0024540C"/>
    <w:rsid w:val="00245470"/>
    <w:rsid w:val="00245484"/>
    <w:rsid w:val="002454F3"/>
    <w:rsid w:val="002457B5"/>
    <w:rsid w:val="0024581F"/>
    <w:rsid w:val="0024590C"/>
    <w:rsid w:val="00245A85"/>
    <w:rsid w:val="00245B10"/>
    <w:rsid w:val="00245C38"/>
    <w:rsid w:val="00245E4B"/>
    <w:rsid w:val="00245E9C"/>
    <w:rsid w:val="002460F4"/>
    <w:rsid w:val="00246100"/>
    <w:rsid w:val="0024613A"/>
    <w:rsid w:val="0024617E"/>
    <w:rsid w:val="00246195"/>
    <w:rsid w:val="00246221"/>
    <w:rsid w:val="002462FD"/>
    <w:rsid w:val="0024651F"/>
    <w:rsid w:val="0024676A"/>
    <w:rsid w:val="0024681E"/>
    <w:rsid w:val="002468B3"/>
    <w:rsid w:val="002468F3"/>
    <w:rsid w:val="002469CD"/>
    <w:rsid w:val="00246AA0"/>
    <w:rsid w:val="00246C16"/>
    <w:rsid w:val="00246CDA"/>
    <w:rsid w:val="00246CF7"/>
    <w:rsid w:val="00246D7E"/>
    <w:rsid w:val="00246EBC"/>
    <w:rsid w:val="00247129"/>
    <w:rsid w:val="002471ED"/>
    <w:rsid w:val="002471F9"/>
    <w:rsid w:val="00247224"/>
    <w:rsid w:val="0024756C"/>
    <w:rsid w:val="002478B3"/>
    <w:rsid w:val="0024796D"/>
    <w:rsid w:val="002479DF"/>
    <w:rsid w:val="00247D12"/>
    <w:rsid w:val="00247D59"/>
    <w:rsid w:val="00247DB9"/>
    <w:rsid w:val="00247E6E"/>
    <w:rsid w:val="00247F0C"/>
    <w:rsid w:val="00250005"/>
    <w:rsid w:val="00250103"/>
    <w:rsid w:val="0025019E"/>
    <w:rsid w:val="002501D2"/>
    <w:rsid w:val="002503DF"/>
    <w:rsid w:val="00250548"/>
    <w:rsid w:val="0025060A"/>
    <w:rsid w:val="002506CC"/>
    <w:rsid w:val="002506D0"/>
    <w:rsid w:val="002507CB"/>
    <w:rsid w:val="002509C7"/>
    <w:rsid w:val="00250BC7"/>
    <w:rsid w:val="00250CB7"/>
    <w:rsid w:val="00250D96"/>
    <w:rsid w:val="00250EE6"/>
    <w:rsid w:val="002511EE"/>
    <w:rsid w:val="0025121B"/>
    <w:rsid w:val="002513FF"/>
    <w:rsid w:val="0025140B"/>
    <w:rsid w:val="00251423"/>
    <w:rsid w:val="00251606"/>
    <w:rsid w:val="00251749"/>
    <w:rsid w:val="0025175E"/>
    <w:rsid w:val="002518FF"/>
    <w:rsid w:val="00251BE5"/>
    <w:rsid w:val="00251CCC"/>
    <w:rsid w:val="00251DC7"/>
    <w:rsid w:val="00251E6B"/>
    <w:rsid w:val="00251EAD"/>
    <w:rsid w:val="002520C3"/>
    <w:rsid w:val="002523CD"/>
    <w:rsid w:val="00252545"/>
    <w:rsid w:val="002525D7"/>
    <w:rsid w:val="0025266E"/>
    <w:rsid w:val="00252894"/>
    <w:rsid w:val="00252A3E"/>
    <w:rsid w:val="00252B5E"/>
    <w:rsid w:val="00252B65"/>
    <w:rsid w:val="00252C8A"/>
    <w:rsid w:val="00252C8F"/>
    <w:rsid w:val="00252CB0"/>
    <w:rsid w:val="0025325B"/>
    <w:rsid w:val="00253378"/>
    <w:rsid w:val="00253381"/>
    <w:rsid w:val="00253451"/>
    <w:rsid w:val="00253461"/>
    <w:rsid w:val="00253685"/>
    <w:rsid w:val="00253691"/>
    <w:rsid w:val="002538CA"/>
    <w:rsid w:val="0025393C"/>
    <w:rsid w:val="002539E0"/>
    <w:rsid w:val="00253B0D"/>
    <w:rsid w:val="00253C7C"/>
    <w:rsid w:val="00253CAE"/>
    <w:rsid w:val="00253E52"/>
    <w:rsid w:val="00253FE6"/>
    <w:rsid w:val="00253FF8"/>
    <w:rsid w:val="002542D1"/>
    <w:rsid w:val="00254369"/>
    <w:rsid w:val="002543C5"/>
    <w:rsid w:val="0025442A"/>
    <w:rsid w:val="002544B9"/>
    <w:rsid w:val="00254582"/>
    <w:rsid w:val="002545A0"/>
    <w:rsid w:val="0025477E"/>
    <w:rsid w:val="002549EA"/>
    <w:rsid w:val="00254A72"/>
    <w:rsid w:val="00254BE2"/>
    <w:rsid w:val="00254C0B"/>
    <w:rsid w:val="00254F20"/>
    <w:rsid w:val="0025513B"/>
    <w:rsid w:val="0025524A"/>
    <w:rsid w:val="002552E4"/>
    <w:rsid w:val="002553C9"/>
    <w:rsid w:val="00255669"/>
    <w:rsid w:val="0025567F"/>
    <w:rsid w:val="00255818"/>
    <w:rsid w:val="002559EE"/>
    <w:rsid w:val="00255AE4"/>
    <w:rsid w:val="00255B28"/>
    <w:rsid w:val="00255BB7"/>
    <w:rsid w:val="00255E93"/>
    <w:rsid w:val="00255FEA"/>
    <w:rsid w:val="002560A9"/>
    <w:rsid w:val="0025634E"/>
    <w:rsid w:val="00256496"/>
    <w:rsid w:val="00256693"/>
    <w:rsid w:val="00256787"/>
    <w:rsid w:val="00256821"/>
    <w:rsid w:val="0025695D"/>
    <w:rsid w:val="00256A1B"/>
    <w:rsid w:val="00256AD3"/>
    <w:rsid w:val="00256AE2"/>
    <w:rsid w:val="00256B2A"/>
    <w:rsid w:val="00256CD6"/>
    <w:rsid w:val="00256D34"/>
    <w:rsid w:val="00256DD3"/>
    <w:rsid w:val="00256F4C"/>
    <w:rsid w:val="0025716B"/>
    <w:rsid w:val="002571F6"/>
    <w:rsid w:val="00257342"/>
    <w:rsid w:val="00257418"/>
    <w:rsid w:val="002574DC"/>
    <w:rsid w:val="00257540"/>
    <w:rsid w:val="00257752"/>
    <w:rsid w:val="00257AE8"/>
    <w:rsid w:val="00257BEE"/>
    <w:rsid w:val="00257D98"/>
    <w:rsid w:val="00257DBC"/>
    <w:rsid w:val="00257EF7"/>
    <w:rsid w:val="00260015"/>
    <w:rsid w:val="00260017"/>
    <w:rsid w:val="00260063"/>
    <w:rsid w:val="002601DF"/>
    <w:rsid w:val="00260228"/>
    <w:rsid w:val="002605FE"/>
    <w:rsid w:val="0026069B"/>
    <w:rsid w:val="002606C7"/>
    <w:rsid w:val="00260716"/>
    <w:rsid w:val="0026071A"/>
    <w:rsid w:val="00260822"/>
    <w:rsid w:val="00260921"/>
    <w:rsid w:val="00260955"/>
    <w:rsid w:val="0026098F"/>
    <w:rsid w:val="00260A4C"/>
    <w:rsid w:val="00260ADD"/>
    <w:rsid w:val="00260C36"/>
    <w:rsid w:val="00260F7D"/>
    <w:rsid w:val="00261109"/>
    <w:rsid w:val="0026125D"/>
    <w:rsid w:val="00261386"/>
    <w:rsid w:val="002613A0"/>
    <w:rsid w:val="0026168F"/>
    <w:rsid w:val="00261912"/>
    <w:rsid w:val="00261D66"/>
    <w:rsid w:val="00262087"/>
    <w:rsid w:val="00262092"/>
    <w:rsid w:val="002622C0"/>
    <w:rsid w:val="002622F0"/>
    <w:rsid w:val="00262701"/>
    <w:rsid w:val="00262989"/>
    <w:rsid w:val="002629C2"/>
    <w:rsid w:val="002629F5"/>
    <w:rsid w:val="00262A99"/>
    <w:rsid w:val="00262D78"/>
    <w:rsid w:val="00262F1E"/>
    <w:rsid w:val="00262F74"/>
    <w:rsid w:val="002631E2"/>
    <w:rsid w:val="0026325E"/>
    <w:rsid w:val="00263483"/>
    <w:rsid w:val="002634B9"/>
    <w:rsid w:val="002635D3"/>
    <w:rsid w:val="0026362C"/>
    <w:rsid w:val="002636C1"/>
    <w:rsid w:val="002637AE"/>
    <w:rsid w:val="00263865"/>
    <w:rsid w:val="00263A72"/>
    <w:rsid w:val="00263BB3"/>
    <w:rsid w:val="00263C03"/>
    <w:rsid w:val="00263C0F"/>
    <w:rsid w:val="00263C3C"/>
    <w:rsid w:val="00263C5E"/>
    <w:rsid w:val="00263C67"/>
    <w:rsid w:val="00263F42"/>
    <w:rsid w:val="00264153"/>
    <w:rsid w:val="002641A5"/>
    <w:rsid w:val="002644FF"/>
    <w:rsid w:val="0026472F"/>
    <w:rsid w:val="0026484C"/>
    <w:rsid w:val="00264A7A"/>
    <w:rsid w:val="00264D9E"/>
    <w:rsid w:val="00264DF6"/>
    <w:rsid w:val="00264F2A"/>
    <w:rsid w:val="00264FE6"/>
    <w:rsid w:val="0026533C"/>
    <w:rsid w:val="002653A5"/>
    <w:rsid w:val="0026540D"/>
    <w:rsid w:val="00265510"/>
    <w:rsid w:val="00265523"/>
    <w:rsid w:val="0026577B"/>
    <w:rsid w:val="00265781"/>
    <w:rsid w:val="0026581E"/>
    <w:rsid w:val="002659B7"/>
    <w:rsid w:val="00265A1C"/>
    <w:rsid w:val="00265C2C"/>
    <w:rsid w:val="00265C7E"/>
    <w:rsid w:val="00265CDB"/>
    <w:rsid w:val="002660D3"/>
    <w:rsid w:val="0026610B"/>
    <w:rsid w:val="0026613F"/>
    <w:rsid w:val="0026630C"/>
    <w:rsid w:val="0026637F"/>
    <w:rsid w:val="002663FB"/>
    <w:rsid w:val="002664DE"/>
    <w:rsid w:val="002664E5"/>
    <w:rsid w:val="002665C5"/>
    <w:rsid w:val="00266680"/>
    <w:rsid w:val="002669D6"/>
    <w:rsid w:val="00266BC4"/>
    <w:rsid w:val="00266C73"/>
    <w:rsid w:val="00266E25"/>
    <w:rsid w:val="00266ED6"/>
    <w:rsid w:val="00266F0D"/>
    <w:rsid w:val="00266F4B"/>
    <w:rsid w:val="00267206"/>
    <w:rsid w:val="0026732B"/>
    <w:rsid w:val="0026769C"/>
    <w:rsid w:val="002678CB"/>
    <w:rsid w:val="002678DC"/>
    <w:rsid w:val="002679AD"/>
    <w:rsid w:val="00267B82"/>
    <w:rsid w:val="00267BA9"/>
    <w:rsid w:val="00267E82"/>
    <w:rsid w:val="00267EB8"/>
    <w:rsid w:val="00267EBE"/>
    <w:rsid w:val="00267EF7"/>
    <w:rsid w:val="0027018B"/>
    <w:rsid w:val="00270494"/>
    <w:rsid w:val="002706F9"/>
    <w:rsid w:val="00270853"/>
    <w:rsid w:val="00270A93"/>
    <w:rsid w:val="00270B13"/>
    <w:rsid w:val="00270D9D"/>
    <w:rsid w:val="00270DD9"/>
    <w:rsid w:val="00270EA8"/>
    <w:rsid w:val="00270ECD"/>
    <w:rsid w:val="00270ED8"/>
    <w:rsid w:val="002710A8"/>
    <w:rsid w:val="002710CF"/>
    <w:rsid w:val="002711A4"/>
    <w:rsid w:val="002711E4"/>
    <w:rsid w:val="0027128F"/>
    <w:rsid w:val="002712DF"/>
    <w:rsid w:val="00271329"/>
    <w:rsid w:val="00271588"/>
    <w:rsid w:val="00271618"/>
    <w:rsid w:val="002717E9"/>
    <w:rsid w:val="0027188A"/>
    <w:rsid w:val="0027195A"/>
    <w:rsid w:val="002719ED"/>
    <w:rsid w:val="00271A3C"/>
    <w:rsid w:val="00271B93"/>
    <w:rsid w:val="00271BED"/>
    <w:rsid w:val="00271C07"/>
    <w:rsid w:val="00271CB8"/>
    <w:rsid w:val="00271D61"/>
    <w:rsid w:val="00271DF0"/>
    <w:rsid w:val="00271DFF"/>
    <w:rsid w:val="00272019"/>
    <w:rsid w:val="00272060"/>
    <w:rsid w:val="0027206F"/>
    <w:rsid w:val="0027226A"/>
    <w:rsid w:val="00272289"/>
    <w:rsid w:val="0027239F"/>
    <w:rsid w:val="002724EF"/>
    <w:rsid w:val="00272844"/>
    <w:rsid w:val="00272A9F"/>
    <w:rsid w:val="00272BB8"/>
    <w:rsid w:val="002730B7"/>
    <w:rsid w:val="0027311A"/>
    <w:rsid w:val="002731A6"/>
    <w:rsid w:val="002731AB"/>
    <w:rsid w:val="00273296"/>
    <w:rsid w:val="002732C0"/>
    <w:rsid w:val="0027348A"/>
    <w:rsid w:val="00273491"/>
    <w:rsid w:val="00273499"/>
    <w:rsid w:val="002734D3"/>
    <w:rsid w:val="00273702"/>
    <w:rsid w:val="00273781"/>
    <w:rsid w:val="00273BC7"/>
    <w:rsid w:val="00273C11"/>
    <w:rsid w:val="00273D7D"/>
    <w:rsid w:val="00273E6C"/>
    <w:rsid w:val="00274065"/>
    <w:rsid w:val="002740A6"/>
    <w:rsid w:val="002740B5"/>
    <w:rsid w:val="00274233"/>
    <w:rsid w:val="0027433E"/>
    <w:rsid w:val="00274367"/>
    <w:rsid w:val="00274443"/>
    <w:rsid w:val="00274497"/>
    <w:rsid w:val="002745B4"/>
    <w:rsid w:val="00274888"/>
    <w:rsid w:val="0027489C"/>
    <w:rsid w:val="002748AD"/>
    <w:rsid w:val="00274A09"/>
    <w:rsid w:val="00274AA9"/>
    <w:rsid w:val="00274C13"/>
    <w:rsid w:val="00274C73"/>
    <w:rsid w:val="00274DF0"/>
    <w:rsid w:val="00274E1D"/>
    <w:rsid w:val="00274E5F"/>
    <w:rsid w:val="00274F60"/>
    <w:rsid w:val="002750C2"/>
    <w:rsid w:val="00275196"/>
    <w:rsid w:val="002751CF"/>
    <w:rsid w:val="00275222"/>
    <w:rsid w:val="00275265"/>
    <w:rsid w:val="0027549C"/>
    <w:rsid w:val="002754DA"/>
    <w:rsid w:val="002754E0"/>
    <w:rsid w:val="0027559F"/>
    <w:rsid w:val="002755A3"/>
    <w:rsid w:val="0027574A"/>
    <w:rsid w:val="002757B3"/>
    <w:rsid w:val="002757F4"/>
    <w:rsid w:val="00275838"/>
    <w:rsid w:val="00275A1D"/>
    <w:rsid w:val="00275C0C"/>
    <w:rsid w:val="00275E69"/>
    <w:rsid w:val="00275F84"/>
    <w:rsid w:val="00275FC3"/>
    <w:rsid w:val="00276047"/>
    <w:rsid w:val="00276054"/>
    <w:rsid w:val="0027661C"/>
    <w:rsid w:val="0027663F"/>
    <w:rsid w:val="00276699"/>
    <w:rsid w:val="00276759"/>
    <w:rsid w:val="002767B3"/>
    <w:rsid w:val="00276985"/>
    <w:rsid w:val="00276B1F"/>
    <w:rsid w:val="00276EA6"/>
    <w:rsid w:val="00276EB1"/>
    <w:rsid w:val="00276EDA"/>
    <w:rsid w:val="00277047"/>
    <w:rsid w:val="00277155"/>
    <w:rsid w:val="00277309"/>
    <w:rsid w:val="00277585"/>
    <w:rsid w:val="00277624"/>
    <w:rsid w:val="00277644"/>
    <w:rsid w:val="002777EA"/>
    <w:rsid w:val="002777FE"/>
    <w:rsid w:val="0027788F"/>
    <w:rsid w:val="00277953"/>
    <w:rsid w:val="0027798F"/>
    <w:rsid w:val="00277CE7"/>
    <w:rsid w:val="00277D53"/>
    <w:rsid w:val="00277DD7"/>
    <w:rsid w:val="00277ED1"/>
    <w:rsid w:val="00277FC4"/>
    <w:rsid w:val="002801ED"/>
    <w:rsid w:val="00280285"/>
    <w:rsid w:val="00280506"/>
    <w:rsid w:val="00280508"/>
    <w:rsid w:val="0028050E"/>
    <w:rsid w:val="0028060C"/>
    <w:rsid w:val="0028061C"/>
    <w:rsid w:val="00280629"/>
    <w:rsid w:val="00280664"/>
    <w:rsid w:val="002806AA"/>
    <w:rsid w:val="0028072E"/>
    <w:rsid w:val="0028076B"/>
    <w:rsid w:val="002807C6"/>
    <w:rsid w:val="00280C16"/>
    <w:rsid w:val="00280C9D"/>
    <w:rsid w:val="00280F85"/>
    <w:rsid w:val="00280FAA"/>
    <w:rsid w:val="002810D8"/>
    <w:rsid w:val="002814A5"/>
    <w:rsid w:val="00281691"/>
    <w:rsid w:val="0028172F"/>
    <w:rsid w:val="00281804"/>
    <w:rsid w:val="002818FF"/>
    <w:rsid w:val="00281959"/>
    <w:rsid w:val="00281964"/>
    <w:rsid w:val="00281BB2"/>
    <w:rsid w:val="00281D8A"/>
    <w:rsid w:val="00281E44"/>
    <w:rsid w:val="00281F88"/>
    <w:rsid w:val="00281F95"/>
    <w:rsid w:val="00281FE0"/>
    <w:rsid w:val="00282084"/>
    <w:rsid w:val="0028222C"/>
    <w:rsid w:val="0028235A"/>
    <w:rsid w:val="0028243F"/>
    <w:rsid w:val="00282463"/>
    <w:rsid w:val="0028254E"/>
    <w:rsid w:val="00282706"/>
    <w:rsid w:val="002827FC"/>
    <w:rsid w:val="00282842"/>
    <w:rsid w:val="00282891"/>
    <w:rsid w:val="002828A9"/>
    <w:rsid w:val="00282A5A"/>
    <w:rsid w:val="00282E36"/>
    <w:rsid w:val="00282F54"/>
    <w:rsid w:val="00282F64"/>
    <w:rsid w:val="00282F8C"/>
    <w:rsid w:val="0028304C"/>
    <w:rsid w:val="002832A5"/>
    <w:rsid w:val="00283394"/>
    <w:rsid w:val="0028348A"/>
    <w:rsid w:val="00283724"/>
    <w:rsid w:val="002837B2"/>
    <w:rsid w:val="002837D3"/>
    <w:rsid w:val="00283A24"/>
    <w:rsid w:val="00283BA3"/>
    <w:rsid w:val="00283C07"/>
    <w:rsid w:val="00283E09"/>
    <w:rsid w:val="00283E79"/>
    <w:rsid w:val="00283EDD"/>
    <w:rsid w:val="00284014"/>
    <w:rsid w:val="002840D1"/>
    <w:rsid w:val="00284243"/>
    <w:rsid w:val="00284493"/>
    <w:rsid w:val="0028466B"/>
    <w:rsid w:val="00284875"/>
    <w:rsid w:val="00284ADC"/>
    <w:rsid w:val="00284B2A"/>
    <w:rsid w:val="00284CBB"/>
    <w:rsid w:val="00284CFB"/>
    <w:rsid w:val="00284D9C"/>
    <w:rsid w:val="00284E00"/>
    <w:rsid w:val="00284E8A"/>
    <w:rsid w:val="0028505D"/>
    <w:rsid w:val="002850D5"/>
    <w:rsid w:val="002855C0"/>
    <w:rsid w:val="00285642"/>
    <w:rsid w:val="002857D3"/>
    <w:rsid w:val="002857DE"/>
    <w:rsid w:val="00285832"/>
    <w:rsid w:val="00285A91"/>
    <w:rsid w:val="00285AF7"/>
    <w:rsid w:val="00285B6A"/>
    <w:rsid w:val="00285D7C"/>
    <w:rsid w:val="00285F80"/>
    <w:rsid w:val="00285F9F"/>
    <w:rsid w:val="00285FB7"/>
    <w:rsid w:val="00286076"/>
    <w:rsid w:val="0028614A"/>
    <w:rsid w:val="002861B2"/>
    <w:rsid w:val="002861CA"/>
    <w:rsid w:val="00286411"/>
    <w:rsid w:val="002864CF"/>
    <w:rsid w:val="002864EF"/>
    <w:rsid w:val="00286A1C"/>
    <w:rsid w:val="00286A41"/>
    <w:rsid w:val="00286A5A"/>
    <w:rsid w:val="00286AF2"/>
    <w:rsid w:val="00286C8B"/>
    <w:rsid w:val="00286C92"/>
    <w:rsid w:val="00286DF3"/>
    <w:rsid w:val="00286E22"/>
    <w:rsid w:val="00286E87"/>
    <w:rsid w:val="0028726F"/>
    <w:rsid w:val="0028727A"/>
    <w:rsid w:val="002873CA"/>
    <w:rsid w:val="002874B8"/>
    <w:rsid w:val="00287527"/>
    <w:rsid w:val="0028753B"/>
    <w:rsid w:val="00287744"/>
    <w:rsid w:val="00287815"/>
    <w:rsid w:val="00287933"/>
    <w:rsid w:val="002879A5"/>
    <w:rsid w:val="00287E82"/>
    <w:rsid w:val="00287F2C"/>
    <w:rsid w:val="00287FBF"/>
    <w:rsid w:val="00290044"/>
    <w:rsid w:val="002900A5"/>
    <w:rsid w:val="0029013B"/>
    <w:rsid w:val="00290277"/>
    <w:rsid w:val="00290476"/>
    <w:rsid w:val="002904AA"/>
    <w:rsid w:val="002905B9"/>
    <w:rsid w:val="002906F8"/>
    <w:rsid w:val="00290742"/>
    <w:rsid w:val="002908C2"/>
    <w:rsid w:val="00290B2A"/>
    <w:rsid w:val="00290B9E"/>
    <w:rsid w:val="00290DB3"/>
    <w:rsid w:val="00290E36"/>
    <w:rsid w:val="00290E6E"/>
    <w:rsid w:val="00290F32"/>
    <w:rsid w:val="0029119F"/>
    <w:rsid w:val="00291312"/>
    <w:rsid w:val="0029136A"/>
    <w:rsid w:val="0029139E"/>
    <w:rsid w:val="00291418"/>
    <w:rsid w:val="002914B0"/>
    <w:rsid w:val="0029155B"/>
    <w:rsid w:val="002915B1"/>
    <w:rsid w:val="002915BA"/>
    <w:rsid w:val="002915CF"/>
    <w:rsid w:val="002917B2"/>
    <w:rsid w:val="00291869"/>
    <w:rsid w:val="00291BD3"/>
    <w:rsid w:val="00291CF6"/>
    <w:rsid w:val="00291DEA"/>
    <w:rsid w:val="00291E2C"/>
    <w:rsid w:val="00291F01"/>
    <w:rsid w:val="00291F3D"/>
    <w:rsid w:val="0029204F"/>
    <w:rsid w:val="002920C7"/>
    <w:rsid w:val="00292233"/>
    <w:rsid w:val="00292240"/>
    <w:rsid w:val="002922E0"/>
    <w:rsid w:val="002922E3"/>
    <w:rsid w:val="00292306"/>
    <w:rsid w:val="00292739"/>
    <w:rsid w:val="00292782"/>
    <w:rsid w:val="002927C1"/>
    <w:rsid w:val="00292A86"/>
    <w:rsid w:val="00292CBC"/>
    <w:rsid w:val="00292E1D"/>
    <w:rsid w:val="00292E82"/>
    <w:rsid w:val="00292F0C"/>
    <w:rsid w:val="00292F52"/>
    <w:rsid w:val="00292FD8"/>
    <w:rsid w:val="002931A5"/>
    <w:rsid w:val="00293402"/>
    <w:rsid w:val="0029355C"/>
    <w:rsid w:val="002937DE"/>
    <w:rsid w:val="00293831"/>
    <w:rsid w:val="00293B86"/>
    <w:rsid w:val="00293BE2"/>
    <w:rsid w:val="00293C8C"/>
    <w:rsid w:val="00293D2F"/>
    <w:rsid w:val="00293D55"/>
    <w:rsid w:val="00293E91"/>
    <w:rsid w:val="0029422C"/>
    <w:rsid w:val="00294312"/>
    <w:rsid w:val="0029452C"/>
    <w:rsid w:val="0029456A"/>
    <w:rsid w:val="0029466F"/>
    <w:rsid w:val="002946CE"/>
    <w:rsid w:val="00294923"/>
    <w:rsid w:val="00294924"/>
    <w:rsid w:val="002949C3"/>
    <w:rsid w:val="00294AA4"/>
    <w:rsid w:val="00294B6B"/>
    <w:rsid w:val="00294B9E"/>
    <w:rsid w:val="0029514C"/>
    <w:rsid w:val="00295244"/>
    <w:rsid w:val="0029524C"/>
    <w:rsid w:val="002952F5"/>
    <w:rsid w:val="002952F7"/>
    <w:rsid w:val="00295335"/>
    <w:rsid w:val="002953C2"/>
    <w:rsid w:val="0029576F"/>
    <w:rsid w:val="002958B7"/>
    <w:rsid w:val="002958DF"/>
    <w:rsid w:val="002959F7"/>
    <w:rsid w:val="00295B31"/>
    <w:rsid w:val="00295BC7"/>
    <w:rsid w:val="00295DB4"/>
    <w:rsid w:val="00295DC3"/>
    <w:rsid w:val="00295DFB"/>
    <w:rsid w:val="00295E1C"/>
    <w:rsid w:val="00295E6C"/>
    <w:rsid w:val="00295F28"/>
    <w:rsid w:val="00296026"/>
    <w:rsid w:val="00296147"/>
    <w:rsid w:val="0029614C"/>
    <w:rsid w:val="00296233"/>
    <w:rsid w:val="0029675C"/>
    <w:rsid w:val="00296764"/>
    <w:rsid w:val="002968D8"/>
    <w:rsid w:val="0029693A"/>
    <w:rsid w:val="002969CF"/>
    <w:rsid w:val="00296A0E"/>
    <w:rsid w:val="00296B7B"/>
    <w:rsid w:val="00296C20"/>
    <w:rsid w:val="00296C42"/>
    <w:rsid w:val="00296EC3"/>
    <w:rsid w:val="00296F10"/>
    <w:rsid w:val="00296F45"/>
    <w:rsid w:val="00296F6D"/>
    <w:rsid w:val="0029725E"/>
    <w:rsid w:val="00297795"/>
    <w:rsid w:val="002977C2"/>
    <w:rsid w:val="002978D3"/>
    <w:rsid w:val="002979B1"/>
    <w:rsid w:val="002979D5"/>
    <w:rsid w:val="00297A91"/>
    <w:rsid w:val="00297D7D"/>
    <w:rsid w:val="00297DCD"/>
    <w:rsid w:val="00297E4D"/>
    <w:rsid w:val="00297E85"/>
    <w:rsid w:val="002A01D1"/>
    <w:rsid w:val="002A01FE"/>
    <w:rsid w:val="002A02F4"/>
    <w:rsid w:val="002A0328"/>
    <w:rsid w:val="002A032F"/>
    <w:rsid w:val="002A045B"/>
    <w:rsid w:val="002A0551"/>
    <w:rsid w:val="002A0616"/>
    <w:rsid w:val="002A066F"/>
    <w:rsid w:val="002A071C"/>
    <w:rsid w:val="002A0CF6"/>
    <w:rsid w:val="002A0E47"/>
    <w:rsid w:val="002A0F0A"/>
    <w:rsid w:val="002A1193"/>
    <w:rsid w:val="002A12B7"/>
    <w:rsid w:val="002A13B5"/>
    <w:rsid w:val="002A145E"/>
    <w:rsid w:val="002A14B7"/>
    <w:rsid w:val="002A177E"/>
    <w:rsid w:val="002A1790"/>
    <w:rsid w:val="002A17C0"/>
    <w:rsid w:val="002A189A"/>
    <w:rsid w:val="002A18C8"/>
    <w:rsid w:val="002A18D6"/>
    <w:rsid w:val="002A1AB0"/>
    <w:rsid w:val="002A1AC1"/>
    <w:rsid w:val="002A1DF0"/>
    <w:rsid w:val="002A1EC5"/>
    <w:rsid w:val="002A1F7E"/>
    <w:rsid w:val="002A20B6"/>
    <w:rsid w:val="002A2121"/>
    <w:rsid w:val="002A2315"/>
    <w:rsid w:val="002A258A"/>
    <w:rsid w:val="002A26F8"/>
    <w:rsid w:val="002A27F5"/>
    <w:rsid w:val="002A2A4D"/>
    <w:rsid w:val="002A2AD3"/>
    <w:rsid w:val="002A2BE7"/>
    <w:rsid w:val="002A2E26"/>
    <w:rsid w:val="002A2E41"/>
    <w:rsid w:val="002A2EB8"/>
    <w:rsid w:val="002A2F54"/>
    <w:rsid w:val="002A2F5A"/>
    <w:rsid w:val="002A30E0"/>
    <w:rsid w:val="002A33E5"/>
    <w:rsid w:val="002A3488"/>
    <w:rsid w:val="002A35C3"/>
    <w:rsid w:val="002A375D"/>
    <w:rsid w:val="002A3A44"/>
    <w:rsid w:val="002A3D27"/>
    <w:rsid w:val="002A3F91"/>
    <w:rsid w:val="002A41A3"/>
    <w:rsid w:val="002A42DF"/>
    <w:rsid w:val="002A4313"/>
    <w:rsid w:val="002A455E"/>
    <w:rsid w:val="002A462E"/>
    <w:rsid w:val="002A493B"/>
    <w:rsid w:val="002A4B05"/>
    <w:rsid w:val="002A4CAE"/>
    <w:rsid w:val="002A4DD1"/>
    <w:rsid w:val="002A4E24"/>
    <w:rsid w:val="002A4E3A"/>
    <w:rsid w:val="002A4FEE"/>
    <w:rsid w:val="002A51ED"/>
    <w:rsid w:val="002A5257"/>
    <w:rsid w:val="002A5296"/>
    <w:rsid w:val="002A532D"/>
    <w:rsid w:val="002A5402"/>
    <w:rsid w:val="002A54FB"/>
    <w:rsid w:val="002A56D2"/>
    <w:rsid w:val="002A58FA"/>
    <w:rsid w:val="002A5A58"/>
    <w:rsid w:val="002A5B0B"/>
    <w:rsid w:val="002A5C18"/>
    <w:rsid w:val="002A5D84"/>
    <w:rsid w:val="002A5E33"/>
    <w:rsid w:val="002A608B"/>
    <w:rsid w:val="002A6545"/>
    <w:rsid w:val="002A66B5"/>
    <w:rsid w:val="002A66FA"/>
    <w:rsid w:val="002A6810"/>
    <w:rsid w:val="002A6824"/>
    <w:rsid w:val="002A6B6D"/>
    <w:rsid w:val="002A6BC9"/>
    <w:rsid w:val="002A6C72"/>
    <w:rsid w:val="002A6CDD"/>
    <w:rsid w:val="002A6D3A"/>
    <w:rsid w:val="002A6F2B"/>
    <w:rsid w:val="002A6F7F"/>
    <w:rsid w:val="002A7071"/>
    <w:rsid w:val="002A71BF"/>
    <w:rsid w:val="002A739B"/>
    <w:rsid w:val="002A73A8"/>
    <w:rsid w:val="002A7456"/>
    <w:rsid w:val="002A75EE"/>
    <w:rsid w:val="002A75FF"/>
    <w:rsid w:val="002A761F"/>
    <w:rsid w:val="002A7657"/>
    <w:rsid w:val="002A7677"/>
    <w:rsid w:val="002A77DA"/>
    <w:rsid w:val="002A7958"/>
    <w:rsid w:val="002A7B15"/>
    <w:rsid w:val="002A7B31"/>
    <w:rsid w:val="002A7DC9"/>
    <w:rsid w:val="002A7F59"/>
    <w:rsid w:val="002A7FA5"/>
    <w:rsid w:val="002A7FD9"/>
    <w:rsid w:val="002B0014"/>
    <w:rsid w:val="002B01F8"/>
    <w:rsid w:val="002B02B0"/>
    <w:rsid w:val="002B02BD"/>
    <w:rsid w:val="002B04E3"/>
    <w:rsid w:val="002B0629"/>
    <w:rsid w:val="002B066D"/>
    <w:rsid w:val="002B0774"/>
    <w:rsid w:val="002B0816"/>
    <w:rsid w:val="002B0888"/>
    <w:rsid w:val="002B08F5"/>
    <w:rsid w:val="002B0970"/>
    <w:rsid w:val="002B09FF"/>
    <w:rsid w:val="002B0A62"/>
    <w:rsid w:val="002B0CD2"/>
    <w:rsid w:val="002B0D5E"/>
    <w:rsid w:val="002B0EB9"/>
    <w:rsid w:val="002B0FA0"/>
    <w:rsid w:val="002B1088"/>
    <w:rsid w:val="002B10C8"/>
    <w:rsid w:val="002B12C1"/>
    <w:rsid w:val="002B1392"/>
    <w:rsid w:val="002B162B"/>
    <w:rsid w:val="002B1884"/>
    <w:rsid w:val="002B1A57"/>
    <w:rsid w:val="002B1A60"/>
    <w:rsid w:val="002B1BE0"/>
    <w:rsid w:val="002B1BEA"/>
    <w:rsid w:val="002B1C79"/>
    <w:rsid w:val="002B1D17"/>
    <w:rsid w:val="002B1F2F"/>
    <w:rsid w:val="002B204D"/>
    <w:rsid w:val="002B206F"/>
    <w:rsid w:val="002B2340"/>
    <w:rsid w:val="002B25CD"/>
    <w:rsid w:val="002B2620"/>
    <w:rsid w:val="002B285F"/>
    <w:rsid w:val="002B2A42"/>
    <w:rsid w:val="002B2C44"/>
    <w:rsid w:val="002B2D64"/>
    <w:rsid w:val="002B303C"/>
    <w:rsid w:val="002B310A"/>
    <w:rsid w:val="002B31CE"/>
    <w:rsid w:val="002B3241"/>
    <w:rsid w:val="002B3263"/>
    <w:rsid w:val="002B3444"/>
    <w:rsid w:val="002B3501"/>
    <w:rsid w:val="002B35BF"/>
    <w:rsid w:val="002B3625"/>
    <w:rsid w:val="002B3743"/>
    <w:rsid w:val="002B387F"/>
    <w:rsid w:val="002B3D55"/>
    <w:rsid w:val="002B3E71"/>
    <w:rsid w:val="002B3E89"/>
    <w:rsid w:val="002B3F74"/>
    <w:rsid w:val="002B3FFB"/>
    <w:rsid w:val="002B4134"/>
    <w:rsid w:val="002B42CB"/>
    <w:rsid w:val="002B447F"/>
    <w:rsid w:val="002B455C"/>
    <w:rsid w:val="002B45CF"/>
    <w:rsid w:val="002B462E"/>
    <w:rsid w:val="002B46CF"/>
    <w:rsid w:val="002B482F"/>
    <w:rsid w:val="002B49C6"/>
    <w:rsid w:val="002B4A6A"/>
    <w:rsid w:val="002B4BE7"/>
    <w:rsid w:val="002B4D43"/>
    <w:rsid w:val="002B4D8B"/>
    <w:rsid w:val="002B4DD8"/>
    <w:rsid w:val="002B4ED2"/>
    <w:rsid w:val="002B506E"/>
    <w:rsid w:val="002B51CB"/>
    <w:rsid w:val="002B5417"/>
    <w:rsid w:val="002B54DC"/>
    <w:rsid w:val="002B59C5"/>
    <w:rsid w:val="002B59F6"/>
    <w:rsid w:val="002B5CB9"/>
    <w:rsid w:val="002B5D86"/>
    <w:rsid w:val="002B5D98"/>
    <w:rsid w:val="002B5E8D"/>
    <w:rsid w:val="002B5F5F"/>
    <w:rsid w:val="002B60A4"/>
    <w:rsid w:val="002B61CF"/>
    <w:rsid w:val="002B634E"/>
    <w:rsid w:val="002B6658"/>
    <w:rsid w:val="002B66D6"/>
    <w:rsid w:val="002B671A"/>
    <w:rsid w:val="002B67B4"/>
    <w:rsid w:val="002B67C4"/>
    <w:rsid w:val="002B6844"/>
    <w:rsid w:val="002B68CE"/>
    <w:rsid w:val="002B6990"/>
    <w:rsid w:val="002B6A5D"/>
    <w:rsid w:val="002B6AD6"/>
    <w:rsid w:val="002B6BDD"/>
    <w:rsid w:val="002B6CF6"/>
    <w:rsid w:val="002B6DDF"/>
    <w:rsid w:val="002B708C"/>
    <w:rsid w:val="002B736E"/>
    <w:rsid w:val="002B7393"/>
    <w:rsid w:val="002B73B3"/>
    <w:rsid w:val="002B73E0"/>
    <w:rsid w:val="002B757F"/>
    <w:rsid w:val="002B759C"/>
    <w:rsid w:val="002B764B"/>
    <w:rsid w:val="002B76F8"/>
    <w:rsid w:val="002B777D"/>
    <w:rsid w:val="002B78AF"/>
    <w:rsid w:val="002B79F5"/>
    <w:rsid w:val="002B7B75"/>
    <w:rsid w:val="002B7C7A"/>
    <w:rsid w:val="002B7C84"/>
    <w:rsid w:val="002B7CA5"/>
    <w:rsid w:val="002C007E"/>
    <w:rsid w:val="002C0157"/>
    <w:rsid w:val="002C016D"/>
    <w:rsid w:val="002C0399"/>
    <w:rsid w:val="002C04B8"/>
    <w:rsid w:val="002C04BC"/>
    <w:rsid w:val="002C04F4"/>
    <w:rsid w:val="002C084D"/>
    <w:rsid w:val="002C0882"/>
    <w:rsid w:val="002C0971"/>
    <w:rsid w:val="002C0993"/>
    <w:rsid w:val="002C09D4"/>
    <w:rsid w:val="002C0B41"/>
    <w:rsid w:val="002C0C84"/>
    <w:rsid w:val="002C0D82"/>
    <w:rsid w:val="002C0E09"/>
    <w:rsid w:val="002C1049"/>
    <w:rsid w:val="002C16A4"/>
    <w:rsid w:val="002C16B1"/>
    <w:rsid w:val="002C175B"/>
    <w:rsid w:val="002C17B2"/>
    <w:rsid w:val="002C17BE"/>
    <w:rsid w:val="002C18A0"/>
    <w:rsid w:val="002C1958"/>
    <w:rsid w:val="002C1B74"/>
    <w:rsid w:val="002C1C29"/>
    <w:rsid w:val="002C1DD6"/>
    <w:rsid w:val="002C1EBF"/>
    <w:rsid w:val="002C1F2F"/>
    <w:rsid w:val="002C211B"/>
    <w:rsid w:val="002C217D"/>
    <w:rsid w:val="002C234E"/>
    <w:rsid w:val="002C23A6"/>
    <w:rsid w:val="002C259C"/>
    <w:rsid w:val="002C25DC"/>
    <w:rsid w:val="002C285D"/>
    <w:rsid w:val="002C2B56"/>
    <w:rsid w:val="002C2C2B"/>
    <w:rsid w:val="002C2CFA"/>
    <w:rsid w:val="002C2D4B"/>
    <w:rsid w:val="002C2E2A"/>
    <w:rsid w:val="002C2EDF"/>
    <w:rsid w:val="002C2F0D"/>
    <w:rsid w:val="002C2F62"/>
    <w:rsid w:val="002C2F6D"/>
    <w:rsid w:val="002C301B"/>
    <w:rsid w:val="002C323D"/>
    <w:rsid w:val="002C3360"/>
    <w:rsid w:val="002C3568"/>
    <w:rsid w:val="002C3616"/>
    <w:rsid w:val="002C3636"/>
    <w:rsid w:val="002C38D3"/>
    <w:rsid w:val="002C3913"/>
    <w:rsid w:val="002C3980"/>
    <w:rsid w:val="002C3AE3"/>
    <w:rsid w:val="002C3B40"/>
    <w:rsid w:val="002C3B8D"/>
    <w:rsid w:val="002C3DC8"/>
    <w:rsid w:val="002C3E53"/>
    <w:rsid w:val="002C3F81"/>
    <w:rsid w:val="002C40BA"/>
    <w:rsid w:val="002C459F"/>
    <w:rsid w:val="002C4679"/>
    <w:rsid w:val="002C476A"/>
    <w:rsid w:val="002C48E8"/>
    <w:rsid w:val="002C4909"/>
    <w:rsid w:val="002C49E9"/>
    <w:rsid w:val="002C49F9"/>
    <w:rsid w:val="002C4B8B"/>
    <w:rsid w:val="002C4D37"/>
    <w:rsid w:val="002C4EC6"/>
    <w:rsid w:val="002C51B0"/>
    <w:rsid w:val="002C51CE"/>
    <w:rsid w:val="002C5411"/>
    <w:rsid w:val="002C5525"/>
    <w:rsid w:val="002C556C"/>
    <w:rsid w:val="002C5580"/>
    <w:rsid w:val="002C56A7"/>
    <w:rsid w:val="002C587B"/>
    <w:rsid w:val="002C58F9"/>
    <w:rsid w:val="002C5958"/>
    <w:rsid w:val="002C5987"/>
    <w:rsid w:val="002C59DE"/>
    <w:rsid w:val="002C5A1D"/>
    <w:rsid w:val="002C5D59"/>
    <w:rsid w:val="002C5E6B"/>
    <w:rsid w:val="002C5E81"/>
    <w:rsid w:val="002C5F11"/>
    <w:rsid w:val="002C605C"/>
    <w:rsid w:val="002C61DD"/>
    <w:rsid w:val="002C61ED"/>
    <w:rsid w:val="002C6212"/>
    <w:rsid w:val="002C6309"/>
    <w:rsid w:val="002C63DF"/>
    <w:rsid w:val="002C647B"/>
    <w:rsid w:val="002C66B3"/>
    <w:rsid w:val="002C679A"/>
    <w:rsid w:val="002C6856"/>
    <w:rsid w:val="002C68A6"/>
    <w:rsid w:val="002C6955"/>
    <w:rsid w:val="002C696A"/>
    <w:rsid w:val="002C6C6F"/>
    <w:rsid w:val="002C6CDA"/>
    <w:rsid w:val="002C6D1C"/>
    <w:rsid w:val="002C6E06"/>
    <w:rsid w:val="002C6E65"/>
    <w:rsid w:val="002C6F5D"/>
    <w:rsid w:val="002C7108"/>
    <w:rsid w:val="002C710B"/>
    <w:rsid w:val="002C7505"/>
    <w:rsid w:val="002C7521"/>
    <w:rsid w:val="002C757F"/>
    <w:rsid w:val="002C75DA"/>
    <w:rsid w:val="002C76DF"/>
    <w:rsid w:val="002C7814"/>
    <w:rsid w:val="002C78E0"/>
    <w:rsid w:val="002C7A7A"/>
    <w:rsid w:val="002C7C43"/>
    <w:rsid w:val="002C7DE5"/>
    <w:rsid w:val="002C7E81"/>
    <w:rsid w:val="002C7EB0"/>
    <w:rsid w:val="002C7F19"/>
    <w:rsid w:val="002C7F75"/>
    <w:rsid w:val="002C7F99"/>
    <w:rsid w:val="002C7FA0"/>
    <w:rsid w:val="002C7FC1"/>
    <w:rsid w:val="002D0316"/>
    <w:rsid w:val="002D0350"/>
    <w:rsid w:val="002D03C7"/>
    <w:rsid w:val="002D0452"/>
    <w:rsid w:val="002D0530"/>
    <w:rsid w:val="002D0850"/>
    <w:rsid w:val="002D0852"/>
    <w:rsid w:val="002D08E6"/>
    <w:rsid w:val="002D0A26"/>
    <w:rsid w:val="002D0A81"/>
    <w:rsid w:val="002D0AF4"/>
    <w:rsid w:val="002D0BB9"/>
    <w:rsid w:val="002D0BE0"/>
    <w:rsid w:val="002D0CBC"/>
    <w:rsid w:val="002D0D97"/>
    <w:rsid w:val="002D0E05"/>
    <w:rsid w:val="002D0E1D"/>
    <w:rsid w:val="002D0FDC"/>
    <w:rsid w:val="002D1271"/>
    <w:rsid w:val="002D12EE"/>
    <w:rsid w:val="002D13BA"/>
    <w:rsid w:val="002D1788"/>
    <w:rsid w:val="002D18AA"/>
    <w:rsid w:val="002D1B19"/>
    <w:rsid w:val="002D1B44"/>
    <w:rsid w:val="002D1BF7"/>
    <w:rsid w:val="002D1D21"/>
    <w:rsid w:val="002D1D29"/>
    <w:rsid w:val="002D1DA9"/>
    <w:rsid w:val="002D1FBB"/>
    <w:rsid w:val="002D20F7"/>
    <w:rsid w:val="002D22ED"/>
    <w:rsid w:val="002D23AF"/>
    <w:rsid w:val="002D2454"/>
    <w:rsid w:val="002D247D"/>
    <w:rsid w:val="002D272D"/>
    <w:rsid w:val="002D274E"/>
    <w:rsid w:val="002D27B9"/>
    <w:rsid w:val="002D2886"/>
    <w:rsid w:val="002D2943"/>
    <w:rsid w:val="002D2A23"/>
    <w:rsid w:val="002D2A2A"/>
    <w:rsid w:val="002D2BE0"/>
    <w:rsid w:val="002D2C09"/>
    <w:rsid w:val="002D2C8F"/>
    <w:rsid w:val="002D2CD7"/>
    <w:rsid w:val="002D2DA5"/>
    <w:rsid w:val="002D2EB8"/>
    <w:rsid w:val="002D3185"/>
    <w:rsid w:val="002D3382"/>
    <w:rsid w:val="002D343A"/>
    <w:rsid w:val="002D3476"/>
    <w:rsid w:val="002D34BC"/>
    <w:rsid w:val="002D34DF"/>
    <w:rsid w:val="002D35A5"/>
    <w:rsid w:val="002D384E"/>
    <w:rsid w:val="002D3A6B"/>
    <w:rsid w:val="002D3B7E"/>
    <w:rsid w:val="002D3BAC"/>
    <w:rsid w:val="002D3C95"/>
    <w:rsid w:val="002D3D3C"/>
    <w:rsid w:val="002D4538"/>
    <w:rsid w:val="002D45A5"/>
    <w:rsid w:val="002D462C"/>
    <w:rsid w:val="002D4824"/>
    <w:rsid w:val="002D4882"/>
    <w:rsid w:val="002D4A06"/>
    <w:rsid w:val="002D4A27"/>
    <w:rsid w:val="002D4A59"/>
    <w:rsid w:val="002D4E29"/>
    <w:rsid w:val="002D4E52"/>
    <w:rsid w:val="002D5074"/>
    <w:rsid w:val="002D519A"/>
    <w:rsid w:val="002D5378"/>
    <w:rsid w:val="002D540D"/>
    <w:rsid w:val="002D545D"/>
    <w:rsid w:val="002D549F"/>
    <w:rsid w:val="002D56C2"/>
    <w:rsid w:val="002D572D"/>
    <w:rsid w:val="002D57AF"/>
    <w:rsid w:val="002D585E"/>
    <w:rsid w:val="002D591B"/>
    <w:rsid w:val="002D5962"/>
    <w:rsid w:val="002D5A5D"/>
    <w:rsid w:val="002D5B8C"/>
    <w:rsid w:val="002D5CBC"/>
    <w:rsid w:val="002D6184"/>
    <w:rsid w:val="002D62D7"/>
    <w:rsid w:val="002D631B"/>
    <w:rsid w:val="002D634F"/>
    <w:rsid w:val="002D6665"/>
    <w:rsid w:val="002D66D7"/>
    <w:rsid w:val="002D67DF"/>
    <w:rsid w:val="002D699B"/>
    <w:rsid w:val="002D6B7F"/>
    <w:rsid w:val="002D6EA5"/>
    <w:rsid w:val="002D6EBD"/>
    <w:rsid w:val="002D729A"/>
    <w:rsid w:val="002D76F7"/>
    <w:rsid w:val="002D7804"/>
    <w:rsid w:val="002D7832"/>
    <w:rsid w:val="002D78D7"/>
    <w:rsid w:val="002D7947"/>
    <w:rsid w:val="002D798D"/>
    <w:rsid w:val="002D7BCB"/>
    <w:rsid w:val="002D7DBE"/>
    <w:rsid w:val="002D7E08"/>
    <w:rsid w:val="002D7F63"/>
    <w:rsid w:val="002E0135"/>
    <w:rsid w:val="002E0154"/>
    <w:rsid w:val="002E02CD"/>
    <w:rsid w:val="002E02DA"/>
    <w:rsid w:val="002E05A4"/>
    <w:rsid w:val="002E05BE"/>
    <w:rsid w:val="002E0805"/>
    <w:rsid w:val="002E096B"/>
    <w:rsid w:val="002E0C23"/>
    <w:rsid w:val="002E0DB3"/>
    <w:rsid w:val="002E0EC2"/>
    <w:rsid w:val="002E0F22"/>
    <w:rsid w:val="002E0F2D"/>
    <w:rsid w:val="002E0F6E"/>
    <w:rsid w:val="002E102E"/>
    <w:rsid w:val="002E10D3"/>
    <w:rsid w:val="002E145C"/>
    <w:rsid w:val="002E16B6"/>
    <w:rsid w:val="002E16D9"/>
    <w:rsid w:val="002E174C"/>
    <w:rsid w:val="002E18B9"/>
    <w:rsid w:val="002E190A"/>
    <w:rsid w:val="002E1C77"/>
    <w:rsid w:val="002E1CBF"/>
    <w:rsid w:val="002E1D1E"/>
    <w:rsid w:val="002E1D9A"/>
    <w:rsid w:val="002E1EA0"/>
    <w:rsid w:val="002E1FF7"/>
    <w:rsid w:val="002E2027"/>
    <w:rsid w:val="002E2080"/>
    <w:rsid w:val="002E22CA"/>
    <w:rsid w:val="002E2396"/>
    <w:rsid w:val="002E2588"/>
    <w:rsid w:val="002E261A"/>
    <w:rsid w:val="002E2760"/>
    <w:rsid w:val="002E2A1F"/>
    <w:rsid w:val="002E2AA6"/>
    <w:rsid w:val="002E2C3D"/>
    <w:rsid w:val="002E2CE6"/>
    <w:rsid w:val="002E2CFA"/>
    <w:rsid w:val="002E2D6A"/>
    <w:rsid w:val="002E2F4B"/>
    <w:rsid w:val="002E3231"/>
    <w:rsid w:val="002E323F"/>
    <w:rsid w:val="002E329E"/>
    <w:rsid w:val="002E33A8"/>
    <w:rsid w:val="002E3503"/>
    <w:rsid w:val="002E364F"/>
    <w:rsid w:val="002E36A6"/>
    <w:rsid w:val="002E3750"/>
    <w:rsid w:val="002E3780"/>
    <w:rsid w:val="002E38CE"/>
    <w:rsid w:val="002E3953"/>
    <w:rsid w:val="002E39DE"/>
    <w:rsid w:val="002E3B41"/>
    <w:rsid w:val="002E3E9E"/>
    <w:rsid w:val="002E407B"/>
    <w:rsid w:val="002E4192"/>
    <w:rsid w:val="002E41A5"/>
    <w:rsid w:val="002E4306"/>
    <w:rsid w:val="002E45DD"/>
    <w:rsid w:val="002E4632"/>
    <w:rsid w:val="002E4669"/>
    <w:rsid w:val="002E4768"/>
    <w:rsid w:val="002E479B"/>
    <w:rsid w:val="002E4878"/>
    <w:rsid w:val="002E4A49"/>
    <w:rsid w:val="002E4AAC"/>
    <w:rsid w:val="002E4AD8"/>
    <w:rsid w:val="002E4C02"/>
    <w:rsid w:val="002E4C6F"/>
    <w:rsid w:val="002E4D27"/>
    <w:rsid w:val="002E50A6"/>
    <w:rsid w:val="002E518C"/>
    <w:rsid w:val="002E5197"/>
    <w:rsid w:val="002E53C5"/>
    <w:rsid w:val="002E54D1"/>
    <w:rsid w:val="002E562F"/>
    <w:rsid w:val="002E5675"/>
    <w:rsid w:val="002E570D"/>
    <w:rsid w:val="002E57C6"/>
    <w:rsid w:val="002E584C"/>
    <w:rsid w:val="002E5B70"/>
    <w:rsid w:val="002E5BFA"/>
    <w:rsid w:val="002E5CD8"/>
    <w:rsid w:val="002E5CE1"/>
    <w:rsid w:val="002E5F27"/>
    <w:rsid w:val="002E610F"/>
    <w:rsid w:val="002E6309"/>
    <w:rsid w:val="002E633F"/>
    <w:rsid w:val="002E64B5"/>
    <w:rsid w:val="002E65AB"/>
    <w:rsid w:val="002E6621"/>
    <w:rsid w:val="002E66BA"/>
    <w:rsid w:val="002E67FC"/>
    <w:rsid w:val="002E68EE"/>
    <w:rsid w:val="002E6939"/>
    <w:rsid w:val="002E69DE"/>
    <w:rsid w:val="002E6BD7"/>
    <w:rsid w:val="002E6BF8"/>
    <w:rsid w:val="002E6C84"/>
    <w:rsid w:val="002E6CD9"/>
    <w:rsid w:val="002E6DA2"/>
    <w:rsid w:val="002E6DDD"/>
    <w:rsid w:val="002E6E9F"/>
    <w:rsid w:val="002E6F42"/>
    <w:rsid w:val="002E716D"/>
    <w:rsid w:val="002E7462"/>
    <w:rsid w:val="002E746C"/>
    <w:rsid w:val="002E783B"/>
    <w:rsid w:val="002E789B"/>
    <w:rsid w:val="002E79E2"/>
    <w:rsid w:val="002E7BF0"/>
    <w:rsid w:val="002E7BF8"/>
    <w:rsid w:val="002E7C10"/>
    <w:rsid w:val="002E7C1D"/>
    <w:rsid w:val="002E7C9C"/>
    <w:rsid w:val="002E7E06"/>
    <w:rsid w:val="002E7ECF"/>
    <w:rsid w:val="002E7F9C"/>
    <w:rsid w:val="002F0188"/>
    <w:rsid w:val="002F0417"/>
    <w:rsid w:val="002F05FB"/>
    <w:rsid w:val="002F0780"/>
    <w:rsid w:val="002F07E8"/>
    <w:rsid w:val="002F084E"/>
    <w:rsid w:val="002F09B3"/>
    <w:rsid w:val="002F0B0D"/>
    <w:rsid w:val="002F0B12"/>
    <w:rsid w:val="002F0DA7"/>
    <w:rsid w:val="002F14A0"/>
    <w:rsid w:val="002F1636"/>
    <w:rsid w:val="002F17AD"/>
    <w:rsid w:val="002F17BA"/>
    <w:rsid w:val="002F183C"/>
    <w:rsid w:val="002F185E"/>
    <w:rsid w:val="002F18D7"/>
    <w:rsid w:val="002F1A70"/>
    <w:rsid w:val="002F1BFA"/>
    <w:rsid w:val="002F1C50"/>
    <w:rsid w:val="002F1DC7"/>
    <w:rsid w:val="002F1E1D"/>
    <w:rsid w:val="002F1EB9"/>
    <w:rsid w:val="002F1F15"/>
    <w:rsid w:val="002F1FA2"/>
    <w:rsid w:val="002F200D"/>
    <w:rsid w:val="002F219E"/>
    <w:rsid w:val="002F21D1"/>
    <w:rsid w:val="002F22D1"/>
    <w:rsid w:val="002F2301"/>
    <w:rsid w:val="002F23C4"/>
    <w:rsid w:val="002F2541"/>
    <w:rsid w:val="002F25EC"/>
    <w:rsid w:val="002F26AC"/>
    <w:rsid w:val="002F274B"/>
    <w:rsid w:val="002F27A0"/>
    <w:rsid w:val="002F2985"/>
    <w:rsid w:val="002F2B7C"/>
    <w:rsid w:val="002F2BB8"/>
    <w:rsid w:val="002F2BE1"/>
    <w:rsid w:val="002F2C19"/>
    <w:rsid w:val="002F2C56"/>
    <w:rsid w:val="002F2C89"/>
    <w:rsid w:val="002F2DC6"/>
    <w:rsid w:val="002F2E0D"/>
    <w:rsid w:val="002F2F71"/>
    <w:rsid w:val="002F2FEA"/>
    <w:rsid w:val="002F309A"/>
    <w:rsid w:val="002F30CB"/>
    <w:rsid w:val="002F30FB"/>
    <w:rsid w:val="002F317A"/>
    <w:rsid w:val="002F3262"/>
    <w:rsid w:val="002F33B8"/>
    <w:rsid w:val="002F3506"/>
    <w:rsid w:val="002F350A"/>
    <w:rsid w:val="002F3576"/>
    <w:rsid w:val="002F3673"/>
    <w:rsid w:val="002F36CE"/>
    <w:rsid w:val="002F36D2"/>
    <w:rsid w:val="002F38B5"/>
    <w:rsid w:val="002F394F"/>
    <w:rsid w:val="002F3967"/>
    <w:rsid w:val="002F3C72"/>
    <w:rsid w:val="002F3D54"/>
    <w:rsid w:val="002F404C"/>
    <w:rsid w:val="002F4058"/>
    <w:rsid w:val="002F4156"/>
    <w:rsid w:val="002F419E"/>
    <w:rsid w:val="002F41C5"/>
    <w:rsid w:val="002F4336"/>
    <w:rsid w:val="002F4455"/>
    <w:rsid w:val="002F4524"/>
    <w:rsid w:val="002F453B"/>
    <w:rsid w:val="002F46BE"/>
    <w:rsid w:val="002F47F8"/>
    <w:rsid w:val="002F481F"/>
    <w:rsid w:val="002F4852"/>
    <w:rsid w:val="002F49AA"/>
    <w:rsid w:val="002F4A37"/>
    <w:rsid w:val="002F4A86"/>
    <w:rsid w:val="002F4AA9"/>
    <w:rsid w:val="002F4D92"/>
    <w:rsid w:val="002F4D93"/>
    <w:rsid w:val="002F4E0C"/>
    <w:rsid w:val="002F4F54"/>
    <w:rsid w:val="002F4F6C"/>
    <w:rsid w:val="002F4FD9"/>
    <w:rsid w:val="002F55B6"/>
    <w:rsid w:val="002F55F7"/>
    <w:rsid w:val="002F567E"/>
    <w:rsid w:val="002F577A"/>
    <w:rsid w:val="002F5F25"/>
    <w:rsid w:val="002F60D6"/>
    <w:rsid w:val="002F6385"/>
    <w:rsid w:val="002F63E7"/>
    <w:rsid w:val="002F6666"/>
    <w:rsid w:val="002F67E0"/>
    <w:rsid w:val="002F67F7"/>
    <w:rsid w:val="002F6867"/>
    <w:rsid w:val="002F6BA8"/>
    <w:rsid w:val="002F6BFE"/>
    <w:rsid w:val="002F6DA6"/>
    <w:rsid w:val="002F6F46"/>
    <w:rsid w:val="002F7007"/>
    <w:rsid w:val="002F70C3"/>
    <w:rsid w:val="002F715F"/>
    <w:rsid w:val="002F71D5"/>
    <w:rsid w:val="002F729B"/>
    <w:rsid w:val="002F72B0"/>
    <w:rsid w:val="002F7417"/>
    <w:rsid w:val="002F7425"/>
    <w:rsid w:val="002F746C"/>
    <w:rsid w:val="002F7565"/>
    <w:rsid w:val="002F7607"/>
    <w:rsid w:val="002F7660"/>
    <w:rsid w:val="002F7705"/>
    <w:rsid w:val="002F7980"/>
    <w:rsid w:val="002F79A8"/>
    <w:rsid w:val="002F7D12"/>
    <w:rsid w:val="002F7DCF"/>
    <w:rsid w:val="002F7E51"/>
    <w:rsid w:val="002F7ECC"/>
    <w:rsid w:val="002F7F07"/>
    <w:rsid w:val="003000C0"/>
    <w:rsid w:val="003001C5"/>
    <w:rsid w:val="003001E7"/>
    <w:rsid w:val="00300243"/>
    <w:rsid w:val="00300253"/>
    <w:rsid w:val="003003EB"/>
    <w:rsid w:val="0030050F"/>
    <w:rsid w:val="00300987"/>
    <w:rsid w:val="003009A9"/>
    <w:rsid w:val="00300C2A"/>
    <w:rsid w:val="00300E99"/>
    <w:rsid w:val="0030103A"/>
    <w:rsid w:val="003011E3"/>
    <w:rsid w:val="00301638"/>
    <w:rsid w:val="003016B5"/>
    <w:rsid w:val="00301757"/>
    <w:rsid w:val="0030185D"/>
    <w:rsid w:val="00301A50"/>
    <w:rsid w:val="00301B50"/>
    <w:rsid w:val="00301D8C"/>
    <w:rsid w:val="003022B3"/>
    <w:rsid w:val="003023BB"/>
    <w:rsid w:val="003024D6"/>
    <w:rsid w:val="0030264A"/>
    <w:rsid w:val="00302824"/>
    <w:rsid w:val="0030285A"/>
    <w:rsid w:val="00302867"/>
    <w:rsid w:val="0030287A"/>
    <w:rsid w:val="003029FE"/>
    <w:rsid w:val="00302AF3"/>
    <w:rsid w:val="00302B87"/>
    <w:rsid w:val="00302F77"/>
    <w:rsid w:val="00302FCA"/>
    <w:rsid w:val="00302FF3"/>
    <w:rsid w:val="0030320E"/>
    <w:rsid w:val="00303215"/>
    <w:rsid w:val="003032A9"/>
    <w:rsid w:val="0030337E"/>
    <w:rsid w:val="003033B2"/>
    <w:rsid w:val="003034E8"/>
    <w:rsid w:val="003035F3"/>
    <w:rsid w:val="00303671"/>
    <w:rsid w:val="003038FB"/>
    <w:rsid w:val="00303B13"/>
    <w:rsid w:val="00303C08"/>
    <w:rsid w:val="00303DEE"/>
    <w:rsid w:val="00303F1C"/>
    <w:rsid w:val="003040ED"/>
    <w:rsid w:val="00304191"/>
    <w:rsid w:val="003041A2"/>
    <w:rsid w:val="00304325"/>
    <w:rsid w:val="00304440"/>
    <w:rsid w:val="0030446C"/>
    <w:rsid w:val="0030473D"/>
    <w:rsid w:val="00304A46"/>
    <w:rsid w:val="00304B6E"/>
    <w:rsid w:val="00304BA9"/>
    <w:rsid w:val="00304D69"/>
    <w:rsid w:val="00304D6D"/>
    <w:rsid w:val="00304D75"/>
    <w:rsid w:val="00304DC1"/>
    <w:rsid w:val="00304FF1"/>
    <w:rsid w:val="00305008"/>
    <w:rsid w:val="003052D6"/>
    <w:rsid w:val="003054AF"/>
    <w:rsid w:val="00305552"/>
    <w:rsid w:val="0030567C"/>
    <w:rsid w:val="00305D9F"/>
    <w:rsid w:val="00305EBC"/>
    <w:rsid w:val="00305F9B"/>
    <w:rsid w:val="00305FD9"/>
    <w:rsid w:val="0030604F"/>
    <w:rsid w:val="00306109"/>
    <w:rsid w:val="00306173"/>
    <w:rsid w:val="003061E5"/>
    <w:rsid w:val="00306204"/>
    <w:rsid w:val="003065E1"/>
    <w:rsid w:val="003066A5"/>
    <w:rsid w:val="003066B1"/>
    <w:rsid w:val="003066E0"/>
    <w:rsid w:val="0030682F"/>
    <w:rsid w:val="00306C3D"/>
    <w:rsid w:val="00306D7E"/>
    <w:rsid w:val="00306E8F"/>
    <w:rsid w:val="00306EEE"/>
    <w:rsid w:val="00306F4D"/>
    <w:rsid w:val="00307113"/>
    <w:rsid w:val="003071D0"/>
    <w:rsid w:val="003071D7"/>
    <w:rsid w:val="00307298"/>
    <w:rsid w:val="003074CC"/>
    <w:rsid w:val="0030753E"/>
    <w:rsid w:val="00307546"/>
    <w:rsid w:val="00307563"/>
    <w:rsid w:val="003075E0"/>
    <w:rsid w:val="003075FB"/>
    <w:rsid w:val="003077A8"/>
    <w:rsid w:val="003079E8"/>
    <w:rsid w:val="00307A09"/>
    <w:rsid w:val="00310028"/>
    <w:rsid w:val="00310063"/>
    <w:rsid w:val="003100E3"/>
    <w:rsid w:val="003103BD"/>
    <w:rsid w:val="003103F1"/>
    <w:rsid w:val="003103FB"/>
    <w:rsid w:val="0031042B"/>
    <w:rsid w:val="0031051D"/>
    <w:rsid w:val="0031076D"/>
    <w:rsid w:val="0031080A"/>
    <w:rsid w:val="00310834"/>
    <w:rsid w:val="00310AD9"/>
    <w:rsid w:val="00310AEF"/>
    <w:rsid w:val="00310C63"/>
    <w:rsid w:val="00310C9B"/>
    <w:rsid w:val="00310CEB"/>
    <w:rsid w:val="00310E9A"/>
    <w:rsid w:val="00310EFF"/>
    <w:rsid w:val="00311175"/>
    <w:rsid w:val="0031129B"/>
    <w:rsid w:val="003112B7"/>
    <w:rsid w:val="003113A2"/>
    <w:rsid w:val="00311482"/>
    <w:rsid w:val="0031165A"/>
    <w:rsid w:val="00311665"/>
    <w:rsid w:val="00311838"/>
    <w:rsid w:val="0031183E"/>
    <w:rsid w:val="003118A9"/>
    <w:rsid w:val="00311A02"/>
    <w:rsid w:val="00311AA0"/>
    <w:rsid w:val="00311C6D"/>
    <w:rsid w:val="00311D16"/>
    <w:rsid w:val="00311F61"/>
    <w:rsid w:val="00312052"/>
    <w:rsid w:val="00312065"/>
    <w:rsid w:val="003121DA"/>
    <w:rsid w:val="00312368"/>
    <w:rsid w:val="00312391"/>
    <w:rsid w:val="0031244E"/>
    <w:rsid w:val="0031247B"/>
    <w:rsid w:val="0031254C"/>
    <w:rsid w:val="0031258F"/>
    <w:rsid w:val="003127BB"/>
    <w:rsid w:val="0031283A"/>
    <w:rsid w:val="0031295C"/>
    <w:rsid w:val="003129F7"/>
    <w:rsid w:val="00312D28"/>
    <w:rsid w:val="00312D47"/>
    <w:rsid w:val="00312DC6"/>
    <w:rsid w:val="00313102"/>
    <w:rsid w:val="0031317A"/>
    <w:rsid w:val="003131B0"/>
    <w:rsid w:val="003131DC"/>
    <w:rsid w:val="00313275"/>
    <w:rsid w:val="0031337F"/>
    <w:rsid w:val="00313457"/>
    <w:rsid w:val="00313651"/>
    <w:rsid w:val="00313767"/>
    <w:rsid w:val="0031379F"/>
    <w:rsid w:val="003137D5"/>
    <w:rsid w:val="00313A77"/>
    <w:rsid w:val="00313B19"/>
    <w:rsid w:val="00313CA2"/>
    <w:rsid w:val="00313CAC"/>
    <w:rsid w:val="00313D4E"/>
    <w:rsid w:val="00313EC6"/>
    <w:rsid w:val="003140DD"/>
    <w:rsid w:val="00314111"/>
    <w:rsid w:val="00314514"/>
    <w:rsid w:val="003147E0"/>
    <w:rsid w:val="00314935"/>
    <w:rsid w:val="00314962"/>
    <w:rsid w:val="003149BE"/>
    <w:rsid w:val="003149CC"/>
    <w:rsid w:val="00314ACB"/>
    <w:rsid w:val="00314B32"/>
    <w:rsid w:val="00314B47"/>
    <w:rsid w:val="00314B50"/>
    <w:rsid w:val="00314D16"/>
    <w:rsid w:val="00314F80"/>
    <w:rsid w:val="00314FCE"/>
    <w:rsid w:val="0031505E"/>
    <w:rsid w:val="0031508F"/>
    <w:rsid w:val="003150B8"/>
    <w:rsid w:val="003150DB"/>
    <w:rsid w:val="003151DE"/>
    <w:rsid w:val="00315397"/>
    <w:rsid w:val="0031564C"/>
    <w:rsid w:val="003156EF"/>
    <w:rsid w:val="0031589C"/>
    <w:rsid w:val="00315AA1"/>
    <w:rsid w:val="00315B5D"/>
    <w:rsid w:val="00315B78"/>
    <w:rsid w:val="00315B8F"/>
    <w:rsid w:val="00315BF0"/>
    <w:rsid w:val="00315CAC"/>
    <w:rsid w:val="00315FEF"/>
    <w:rsid w:val="00316138"/>
    <w:rsid w:val="003161D6"/>
    <w:rsid w:val="003162BD"/>
    <w:rsid w:val="0031633A"/>
    <w:rsid w:val="0031647E"/>
    <w:rsid w:val="00316508"/>
    <w:rsid w:val="0031670E"/>
    <w:rsid w:val="003167AD"/>
    <w:rsid w:val="003167F5"/>
    <w:rsid w:val="00316B09"/>
    <w:rsid w:val="00316CDF"/>
    <w:rsid w:val="00316FF9"/>
    <w:rsid w:val="00317006"/>
    <w:rsid w:val="00317114"/>
    <w:rsid w:val="0031718C"/>
    <w:rsid w:val="003172F2"/>
    <w:rsid w:val="0031743B"/>
    <w:rsid w:val="003174C3"/>
    <w:rsid w:val="003175B6"/>
    <w:rsid w:val="0031770B"/>
    <w:rsid w:val="003179BA"/>
    <w:rsid w:val="003179F9"/>
    <w:rsid w:val="00317B00"/>
    <w:rsid w:val="00317B2A"/>
    <w:rsid w:val="00317CA6"/>
    <w:rsid w:val="00317D6C"/>
    <w:rsid w:val="003201EE"/>
    <w:rsid w:val="0032039E"/>
    <w:rsid w:val="0032046E"/>
    <w:rsid w:val="003205C2"/>
    <w:rsid w:val="003205C8"/>
    <w:rsid w:val="00320BA6"/>
    <w:rsid w:val="00320C25"/>
    <w:rsid w:val="00320D62"/>
    <w:rsid w:val="00320DD4"/>
    <w:rsid w:val="00320DE5"/>
    <w:rsid w:val="00320E4F"/>
    <w:rsid w:val="00320E7B"/>
    <w:rsid w:val="00320FDF"/>
    <w:rsid w:val="00321115"/>
    <w:rsid w:val="003211FC"/>
    <w:rsid w:val="00321383"/>
    <w:rsid w:val="00321393"/>
    <w:rsid w:val="00321419"/>
    <w:rsid w:val="00321472"/>
    <w:rsid w:val="003216A1"/>
    <w:rsid w:val="003216D6"/>
    <w:rsid w:val="003217BC"/>
    <w:rsid w:val="00321AD6"/>
    <w:rsid w:val="00321B04"/>
    <w:rsid w:val="00321D1E"/>
    <w:rsid w:val="00321D47"/>
    <w:rsid w:val="00321E77"/>
    <w:rsid w:val="00321F6B"/>
    <w:rsid w:val="0032200A"/>
    <w:rsid w:val="00322066"/>
    <w:rsid w:val="003222E4"/>
    <w:rsid w:val="00322563"/>
    <w:rsid w:val="00322882"/>
    <w:rsid w:val="0032288E"/>
    <w:rsid w:val="00322981"/>
    <w:rsid w:val="00322B47"/>
    <w:rsid w:val="00322BA2"/>
    <w:rsid w:val="00322C7E"/>
    <w:rsid w:val="00322D3F"/>
    <w:rsid w:val="00322DA6"/>
    <w:rsid w:val="00322F0E"/>
    <w:rsid w:val="00322F7E"/>
    <w:rsid w:val="00323057"/>
    <w:rsid w:val="00323065"/>
    <w:rsid w:val="003230B8"/>
    <w:rsid w:val="00323165"/>
    <w:rsid w:val="003231F0"/>
    <w:rsid w:val="00323207"/>
    <w:rsid w:val="00323286"/>
    <w:rsid w:val="00323288"/>
    <w:rsid w:val="0032338F"/>
    <w:rsid w:val="00323447"/>
    <w:rsid w:val="003234A9"/>
    <w:rsid w:val="00323568"/>
    <w:rsid w:val="00323823"/>
    <w:rsid w:val="00323876"/>
    <w:rsid w:val="00323954"/>
    <w:rsid w:val="0032395B"/>
    <w:rsid w:val="00323BB7"/>
    <w:rsid w:val="00323BBA"/>
    <w:rsid w:val="00323D73"/>
    <w:rsid w:val="00323D86"/>
    <w:rsid w:val="00323E4B"/>
    <w:rsid w:val="00323F29"/>
    <w:rsid w:val="00323F65"/>
    <w:rsid w:val="00323FA4"/>
    <w:rsid w:val="00324016"/>
    <w:rsid w:val="003241F9"/>
    <w:rsid w:val="003242F4"/>
    <w:rsid w:val="00324386"/>
    <w:rsid w:val="00324439"/>
    <w:rsid w:val="003244E1"/>
    <w:rsid w:val="003249DD"/>
    <w:rsid w:val="00324A05"/>
    <w:rsid w:val="00324B64"/>
    <w:rsid w:val="00324C0C"/>
    <w:rsid w:val="00324EC1"/>
    <w:rsid w:val="00324F7C"/>
    <w:rsid w:val="003251E1"/>
    <w:rsid w:val="003251EF"/>
    <w:rsid w:val="003253AD"/>
    <w:rsid w:val="00325415"/>
    <w:rsid w:val="003255F2"/>
    <w:rsid w:val="0032580F"/>
    <w:rsid w:val="00325CF3"/>
    <w:rsid w:val="00325D1B"/>
    <w:rsid w:val="00325D2A"/>
    <w:rsid w:val="00325DEC"/>
    <w:rsid w:val="00325E4A"/>
    <w:rsid w:val="00325F27"/>
    <w:rsid w:val="00325F2C"/>
    <w:rsid w:val="00325FBA"/>
    <w:rsid w:val="00325FC1"/>
    <w:rsid w:val="00325FD3"/>
    <w:rsid w:val="0032607A"/>
    <w:rsid w:val="00326149"/>
    <w:rsid w:val="003261DE"/>
    <w:rsid w:val="003262CF"/>
    <w:rsid w:val="00326360"/>
    <w:rsid w:val="0032646A"/>
    <w:rsid w:val="00326506"/>
    <w:rsid w:val="0032650D"/>
    <w:rsid w:val="00326641"/>
    <w:rsid w:val="00326966"/>
    <w:rsid w:val="00326974"/>
    <w:rsid w:val="003269A2"/>
    <w:rsid w:val="00326AB7"/>
    <w:rsid w:val="00326D60"/>
    <w:rsid w:val="00326DC6"/>
    <w:rsid w:val="00326FA4"/>
    <w:rsid w:val="0032708F"/>
    <w:rsid w:val="003271D4"/>
    <w:rsid w:val="00327490"/>
    <w:rsid w:val="003274A4"/>
    <w:rsid w:val="00327518"/>
    <w:rsid w:val="0032769D"/>
    <w:rsid w:val="003276D9"/>
    <w:rsid w:val="003277BF"/>
    <w:rsid w:val="0032790B"/>
    <w:rsid w:val="00327959"/>
    <w:rsid w:val="00327A44"/>
    <w:rsid w:val="00327C23"/>
    <w:rsid w:val="00327ED6"/>
    <w:rsid w:val="00327F1D"/>
    <w:rsid w:val="0033000C"/>
    <w:rsid w:val="003300EA"/>
    <w:rsid w:val="0033011C"/>
    <w:rsid w:val="003301E1"/>
    <w:rsid w:val="003303C1"/>
    <w:rsid w:val="003305A7"/>
    <w:rsid w:val="003305E1"/>
    <w:rsid w:val="00330715"/>
    <w:rsid w:val="003307F0"/>
    <w:rsid w:val="0033086B"/>
    <w:rsid w:val="00330901"/>
    <w:rsid w:val="00330978"/>
    <w:rsid w:val="00330984"/>
    <w:rsid w:val="003309EA"/>
    <w:rsid w:val="00330A21"/>
    <w:rsid w:val="00330EB8"/>
    <w:rsid w:val="00330F0C"/>
    <w:rsid w:val="00330FE1"/>
    <w:rsid w:val="003310F9"/>
    <w:rsid w:val="00331321"/>
    <w:rsid w:val="003314CB"/>
    <w:rsid w:val="0033155E"/>
    <w:rsid w:val="003315D3"/>
    <w:rsid w:val="00331688"/>
    <w:rsid w:val="003319BF"/>
    <w:rsid w:val="00331BF5"/>
    <w:rsid w:val="00331CEC"/>
    <w:rsid w:val="00331DE4"/>
    <w:rsid w:val="00331E67"/>
    <w:rsid w:val="00331FA3"/>
    <w:rsid w:val="00331FB3"/>
    <w:rsid w:val="00332171"/>
    <w:rsid w:val="00332232"/>
    <w:rsid w:val="0033248A"/>
    <w:rsid w:val="00332681"/>
    <w:rsid w:val="003327B3"/>
    <w:rsid w:val="0033285C"/>
    <w:rsid w:val="00332938"/>
    <w:rsid w:val="003329A9"/>
    <w:rsid w:val="00332A54"/>
    <w:rsid w:val="00332B15"/>
    <w:rsid w:val="00332BD9"/>
    <w:rsid w:val="00332C14"/>
    <w:rsid w:val="00332F32"/>
    <w:rsid w:val="00332F52"/>
    <w:rsid w:val="00333145"/>
    <w:rsid w:val="0033317F"/>
    <w:rsid w:val="00333233"/>
    <w:rsid w:val="00333264"/>
    <w:rsid w:val="003332D3"/>
    <w:rsid w:val="003333F1"/>
    <w:rsid w:val="003334E5"/>
    <w:rsid w:val="0033360B"/>
    <w:rsid w:val="003337A6"/>
    <w:rsid w:val="003337BA"/>
    <w:rsid w:val="00333896"/>
    <w:rsid w:val="00333A5F"/>
    <w:rsid w:val="00333A73"/>
    <w:rsid w:val="00333B0E"/>
    <w:rsid w:val="00333BCB"/>
    <w:rsid w:val="00333C2C"/>
    <w:rsid w:val="00334036"/>
    <w:rsid w:val="003340C2"/>
    <w:rsid w:val="003340F6"/>
    <w:rsid w:val="003341F3"/>
    <w:rsid w:val="00334305"/>
    <w:rsid w:val="00334393"/>
    <w:rsid w:val="0033454F"/>
    <w:rsid w:val="003346CF"/>
    <w:rsid w:val="003347A7"/>
    <w:rsid w:val="003347FD"/>
    <w:rsid w:val="0033492A"/>
    <w:rsid w:val="003349DF"/>
    <w:rsid w:val="00334B4B"/>
    <w:rsid w:val="00334CCC"/>
    <w:rsid w:val="00334D85"/>
    <w:rsid w:val="00335107"/>
    <w:rsid w:val="00335183"/>
    <w:rsid w:val="003351A7"/>
    <w:rsid w:val="003352E1"/>
    <w:rsid w:val="00335319"/>
    <w:rsid w:val="003354EA"/>
    <w:rsid w:val="0033578B"/>
    <w:rsid w:val="003357A8"/>
    <w:rsid w:val="00335907"/>
    <w:rsid w:val="0033591F"/>
    <w:rsid w:val="00335D53"/>
    <w:rsid w:val="00335D6E"/>
    <w:rsid w:val="00335E64"/>
    <w:rsid w:val="00335F39"/>
    <w:rsid w:val="00335F8A"/>
    <w:rsid w:val="00335FB1"/>
    <w:rsid w:val="0033607D"/>
    <w:rsid w:val="003360C3"/>
    <w:rsid w:val="0033614F"/>
    <w:rsid w:val="003364F7"/>
    <w:rsid w:val="003365D7"/>
    <w:rsid w:val="003366D0"/>
    <w:rsid w:val="00336716"/>
    <w:rsid w:val="00336863"/>
    <w:rsid w:val="0033695C"/>
    <w:rsid w:val="00336A70"/>
    <w:rsid w:val="00336C85"/>
    <w:rsid w:val="00336D27"/>
    <w:rsid w:val="00336DC3"/>
    <w:rsid w:val="00336DFE"/>
    <w:rsid w:val="00336ED3"/>
    <w:rsid w:val="0033703F"/>
    <w:rsid w:val="003371AE"/>
    <w:rsid w:val="003372C4"/>
    <w:rsid w:val="0033745F"/>
    <w:rsid w:val="00337469"/>
    <w:rsid w:val="00337667"/>
    <w:rsid w:val="0033772F"/>
    <w:rsid w:val="00337799"/>
    <w:rsid w:val="00337910"/>
    <w:rsid w:val="00337924"/>
    <w:rsid w:val="00337CB1"/>
    <w:rsid w:val="00337E33"/>
    <w:rsid w:val="00337FC3"/>
    <w:rsid w:val="0034006C"/>
    <w:rsid w:val="00340180"/>
    <w:rsid w:val="0034018C"/>
    <w:rsid w:val="00340200"/>
    <w:rsid w:val="0034036F"/>
    <w:rsid w:val="00340597"/>
    <w:rsid w:val="00340614"/>
    <w:rsid w:val="00340679"/>
    <w:rsid w:val="0034078E"/>
    <w:rsid w:val="003408E4"/>
    <w:rsid w:val="00340A2C"/>
    <w:rsid w:val="00340AA6"/>
    <w:rsid w:val="00340ACB"/>
    <w:rsid w:val="0034107F"/>
    <w:rsid w:val="003412FC"/>
    <w:rsid w:val="00341365"/>
    <w:rsid w:val="00341795"/>
    <w:rsid w:val="003417D7"/>
    <w:rsid w:val="00341996"/>
    <w:rsid w:val="00341B3C"/>
    <w:rsid w:val="00341B74"/>
    <w:rsid w:val="00341C11"/>
    <w:rsid w:val="00341E88"/>
    <w:rsid w:val="00341EB7"/>
    <w:rsid w:val="00341ED7"/>
    <w:rsid w:val="00341FB5"/>
    <w:rsid w:val="0034224C"/>
    <w:rsid w:val="0034231E"/>
    <w:rsid w:val="00342341"/>
    <w:rsid w:val="00342530"/>
    <w:rsid w:val="00342623"/>
    <w:rsid w:val="0034268B"/>
    <w:rsid w:val="00342936"/>
    <w:rsid w:val="00342D45"/>
    <w:rsid w:val="00342DDC"/>
    <w:rsid w:val="003431E9"/>
    <w:rsid w:val="00343794"/>
    <w:rsid w:val="003438D5"/>
    <w:rsid w:val="0034392C"/>
    <w:rsid w:val="00343992"/>
    <w:rsid w:val="00343C5B"/>
    <w:rsid w:val="00343D4E"/>
    <w:rsid w:val="00343D5C"/>
    <w:rsid w:val="00344067"/>
    <w:rsid w:val="003440C2"/>
    <w:rsid w:val="00344121"/>
    <w:rsid w:val="003443A0"/>
    <w:rsid w:val="003443C1"/>
    <w:rsid w:val="0034447D"/>
    <w:rsid w:val="0034456A"/>
    <w:rsid w:val="0034468A"/>
    <w:rsid w:val="0034475D"/>
    <w:rsid w:val="0034484C"/>
    <w:rsid w:val="00344891"/>
    <w:rsid w:val="003448F1"/>
    <w:rsid w:val="00344962"/>
    <w:rsid w:val="00344A74"/>
    <w:rsid w:val="00344ABA"/>
    <w:rsid w:val="00344AF1"/>
    <w:rsid w:val="00344B0D"/>
    <w:rsid w:val="00344DBE"/>
    <w:rsid w:val="00344F02"/>
    <w:rsid w:val="00344FF8"/>
    <w:rsid w:val="003452A4"/>
    <w:rsid w:val="003452DC"/>
    <w:rsid w:val="003455F7"/>
    <w:rsid w:val="00345636"/>
    <w:rsid w:val="003457AD"/>
    <w:rsid w:val="003458B6"/>
    <w:rsid w:val="003458EB"/>
    <w:rsid w:val="00345A9C"/>
    <w:rsid w:val="00345B64"/>
    <w:rsid w:val="00345DCA"/>
    <w:rsid w:val="00345FB8"/>
    <w:rsid w:val="0034607C"/>
    <w:rsid w:val="00346884"/>
    <w:rsid w:val="0034691D"/>
    <w:rsid w:val="003469A3"/>
    <w:rsid w:val="00346A25"/>
    <w:rsid w:val="00346A8C"/>
    <w:rsid w:val="00346B4E"/>
    <w:rsid w:val="00346BB5"/>
    <w:rsid w:val="00346C72"/>
    <w:rsid w:val="00346D5B"/>
    <w:rsid w:val="00346E66"/>
    <w:rsid w:val="00346F6F"/>
    <w:rsid w:val="0034702B"/>
    <w:rsid w:val="003471ED"/>
    <w:rsid w:val="003472CA"/>
    <w:rsid w:val="00347410"/>
    <w:rsid w:val="00347459"/>
    <w:rsid w:val="0034746F"/>
    <w:rsid w:val="00347565"/>
    <w:rsid w:val="00347644"/>
    <w:rsid w:val="003477A1"/>
    <w:rsid w:val="00347A74"/>
    <w:rsid w:val="00347C45"/>
    <w:rsid w:val="00347CFE"/>
    <w:rsid w:val="00347F23"/>
    <w:rsid w:val="00350118"/>
    <w:rsid w:val="003504AC"/>
    <w:rsid w:val="003504CD"/>
    <w:rsid w:val="003505B9"/>
    <w:rsid w:val="003505D8"/>
    <w:rsid w:val="00350673"/>
    <w:rsid w:val="003506A2"/>
    <w:rsid w:val="003506E2"/>
    <w:rsid w:val="0035079F"/>
    <w:rsid w:val="00350802"/>
    <w:rsid w:val="00350895"/>
    <w:rsid w:val="003508B0"/>
    <w:rsid w:val="00350935"/>
    <w:rsid w:val="00350B29"/>
    <w:rsid w:val="00350BFD"/>
    <w:rsid w:val="00350C3E"/>
    <w:rsid w:val="0035100F"/>
    <w:rsid w:val="00351041"/>
    <w:rsid w:val="00351073"/>
    <w:rsid w:val="003511BA"/>
    <w:rsid w:val="003512C8"/>
    <w:rsid w:val="00351359"/>
    <w:rsid w:val="003515DC"/>
    <w:rsid w:val="0035162F"/>
    <w:rsid w:val="0035165C"/>
    <w:rsid w:val="00351A85"/>
    <w:rsid w:val="00351B30"/>
    <w:rsid w:val="00351C1B"/>
    <w:rsid w:val="00351C4C"/>
    <w:rsid w:val="00351CEE"/>
    <w:rsid w:val="00351DEE"/>
    <w:rsid w:val="00352020"/>
    <w:rsid w:val="003521EA"/>
    <w:rsid w:val="00352249"/>
    <w:rsid w:val="003522D0"/>
    <w:rsid w:val="00352300"/>
    <w:rsid w:val="00352332"/>
    <w:rsid w:val="00352392"/>
    <w:rsid w:val="0035239F"/>
    <w:rsid w:val="003523FD"/>
    <w:rsid w:val="0035268E"/>
    <w:rsid w:val="003526A6"/>
    <w:rsid w:val="00352788"/>
    <w:rsid w:val="003529D9"/>
    <w:rsid w:val="003529DD"/>
    <w:rsid w:val="00352ADA"/>
    <w:rsid w:val="00352C4E"/>
    <w:rsid w:val="00352E61"/>
    <w:rsid w:val="00352E72"/>
    <w:rsid w:val="003531B0"/>
    <w:rsid w:val="003531C5"/>
    <w:rsid w:val="003532B2"/>
    <w:rsid w:val="00353477"/>
    <w:rsid w:val="003534E7"/>
    <w:rsid w:val="0035364C"/>
    <w:rsid w:val="003539B8"/>
    <w:rsid w:val="003539F2"/>
    <w:rsid w:val="00353AEB"/>
    <w:rsid w:val="00353DA3"/>
    <w:rsid w:val="00353FE7"/>
    <w:rsid w:val="0035400F"/>
    <w:rsid w:val="003541D1"/>
    <w:rsid w:val="003541DE"/>
    <w:rsid w:val="003542F2"/>
    <w:rsid w:val="00354411"/>
    <w:rsid w:val="00354426"/>
    <w:rsid w:val="00354501"/>
    <w:rsid w:val="003546D7"/>
    <w:rsid w:val="003546E0"/>
    <w:rsid w:val="00354735"/>
    <w:rsid w:val="0035475F"/>
    <w:rsid w:val="00354828"/>
    <w:rsid w:val="003548E3"/>
    <w:rsid w:val="0035495F"/>
    <w:rsid w:val="00354B72"/>
    <w:rsid w:val="00354C33"/>
    <w:rsid w:val="00354CBA"/>
    <w:rsid w:val="00354DAF"/>
    <w:rsid w:val="00354E8D"/>
    <w:rsid w:val="00354F83"/>
    <w:rsid w:val="00355061"/>
    <w:rsid w:val="00355075"/>
    <w:rsid w:val="003550C3"/>
    <w:rsid w:val="00355103"/>
    <w:rsid w:val="003551EB"/>
    <w:rsid w:val="003552F6"/>
    <w:rsid w:val="0035548B"/>
    <w:rsid w:val="003554B0"/>
    <w:rsid w:val="003555DD"/>
    <w:rsid w:val="0035590F"/>
    <w:rsid w:val="00355995"/>
    <w:rsid w:val="003559F9"/>
    <w:rsid w:val="00355AAF"/>
    <w:rsid w:val="00355AB1"/>
    <w:rsid w:val="00355B9E"/>
    <w:rsid w:val="00355BF4"/>
    <w:rsid w:val="00355C8D"/>
    <w:rsid w:val="00355E78"/>
    <w:rsid w:val="00356570"/>
    <w:rsid w:val="00356575"/>
    <w:rsid w:val="00356658"/>
    <w:rsid w:val="00356676"/>
    <w:rsid w:val="00356877"/>
    <w:rsid w:val="00356A26"/>
    <w:rsid w:val="00356BA1"/>
    <w:rsid w:val="00356BD8"/>
    <w:rsid w:val="00356C32"/>
    <w:rsid w:val="00356D2F"/>
    <w:rsid w:val="00356E63"/>
    <w:rsid w:val="00357044"/>
    <w:rsid w:val="00357086"/>
    <w:rsid w:val="00357095"/>
    <w:rsid w:val="003570FE"/>
    <w:rsid w:val="0035724C"/>
    <w:rsid w:val="003574B2"/>
    <w:rsid w:val="003574D6"/>
    <w:rsid w:val="00357540"/>
    <w:rsid w:val="003575AE"/>
    <w:rsid w:val="0035767A"/>
    <w:rsid w:val="0035778A"/>
    <w:rsid w:val="003578E5"/>
    <w:rsid w:val="00357AE0"/>
    <w:rsid w:val="00357B35"/>
    <w:rsid w:val="00357B60"/>
    <w:rsid w:val="00357B71"/>
    <w:rsid w:val="00357BC8"/>
    <w:rsid w:val="00357CAC"/>
    <w:rsid w:val="00357D81"/>
    <w:rsid w:val="00357DA7"/>
    <w:rsid w:val="00357DC1"/>
    <w:rsid w:val="00357F6C"/>
    <w:rsid w:val="00360141"/>
    <w:rsid w:val="003601B1"/>
    <w:rsid w:val="003601ED"/>
    <w:rsid w:val="00360260"/>
    <w:rsid w:val="003603A5"/>
    <w:rsid w:val="003603AF"/>
    <w:rsid w:val="00360451"/>
    <w:rsid w:val="003605D9"/>
    <w:rsid w:val="00360609"/>
    <w:rsid w:val="00360616"/>
    <w:rsid w:val="0036068C"/>
    <w:rsid w:val="00360695"/>
    <w:rsid w:val="00360807"/>
    <w:rsid w:val="00360857"/>
    <w:rsid w:val="00360AD5"/>
    <w:rsid w:val="00360E7B"/>
    <w:rsid w:val="00360E92"/>
    <w:rsid w:val="00360EDB"/>
    <w:rsid w:val="00360F21"/>
    <w:rsid w:val="003611F6"/>
    <w:rsid w:val="003612B1"/>
    <w:rsid w:val="00361365"/>
    <w:rsid w:val="003614A9"/>
    <w:rsid w:val="003614C1"/>
    <w:rsid w:val="00361559"/>
    <w:rsid w:val="00361767"/>
    <w:rsid w:val="003617C9"/>
    <w:rsid w:val="003617EA"/>
    <w:rsid w:val="003619C4"/>
    <w:rsid w:val="00361A61"/>
    <w:rsid w:val="00361D27"/>
    <w:rsid w:val="00361D2F"/>
    <w:rsid w:val="00361D41"/>
    <w:rsid w:val="00362017"/>
    <w:rsid w:val="003620FF"/>
    <w:rsid w:val="00362122"/>
    <w:rsid w:val="00362180"/>
    <w:rsid w:val="00362191"/>
    <w:rsid w:val="003621DB"/>
    <w:rsid w:val="0036228E"/>
    <w:rsid w:val="003622D9"/>
    <w:rsid w:val="00362317"/>
    <w:rsid w:val="003625AE"/>
    <w:rsid w:val="0036260D"/>
    <w:rsid w:val="003627CE"/>
    <w:rsid w:val="003628EC"/>
    <w:rsid w:val="00362A33"/>
    <w:rsid w:val="00362D13"/>
    <w:rsid w:val="00363000"/>
    <w:rsid w:val="0036306A"/>
    <w:rsid w:val="0036309A"/>
    <w:rsid w:val="003632ED"/>
    <w:rsid w:val="0036336A"/>
    <w:rsid w:val="0036352F"/>
    <w:rsid w:val="00363585"/>
    <w:rsid w:val="003635CC"/>
    <w:rsid w:val="00363673"/>
    <w:rsid w:val="0036375B"/>
    <w:rsid w:val="00363E8D"/>
    <w:rsid w:val="00363EAB"/>
    <w:rsid w:val="003640E8"/>
    <w:rsid w:val="003643E3"/>
    <w:rsid w:val="0036450A"/>
    <w:rsid w:val="00364513"/>
    <w:rsid w:val="003645C4"/>
    <w:rsid w:val="0036495F"/>
    <w:rsid w:val="00364A20"/>
    <w:rsid w:val="00364AA9"/>
    <w:rsid w:val="00364B08"/>
    <w:rsid w:val="00364B2E"/>
    <w:rsid w:val="00364D94"/>
    <w:rsid w:val="00364E2E"/>
    <w:rsid w:val="00365131"/>
    <w:rsid w:val="00365179"/>
    <w:rsid w:val="0036537A"/>
    <w:rsid w:val="0036575A"/>
    <w:rsid w:val="003657ED"/>
    <w:rsid w:val="0036597B"/>
    <w:rsid w:val="00365998"/>
    <w:rsid w:val="00365A4F"/>
    <w:rsid w:val="00365B09"/>
    <w:rsid w:val="00365BCD"/>
    <w:rsid w:val="00365D32"/>
    <w:rsid w:val="00365E18"/>
    <w:rsid w:val="00365EEA"/>
    <w:rsid w:val="00365F1F"/>
    <w:rsid w:val="00365FAD"/>
    <w:rsid w:val="00365FE2"/>
    <w:rsid w:val="00365FE7"/>
    <w:rsid w:val="00366273"/>
    <w:rsid w:val="003662B2"/>
    <w:rsid w:val="0036642F"/>
    <w:rsid w:val="0036645B"/>
    <w:rsid w:val="003668AE"/>
    <w:rsid w:val="00366962"/>
    <w:rsid w:val="00366B60"/>
    <w:rsid w:val="00366CBB"/>
    <w:rsid w:val="00366EAF"/>
    <w:rsid w:val="00366EE6"/>
    <w:rsid w:val="00366F5E"/>
    <w:rsid w:val="003670C9"/>
    <w:rsid w:val="00367646"/>
    <w:rsid w:val="00367663"/>
    <w:rsid w:val="0036787E"/>
    <w:rsid w:val="003679C2"/>
    <w:rsid w:val="00367A52"/>
    <w:rsid w:val="00367ADD"/>
    <w:rsid w:val="00367DBE"/>
    <w:rsid w:val="00367ED2"/>
    <w:rsid w:val="00367FA6"/>
    <w:rsid w:val="00367FD0"/>
    <w:rsid w:val="00370150"/>
    <w:rsid w:val="0037028F"/>
    <w:rsid w:val="00370292"/>
    <w:rsid w:val="0037060D"/>
    <w:rsid w:val="00370640"/>
    <w:rsid w:val="0037077D"/>
    <w:rsid w:val="003709F5"/>
    <w:rsid w:val="00370B91"/>
    <w:rsid w:val="00370D6A"/>
    <w:rsid w:val="00371003"/>
    <w:rsid w:val="00371046"/>
    <w:rsid w:val="0037117D"/>
    <w:rsid w:val="003712C6"/>
    <w:rsid w:val="003714C2"/>
    <w:rsid w:val="0037166B"/>
    <w:rsid w:val="00371698"/>
    <w:rsid w:val="003716DE"/>
    <w:rsid w:val="0037198C"/>
    <w:rsid w:val="00371DDB"/>
    <w:rsid w:val="003720C9"/>
    <w:rsid w:val="003723F4"/>
    <w:rsid w:val="003725F8"/>
    <w:rsid w:val="00372650"/>
    <w:rsid w:val="0037288B"/>
    <w:rsid w:val="00372925"/>
    <w:rsid w:val="00372B34"/>
    <w:rsid w:val="00372BC4"/>
    <w:rsid w:val="00372D09"/>
    <w:rsid w:val="00372E5A"/>
    <w:rsid w:val="00373037"/>
    <w:rsid w:val="0037340C"/>
    <w:rsid w:val="00373557"/>
    <w:rsid w:val="003736E5"/>
    <w:rsid w:val="003736EA"/>
    <w:rsid w:val="003737EC"/>
    <w:rsid w:val="0037391C"/>
    <w:rsid w:val="00373975"/>
    <w:rsid w:val="00373AA2"/>
    <w:rsid w:val="00373B83"/>
    <w:rsid w:val="00373BDA"/>
    <w:rsid w:val="00373C38"/>
    <w:rsid w:val="00373FD8"/>
    <w:rsid w:val="00374026"/>
    <w:rsid w:val="0037412C"/>
    <w:rsid w:val="00374191"/>
    <w:rsid w:val="0037432E"/>
    <w:rsid w:val="003743E9"/>
    <w:rsid w:val="00374462"/>
    <w:rsid w:val="003745C8"/>
    <w:rsid w:val="003745EB"/>
    <w:rsid w:val="0037479A"/>
    <w:rsid w:val="003747B5"/>
    <w:rsid w:val="003748AB"/>
    <w:rsid w:val="003748FD"/>
    <w:rsid w:val="00374917"/>
    <w:rsid w:val="00374B29"/>
    <w:rsid w:val="00374BB0"/>
    <w:rsid w:val="00374D33"/>
    <w:rsid w:val="00374D3A"/>
    <w:rsid w:val="00374E0B"/>
    <w:rsid w:val="00374E95"/>
    <w:rsid w:val="00375077"/>
    <w:rsid w:val="00375081"/>
    <w:rsid w:val="00375148"/>
    <w:rsid w:val="00375151"/>
    <w:rsid w:val="00375232"/>
    <w:rsid w:val="003755BC"/>
    <w:rsid w:val="00375644"/>
    <w:rsid w:val="0037569F"/>
    <w:rsid w:val="00375743"/>
    <w:rsid w:val="00375744"/>
    <w:rsid w:val="00375B28"/>
    <w:rsid w:val="00375BF3"/>
    <w:rsid w:val="00375C1D"/>
    <w:rsid w:val="00375C7B"/>
    <w:rsid w:val="00375CA6"/>
    <w:rsid w:val="00375D2E"/>
    <w:rsid w:val="00375D58"/>
    <w:rsid w:val="003761EF"/>
    <w:rsid w:val="0037626D"/>
    <w:rsid w:val="00376357"/>
    <w:rsid w:val="003763E3"/>
    <w:rsid w:val="00376450"/>
    <w:rsid w:val="003765C4"/>
    <w:rsid w:val="0037677A"/>
    <w:rsid w:val="00376867"/>
    <w:rsid w:val="00376886"/>
    <w:rsid w:val="00376888"/>
    <w:rsid w:val="003768AD"/>
    <w:rsid w:val="00376937"/>
    <w:rsid w:val="00376960"/>
    <w:rsid w:val="0037696D"/>
    <w:rsid w:val="0037698B"/>
    <w:rsid w:val="00376990"/>
    <w:rsid w:val="00376998"/>
    <w:rsid w:val="00376A85"/>
    <w:rsid w:val="00376AB3"/>
    <w:rsid w:val="00376AF3"/>
    <w:rsid w:val="00376C62"/>
    <w:rsid w:val="00376DAD"/>
    <w:rsid w:val="00376E53"/>
    <w:rsid w:val="00376F24"/>
    <w:rsid w:val="00377079"/>
    <w:rsid w:val="003770D0"/>
    <w:rsid w:val="00377467"/>
    <w:rsid w:val="00377687"/>
    <w:rsid w:val="0037777D"/>
    <w:rsid w:val="0037780B"/>
    <w:rsid w:val="00377882"/>
    <w:rsid w:val="003778E4"/>
    <w:rsid w:val="00377D9A"/>
    <w:rsid w:val="00377E56"/>
    <w:rsid w:val="00377EF9"/>
    <w:rsid w:val="00377F83"/>
    <w:rsid w:val="003803F1"/>
    <w:rsid w:val="00380554"/>
    <w:rsid w:val="003807F5"/>
    <w:rsid w:val="0038088E"/>
    <w:rsid w:val="0038098C"/>
    <w:rsid w:val="00380C4A"/>
    <w:rsid w:val="00380E54"/>
    <w:rsid w:val="00380EC9"/>
    <w:rsid w:val="0038129E"/>
    <w:rsid w:val="00381329"/>
    <w:rsid w:val="003813D9"/>
    <w:rsid w:val="0038160D"/>
    <w:rsid w:val="00381840"/>
    <w:rsid w:val="0038194D"/>
    <w:rsid w:val="00381A0E"/>
    <w:rsid w:val="00381A8A"/>
    <w:rsid w:val="00381B2E"/>
    <w:rsid w:val="00381C41"/>
    <w:rsid w:val="00381D31"/>
    <w:rsid w:val="00381D92"/>
    <w:rsid w:val="00381DEF"/>
    <w:rsid w:val="00381DF9"/>
    <w:rsid w:val="00381F9D"/>
    <w:rsid w:val="003820DF"/>
    <w:rsid w:val="003820F5"/>
    <w:rsid w:val="00382169"/>
    <w:rsid w:val="0038217E"/>
    <w:rsid w:val="00382238"/>
    <w:rsid w:val="0038225E"/>
    <w:rsid w:val="0038247F"/>
    <w:rsid w:val="00382570"/>
    <w:rsid w:val="00382634"/>
    <w:rsid w:val="003826A4"/>
    <w:rsid w:val="003826D5"/>
    <w:rsid w:val="00382711"/>
    <w:rsid w:val="00382AB8"/>
    <w:rsid w:val="00382C21"/>
    <w:rsid w:val="00382ED7"/>
    <w:rsid w:val="00383140"/>
    <w:rsid w:val="003831D5"/>
    <w:rsid w:val="0038333A"/>
    <w:rsid w:val="00383354"/>
    <w:rsid w:val="003833CC"/>
    <w:rsid w:val="0038341D"/>
    <w:rsid w:val="003834C5"/>
    <w:rsid w:val="003835D2"/>
    <w:rsid w:val="003835DD"/>
    <w:rsid w:val="00383789"/>
    <w:rsid w:val="00383822"/>
    <w:rsid w:val="00383875"/>
    <w:rsid w:val="0038388E"/>
    <w:rsid w:val="003838D8"/>
    <w:rsid w:val="00383959"/>
    <w:rsid w:val="0038396D"/>
    <w:rsid w:val="00383B4B"/>
    <w:rsid w:val="00383C82"/>
    <w:rsid w:val="00383F51"/>
    <w:rsid w:val="003841E6"/>
    <w:rsid w:val="0038430C"/>
    <w:rsid w:val="00384355"/>
    <w:rsid w:val="003843DC"/>
    <w:rsid w:val="003843F2"/>
    <w:rsid w:val="0038447A"/>
    <w:rsid w:val="003844F6"/>
    <w:rsid w:val="0038484B"/>
    <w:rsid w:val="003849D1"/>
    <w:rsid w:val="00384C4D"/>
    <w:rsid w:val="00384DD5"/>
    <w:rsid w:val="00384E67"/>
    <w:rsid w:val="003850E9"/>
    <w:rsid w:val="00385123"/>
    <w:rsid w:val="00385140"/>
    <w:rsid w:val="00385193"/>
    <w:rsid w:val="003851AC"/>
    <w:rsid w:val="00385295"/>
    <w:rsid w:val="0038534E"/>
    <w:rsid w:val="00385371"/>
    <w:rsid w:val="003856AB"/>
    <w:rsid w:val="00385716"/>
    <w:rsid w:val="0038581B"/>
    <w:rsid w:val="003858DE"/>
    <w:rsid w:val="00385A6B"/>
    <w:rsid w:val="00385AFA"/>
    <w:rsid w:val="00385D7B"/>
    <w:rsid w:val="00385DE7"/>
    <w:rsid w:val="00385E0C"/>
    <w:rsid w:val="00385E27"/>
    <w:rsid w:val="00385E6B"/>
    <w:rsid w:val="00385FAE"/>
    <w:rsid w:val="0038602B"/>
    <w:rsid w:val="00386127"/>
    <w:rsid w:val="00386149"/>
    <w:rsid w:val="003862E8"/>
    <w:rsid w:val="003863D6"/>
    <w:rsid w:val="003866A5"/>
    <w:rsid w:val="003867B6"/>
    <w:rsid w:val="00386B11"/>
    <w:rsid w:val="00386BE2"/>
    <w:rsid w:val="00386D5F"/>
    <w:rsid w:val="00386F9F"/>
    <w:rsid w:val="00386FB7"/>
    <w:rsid w:val="003870CA"/>
    <w:rsid w:val="003871B2"/>
    <w:rsid w:val="00387344"/>
    <w:rsid w:val="0038747A"/>
    <w:rsid w:val="003875B5"/>
    <w:rsid w:val="00387727"/>
    <w:rsid w:val="003878D0"/>
    <w:rsid w:val="003879F5"/>
    <w:rsid w:val="00387A1E"/>
    <w:rsid w:val="00387AB2"/>
    <w:rsid w:val="00387C14"/>
    <w:rsid w:val="00387C9B"/>
    <w:rsid w:val="00387D42"/>
    <w:rsid w:val="00387D6B"/>
    <w:rsid w:val="00390090"/>
    <w:rsid w:val="00390190"/>
    <w:rsid w:val="003907F8"/>
    <w:rsid w:val="003908B9"/>
    <w:rsid w:val="00390994"/>
    <w:rsid w:val="00390A4E"/>
    <w:rsid w:val="00390AB3"/>
    <w:rsid w:val="00390B77"/>
    <w:rsid w:val="00390CC4"/>
    <w:rsid w:val="00390D4B"/>
    <w:rsid w:val="00390DE0"/>
    <w:rsid w:val="00391027"/>
    <w:rsid w:val="0039146F"/>
    <w:rsid w:val="00391521"/>
    <w:rsid w:val="00391577"/>
    <w:rsid w:val="00391869"/>
    <w:rsid w:val="003918E8"/>
    <w:rsid w:val="00391928"/>
    <w:rsid w:val="00391EF5"/>
    <w:rsid w:val="00391F7E"/>
    <w:rsid w:val="0039204D"/>
    <w:rsid w:val="00392067"/>
    <w:rsid w:val="003921E8"/>
    <w:rsid w:val="0039221D"/>
    <w:rsid w:val="003923EC"/>
    <w:rsid w:val="00392442"/>
    <w:rsid w:val="00392580"/>
    <w:rsid w:val="0039265F"/>
    <w:rsid w:val="003927B0"/>
    <w:rsid w:val="00392886"/>
    <w:rsid w:val="00392B26"/>
    <w:rsid w:val="00392D79"/>
    <w:rsid w:val="00392E4A"/>
    <w:rsid w:val="00392F29"/>
    <w:rsid w:val="00393138"/>
    <w:rsid w:val="003931F8"/>
    <w:rsid w:val="003933DF"/>
    <w:rsid w:val="0039356F"/>
    <w:rsid w:val="00393614"/>
    <w:rsid w:val="003936F3"/>
    <w:rsid w:val="00393808"/>
    <w:rsid w:val="0039380B"/>
    <w:rsid w:val="00393AF6"/>
    <w:rsid w:val="00393B6B"/>
    <w:rsid w:val="00393CBB"/>
    <w:rsid w:val="00393F30"/>
    <w:rsid w:val="00393F51"/>
    <w:rsid w:val="003940D0"/>
    <w:rsid w:val="00394251"/>
    <w:rsid w:val="0039442B"/>
    <w:rsid w:val="003944CA"/>
    <w:rsid w:val="0039455B"/>
    <w:rsid w:val="003947ED"/>
    <w:rsid w:val="00394800"/>
    <w:rsid w:val="00394836"/>
    <w:rsid w:val="0039488C"/>
    <w:rsid w:val="00394C1B"/>
    <w:rsid w:val="00394CE4"/>
    <w:rsid w:val="00394D58"/>
    <w:rsid w:val="00394DCC"/>
    <w:rsid w:val="003950B5"/>
    <w:rsid w:val="003952A8"/>
    <w:rsid w:val="0039531D"/>
    <w:rsid w:val="00395344"/>
    <w:rsid w:val="00395398"/>
    <w:rsid w:val="003954FD"/>
    <w:rsid w:val="0039553D"/>
    <w:rsid w:val="00395730"/>
    <w:rsid w:val="00395802"/>
    <w:rsid w:val="00395945"/>
    <w:rsid w:val="00395AEB"/>
    <w:rsid w:val="00395C12"/>
    <w:rsid w:val="00395CD1"/>
    <w:rsid w:val="00395D6C"/>
    <w:rsid w:val="00395DA9"/>
    <w:rsid w:val="00395E08"/>
    <w:rsid w:val="00395E34"/>
    <w:rsid w:val="00395F09"/>
    <w:rsid w:val="00396023"/>
    <w:rsid w:val="003960AB"/>
    <w:rsid w:val="00396103"/>
    <w:rsid w:val="00396127"/>
    <w:rsid w:val="00396161"/>
    <w:rsid w:val="00396230"/>
    <w:rsid w:val="00396377"/>
    <w:rsid w:val="0039648E"/>
    <w:rsid w:val="00396611"/>
    <w:rsid w:val="00396618"/>
    <w:rsid w:val="003966B1"/>
    <w:rsid w:val="00396D12"/>
    <w:rsid w:val="00396E66"/>
    <w:rsid w:val="00397528"/>
    <w:rsid w:val="003975EB"/>
    <w:rsid w:val="00397623"/>
    <w:rsid w:val="00397A53"/>
    <w:rsid w:val="00397AA9"/>
    <w:rsid w:val="00397AFD"/>
    <w:rsid w:val="00397C00"/>
    <w:rsid w:val="00397C9B"/>
    <w:rsid w:val="00397D55"/>
    <w:rsid w:val="00397D96"/>
    <w:rsid w:val="00397DAA"/>
    <w:rsid w:val="00397EF6"/>
    <w:rsid w:val="00397F5E"/>
    <w:rsid w:val="00397FE4"/>
    <w:rsid w:val="003A006F"/>
    <w:rsid w:val="003A00C2"/>
    <w:rsid w:val="003A00FB"/>
    <w:rsid w:val="003A0193"/>
    <w:rsid w:val="003A0557"/>
    <w:rsid w:val="003A05E0"/>
    <w:rsid w:val="003A0653"/>
    <w:rsid w:val="003A0688"/>
    <w:rsid w:val="003A0756"/>
    <w:rsid w:val="003A0F9C"/>
    <w:rsid w:val="003A0FA7"/>
    <w:rsid w:val="003A10DF"/>
    <w:rsid w:val="003A1136"/>
    <w:rsid w:val="003A11D5"/>
    <w:rsid w:val="003A1224"/>
    <w:rsid w:val="003A1263"/>
    <w:rsid w:val="003A12E5"/>
    <w:rsid w:val="003A1464"/>
    <w:rsid w:val="003A147E"/>
    <w:rsid w:val="003A1843"/>
    <w:rsid w:val="003A1955"/>
    <w:rsid w:val="003A1978"/>
    <w:rsid w:val="003A19DA"/>
    <w:rsid w:val="003A19EB"/>
    <w:rsid w:val="003A1A21"/>
    <w:rsid w:val="003A1B29"/>
    <w:rsid w:val="003A1D79"/>
    <w:rsid w:val="003A1D89"/>
    <w:rsid w:val="003A1DE9"/>
    <w:rsid w:val="003A1F99"/>
    <w:rsid w:val="003A2175"/>
    <w:rsid w:val="003A23F5"/>
    <w:rsid w:val="003A249E"/>
    <w:rsid w:val="003A249F"/>
    <w:rsid w:val="003A2558"/>
    <w:rsid w:val="003A264A"/>
    <w:rsid w:val="003A266F"/>
    <w:rsid w:val="003A276C"/>
    <w:rsid w:val="003A277D"/>
    <w:rsid w:val="003A2845"/>
    <w:rsid w:val="003A2875"/>
    <w:rsid w:val="003A28A3"/>
    <w:rsid w:val="003A2972"/>
    <w:rsid w:val="003A2B0B"/>
    <w:rsid w:val="003A2C9F"/>
    <w:rsid w:val="003A2EB1"/>
    <w:rsid w:val="003A2F49"/>
    <w:rsid w:val="003A2F4C"/>
    <w:rsid w:val="003A2F93"/>
    <w:rsid w:val="003A2FFC"/>
    <w:rsid w:val="003A3022"/>
    <w:rsid w:val="003A30A6"/>
    <w:rsid w:val="003A311D"/>
    <w:rsid w:val="003A3157"/>
    <w:rsid w:val="003A3370"/>
    <w:rsid w:val="003A34D6"/>
    <w:rsid w:val="003A350E"/>
    <w:rsid w:val="003A3532"/>
    <w:rsid w:val="003A37C7"/>
    <w:rsid w:val="003A3AB1"/>
    <w:rsid w:val="003A3B2A"/>
    <w:rsid w:val="003A3C3B"/>
    <w:rsid w:val="003A3E6A"/>
    <w:rsid w:val="003A3FB7"/>
    <w:rsid w:val="003A3FCC"/>
    <w:rsid w:val="003A4032"/>
    <w:rsid w:val="003A40F0"/>
    <w:rsid w:val="003A432B"/>
    <w:rsid w:val="003A43F6"/>
    <w:rsid w:val="003A4427"/>
    <w:rsid w:val="003A4608"/>
    <w:rsid w:val="003A4877"/>
    <w:rsid w:val="003A4984"/>
    <w:rsid w:val="003A4C3F"/>
    <w:rsid w:val="003A4F38"/>
    <w:rsid w:val="003A4FED"/>
    <w:rsid w:val="003A504F"/>
    <w:rsid w:val="003A51D4"/>
    <w:rsid w:val="003A5259"/>
    <w:rsid w:val="003A53D5"/>
    <w:rsid w:val="003A53EF"/>
    <w:rsid w:val="003A5418"/>
    <w:rsid w:val="003A543C"/>
    <w:rsid w:val="003A5523"/>
    <w:rsid w:val="003A56CB"/>
    <w:rsid w:val="003A5791"/>
    <w:rsid w:val="003A5813"/>
    <w:rsid w:val="003A583D"/>
    <w:rsid w:val="003A58E0"/>
    <w:rsid w:val="003A59E6"/>
    <w:rsid w:val="003A5A6C"/>
    <w:rsid w:val="003A5D25"/>
    <w:rsid w:val="003A5F5A"/>
    <w:rsid w:val="003A5F5D"/>
    <w:rsid w:val="003A5FCD"/>
    <w:rsid w:val="003A60EF"/>
    <w:rsid w:val="003A6137"/>
    <w:rsid w:val="003A64C8"/>
    <w:rsid w:val="003A6566"/>
    <w:rsid w:val="003A66EB"/>
    <w:rsid w:val="003A6987"/>
    <w:rsid w:val="003A6A02"/>
    <w:rsid w:val="003A6C0D"/>
    <w:rsid w:val="003A6C77"/>
    <w:rsid w:val="003A6DB3"/>
    <w:rsid w:val="003A6E63"/>
    <w:rsid w:val="003A6FB9"/>
    <w:rsid w:val="003A7138"/>
    <w:rsid w:val="003A72D9"/>
    <w:rsid w:val="003A75B2"/>
    <w:rsid w:val="003A7646"/>
    <w:rsid w:val="003A7977"/>
    <w:rsid w:val="003A79EA"/>
    <w:rsid w:val="003A7DFF"/>
    <w:rsid w:val="003A7FB7"/>
    <w:rsid w:val="003B00FC"/>
    <w:rsid w:val="003B019C"/>
    <w:rsid w:val="003B047A"/>
    <w:rsid w:val="003B04F9"/>
    <w:rsid w:val="003B052A"/>
    <w:rsid w:val="003B05CE"/>
    <w:rsid w:val="003B06CC"/>
    <w:rsid w:val="003B0709"/>
    <w:rsid w:val="003B07CE"/>
    <w:rsid w:val="003B0836"/>
    <w:rsid w:val="003B09C1"/>
    <w:rsid w:val="003B0D9A"/>
    <w:rsid w:val="003B1005"/>
    <w:rsid w:val="003B12B4"/>
    <w:rsid w:val="003B1521"/>
    <w:rsid w:val="003B155B"/>
    <w:rsid w:val="003B16CA"/>
    <w:rsid w:val="003B1725"/>
    <w:rsid w:val="003B1962"/>
    <w:rsid w:val="003B1D4E"/>
    <w:rsid w:val="003B1E42"/>
    <w:rsid w:val="003B1F0A"/>
    <w:rsid w:val="003B1FD1"/>
    <w:rsid w:val="003B2171"/>
    <w:rsid w:val="003B2191"/>
    <w:rsid w:val="003B21E1"/>
    <w:rsid w:val="003B2361"/>
    <w:rsid w:val="003B2456"/>
    <w:rsid w:val="003B258D"/>
    <w:rsid w:val="003B2756"/>
    <w:rsid w:val="003B27B4"/>
    <w:rsid w:val="003B2894"/>
    <w:rsid w:val="003B28AE"/>
    <w:rsid w:val="003B29FC"/>
    <w:rsid w:val="003B2BB8"/>
    <w:rsid w:val="003B2C34"/>
    <w:rsid w:val="003B2C59"/>
    <w:rsid w:val="003B2D0E"/>
    <w:rsid w:val="003B2D83"/>
    <w:rsid w:val="003B2E04"/>
    <w:rsid w:val="003B2E1D"/>
    <w:rsid w:val="003B2EA8"/>
    <w:rsid w:val="003B3032"/>
    <w:rsid w:val="003B3183"/>
    <w:rsid w:val="003B33F9"/>
    <w:rsid w:val="003B3514"/>
    <w:rsid w:val="003B36FF"/>
    <w:rsid w:val="003B39AC"/>
    <w:rsid w:val="003B3E4C"/>
    <w:rsid w:val="003B3F1F"/>
    <w:rsid w:val="003B42EF"/>
    <w:rsid w:val="003B4474"/>
    <w:rsid w:val="003B447A"/>
    <w:rsid w:val="003B4492"/>
    <w:rsid w:val="003B4535"/>
    <w:rsid w:val="003B45E0"/>
    <w:rsid w:val="003B4672"/>
    <w:rsid w:val="003B468D"/>
    <w:rsid w:val="003B46AA"/>
    <w:rsid w:val="003B491E"/>
    <w:rsid w:val="003B4A7B"/>
    <w:rsid w:val="003B4BAE"/>
    <w:rsid w:val="003B4BB2"/>
    <w:rsid w:val="003B5055"/>
    <w:rsid w:val="003B5112"/>
    <w:rsid w:val="003B5256"/>
    <w:rsid w:val="003B5258"/>
    <w:rsid w:val="003B53D8"/>
    <w:rsid w:val="003B5596"/>
    <w:rsid w:val="003B5698"/>
    <w:rsid w:val="003B56D1"/>
    <w:rsid w:val="003B594A"/>
    <w:rsid w:val="003B59AF"/>
    <w:rsid w:val="003B5A4C"/>
    <w:rsid w:val="003B5ACF"/>
    <w:rsid w:val="003B5B0A"/>
    <w:rsid w:val="003B5BDF"/>
    <w:rsid w:val="003B5D20"/>
    <w:rsid w:val="003B5D85"/>
    <w:rsid w:val="003B5E1D"/>
    <w:rsid w:val="003B5F9C"/>
    <w:rsid w:val="003B5FFC"/>
    <w:rsid w:val="003B642D"/>
    <w:rsid w:val="003B644C"/>
    <w:rsid w:val="003B651D"/>
    <w:rsid w:val="003B6635"/>
    <w:rsid w:val="003B6686"/>
    <w:rsid w:val="003B6694"/>
    <w:rsid w:val="003B69C2"/>
    <w:rsid w:val="003B6A0A"/>
    <w:rsid w:val="003B6BAB"/>
    <w:rsid w:val="003B6BC9"/>
    <w:rsid w:val="003B6BCE"/>
    <w:rsid w:val="003B6C10"/>
    <w:rsid w:val="003B6C7C"/>
    <w:rsid w:val="003B6CE9"/>
    <w:rsid w:val="003B6D3D"/>
    <w:rsid w:val="003B6DB6"/>
    <w:rsid w:val="003B6EDC"/>
    <w:rsid w:val="003B6F95"/>
    <w:rsid w:val="003B70FE"/>
    <w:rsid w:val="003B7373"/>
    <w:rsid w:val="003B7604"/>
    <w:rsid w:val="003B76EA"/>
    <w:rsid w:val="003B7751"/>
    <w:rsid w:val="003B784B"/>
    <w:rsid w:val="003B794B"/>
    <w:rsid w:val="003B7A4F"/>
    <w:rsid w:val="003B7AA8"/>
    <w:rsid w:val="003B7D4B"/>
    <w:rsid w:val="003B7D95"/>
    <w:rsid w:val="003B7F22"/>
    <w:rsid w:val="003C0046"/>
    <w:rsid w:val="003C00B2"/>
    <w:rsid w:val="003C037B"/>
    <w:rsid w:val="003C0461"/>
    <w:rsid w:val="003C067E"/>
    <w:rsid w:val="003C0696"/>
    <w:rsid w:val="003C0B88"/>
    <w:rsid w:val="003C0C54"/>
    <w:rsid w:val="003C0E6A"/>
    <w:rsid w:val="003C0FBF"/>
    <w:rsid w:val="003C119A"/>
    <w:rsid w:val="003C12D4"/>
    <w:rsid w:val="003C132E"/>
    <w:rsid w:val="003C142D"/>
    <w:rsid w:val="003C1672"/>
    <w:rsid w:val="003C185E"/>
    <w:rsid w:val="003C1951"/>
    <w:rsid w:val="003C195C"/>
    <w:rsid w:val="003C19A9"/>
    <w:rsid w:val="003C1CB5"/>
    <w:rsid w:val="003C1CC2"/>
    <w:rsid w:val="003C1CD0"/>
    <w:rsid w:val="003C1CF8"/>
    <w:rsid w:val="003C1D7F"/>
    <w:rsid w:val="003C1E7D"/>
    <w:rsid w:val="003C1F6D"/>
    <w:rsid w:val="003C2045"/>
    <w:rsid w:val="003C21F7"/>
    <w:rsid w:val="003C2252"/>
    <w:rsid w:val="003C236B"/>
    <w:rsid w:val="003C2397"/>
    <w:rsid w:val="003C23EB"/>
    <w:rsid w:val="003C2425"/>
    <w:rsid w:val="003C248A"/>
    <w:rsid w:val="003C24DA"/>
    <w:rsid w:val="003C251B"/>
    <w:rsid w:val="003C264A"/>
    <w:rsid w:val="003C2AC5"/>
    <w:rsid w:val="003C2C81"/>
    <w:rsid w:val="003C2F0E"/>
    <w:rsid w:val="003C2FB3"/>
    <w:rsid w:val="003C3087"/>
    <w:rsid w:val="003C309D"/>
    <w:rsid w:val="003C3217"/>
    <w:rsid w:val="003C324D"/>
    <w:rsid w:val="003C32AD"/>
    <w:rsid w:val="003C3339"/>
    <w:rsid w:val="003C3416"/>
    <w:rsid w:val="003C3422"/>
    <w:rsid w:val="003C36E3"/>
    <w:rsid w:val="003C3735"/>
    <w:rsid w:val="003C377C"/>
    <w:rsid w:val="003C37CC"/>
    <w:rsid w:val="003C37EE"/>
    <w:rsid w:val="003C386E"/>
    <w:rsid w:val="003C3875"/>
    <w:rsid w:val="003C3889"/>
    <w:rsid w:val="003C38C0"/>
    <w:rsid w:val="003C38C6"/>
    <w:rsid w:val="003C3B69"/>
    <w:rsid w:val="003C3C27"/>
    <w:rsid w:val="003C3C7C"/>
    <w:rsid w:val="003C3CA2"/>
    <w:rsid w:val="003C3D65"/>
    <w:rsid w:val="003C3E29"/>
    <w:rsid w:val="003C3E90"/>
    <w:rsid w:val="003C3E9E"/>
    <w:rsid w:val="003C4089"/>
    <w:rsid w:val="003C40EB"/>
    <w:rsid w:val="003C41B1"/>
    <w:rsid w:val="003C43A6"/>
    <w:rsid w:val="003C4423"/>
    <w:rsid w:val="003C4479"/>
    <w:rsid w:val="003C448C"/>
    <w:rsid w:val="003C4912"/>
    <w:rsid w:val="003C492F"/>
    <w:rsid w:val="003C4E7F"/>
    <w:rsid w:val="003C5087"/>
    <w:rsid w:val="003C50D9"/>
    <w:rsid w:val="003C5122"/>
    <w:rsid w:val="003C515F"/>
    <w:rsid w:val="003C52CA"/>
    <w:rsid w:val="003C53D0"/>
    <w:rsid w:val="003C5504"/>
    <w:rsid w:val="003C5C84"/>
    <w:rsid w:val="003C5D96"/>
    <w:rsid w:val="003C5DF8"/>
    <w:rsid w:val="003C5E35"/>
    <w:rsid w:val="003C5F02"/>
    <w:rsid w:val="003C5F3F"/>
    <w:rsid w:val="003C607C"/>
    <w:rsid w:val="003C62D4"/>
    <w:rsid w:val="003C64C1"/>
    <w:rsid w:val="003C64CE"/>
    <w:rsid w:val="003C65B8"/>
    <w:rsid w:val="003C6725"/>
    <w:rsid w:val="003C6922"/>
    <w:rsid w:val="003C6B33"/>
    <w:rsid w:val="003C6F06"/>
    <w:rsid w:val="003C6F31"/>
    <w:rsid w:val="003C7016"/>
    <w:rsid w:val="003C70BD"/>
    <w:rsid w:val="003C70C2"/>
    <w:rsid w:val="003C713E"/>
    <w:rsid w:val="003C7141"/>
    <w:rsid w:val="003C720D"/>
    <w:rsid w:val="003C7275"/>
    <w:rsid w:val="003C72F2"/>
    <w:rsid w:val="003C7315"/>
    <w:rsid w:val="003C732D"/>
    <w:rsid w:val="003C7371"/>
    <w:rsid w:val="003C76CF"/>
    <w:rsid w:val="003C7B6F"/>
    <w:rsid w:val="003C7BC0"/>
    <w:rsid w:val="003C7CEC"/>
    <w:rsid w:val="003C7DCC"/>
    <w:rsid w:val="003C7F3F"/>
    <w:rsid w:val="003C7FBF"/>
    <w:rsid w:val="003D0052"/>
    <w:rsid w:val="003D03B9"/>
    <w:rsid w:val="003D0544"/>
    <w:rsid w:val="003D0B1D"/>
    <w:rsid w:val="003D0B6A"/>
    <w:rsid w:val="003D0CBE"/>
    <w:rsid w:val="003D0DD0"/>
    <w:rsid w:val="003D0FE9"/>
    <w:rsid w:val="003D111C"/>
    <w:rsid w:val="003D147E"/>
    <w:rsid w:val="003D1690"/>
    <w:rsid w:val="003D1729"/>
    <w:rsid w:val="003D17DD"/>
    <w:rsid w:val="003D1816"/>
    <w:rsid w:val="003D1DD6"/>
    <w:rsid w:val="003D1EE0"/>
    <w:rsid w:val="003D2139"/>
    <w:rsid w:val="003D2197"/>
    <w:rsid w:val="003D2252"/>
    <w:rsid w:val="003D22D0"/>
    <w:rsid w:val="003D2336"/>
    <w:rsid w:val="003D2524"/>
    <w:rsid w:val="003D2725"/>
    <w:rsid w:val="003D2C73"/>
    <w:rsid w:val="003D2D39"/>
    <w:rsid w:val="003D2E12"/>
    <w:rsid w:val="003D2E58"/>
    <w:rsid w:val="003D3366"/>
    <w:rsid w:val="003D33B2"/>
    <w:rsid w:val="003D34FA"/>
    <w:rsid w:val="003D34FF"/>
    <w:rsid w:val="003D359E"/>
    <w:rsid w:val="003D3726"/>
    <w:rsid w:val="003D389C"/>
    <w:rsid w:val="003D3B99"/>
    <w:rsid w:val="003D3C4D"/>
    <w:rsid w:val="003D3DCF"/>
    <w:rsid w:val="003D3F68"/>
    <w:rsid w:val="003D401B"/>
    <w:rsid w:val="003D40A0"/>
    <w:rsid w:val="003D4370"/>
    <w:rsid w:val="003D4500"/>
    <w:rsid w:val="003D463A"/>
    <w:rsid w:val="003D4779"/>
    <w:rsid w:val="003D488D"/>
    <w:rsid w:val="003D48E3"/>
    <w:rsid w:val="003D4954"/>
    <w:rsid w:val="003D49FD"/>
    <w:rsid w:val="003D4AD0"/>
    <w:rsid w:val="003D4AD8"/>
    <w:rsid w:val="003D4B43"/>
    <w:rsid w:val="003D4CA4"/>
    <w:rsid w:val="003D4DC1"/>
    <w:rsid w:val="003D4E15"/>
    <w:rsid w:val="003D4F12"/>
    <w:rsid w:val="003D5330"/>
    <w:rsid w:val="003D53F9"/>
    <w:rsid w:val="003D53FE"/>
    <w:rsid w:val="003D56A7"/>
    <w:rsid w:val="003D5739"/>
    <w:rsid w:val="003D57A0"/>
    <w:rsid w:val="003D5816"/>
    <w:rsid w:val="003D585B"/>
    <w:rsid w:val="003D5888"/>
    <w:rsid w:val="003D5934"/>
    <w:rsid w:val="003D5969"/>
    <w:rsid w:val="003D5A6C"/>
    <w:rsid w:val="003D5A7A"/>
    <w:rsid w:val="003D5A8D"/>
    <w:rsid w:val="003D5B31"/>
    <w:rsid w:val="003D5CBD"/>
    <w:rsid w:val="003D5D44"/>
    <w:rsid w:val="003D5F47"/>
    <w:rsid w:val="003D5FC6"/>
    <w:rsid w:val="003D6254"/>
    <w:rsid w:val="003D62D5"/>
    <w:rsid w:val="003D643E"/>
    <w:rsid w:val="003D64BE"/>
    <w:rsid w:val="003D650E"/>
    <w:rsid w:val="003D65C1"/>
    <w:rsid w:val="003D662C"/>
    <w:rsid w:val="003D670F"/>
    <w:rsid w:val="003D69A6"/>
    <w:rsid w:val="003D69E0"/>
    <w:rsid w:val="003D69F5"/>
    <w:rsid w:val="003D6A7E"/>
    <w:rsid w:val="003D6D12"/>
    <w:rsid w:val="003D6D14"/>
    <w:rsid w:val="003D6E22"/>
    <w:rsid w:val="003D6E73"/>
    <w:rsid w:val="003D6E8F"/>
    <w:rsid w:val="003D7050"/>
    <w:rsid w:val="003D7167"/>
    <w:rsid w:val="003D7477"/>
    <w:rsid w:val="003D75C3"/>
    <w:rsid w:val="003D774B"/>
    <w:rsid w:val="003D782B"/>
    <w:rsid w:val="003D79E0"/>
    <w:rsid w:val="003D7B34"/>
    <w:rsid w:val="003D7B36"/>
    <w:rsid w:val="003D7B37"/>
    <w:rsid w:val="003D7B80"/>
    <w:rsid w:val="003D7C6B"/>
    <w:rsid w:val="003D7C73"/>
    <w:rsid w:val="003D7ED5"/>
    <w:rsid w:val="003E00A7"/>
    <w:rsid w:val="003E00AB"/>
    <w:rsid w:val="003E00DF"/>
    <w:rsid w:val="003E0220"/>
    <w:rsid w:val="003E025C"/>
    <w:rsid w:val="003E0265"/>
    <w:rsid w:val="003E03A9"/>
    <w:rsid w:val="003E03DF"/>
    <w:rsid w:val="003E0591"/>
    <w:rsid w:val="003E0735"/>
    <w:rsid w:val="003E0757"/>
    <w:rsid w:val="003E0761"/>
    <w:rsid w:val="003E07C3"/>
    <w:rsid w:val="003E0852"/>
    <w:rsid w:val="003E08A6"/>
    <w:rsid w:val="003E08C3"/>
    <w:rsid w:val="003E0909"/>
    <w:rsid w:val="003E0910"/>
    <w:rsid w:val="003E0A38"/>
    <w:rsid w:val="003E0C61"/>
    <w:rsid w:val="003E0D2E"/>
    <w:rsid w:val="003E0DC3"/>
    <w:rsid w:val="003E0DFE"/>
    <w:rsid w:val="003E0FF2"/>
    <w:rsid w:val="003E108D"/>
    <w:rsid w:val="003E1268"/>
    <w:rsid w:val="003E12A9"/>
    <w:rsid w:val="003E12C5"/>
    <w:rsid w:val="003E1383"/>
    <w:rsid w:val="003E149B"/>
    <w:rsid w:val="003E14E8"/>
    <w:rsid w:val="003E1672"/>
    <w:rsid w:val="003E1899"/>
    <w:rsid w:val="003E192A"/>
    <w:rsid w:val="003E19DD"/>
    <w:rsid w:val="003E1A90"/>
    <w:rsid w:val="003E1B71"/>
    <w:rsid w:val="003E219A"/>
    <w:rsid w:val="003E2349"/>
    <w:rsid w:val="003E2C5F"/>
    <w:rsid w:val="003E2C8B"/>
    <w:rsid w:val="003E2E17"/>
    <w:rsid w:val="003E2EBC"/>
    <w:rsid w:val="003E2F1B"/>
    <w:rsid w:val="003E3159"/>
    <w:rsid w:val="003E316A"/>
    <w:rsid w:val="003E3193"/>
    <w:rsid w:val="003E32D0"/>
    <w:rsid w:val="003E3373"/>
    <w:rsid w:val="003E3400"/>
    <w:rsid w:val="003E3411"/>
    <w:rsid w:val="003E341D"/>
    <w:rsid w:val="003E3557"/>
    <w:rsid w:val="003E35B3"/>
    <w:rsid w:val="003E35D6"/>
    <w:rsid w:val="003E35FE"/>
    <w:rsid w:val="003E3D06"/>
    <w:rsid w:val="003E404E"/>
    <w:rsid w:val="003E40AA"/>
    <w:rsid w:val="003E416C"/>
    <w:rsid w:val="003E41B6"/>
    <w:rsid w:val="003E41F2"/>
    <w:rsid w:val="003E427B"/>
    <w:rsid w:val="003E435A"/>
    <w:rsid w:val="003E4360"/>
    <w:rsid w:val="003E4404"/>
    <w:rsid w:val="003E455E"/>
    <w:rsid w:val="003E462C"/>
    <w:rsid w:val="003E48E8"/>
    <w:rsid w:val="003E49DA"/>
    <w:rsid w:val="003E49F6"/>
    <w:rsid w:val="003E4A7B"/>
    <w:rsid w:val="003E4A99"/>
    <w:rsid w:val="003E4AED"/>
    <w:rsid w:val="003E4CC5"/>
    <w:rsid w:val="003E4D13"/>
    <w:rsid w:val="003E4D9F"/>
    <w:rsid w:val="003E4ED2"/>
    <w:rsid w:val="003E4FB2"/>
    <w:rsid w:val="003E501F"/>
    <w:rsid w:val="003E50D1"/>
    <w:rsid w:val="003E5242"/>
    <w:rsid w:val="003E52BA"/>
    <w:rsid w:val="003E5467"/>
    <w:rsid w:val="003E547D"/>
    <w:rsid w:val="003E5567"/>
    <w:rsid w:val="003E56CC"/>
    <w:rsid w:val="003E5917"/>
    <w:rsid w:val="003E5B28"/>
    <w:rsid w:val="003E5C2E"/>
    <w:rsid w:val="003E5C5C"/>
    <w:rsid w:val="003E5CA9"/>
    <w:rsid w:val="003E5D45"/>
    <w:rsid w:val="003E5E88"/>
    <w:rsid w:val="003E5EC4"/>
    <w:rsid w:val="003E6075"/>
    <w:rsid w:val="003E60BC"/>
    <w:rsid w:val="003E63BD"/>
    <w:rsid w:val="003E6462"/>
    <w:rsid w:val="003E64C3"/>
    <w:rsid w:val="003E6616"/>
    <w:rsid w:val="003E6665"/>
    <w:rsid w:val="003E6670"/>
    <w:rsid w:val="003E678C"/>
    <w:rsid w:val="003E6834"/>
    <w:rsid w:val="003E6858"/>
    <w:rsid w:val="003E687E"/>
    <w:rsid w:val="003E6D5E"/>
    <w:rsid w:val="003E701B"/>
    <w:rsid w:val="003E70A5"/>
    <w:rsid w:val="003E70D0"/>
    <w:rsid w:val="003E7194"/>
    <w:rsid w:val="003E726F"/>
    <w:rsid w:val="003E7348"/>
    <w:rsid w:val="003E7376"/>
    <w:rsid w:val="003E73C3"/>
    <w:rsid w:val="003E76AB"/>
    <w:rsid w:val="003E7777"/>
    <w:rsid w:val="003E7805"/>
    <w:rsid w:val="003E7841"/>
    <w:rsid w:val="003E78F4"/>
    <w:rsid w:val="003E7903"/>
    <w:rsid w:val="003E7B9C"/>
    <w:rsid w:val="003E7BFE"/>
    <w:rsid w:val="003E7CFA"/>
    <w:rsid w:val="003E7D27"/>
    <w:rsid w:val="003E7D98"/>
    <w:rsid w:val="003E7DC1"/>
    <w:rsid w:val="003E7E68"/>
    <w:rsid w:val="003E7EA6"/>
    <w:rsid w:val="003E7EF5"/>
    <w:rsid w:val="003F045B"/>
    <w:rsid w:val="003F094A"/>
    <w:rsid w:val="003F0E53"/>
    <w:rsid w:val="003F0E63"/>
    <w:rsid w:val="003F10B9"/>
    <w:rsid w:val="003F116B"/>
    <w:rsid w:val="003F117C"/>
    <w:rsid w:val="003F1409"/>
    <w:rsid w:val="003F1604"/>
    <w:rsid w:val="003F16EC"/>
    <w:rsid w:val="003F1780"/>
    <w:rsid w:val="003F17B9"/>
    <w:rsid w:val="003F181E"/>
    <w:rsid w:val="003F1857"/>
    <w:rsid w:val="003F1922"/>
    <w:rsid w:val="003F1A6B"/>
    <w:rsid w:val="003F1AD3"/>
    <w:rsid w:val="003F1B3D"/>
    <w:rsid w:val="003F1B6C"/>
    <w:rsid w:val="003F1BDF"/>
    <w:rsid w:val="003F1BEF"/>
    <w:rsid w:val="003F1CA5"/>
    <w:rsid w:val="003F1EF2"/>
    <w:rsid w:val="003F239F"/>
    <w:rsid w:val="003F23D7"/>
    <w:rsid w:val="003F260F"/>
    <w:rsid w:val="003F274F"/>
    <w:rsid w:val="003F2758"/>
    <w:rsid w:val="003F27D8"/>
    <w:rsid w:val="003F2A28"/>
    <w:rsid w:val="003F2BA1"/>
    <w:rsid w:val="003F2C25"/>
    <w:rsid w:val="003F2DA2"/>
    <w:rsid w:val="003F2E40"/>
    <w:rsid w:val="003F3086"/>
    <w:rsid w:val="003F3266"/>
    <w:rsid w:val="003F3351"/>
    <w:rsid w:val="003F35F4"/>
    <w:rsid w:val="003F3759"/>
    <w:rsid w:val="003F377A"/>
    <w:rsid w:val="003F3877"/>
    <w:rsid w:val="003F38BF"/>
    <w:rsid w:val="003F3991"/>
    <w:rsid w:val="003F39A6"/>
    <w:rsid w:val="003F3B37"/>
    <w:rsid w:val="003F3D21"/>
    <w:rsid w:val="003F3D31"/>
    <w:rsid w:val="003F3F75"/>
    <w:rsid w:val="003F4007"/>
    <w:rsid w:val="003F4393"/>
    <w:rsid w:val="003F4518"/>
    <w:rsid w:val="003F4545"/>
    <w:rsid w:val="003F4573"/>
    <w:rsid w:val="003F463C"/>
    <w:rsid w:val="003F465B"/>
    <w:rsid w:val="003F4689"/>
    <w:rsid w:val="003F4727"/>
    <w:rsid w:val="003F4750"/>
    <w:rsid w:val="003F4857"/>
    <w:rsid w:val="003F4890"/>
    <w:rsid w:val="003F4D40"/>
    <w:rsid w:val="003F5006"/>
    <w:rsid w:val="003F504A"/>
    <w:rsid w:val="003F5165"/>
    <w:rsid w:val="003F5324"/>
    <w:rsid w:val="003F5411"/>
    <w:rsid w:val="003F5418"/>
    <w:rsid w:val="003F55FB"/>
    <w:rsid w:val="003F56C5"/>
    <w:rsid w:val="003F59D8"/>
    <w:rsid w:val="003F5FDB"/>
    <w:rsid w:val="003F60E8"/>
    <w:rsid w:val="003F6192"/>
    <w:rsid w:val="003F629E"/>
    <w:rsid w:val="003F62D1"/>
    <w:rsid w:val="003F6602"/>
    <w:rsid w:val="003F66B4"/>
    <w:rsid w:val="003F66D4"/>
    <w:rsid w:val="003F680E"/>
    <w:rsid w:val="003F6815"/>
    <w:rsid w:val="003F6831"/>
    <w:rsid w:val="003F68A1"/>
    <w:rsid w:val="003F693F"/>
    <w:rsid w:val="003F6A2A"/>
    <w:rsid w:val="003F6C18"/>
    <w:rsid w:val="003F6D9D"/>
    <w:rsid w:val="003F6DD5"/>
    <w:rsid w:val="003F6ED7"/>
    <w:rsid w:val="003F6F0E"/>
    <w:rsid w:val="003F6FF1"/>
    <w:rsid w:val="003F71FF"/>
    <w:rsid w:val="003F72B6"/>
    <w:rsid w:val="003F73A0"/>
    <w:rsid w:val="003F76E1"/>
    <w:rsid w:val="003F773D"/>
    <w:rsid w:val="003F7834"/>
    <w:rsid w:val="003F787C"/>
    <w:rsid w:val="003F7B69"/>
    <w:rsid w:val="003F7F4D"/>
    <w:rsid w:val="00400068"/>
    <w:rsid w:val="00400131"/>
    <w:rsid w:val="00400155"/>
    <w:rsid w:val="0040028B"/>
    <w:rsid w:val="00400331"/>
    <w:rsid w:val="004003A3"/>
    <w:rsid w:val="00400466"/>
    <w:rsid w:val="004004F4"/>
    <w:rsid w:val="0040062A"/>
    <w:rsid w:val="00400779"/>
    <w:rsid w:val="00400797"/>
    <w:rsid w:val="0040085D"/>
    <w:rsid w:val="004008E1"/>
    <w:rsid w:val="0040092B"/>
    <w:rsid w:val="00400969"/>
    <w:rsid w:val="00400C40"/>
    <w:rsid w:val="00400CD8"/>
    <w:rsid w:val="00400D02"/>
    <w:rsid w:val="00400E0E"/>
    <w:rsid w:val="00400F2D"/>
    <w:rsid w:val="00400FCB"/>
    <w:rsid w:val="00401049"/>
    <w:rsid w:val="00401174"/>
    <w:rsid w:val="00401266"/>
    <w:rsid w:val="00401335"/>
    <w:rsid w:val="004013D2"/>
    <w:rsid w:val="004014C2"/>
    <w:rsid w:val="00401510"/>
    <w:rsid w:val="004015CD"/>
    <w:rsid w:val="0040189D"/>
    <w:rsid w:val="004018E3"/>
    <w:rsid w:val="004018F7"/>
    <w:rsid w:val="00401A58"/>
    <w:rsid w:val="00401D1E"/>
    <w:rsid w:val="00401E4E"/>
    <w:rsid w:val="0040202A"/>
    <w:rsid w:val="004020B8"/>
    <w:rsid w:val="00402112"/>
    <w:rsid w:val="00402570"/>
    <w:rsid w:val="00402600"/>
    <w:rsid w:val="00402702"/>
    <w:rsid w:val="00402793"/>
    <w:rsid w:val="0040297E"/>
    <w:rsid w:val="00402AFE"/>
    <w:rsid w:val="00402BA0"/>
    <w:rsid w:val="00402C13"/>
    <w:rsid w:val="00402CEB"/>
    <w:rsid w:val="00402D66"/>
    <w:rsid w:val="00402D69"/>
    <w:rsid w:val="00402EE4"/>
    <w:rsid w:val="00402F64"/>
    <w:rsid w:val="004030C5"/>
    <w:rsid w:val="00403335"/>
    <w:rsid w:val="0040366B"/>
    <w:rsid w:val="00403873"/>
    <w:rsid w:val="004038C6"/>
    <w:rsid w:val="00403960"/>
    <w:rsid w:val="00403C69"/>
    <w:rsid w:val="00403E5E"/>
    <w:rsid w:val="0040413E"/>
    <w:rsid w:val="00404236"/>
    <w:rsid w:val="004044AF"/>
    <w:rsid w:val="004046FF"/>
    <w:rsid w:val="0040470C"/>
    <w:rsid w:val="00404762"/>
    <w:rsid w:val="00404826"/>
    <w:rsid w:val="004048F6"/>
    <w:rsid w:val="004049C9"/>
    <w:rsid w:val="004049F1"/>
    <w:rsid w:val="00404DA6"/>
    <w:rsid w:val="00404E18"/>
    <w:rsid w:val="00404E9C"/>
    <w:rsid w:val="00404F27"/>
    <w:rsid w:val="00405007"/>
    <w:rsid w:val="0040524B"/>
    <w:rsid w:val="00405394"/>
    <w:rsid w:val="004053C8"/>
    <w:rsid w:val="004053E4"/>
    <w:rsid w:val="0040557B"/>
    <w:rsid w:val="004056AA"/>
    <w:rsid w:val="004056D7"/>
    <w:rsid w:val="0040577D"/>
    <w:rsid w:val="004057F3"/>
    <w:rsid w:val="004059DB"/>
    <w:rsid w:val="00405AAA"/>
    <w:rsid w:val="00405C35"/>
    <w:rsid w:val="00405C5A"/>
    <w:rsid w:val="00405E5E"/>
    <w:rsid w:val="00406092"/>
    <w:rsid w:val="004060A7"/>
    <w:rsid w:val="00406300"/>
    <w:rsid w:val="0040643D"/>
    <w:rsid w:val="004064EA"/>
    <w:rsid w:val="004067FE"/>
    <w:rsid w:val="0040692E"/>
    <w:rsid w:val="004069E4"/>
    <w:rsid w:val="00406A79"/>
    <w:rsid w:val="00406B78"/>
    <w:rsid w:val="00406BFA"/>
    <w:rsid w:val="00406DCE"/>
    <w:rsid w:val="00406DF7"/>
    <w:rsid w:val="004071D4"/>
    <w:rsid w:val="00407371"/>
    <w:rsid w:val="00407558"/>
    <w:rsid w:val="00407A76"/>
    <w:rsid w:val="00407B37"/>
    <w:rsid w:val="00407BC2"/>
    <w:rsid w:val="00407D20"/>
    <w:rsid w:val="00407E57"/>
    <w:rsid w:val="00410180"/>
    <w:rsid w:val="004102DB"/>
    <w:rsid w:val="0041036B"/>
    <w:rsid w:val="004105DE"/>
    <w:rsid w:val="004106F4"/>
    <w:rsid w:val="0041082F"/>
    <w:rsid w:val="00410B73"/>
    <w:rsid w:val="00410EA2"/>
    <w:rsid w:val="00411053"/>
    <w:rsid w:val="00411119"/>
    <w:rsid w:val="0041120E"/>
    <w:rsid w:val="00411265"/>
    <w:rsid w:val="004113E7"/>
    <w:rsid w:val="0041169D"/>
    <w:rsid w:val="0041185D"/>
    <w:rsid w:val="00411D44"/>
    <w:rsid w:val="00411DC5"/>
    <w:rsid w:val="00411E09"/>
    <w:rsid w:val="00411F89"/>
    <w:rsid w:val="00411F98"/>
    <w:rsid w:val="00412090"/>
    <w:rsid w:val="00412187"/>
    <w:rsid w:val="004124A2"/>
    <w:rsid w:val="004125C9"/>
    <w:rsid w:val="00412643"/>
    <w:rsid w:val="0041273B"/>
    <w:rsid w:val="004128CE"/>
    <w:rsid w:val="0041293E"/>
    <w:rsid w:val="00412998"/>
    <w:rsid w:val="00412C24"/>
    <w:rsid w:val="00412E1F"/>
    <w:rsid w:val="00412F29"/>
    <w:rsid w:val="00412F34"/>
    <w:rsid w:val="00412FBA"/>
    <w:rsid w:val="0041305A"/>
    <w:rsid w:val="004132E9"/>
    <w:rsid w:val="00413305"/>
    <w:rsid w:val="0041348B"/>
    <w:rsid w:val="00413719"/>
    <w:rsid w:val="00413862"/>
    <w:rsid w:val="00413916"/>
    <w:rsid w:val="00413E17"/>
    <w:rsid w:val="00413E37"/>
    <w:rsid w:val="00413E9B"/>
    <w:rsid w:val="00414329"/>
    <w:rsid w:val="00414389"/>
    <w:rsid w:val="00414935"/>
    <w:rsid w:val="00414DD3"/>
    <w:rsid w:val="00414EB3"/>
    <w:rsid w:val="00414FB7"/>
    <w:rsid w:val="004150CC"/>
    <w:rsid w:val="00415171"/>
    <w:rsid w:val="00415174"/>
    <w:rsid w:val="0041520C"/>
    <w:rsid w:val="00415306"/>
    <w:rsid w:val="00415311"/>
    <w:rsid w:val="0041531A"/>
    <w:rsid w:val="004153E4"/>
    <w:rsid w:val="00415475"/>
    <w:rsid w:val="00415589"/>
    <w:rsid w:val="00415954"/>
    <w:rsid w:val="00415A03"/>
    <w:rsid w:val="00415A20"/>
    <w:rsid w:val="00415B15"/>
    <w:rsid w:val="00415B6D"/>
    <w:rsid w:val="00415C94"/>
    <w:rsid w:val="00415CA8"/>
    <w:rsid w:val="00415CB1"/>
    <w:rsid w:val="00415D39"/>
    <w:rsid w:val="00415DB9"/>
    <w:rsid w:val="00415E24"/>
    <w:rsid w:val="00415F3D"/>
    <w:rsid w:val="0041619D"/>
    <w:rsid w:val="0041622E"/>
    <w:rsid w:val="00416464"/>
    <w:rsid w:val="0041646A"/>
    <w:rsid w:val="00416588"/>
    <w:rsid w:val="004166BF"/>
    <w:rsid w:val="004168C6"/>
    <w:rsid w:val="00416A12"/>
    <w:rsid w:val="00416A26"/>
    <w:rsid w:val="00416B38"/>
    <w:rsid w:val="00416B9E"/>
    <w:rsid w:val="00416C70"/>
    <w:rsid w:val="00416DAA"/>
    <w:rsid w:val="00416F22"/>
    <w:rsid w:val="00416F9F"/>
    <w:rsid w:val="00417184"/>
    <w:rsid w:val="004171F4"/>
    <w:rsid w:val="00417515"/>
    <w:rsid w:val="00417808"/>
    <w:rsid w:val="00417810"/>
    <w:rsid w:val="00417A60"/>
    <w:rsid w:val="00417B2B"/>
    <w:rsid w:val="00417BA3"/>
    <w:rsid w:val="00417DD4"/>
    <w:rsid w:val="00417F15"/>
    <w:rsid w:val="00417F9D"/>
    <w:rsid w:val="00417FC2"/>
    <w:rsid w:val="004201DE"/>
    <w:rsid w:val="00420261"/>
    <w:rsid w:val="00420290"/>
    <w:rsid w:val="00420440"/>
    <w:rsid w:val="00420537"/>
    <w:rsid w:val="0042056F"/>
    <w:rsid w:val="0042068A"/>
    <w:rsid w:val="00420708"/>
    <w:rsid w:val="004209EE"/>
    <w:rsid w:val="00420ACC"/>
    <w:rsid w:val="00420B32"/>
    <w:rsid w:val="00420C59"/>
    <w:rsid w:val="00420C81"/>
    <w:rsid w:val="00420DF4"/>
    <w:rsid w:val="00420F80"/>
    <w:rsid w:val="00421086"/>
    <w:rsid w:val="004210C4"/>
    <w:rsid w:val="004211FE"/>
    <w:rsid w:val="00421226"/>
    <w:rsid w:val="00421260"/>
    <w:rsid w:val="00421377"/>
    <w:rsid w:val="00421395"/>
    <w:rsid w:val="004213C5"/>
    <w:rsid w:val="0042154A"/>
    <w:rsid w:val="0042159C"/>
    <w:rsid w:val="0042175A"/>
    <w:rsid w:val="004218A7"/>
    <w:rsid w:val="004218F5"/>
    <w:rsid w:val="004218F7"/>
    <w:rsid w:val="00421979"/>
    <w:rsid w:val="00421ADB"/>
    <w:rsid w:val="00421B51"/>
    <w:rsid w:val="00421B6E"/>
    <w:rsid w:val="00421B93"/>
    <w:rsid w:val="00421C69"/>
    <w:rsid w:val="00421C83"/>
    <w:rsid w:val="00421EA6"/>
    <w:rsid w:val="00421F9F"/>
    <w:rsid w:val="00422096"/>
    <w:rsid w:val="00422124"/>
    <w:rsid w:val="0042229B"/>
    <w:rsid w:val="004222EF"/>
    <w:rsid w:val="004224C5"/>
    <w:rsid w:val="004224D3"/>
    <w:rsid w:val="00422527"/>
    <w:rsid w:val="0042263A"/>
    <w:rsid w:val="004226DF"/>
    <w:rsid w:val="00422B16"/>
    <w:rsid w:val="00422B3A"/>
    <w:rsid w:val="00422C32"/>
    <w:rsid w:val="00422E0D"/>
    <w:rsid w:val="0042361D"/>
    <w:rsid w:val="0042371C"/>
    <w:rsid w:val="0042376D"/>
    <w:rsid w:val="004237EA"/>
    <w:rsid w:val="00423889"/>
    <w:rsid w:val="00423A80"/>
    <w:rsid w:val="00423B0F"/>
    <w:rsid w:val="00423B7D"/>
    <w:rsid w:val="00423B98"/>
    <w:rsid w:val="00423D70"/>
    <w:rsid w:val="00423DCA"/>
    <w:rsid w:val="0042406C"/>
    <w:rsid w:val="00424105"/>
    <w:rsid w:val="004241EE"/>
    <w:rsid w:val="004242B7"/>
    <w:rsid w:val="00424344"/>
    <w:rsid w:val="004243CD"/>
    <w:rsid w:val="0042452A"/>
    <w:rsid w:val="004245E9"/>
    <w:rsid w:val="004246EE"/>
    <w:rsid w:val="00424850"/>
    <w:rsid w:val="00424A88"/>
    <w:rsid w:val="00424B30"/>
    <w:rsid w:val="00424EB7"/>
    <w:rsid w:val="00424FFA"/>
    <w:rsid w:val="004254EE"/>
    <w:rsid w:val="00425586"/>
    <w:rsid w:val="004255D5"/>
    <w:rsid w:val="004256BA"/>
    <w:rsid w:val="004256C2"/>
    <w:rsid w:val="0042573E"/>
    <w:rsid w:val="00425A3E"/>
    <w:rsid w:val="00425A6D"/>
    <w:rsid w:val="00425ABD"/>
    <w:rsid w:val="00425AF1"/>
    <w:rsid w:val="00425E50"/>
    <w:rsid w:val="00425EEB"/>
    <w:rsid w:val="00425F70"/>
    <w:rsid w:val="00425FC2"/>
    <w:rsid w:val="004263A5"/>
    <w:rsid w:val="004263F6"/>
    <w:rsid w:val="00426434"/>
    <w:rsid w:val="004264F2"/>
    <w:rsid w:val="00426568"/>
    <w:rsid w:val="004269EC"/>
    <w:rsid w:val="00426CA7"/>
    <w:rsid w:val="00426E31"/>
    <w:rsid w:val="00426E9A"/>
    <w:rsid w:val="00427296"/>
    <w:rsid w:val="004272A0"/>
    <w:rsid w:val="0042733E"/>
    <w:rsid w:val="004273A6"/>
    <w:rsid w:val="0042748A"/>
    <w:rsid w:val="0042749C"/>
    <w:rsid w:val="004274E7"/>
    <w:rsid w:val="0042760A"/>
    <w:rsid w:val="004276E3"/>
    <w:rsid w:val="00427A4B"/>
    <w:rsid w:val="00427BB5"/>
    <w:rsid w:val="00427C34"/>
    <w:rsid w:val="00427E8F"/>
    <w:rsid w:val="00427EE8"/>
    <w:rsid w:val="0043003D"/>
    <w:rsid w:val="00430089"/>
    <w:rsid w:val="0043031B"/>
    <w:rsid w:val="004303BE"/>
    <w:rsid w:val="004303EA"/>
    <w:rsid w:val="00430457"/>
    <w:rsid w:val="004304BD"/>
    <w:rsid w:val="0043090C"/>
    <w:rsid w:val="00430A5E"/>
    <w:rsid w:val="00430CCE"/>
    <w:rsid w:val="00430D5E"/>
    <w:rsid w:val="00430DDB"/>
    <w:rsid w:val="00431076"/>
    <w:rsid w:val="00431190"/>
    <w:rsid w:val="004311C1"/>
    <w:rsid w:val="00431301"/>
    <w:rsid w:val="00431322"/>
    <w:rsid w:val="004313A8"/>
    <w:rsid w:val="004318E7"/>
    <w:rsid w:val="00431A70"/>
    <w:rsid w:val="00431A98"/>
    <w:rsid w:val="00431CCE"/>
    <w:rsid w:val="00431F6C"/>
    <w:rsid w:val="00431FA6"/>
    <w:rsid w:val="00431FE3"/>
    <w:rsid w:val="00431FE4"/>
    <w:rsid w:val="004320D7"/>
    <w:rsid w:val="004321B8"/>
    <w:rsid w:val="00432223"/>
    <w:rsid w:val="004323A6"/>
    <w:rsid w:val="004327A8"/>
    <w:rsid w:val="0043295F"/>
    <w:rsid w:val="00432CCF"/>
    <w:rsid w:val="00432D5A"/>
    <w:rsid w:val="00432E8F"/>
    <w:rsid w:val="00432ECE"/>
    <w:rsid w:val="00432FCB"/>
    <w:rsid w:val="0043300D"/>
    <w:rsid w:val="004331D2"/>
    <w:rsid w:val="00433263"/>
    <w:rsid w:val="00433272"/>
    <w:rsid w:val="00433372"/>
    <w:rsid w:val="00433385"/>
    <w:rsid w:val="00433551"/>
    <w:rsid w:val="004336D1"/>
    <w:rsid w:val="004337F8"/>
    <w:rsid w:val="004338BD"/>
    <w:rsid w:val="0043398D"/>
    <w:rsid w:val="00433A4B"/>
    <w:rsid w:val="00433C7F"/>
    <w:rsid w:val="00433E74"/>
    <w:rsid w:val="00433EAF"/>
    <w:rsid w:val="00433F6A"/>
    <w:rsid w:val="00434067"/>
    <w:rsid w:val="00434159"/>
    <w:rsid w:val="004342A1"/>
    <w:rsid w:val="004342ED"/>
    <w:rsid w:val="00434303"/>
    <w:rsid w:val="0043436E"/>
    <w:rsid w:val="00434456"/>
    <w:rsid w:val="004344B4"/>
    <w:rsid w:val="00434571"/>
    <w:rsid w:val="00434665"/>
    <w:rsid w:val="00434711"/>
    <w:rsid w:val="00434756"/>
    <w:rsid w:val="004348A8"/>
    <w:rsid w:val="00434A1E"/>
    <w:rsid w:val="00434DD6"/>
    <w:rsid w:val="00434EB3"/>
    <w:rsid w:val="00434FC5"/>
    <w:rsid w:val="0043505C"/>
    <w:rsid w:val="004352A1"/>
    <w:rsid w:val="004354E3"/>
    <w:rsid w:val="00435745"/>
    <w:rsid w:val="00435757"/>
    <w:rsid w:val="0043579D"/>
    <w:rsid w:val="00435814"/>
    <w:rsid w:val="004359C8"/>
    <w:rsid w:val="00435A02"/>
    <w:rsid w:val="00435B51"/>
    <w:rsid w:val="00435C52"/>
    <w:rsid w:val="00435CE1"/>
    <w:rsid w:val="00435D5B"/>
    <w:rsid w:val="00435D97"/>
    <w:rsid w:val="00435EFB"/>
    <w:rsid w:val="00436050"/>
    <w:rsid w:val="004360A3"/>
    <w:rsid w:val="004360CB"/>
    <w:rsid w:val="0043611D"/>
    <w:rsid w:val="004361D4"/>
    <w:rsid w:val="004362B2"/>
    <w:rsid w:val="004362DF"/>
    <w:rsid w:val="00436311"/>
    <w:rsid w:val="0043635B"/>
    <w:rsid w:val="00436411"/>
    <w:rsid w:val="004364B3"/>
    <w:rsid w:val="00436502"/>
    <w:rsid w:val="0043672F"/>
    <w:rsid w:val="00436926"/>
    <w:rsid w:val="0043692C"/>
    <w:rsid w:val="00436A97"/>
    <w:rsid w:val="00436AC8"/>
    <w:rsid w:val="00436B9E"/>
    <w:rsid w:val="00436C21"/>
    <w:rsid w:val="00436C5C"/>
    <w:rsid w:val="00436C5F"/>
    <w:rsid w:val="00436DC2"/>
    <w:rsid w:val="00436E38"/>
    <w:rsid w:val="00436F29"/>
    <w:rsid w:val="004371C4"/>
    <w:rsid w:val="00437384"/>
    <w:rsid w:val="00437426"/>
    <w:rsid w:val="004374E9"/>
    <w:rsid w:val="004374F5"/>
    <w:rsid w:val="004376B8"/>
    <w:rsid w:val="004378ED"/>
    <w:rsid w:val="00437A47"/>
    <w:rsid w:val="00437D11"/>
    <w:rsid w:val="00437D7E"/>
    <w:rsid w:val="00437DCC"/>
    <w:rsid w:val="00437E6E"/>
    <w:rsid w:val="00437F7A"/>
    <w:rsid w:val="0043CB63"/>
    <w:rsid w:val="00440094"/>
    <w:rsid w:val="00440101"/>
    <w:rsid w:val="00440163"/>
    <w:rsid w:val="004402E1"/>
    <w:rsid w:val="004402F2"/>
    <w:rsid w:val="004403A4"/>
    <w:rsid w:val="0044078F"/>
    <w:rsid w:val="004407C0"/>
    <w:rsid w:val="00440B4F"/>
    <w:rsid w:val="00440C42"/>
    <w:rsid w:val="00440D19"/>
    <w:rsid w:val="00440DA2"/>
    <w:rsid w:val="00440EAA"/>
    <w:rsid w:val="00440EBC"/>
    <w:rsid w:val="004411A0"/>
    <w:rsid w:val="00441447"/>
    <w:rsid w:val="00441541"/>
    <w:rsid w:val="004415FB"/>
    <w:rsid w:val="00441679"/>
    <w:rsid w:val="004417C2"/>
    <w:rsid w:val="004417E8"/>
    <w:rsid w:val="0044186D"/>
    <w:rsid w:val="0044186E"/>
    <w:rsid w:val="0044189C"/>
    <w:rsid w:val="0044192A"/>
    <w:rsid w:val="00441A32"/>
    <w:rsid w:val="00441B60"/>
    <w:rsid w:val="00441B99"/>
    <w:rsid w:val="00441C25"/>
    <w:rsid w:val="00441C3B"/>
    <w:rsid w:val="00441D17"/>
    <w:rsid w:val="00441D8E"/>
    <w:rsid w:val="00441EA1"/>
    <w:rsid w:val="00441EFE"/>
    <w:rsid w:val="00442156"/>
    <w:rsid w:val="0044219B"/>
    <w:rsid w:val="00442315"/>
    <w:rsid w:val="004424FD"/>
    <w:rsid w:val="00442717"/>
    <w:rsid w:val="00442840"/>
    <w:rsid w:val="00442841"/>
    <w:rsid w:val="004429D7"/>
    <w:rsid w:val="00442AAB"/>
    <w:rsid w:val="00442B13"/>
    <w:rsid w:val="00442C0E"/>
    <w:rsid w:val="00442C64"/>
    <w:rsid w:val="00442E54"/>
    <w:rsid w:val="00442E74"/>
    <w:rsid w:val="00442E80"/>
    <w:rsid w:val="00442EA7"/>
    <w:rsid w:val="00442F27"/>
    <w:rsid w:val="004430A2"/>
    <w:rsid w:val="0044311A"/>
    <w:rsid w:val="0044321F"/>
    <w:rsid w:val="00443250"/>
    <w:rsid w:val="00443ABA"/>
    <w:rsid w:val="00443B19"/>
    <w:rsid w:val="00443EAE"/>
    <w:rsid w:val="00443EDC"/>
    <w:rsid w:val="00443F0F"/>
    <w:rsid w:val="004440C3"/>
    <w:rsid w:val="004441CF"/>
    <w:rsid w:val="00444345"/>
    <w:rsid w:val="004443CA"/>
    <w:rsid w:val="00444434"/>
    <w:rsid w:val="0044443F"/>
    <w:rsid w:val="00444458"/>
    <w:rsid w:val="00444542"/>
    <w:rsid w:val="00444551"/>
    <w:rsid w:val="00444785"/>
    <w:rsid w:val="0044485E"/>
    <w:rsid w:val="0044486D"/>
    <w:rsid w:val="004449D8"/>
    <w:rsid w:val="00444C04"/>
    <w:rsid w:val="00444C23"/>
    <w:rsid w:val="00444D56"/>
    <w:rsid w:val="00444D69"/>
    <w:rsid w:val="00444DB3"/>
    <w:rsid w:val="00444F14"/>
    <w:rsid w:val="00445130"/>
    <w:rsid w:val="004453C2"/>
    <w:rsid w:val="004455A4"/>
    <w:rsid w:val="0044569F"/>
    <w:rsid w:val="00445939"/>
    <w:rsid w:val="004459FF"/>
    <w:rsid w:val="00445A57"/>
    <w:rsid w:val="00445AF5"/>
    <w:rsid w:val="00445B49"/>
    <w:rsid w:val="00445CA5"/>
    <w:rsid w:val="00445D89"/>
    <w:rsid w:val="00445E90"/>
    <w:rsid w:val="00445EEE"/>
    <w:rsid w:val="0044620D"/>
    <w:rsid w:val="0044644D"/>
    <w:rsid w:val="004464F3"/>
    <w:rsid w:val="0044651E"/>
    <w:rsid w:val="0044658C"/>
    <w:rsid w:val="004465BD"/>
    <w:rsid w:val="004465D9"/>
    <w:rsid w:val="00446668"/>
    <w:rsid w:val="00446999"/>
    <w:rsid w:val="00446A75"/>
    <w:rsid w:val="00446A7A"/>
    <w:rsid w:val="00446B36"/>
    <w:rsid w:val="00446B75"/>
    <w:rsid w:val="00446C01"/>
    <w:rsid w:val="00446CFA"/>
    <w:rsid w:val="00446D6C"/>
    <w:rsid w:val="00446E54"/>
    <w:rsid w:val="00446E69"/>
    <w:rsid w:val="00446EB2"/>
    <w:rsid w:val="00446ED4"/>
    <w:rsid w:val="00446F53"/>
    <w:rsid w:val="004472BC"/>
    <w:rsid w:val="0044743C"/>
    <w:rsid w:val="00447611"/>
    <w:rsid w:val="0044763F"/>
    <w:rsid w:val="0044783F"/>
    <w:rsid w:val="00447867"/>
    <w:rsid w:val="00447AC2"/>
    <w:rsid w:val="00447B61"/>
    <w:rsid w:val="00447C4F"/>
    <w:rsid w:val="00447F07"/>
    <w:rsid w:val="00447F71"/>
    <w:rsid w:val="00447FC2"/>
    <w:rsid w:val="00450194"/>
    <w:rsid w:val="004501CA"/>
    <w:rsid w:val="00450246"/>
    <w:rsid w:val="004502AC"/>
    <w:rsid w:val="0045032C"/>
    <w:rsid w:val="0045035A"/>
    <w:rsid w:val="00450370"/>
    <w:rsid w:val="00450579"/>
    <w:rsid w:val="00450595"/>
    <w:rsid w:val="004505D6"/>
    <w:rsid w:val="0045070F"/>
    <w:rsid w:val="0045089D"/>
    <w:rsid w:val="004508FE"/>
    <w:rsid w:val="0045094D"/>
    <w:rsid w:val="00450A49"/>
    <w:rsid w:val="00450B60"/>
    <w:rsid w:val="00450C77"/>
    <w:rsid w:val="00450EAD"/>
    <w:rsid w:val="00450FF1"/>
    <w:rsid w:val="00451024"/>
    <w:rsid w:val="004511C6"/>
    <w:rsid w:val="0045120B"/>
    <w:rsid w:val="0045121A"/>
    <w:rsid w:val="004512DF"/>
    <w:rsid w:val="00451301"/>
    <w:rsid w:val="00451473"/>
    <w:rsid w:val="004514A8"/>
    <w:rsid w:val="004515B5"/>
    <w:rsid w:val="004515BD"/>
    <w:rsid w:val="00451822"/>
    <w:rsid w:val="00451907"/>
    <w:rsid w:val="0045190D"/>
    <w:rsid w:val="00451A54"/>
    <w:rsid w:val="00451B72"/>
    <w:rsid w:val="00451C8D"/>
    <w:rsid w:val="00451D25"/>
    <w:rsid w:val="00451E41"/>
    <w:rsid w:val="00451FC0"/>
    <w:rsid w:val="00452146"/>
    <w:rsid w:val="0045242F"/>
    <w:rsid w:val="004526E3"/>
    <w:rsid w:val="0045288D"/>
    <w:rsid w:val="004528C8"/>
    <w:rsid w:val="00452B11"/>
    <w:rsid w:val="00452B7D"/>
    <w:rsid w:val="00452CE6"/>
    <w:rsid w:val="00452D02"/>
    <w:rsid w:val="00452DCE"/>
    <w:rsid w:val="00452E3B"/>
    <w:rsid w:val="00452E93"/>
    <w:rsid w:val="00453006"/>
    <w:rsid w:val="004532C5"/>
    <w:rsid w:val="004533F9"/>
    <w:rsid w:val="0045355E"/>
    <w:rsid w:val="004535DC"/>
    <w:rsid w:val="0045369B"/>
    <w:rsid w:val="004536A1"/>
    <w:rsid w:val="0045381C"/>
    <w:rsid w:val="00453A4C"/>
    <w:rsid w:val="00453A85"/>
    <w:rsid w:val="00453BAE"/>
    <w:rsid w:val="00453BCA"/>
    <w:rsid w:val="00453C58"/>
    <w:rsid w:val="00453C74"/>
    <w:rsid w:val="00453CEF"/>
    <w:rsid w:val="00453D4F"/>
    <w:rsid w:val="00453DA5"/>
    <w:rsid w:val="00453E12"/>
    <w:rsid w:val="00453F3E"/>
    <w:rsid w:val="0045414A"/>
    <w:rsid w:val="00454155"/>
    <w:rsid w:val="00454255"/>
    <w:rsid w:val="004545A6"/>
    <w:rsid w:val="00454634"/>
    <w:rsid w:val="00454660"/>
    <w:rsid w:val="004547C8"/>
    <w:rsid w:val="004547D4"/>
    <w:rsid w:val="004547FB"/>
    <w:rsid w:val="00454981"/>
    <w:rsid w:val="00454CA9"/>
    <w:rsid w:val="00454DEE"/>
    <w:rsid w:val="00454EB6"/>
    <w:rsid w:val="00454F1F"/>
    <w:rsid w:val="004550AC"/>
    <w:rsid w:val="00455118"/>
    <w:rsid w:val="00455133"/>
    <w:rsid w:val="0045513E"/>
    <w:rsid w:val="0045523B"/>
    <w:rsid w:val="0045525D"/>
    <w:rsid w:val="00455498"/>
    <w:rsid w:val="004554D3"/>
    <w:rsid w:val="00455688"/>
    <w:rsid w:val="00455721"/>
    <w:rsid w:val="004557C9"/>
    <w:rsid w:val="00455807"/>
    <w:rsid w:val="00455B7A"/>
    <w:rsid w:val="00455CA5"/>
    <w:rsid w:val="00455CE8"/>
    <w:rsid w:val="00455D91"/>
    <w:rsid w:val="00455ECA"/>
    <w:rsid w:val="00455FE7"/>
    <w:rsid w:val="00456276"/>
    <w:rsid w:val="004562F5"/>
    <w:rsid w:val="00456381"/>
    <w:rsid w:val="00456527"/>
    <w:rsid w:val="0045652B"/>
    <w:rsid w:val="00456608"/>
    <w:rsid w:val="0045670B"/>
    <w:rsid w:val="004567AD"/>
    <w:rsid w:val="00456839"/>
    <w:rsid w:val="0045684C"/>
    <w:rsid w:val="004568F3"/>
    <w:rsid w:val="00456900"/>
    <w:rsid w:val="00456A1B"/>
    <w:rsid w:val="00456B8D"/>
    <w:rsid w:val="00456B96"/>
    <w:rsid w:val="00456BDE"/>
    <w:rsid w:val="00456CEE"/>
    <w:rsid w:val="00456FB5"/>
    <w:rsid w:val="00457188"/>
    <w:rsid w:val="0045718F"/>
    <w:rsid w:val="0045729E"/>
    <w:rsid w:val="004572C4"/>
    <w:rsid w:val="00457305"/>
    <w:rsid w:val="004574B2"/>
    <w:rsid w:val="00457653"/>
    <w:rsid w:val="00457746"/>
    <w:rsid w:val="00457901"/>
    <w:rsid w:val="00457A47"/>
    <w:rsid w:val="00457A73"/>
    <w:rsid w:val="00457AE1"/>
    <w:rsid w:val="00457D40"/>
    <w:rsid w:val="00457D76"/>
    <w:rsid w:val="00457D84"/>
    <w:rsid w:val="00457EB5"/>
    <w:rsid w:val="004600E3"/>
    <w:rsid w:val="004602C3"/>
    <w:rsid w:val="004604D2"/>
    <w:rsid w:val="00460523"/>
    <w:rsid w:val="004605BC"/>
    <w:rsid w:val="004605C0"/>
    <w:rsid w:val="00460648"/>
    <w:rsid w:val="004606DA"/>
    <w:rsid w:val="0046081C"/>
    <w:rsid w:val="00460944"/>
    <w:rsid w:val="0046094C"/>
    <w:rsid w:val="0046096B"/>
    <w:rsid w:val="00460AB9"/>
    <w:rsid w:val="00460CEF"/>
    <w:rsid w:val="00460DD6"/>
    <w:rsid w:val="00460E21"/>
    <w:rsid w:val="00461136"/>
    <w:rsid w:val="0046128B"/>
    <w:rsid w:val="00461403"/>
    <w:rsid w:val="00461628"/>
    <w:rsid w:val="004616D8"/>
    <w:rsid w:val="0046175B"/>
    <w:rsid w:val="00461802"/>
    <w:rsid w:val="00461807"/>
    <w:rsid w:val="00461852"/>
    <w:rsid w:val="004619EB"/>
    <w:rsid w:val="00461A05"/>
    <w:rsid w:val="00461B41"/>
    <w:rsid w:val="00461D44"/>
    <w:rsid w:val="00461EFF"/>
    <w:rsid w:val="00461F0F"/>
    <w:rsid w:val="0046206E"/>
    <w:rsid w:val="0046209B"/>
    <w:rsid w:val="00462237"/>
    <w:rsid w:val="0046239E"/>
    <w:rsid w:val="004623A6"/>
    <w:rsid w:val="00462411"/>
    <w:rsid w:val="004629D3"/>
    <w:rsid w:val="004629F6"/>
    <w:rsid w:val="00462CA8"/>
    <w:rsid w:val="00462DC6"/>
    <w:rsid w:val="00462E86"/>
    <w:rsid w:val="00462F2A"/>
    <w:rsid w:val="00462F5B"/>
    <w:rsid w:val="00462F5D"/>
    <w:rsid w:val="00462FD6"/>
    <w:rsid w:val="0046305C"/>
    <w:rsid w:val="0046310E"/>
    <w:rsid w:val="00463116"/>
    <w:rsid w:val="00463210"/>
    <w:rsid w:val="00463478"/>
    <w:rsid w:val="004634FF"/>
    <w:rsid w:val="0046377C"/>
    <w:rsid w:val="00463874"/>
    <w:rsid w:val="004638F8"/>
    <w:rsid w:val="00463931"/>
    <w:rsid w:val="00463996"/>
    <w:rsid w:val="004639DD"/>
    <w:rsid w:val="00463A62"/>
    <w:rsid w:val="00463B59"/>
    <w:rsid w:val="00463B64"/>
    <w:rsid w:val="00463ECB"/>
    <w:rsid w:val="00463F52"/>
    <w:rsid w:val="0046401C"/>
    <w:rsid w:val="00464202"/>
    <w:rsid w:val="00464538"/>
    <w:rsid w:val="00464541"/>
    <w:rsid w:val="004646A6"/>
    <w:rsid w:val="0046474C"/>
    <w:rsid w:val="004647EC"/>
    <w:rsid w:val="00464C1C"/>
    <w:rsid w:val="0046524E"/>
    <w:rsid w:val="00465376"/>
    <w:rsid w:val="00465568"/>
    <w:rsid w:val="004655F9"/>
    <w:rsid w:val="00465619"/>
    <w:rsid w:val="00465711"/>
    <w:rsid w:val="004659C7"/>
    <w:rsid w:val="004659CC"/>
    <w:rsid w:val="00465D3D"/>
    <w:rsid w:val="00465E6C"/>
    <w:rsid w:val="00465EC8"/>
    <w:rsid w:val="00465F14"/>
    <w:rsid w:val="0046601B"/>
    <w:rsid w:val="0046602E"/>
    <w:rsid w:val="00466089"/>
    <w:rsid w:val="00466295"/>
    <w:rsid w:val="00466484"/>
    <w:rsid w:val="0046681F"/>
    <w:rsid w:val="00466895"/>
    <w:rsid w:val="004668F7"/>
    <w:rsid w:val="00466B15"/>
    <w:rsid w:val="00466B55"/>
    <w:rsid w:val="00466B96"/>
    <w:rsid w:val="00466C53"/>
    <w:rsid w:val="00466C79"/>
    <w:rsid w:val="00466CD6"/>
    <w:rsid w:val="00466CFC"/>
    <w:rsid w:val="00466DCC"/>
    <w:rsid w:val="00466E15"/>
    <w:rsid w:val="00466E2D"/>
    <w:rsid w:val="00466FA9"/>
    <w:rsid w:val="00466FEC"/>
    <w:rsid w:val="004670C0"/>
    <w:rsid w:val="00467271"/>
    <w:rsid w:val="004673DC"/>
    <w:rsid w:val="00467741"/>
    <w:rsid w:val="00467C65"/>
    <w:rsid w:val="00467F30"/>
    <w:rsid w:val="00467F4C"/>
    <w:rsid w:val="00467F96"/>
    <w:rsid w:val="00467FB6"/>
    <w:rsid w:val="004700FD"/>
    <w:rsid w:val="00470386"/>
    <w:rsid w:val="00470595"/>
    <w:rsid w:val="0047061A"/>
    <w:rsid w:val="004709D6"/>
    <w:rsid w:val="00470A82"/>
    <w:rsid w:val="00470AC1"/>
    <w:rsid w:val="00470D66"/>
    <w:rsid w:val="00470DFE"/>
    <w:rsid w:val="00470F95"/>
    <w:rsid w:val="00471062"/>
    <w:rsid w:val="00471115"/>
    <w:rsid w:val="0047112B"/>
    <w:rsid w:val="004711C6"/>
    <w:rsid w:val="00471211"/>
    <w:rsid w:val="004712C3"/>
    <w:rsid w:val="004712E2"/>
    <w:rsid w:val="004714D0"/>
    <w:rsid w:val="004718B9"/>
    <w:rsid w:val="004718FF"/>
    <w:rsid w:val="00471922"/>
    <w:rsid w:val="004719BE"/>
    <w:rsid w:val="00471ABB"/>
    <w:rsid w:val="00471BA0"/>
    <w:rsid w:val="00471BB8"/>
    <w:rsid w:val="00471EA5"/>
    <w:rsid w:val="004720FE"/>
    <w:rsid w:val="00472265"/>
    <w:rsid w:val="0047237B"/>
    <w:rsid w:val="004724E4"/>
    <w:rsid w:val="0047253C"/>
    <w:rsid w:val="004725AE"/>
    <w:rsid w:val="004725D9"/>
    <w:rsid w:val="00472899"/>
    <w:rsid w:val="0047291B"/>
    <w:rsid w:val="00472B29"/>
    <w:rsid w:val="00472B84"/>
    <w:rsid w:val="00472BDA"/>
    <w:rsid w:val="00472C5B"/>
    <w:rsid w:val="00472D1F"/>
    <w:rsid w:val="00472F50"/>
    <w:rsid w:val="00473153"/>
    <w:rsid w:val="00473295"/>
    <w:rsid w:val="004733C4"/>
    <w:rsid w:val="00473425"/>
    <w:rsid w:val="00473460"/>
    <w:rsid w:val="00473580"/>
    <w:rsid w:val="0047359C"/>
    <w:rsid w:val="0047371A"/>
    <w:rsid w:val="0047378F"/>
    <w:rsid w:val="00473946"/>
    <w:rsid w:val="00473CEC"/>
    <w:rsid w:val="00473D1D"/>
    <w:rsid w:val="00473EAD"/>
    <w:rsid w:val="0047420F"/>
    <w:rsid w:val="00474224"/>
    <w:rsid w:val="0047425F"/>
    <w:rsid w:val="004743C9"/>
    <w:rsid w:val="00474497"/>
    <w:rsid w:val="004744A4"/>
    <w:rsid w:val="004744D8"/>
    <w:rsid w:val="004745C8"/>
    <w:rsid w:val="00474784"/>
    <w:rsid w:val="004747E8"/>
    <w:rsid w:val="00474845"/>
    <w:rsid w:val="00474A5B"/>
    <w:rsid w:val="00474ADA"/>
    <w:rsid w:val="00474B96"/>
    <w:rsid w:val="00474D82"/>
    <w:rsid w:val="00474D9E"/>
    <w:rsid w:val="00474DDB"/>
    <w:rsid w:val="00474F2F"/>
    <w:rsid w:val="004750E3"/>
    <w:rsid w:val="00475401"/>
    <w:rsid w:val="00475560"/>
    <w:rsid w:val="00475562"/>
    <w:rsid w:val="004755D9"/>
    <w:rsid w:val="00475650"/>
    <w:rsid w:val="004756C9"/>
    <w:rsid w:val="0047576C"/>
    <w:rsid w:val="00475785"/>
    <w:rsid w:val="004757AA"/>
    <w:rsid w:val="0047592C"/>
    <w:rsid w:val="00475EE4"/>
    <w:rsid w:val="00475F0B"/>
    <w:rsid w:val="00475F6F"/>
    <w:rsid w:val="00475F79"/>
    <w:rsid w:val="00475F91"/>
    <w:rsid w:val="0047609F"/>
    <w:rsid w:val="00476138"/>
    <w:rsid w:val="00476523"/>
    <w:rsid w:val="00476700"/>
    <w:rsid w:val="0047681A"/>
    <w:rsid w:val="00476999"/>
    <w:rsid w:val="00476AD9"/>
    <w:rsid w:val="00476B46"/>
    <w:rsid w:val="00476B5A"/>
    <w:rsid w:val="00476CDA"/>
    <w:rsid w:val="00476E0D"/>
    <w:rsid w:val="00476FA1"/>
    <w:rsid w:val="00476FA4"/>
    <w:rsid w:val="00476FED"/>
    <w:rsid w:val="00477016"/>
    <w:rsid w:val="004770A2"/>
    <w:rsid w:val="004770BA"/>
    <w:rsid w:val="00477425"/>
    <w:rsid w:val="0047749B"/>
    <w:rsid w:val="00477552"/>
    <w:rsid w:val="00477558"/>
    <w:rsid w:val="00477841"/>
    <w:rsid w:val="004778D8"/>
    <w:rsid w:val="00477925"/>
    <w:rsid w:val="00477B21"/>
    <w:rsid w:val="00477D43"/>
    <w:rsid w:val="00477D72"/>
    <w:rsid w:val="00477D7E"/>
    <w:rsid w:val="00477DE3"/>
    <w:rsid w:val="00477DFD"/>
    <w:rsid w:val="00477E05"/>
    <w:rsid w:val="00477E1C"/>
    <w:rsid w:val="00477FF9"/>
    <w:rsid w:val="0048002C"/>
    <w:rsid w:val="0048010E"/>
    <w:rsid w:val="00480123"/>
    <w:rsid w:val="004801AB"/>
    <w:rsid w:val="00480328"/>
    <w:rsid w:val="004804B3"/>
    <w:rsid w:val="00480606"/>
    <w:rsid w:val="00480612"/>
    <w:rsid w:val="0048099C"/>
    <w:rsid w:val="004809A1"/>
    <w:rsid w:val="00480A8C"/>
    <w:rsid w:val="00480B0F"/>
    <w:rsid w:val="00480C97"/>
    <w:rsid w:val="00480CBF"/>
    <w:rsid w:val="0048102E"/>
    <w:rsid w:val="004810AF"/>
    <w:rsid w:val="0048142D"/>
    <w:rsid w:val="0048146B"/>
    <w:rsid w:val="004814EC"/>
    <w:rsid w:val="004815A4"/>
    <w:rsid w:val="004816C0"/>
    <w:rsid w:val="004816CF"/>
    <w:rsid w:val="00481772"/>
    <w:rsid w:val="0048196F"/>
    <w:rsid w:val="004819F4"/>
    <w:rsid w:val="00481B15"/>
    <w:rsid w:val="00481B87"/>
    <w:rsid w:val="00481E4C"/>
    <w:rsid w:val="00481EC9"/>
    <w:rsid w:val="00481F3F"/>
    <w:rsid w:val="00482068"/>
    <w:rsid w:val="00482089"/>
    <w:rsid w:val="00482204"/>
    <w:rsid w:val="00482210"/>
    <w:rsid w:val="00482280"/>
    <w:rsid w:val="004822CE"/>
    <w:rsid w:val="0048231B"/>
    <w:rsid w:val="0048241F"/>
    <w:rsid w:val="004825BD"/>
    <w:rsid w:val="00482851"/>
    <w:rsid w:val="00482960"/>
    <w:rsid w:val="00482A31"/>
    <w:rsid w:val="00482C8B"/>
    <w:rsid w:val="00482D49"/>
    <w:rsid w:val="00482DA6"/>
    <w:rsid w:val="00482E4B"/>
    <w:rsid w:val="00482F23"/>
    <w:rsid w:val="00482FAE"/>
    <w:rsid w:val="004830AB"/>
    <w:rsid w:val="004831E9"/>
    <w:rsid w:val="00483311"/>
    <w:rsid w:val="00483435"/>
    <w:rsid w:val="0048357A"/>
    <w:rsid w:val="004835A3"/>
    <w:rsid w:val="00483947"/>
    <w:rsid w:val="004839E6"/>
    <w:rsid w:val="00483B7B"/>
    <w:rsid w:val="00483D74"/>
    <w:rsid w:val="00483E28"/>
    <w:rsid w:val="00483E73"/>
    <w:rsid w:val="00483F80"/>
    <w:rsid w:val="004841B1"/>
    <w:rsid w:val="004843E3"/>
    <w:rsid w:val="00484504"/>
    <w:rsid w:val="00484516"/>
    <w:rsid w:val="004846F4"/>
    <w:rsid w:val="0048478A"/>
    <w:rsid w:val="004848C9"/>
    <w:rsid w:val="00484907"/>
    <w:rsid w:val="00484935"/>
    <w:rsid w:val="00484AC1"/>
    <w:rsid w:val="00484B16"/>
    <w:rsid w:val="00484C62"/>
    <w:rsid w:val="00484D82"/>
    <w:rsid w:val="00485019"/>
    <w:rsid w:val="00485454"/>
    <w:rsid w:val="004854EB"/>
    <w:rsid w:val="0048552B"/>
    <w:rsid w:val="004855BB"/>
    <w:rsid w:val="00485B06"/>
    <w:rsid w:val="00485BBF"/>
    <w:rsid w:val="00485FFC"/>
    <w:rsid w:val="004861C3"/>
    <w:rsid w:val="004866CC"/>
    <w:rsid w:val="004866F9"/>
    <w:rsid w:val="00486710"/>
    <w:rsid w:val="00486803"/>
    <w:rsid w:val="004868A9"/>
    <w:rsid w:val="00486952"/>
    <w:rsid w:val="00486A54"/>
    <w:rsid w:val="00486BE5"/>
    <w:rsid w:val="00486CCA"/>
    <w:rsid w:val="00486E57"/>
    <w:rsid w:val="00486EA6"/>
    <w:rsid w:val="00486ED3"/>
    <w:rsid w:val="00486EEE"/>
    <w:rsid w:val="0048736A"/>
    <w:rsid w:val="0048749C"/>
    <w:rsid w:val="004874E4"/>
    <w:rsid w:val="004875F7"/>
    <w:rsid w:val="004876D3"/>
    <w:rsid w:val="004876FD"/>
    <w:rsid w:val="00487777"/>
    <w:rsid w:val="004877EA"/>
    <w:rsid w:val="004878DE"/>
    <w:rsid w:val="00487904"/>
    <w:rsid w:val="00487AEC"/>
    <w:rsid w:val="00487B3D"/>
    <w:rsid w:val="00487BFE"/>
    <w:rsid w:val="00487CB1"/>
    <w:rsid w:val="00487D1A"/>
    <w:rsid w:val="00487D61"/>
    <w:rsid w:val="00490079"/>
    <w:rsid w:val="00490309"/>
    <w:rsid w:val="00490391"/>
    <w:rsid w:val="0049044E"/>
    <w:rsid w:val="00490544"/>
    <w:rsid w:val="00490785"/>
    <w:rsid w:val="004907C0"/>
    <w:rsid w:val="0049084A"/>
    <w:rsid w:val="004908DE"/>
    <w:rsid w:val="00490968"/>
    <w:rsid w:val="004909E5"/>
    <w:rsid w:val="00490B41"/>
    <w:rsid w:val="00490C7D"/>
    <w:rsid w:val="00490C89"/>
    <w:rsid w:val="00490D79"/>
    <w:rsid w:val="00490D7D"/>
    <w:rsid w:val="00490DD0"/>
    <w:rsid w:val="00490FC3"/>
    <w:rsid w:val="00491407"/>
    <w:rsid w:val="0049149D"/>
    <w:rsid w:val="0049162A"/>
    <w:rsid w:val="00491641"/>
    <w:rsid w:val="00491780"/>
    <w:rsid w:val="0049183D"/>
    <w:rsid w:val="00491851"/>
    <w:rsid w:val="0049185C"/>
    <w:rsid w:val="0049190C"/>
    <w:rsid w:val="00491925"/>
    <w:rsid w:val="00491931"/>
    <w:rsid w:val="00491983"/>
    <w:rsid w:val="00491A03"/>
    <w:rsid w:val="00491A29"/>
    <w:rsid w:val="00491CF2"/>
    <w:rsid w:val="004921B3"/>
    <w:rsid w:val="004921F7"/>
    <w:rsid w:val="0049227B"/>
    <w:rsid w:val="00492300"/>
    <w:rsid w:val="00492330"/>
    <w:rsid w:val="00492363"/>
    <w:rsid w:val="00492379"/>
    <w:rsid w:val="0049246B"/>
    <w:rsid w:val="004926C0"/>
    <w:rsid w:val="004927E5"/>
    <w:rsid w:val="00492BA1"/>
    <w:rsid w:val="00492BCC"/>
    <w:rsid w:val="00492C38"/>
    <w:rsid w:val="00492D32"/>
    <w:rsid w:val="00492D59"/>
    <w:rsid w:val="00492D60"/>
    <w:rsid w:val="00492EEC"/>
    <w:rsid w:val="00492FAD"/>
    <w:rsid w:val="00493142"/>
    <w:rsid w:val="0049327D"/>
    <w:rsid w:val="004932CD"/>
    <w:rsid w:val="004937DB"/>
    <w:rsid w:val="00493862"/>
    <w:rsid w:val="00493A21"/>
    <w:rsid w:val="00493BB6"/>
    <w:rsid w:val="00493C1A"/>
    <w:rsid w:val="00493DA2"/>
    <w:rsid w:val="00493F47"/>
    <w:rsid w:val="004945F9"/>
    <w:rsid w:val="0049471B"/>
    <w:rsid w:val="0049488F"/>
    <w:rsid w:val="00494909"/>
    <w:rsid w:val="00494959"/>
    <w:rsid w:val="00494BC1"/>
    <w:rsid w:val="00494DFD"/>
    <w:rsid w:val="00495086"/>
    <w:rsid w:val="004952F8"/>
    <w:rsid w:val="004953EF"/>
    <w:rsid w:val="00495441"/>
    <w:rsid w:val="004954C9"/>
    <w:rsid w:val="004956C9"/>
    <w:rsid w:val="00495778"/>
    <w:rsid w:val="00495932"/>
    <w:rsid w:val="0049593A"/>
    <w:rsid w:val="004959A7"/>
    <w:rsid w:val="00495C0D"/>
    <w:rsid w:val="00495D57"/>
    <w:rsid w:val="0049629F"/>
    <w:rsid w:val="00496361"/>
    <w:rsid w:val="0049655D"/>
    <w:rsid w:val="0049655E"/>
    <w:rsid w:val="00496658"/>
    <w:rsid w:val="004966E7"/>
    <w:rsid w:val="0049670B"/>
    <w:rsid w:val="00496813"/>
    <w:rsid w:val="00496820"/>
    <w:rsid w:val="00496934"/>
    <w:rsid w:val="00496A86"/>
    <w:rsid w:val="00496B11"/>
    <w:rsid w:val="00496DBE"/>
    <w:rsid w:val="00496E74"/>
    <w:rsid w:val="00496F09"/>
    <w:rsid w:val="00496F29"/>
    <w:rsid w:val="0049712E"/>
    <w:rsid w:val="004973F9"/>
    <w:rsid w:val="00497441"/>
    <w:rsid w:val="0049752C"/>
    <w:rsid w:val="00497574"/>
    <w:rsid w:val="00497711"/>
    <w:rsid w:val="004977BA"/>
    <w:rsid w:val="004977CD"/>
    <w:rsid w:val="00497963"/>
    <w:rsid w:val="004979AC"/>
    <w:rsid w:val="004979B3"/>
    <w:rsid w:val="00497A58"/>
    <w:rsid w:val="00497BD8"/>
    <w:rsid w:val="00497C35"/>
    <w:rsid w:val="00497D45"/>
    <w:rsid w:val="00497F6F"/>
    <w:rsid w:val="00497FB7"/>
    <w:rsid w:val="00497FF6"/>
    <w:rsid w:val="00497FFD"/>
    <w:rsid w:val="004A0189"/>
    <w:rsid w:val="004A027C"/>
    <w:rsid w:val="004A043B"/>
    <w:rsid w:val="004A04AE"/>
    <w:rsid w:val="004A04FD"/>
    <w:rsid w:val="004A061B"/>
    <w:rsid w:val="004A06D2"/>
    <w:rsid w:val="004A07E0"/>
    <w:rsid w:val="004A08D3"/>
    <w:rsid w:val="004A0979"/>
    <w:rsid w:val="004A09DE"/>
    <w:rsid w:val="004A0A8A"/>
    <w:rsid w:val="004A0B63"/>
    <w:rsid w:val="004A0BDD"/>
    <w:rsid w:val="004A0C0D"/>
    <w:rsid w:val="004A0C41"/>
    <w:rsid w:val="004A0D9A"/>
    <w:rsid w:val="004A0F68"/>
    <w:rsid w:val="004A0F7A"/>
    <w:rsid w:val="004A10F0"/>
    <w:rsid w:val="004A134F"/>
    <w:rsid w:val="004A14BB"/>
    <w:rsid w:val="004A1560"/>
    <w:rsid w:val="004A1696"/>
    <w:rsid w:val="004A1720"/>
    <w:rsid w:val="004A1820"/>
    <w:rsid w:val="004A1B5A"/>
    <w:rsid w:val="004A1BFF"/>
    <w:rsid w:val="004A1DF6"/>
    <w:rsid w:val="004A1F08"/>
    <w:rsid w:val="004A2184"/>
    <w:rsid w:val="004A2249"/>
    <w:rsid w:val="004A2288"/>
    <w:rsid w:val="004A231A"/>
    <w:rsid w:val="004A241C"/>
    <w:rsid w:val="004A2436"/>
    <w:rsid w:val="004A24E0"/>
    <w:rsid w:val="004A295E"/>
    <w:rsid w:val="004A2980"/>
    <w:rsid w:val="004A2D18"/>
    <w:rsid w:val="004A2DA7"/>
    <w:rsid w:val="004A2DEB"/>
    <w:rsid w:val="004A2DEC"/>
    <w:rsid w:val="004A2F8F"/>
    <w:rsid w:val="004A3016"/>
    <w:rsid w:val="004A3092"/>
    <w:rsid w:val="004A3206"/>
    <w:rsid w:val="004A323F"/>
    <w:rsid w:val="004A353C"/>
    <w:rsid w:val="004A358E"/>
    <w:rsid w:val="004A37B2"/>
    <w:rsid w:val="004A381E"/>
    <w:rsid w:val="004A3890"/>
    <w:rsid w:val="004A398B"/>
    <w:rsid w:val="004A3A93"/>
    <w:rsid w:val="004A3CCE"/>
    <w:rsid w:val="004A3EDE"/>
    <w:rsid w:val="004A3EFF"/>
    <w:rsid w:val="004A3FC5"/>
    <w:rsid w:val="004A4096"/>
    <w:rsid w:val="004A40EA"/>
    <w:rsid w:val="004A43C3"/>
    <w:rsid w:val="004A45BE"/>
    <w:rsid w:val="004A474D"/>
    <w:rsid w:val="004A49D6"/>
    <w:rsid w:val="004A4A8C"/>
    <w:rsid w:val="004A4AF8"/>
    <w:rsid w:val="004A4B8B"/>
    <w:rsid w:val="004A4B90"/>
    <w:rsid w:val="004A4BC4"/>
    <w:rsid w:val="004A4D01"/>
    <w:rsid w:val="004A4DC8"/>
    <w:rsid w:val="004A4DCF"/>
    <w:rsid w:val="004A4EC3"/>
    <w:rsid w:val="004A510D"/>
    <w:rsid w:val="004A521C"/>
    <w:rsid w:val="004A5281"/>
    <w:rsid w:val="004A52B7"/>
    <w:rsid w:val="004A54DA"/>
    <w:rsid w:val="004A558C"/>
    <w:rsid w:val="004A5675"/>
    <w:rsid w:val="004A5795"/>
    <w:rsid w:val="004A5827"/>
    <w:rsid w:val="004A59CC"/>
    <w:rsid w:val="004A5B87"/>
    <w:rsid w:val="004A5C53"/>
    <w:rsid w:val="004A5CCB"/>
    <w:rsid w:val="004A5D91"/>
    <w:rsid w:val="004A5D92"/>
    <w:rsid w:val="004A606E"/>
    <w:rsid w:val="004A6156"/>
    <w:rsid w:val="004A61F4"/>
    <w:rsid w:val="004A63B4"/>
    <w:rsid w:val="004A6480"/>
    <w:rsid w:val="004A64E8"/>
    <w:rsid w:val="004A69A8"/>
    <w:rsid w:val="004A6B8B"/>
    <w:rsid w:val="004A6B8F"/>
    <w:rsid w:val="004A6BD8"/>
    <w:rsid w:val="004A6E62"/>
    <w:rsid w:val="004A6F0C"/>
    <w:rsid w:val="004A6F3F"/>
    <w:rsid w:val="004A6FDC"/>
    <w:rsid w:val="004A7204"/>
    <w:rsid w:val="004A7271"/>
    <w:rsid w:val="004A7665"/>
    <w:rsid w:val="004A76B9"/>
    <w:rsid w:val="004A77E7"/>
    <w:rsid w:val="004A77FA"/>
    <w:rsid w:val="004A7A0E"/>
    <w:rsid w:val="004A7C71"/>
    <w:rsid w:val="004A7CB2"/>
    <w:rsid w:val="004A7DBC"/>
    <w:rsid w:val="004A7E62"/>
    <w:rsid w:val="004A7EB8"/>
    <w:rsid w:val="004A7F05"/>
    <w:rsid w:val="004A7F19"/>
    <w:rsid w:val="004A8697"/>
    <w:rsid w:val="004B00D4"/>
    <w:rsid w:val="004B0151"/>
    <w:rsid w:val="004B03E8"/>
    <w:rsid w:val="004B04B1"/>
    <w:rsid w:val="004B06F5"/>
    <w:rsid w:val="004B07FB"/>
    <w:rsid w:val="004B09B4"/>
    <w:rsid w:val="004B09BE"/>
    <w:rsid w:val="004B0C1A"/>
    <w:rsid w:val="004B0EBB"/>
    <w:rsid w:val="004B0F99"/>
    <w:rsid w:val="004B0FA7"/>
    <w:rsid w:val="004B11D3"/>
    <w:rsid w:val="004B1295"/>
    <w:rsid w:val="004B15E7"/>
    <w:rsid w:val="004B1609"/>
    <w:rsid w:val="004B163B"/>
    <w:rsid w:val="004B16A6"/>
    <w:rsid w:val="004B1712"/>
    <w:rsid w:val="004B179D"/>
    <w:rsid w:val="004B1AA8"/>
    <w:rsid w:val="004B1B96"/>
    <w:rsid w:val="004B1C59"/>
    <w:rsid w:val="004B1CB1"/>
    <w:rsid w:val="004B1D1A"/>
    <w:rsid w:val="004B1D9D"/>
    <w:rsid w:val="004B1F59"/>
    <w:rsid w:val="004B2205"/>
    <w:rsid w:val="004B2287"/>
    <w:rsid w:val="004B22CF"/>
    <w:rsid w:val="004B232D"/>
    <w:rsid w:val="004B26CC"/>
    <w:rsid w:val="004B2BD9"/>
    <w:rsid w:val="004B2C08"/>
    <w:rsid w:val="004B2D95"/>
    <w:rsid w:val="004B2DB7"/>
    <w:rsid w:val="004B2EB5"/>
    <w:rsid w:val="004B2F79"/>
    <w:rsid w:val="004B300C"/>
    <w:rsid w:val="004B343F"/>
    <w:rsid w:val="004B3557"/>
    <w:rsid w:val="004B35E2"/>
    <w:rsid w:val="004B3631"/>
    <w:rsid w:val="004B381E"/>
    <w:rsid w:val="004B3D4D"/>
    <w:rsid w:val="004B3DB0"/>
    <w:rsid w:val="004B3FE5"/>
    <w:rsid w:val="004B410F"/>
    <w:rsid w:val="004B4180"/>
    <w:rsid w:val="004B4248"/>
    <w:rsid w:val="004B42B7"/>
    <w:rsid w:val="004B4489"/>
    <w:rsid w:val="004B4490"/>
    <w:rsid w:val="004B45A5"/>
    <w:rsid w:val="004B468B"/>
    <w:rsid w:val="004B48EE"/>
    <w:rsid w:val="004B49B3"/>
    <w:rsid w:val="004B4B52"/>
    <w:rsid w:val="004B4C3D"/>
    <w:rsid w:val="004B4C66"/>
    <w:rsid w:val="004B4DE0"/>
    <w:rsid w:val="004B4E72"/>
    <w:rsid w:val="004B5015"/>
    <w:rsid w:val="004B5104"/>
    <w:rsid w:val="004B528C"/>
    <w:rsid w:val="004B54CA"/>
    <w:rsid w:val="004B54E8"/>
    <w:rsid w:val="004B5516"/>
    <w:rsid w:val="004B553C"/>
    <w:rsid w:val="004B570D"/>
    <w:rsid w:val="004B585C"/>
    <w:rsid w:val="004B5888"/>
    <w:rsid w:val="004B5C0E"/>
    <w:rsid w:val="004B5ECD"/>
    <w:rsid w:val="004B608F"/>
    <w:rsid w:val="004B618C"/>
    <w:rsid w:val="004B61BF"/>
    <w:rsid w:val="004B6306"/>
    <w:rsid w:val="004B6459"/>
    <w:rsid w:val="004B645B"/>
    <w:rsid w:val="004B6507"/>
    <w:rsid w:val="004B655A"/>
    <w:rsid w:val="004B6728"/>
    <w:rsid w:val="004B6774"/>
    <w:rsid w:val="004B6B95"/>
    <w:rsid w:val="004B6BA1"/>
    <w:rsid w:val="004B6BE2"/>
    <w:rsid w:val="004B6C1F"/>
    <w:rsid w:val="004B6D90"/>
    <w:rsid w:val="004B6DAA"/>
    <w:rsid w:val="004B6EA5"/>
    <w:rsid w:val="004B702B"/>
    <w:rsid w:val="004B7192"/>
    <w:rsid w:val="004B71C9"/>
    <w:rsid w:val="004B7262"/>
    <w:rsid w:val="004B7340"/>
    <w:rsid w:val="004B7376"/>
    <w:rsid w:val="004B74E2"/>
    <w:rsid w:val="004B7545"/>
    <w:rsid w:val="004B7621"/>
    <w:rsid w:val="004B769A"/>
    <w:rsid w:val="004B76E4"/>
    <w:rsid w:val="004B7750"/>
    <w:rsid w:val="004B778C"/>
    <w:rsid w:val="004B786F"/>
    <w:rsid w:val="004B7B3C"/>
    <w:rsid w:val="004B7C7F"/>
    <w:rsid w:val="004B7DBB"/>
    <w:rsid w:val="004B7DCB"/>
    <w:rsid w:val="004B7ECD"/>
    <w:rsid w:val="004C001B"/>
    <w:rsid w:val="004C01A1"/>
    <w:rsid w:val="004C01FE"/>
    <w:rsid w:val="004C0592"/>
    <w:rsid w:val="004C0650"/>
    <w:rsid w:val="004C06F0"/>
    <w:rsid w:val="004C0AE9"/>
    <w:rsid w:val="004C0C0B"/>
    <w:rsid w:val="004C0E48"/>
    <w:rsid w:val="004C0E9A"/>
    <w:rsid w:val="004C1083"/>
    <w:rsid w:val="004C1113"/>
    <w:rsid w:val="004C11DB"/>
    <w:rsid w:val="004C14DB"/>
    <w:rsid w:val="004C1555"/>
    <w:rsid w:val="004C15A3"/>
    <w:rsid w:val="004C1651"/>
    <w:rsid w:val="004C1743"/>
    <w:rsid w:val="004C1C2F"/>
    <w:rsid w:val="004C1CB0"/>
    <w:rsid w:val="004C1F95"/>
    <w:rsid w:val="004C1FE6"/>
    <w:rsid w:val="004C2035"/>
    <w:rsid w:val="004C20FA"/>
    <w:rsid w:val="004C219C"/>
    <w:rsid w:val="004C21B3"/>
    <w:rsid w:val="004C2225"/>
    <w:rsid w:val="004C2292"/>
    <w:rsid w:val="004C23A3"/>
    <w:rsid w:val="004C2451"/>
    <w:rsid w:val="004C245A"/>
    <w:rsid w:val="004C24B1"/>
    <w:rsid w:val="004C26BD"/>
    <w:rsid w:val="004C2851"/>
    <w:rsid w:val="004C29CB"/>
    <w:rsid w:val="004C2A31"/>
    <w:rsid w:val="004C2B6D"/>
    <w:rsid w:val="004C2D9C"/>
    <w:rsid w:val="004C2EAD"/>
    <w:rsid w:val="004C30FC"/>
    <w:rsid w:val="004C3227"/>
    <w:rsid w:val="004C335F"/>
    <w:rsid w:val="004C33B6"/>
    <w:rsid w:val="004C34A5"/>
    <w:rsid w:val="004C35D0"/>
    <w:rsid w:val="004C37E9"/>
    <w:rsid w:val="004C39A5"/>
    <w:rsid w:val="004C3A85"/>
    <w:rsid w:val="004C3AA8"/>
    <w:rsid w:val="004C3D8C"/>
    <w:rsid w:val="004C3DA9"/>
    <w:rsid w:val="004C3E37"/>
    <w:rsid w:val="004C3E85"/>
    <w:rsid w:val="004C40B4"/>
    <w:rsid w:val="004C4132"/>
    <w:rsid w:val="004C4233"/>
    <w:rsid w:val="004C4402"/>
    <w:rsid w:val="004C462B"/>
    <w:rsid w:val="004C499F"/>
    <w:rsid w:val="004C49C8"/>
    <w:rsid w:val="004C4A3E"/>
    <w:rsid w:val="004C4B1D"/>
    <w:rsid w:val="004C4B35"/>
    <w:rsid w:val="004C4B80"/>
    <w:rsid w:val="004C4E41"/>
    <w:rsid w:val="004C4F7E"/>
    <w:rsid w:val="004C4FAF"/>
    <w:rsid w:val="004C50B0"/>
    <w:rsid w:val="004C51E7"/>
    <w:rsid w:val="004C5226"/>
    <w:rsid w:val="004C530A"/>
    <w:rsid w:val="004C5393"/>
    <w:rsid w:val="004C53F1"/>
    <w:rsid w:val="004C54B5"/>
    <w:rsid w:val="004C55C6"/>
    <w:rsid w:val="004C583E"/>
    <w:rsid w:val="004C58FF"/>
    <w:rsid w:val="004C5937"/>
    <w:rsid w:val="004C5B48"/>
    <w:rsid w:val="004C5B55"/>
    <w:rsid w:val="004C5BBC"/>
    <w:rsid w:val="004C5D95"/>
    <w:rsid w:val="004C5EDB"/>
    <w:rsid w:val="004C5F88"/>
    <w:rsid w:val="004C6100"/>
    <w:rsid w:val="004C61C6"/>
    <w:rsid w:val="004C6290"/>
    <w:rsid w:val="004C62AA"/>
    <w:rsid w:val="004C6394"/>
    <w:rsid w:val="004C63C4"/>
    <w:rsid w:val="004C63C5"/>
    <w:rsid w:val="004C653D"/>
    <w:rsid w:val="004C687B"/>
    <w:rsid w:val="004C68C7"/>
    <w:rsid w:val="004C68E9"/>
    <w:rsid w:val="004C6D83"/>
    <w:rsid w:val="004C6E0A"/>
    <w:rsid w:val="004C702C"/>
    <w:rsid w:val="004C7657"/>
    <w:rsid w:val="004C77BF"/>
    <w:rsid w:val="004C793A"/>
    <w:rsid w:val="004C794A"/>
    <w:rsid w:val="004C7A66"/>
    <w:rsid w:val="004C7AE9"/>
    <w:rsid w:val="004C7B61"/>
    <w:rsid w:val="004C7B78"/>
    <w:rsid w:val="004C7FE3"/>
    <w:rsid w:val="004D0300"/>
    <w:rsid w:val="004D0323"/>
    <w:rsid w:val="004D03A2"/>
    <w:rsid w:val="004D044F"/>
    <w:rsid w:val="004D0476"/>
    <w:rsid w:val="004D0612"/>
    <w:rsid w:val="004D0723"/>
    <w:rsid w:val="004D0BBF"/>
    <w:rsid w:val="004D0BD5"/>
    <w:rsid w:val="004D0C94"/>
    <w:rsid w:val="004D0CB0"/>
    <w:rsid w:val="004D0EAB"/>
    <w:rsid w:val="004D0F00"/>
    <w:rsid w:val="004D118B"/>
    <w:rsid w:val="004D11DE"/>
    <w:rsid w:val="004D1288"/>
    <w:rsid w:val="004D12F4"/>
    <w:rsid w:val="004D139E"/>
    <w:rsid w:val="004D13D3"/>
    <w:rsid w:val="004D1514"/>
    <w:rsid w:val="004D1729"/>
    <w:rsid w:val="004D17A1"/>
    <w:rsid w:val="004D18D9"/>
    <w:rsid w:val="004D1C9B"/>
    <w:rsid w:val="004D1D03"/>
    <w:rsid w:val="004D1DA7"/>
    <w:rsid w:val="004D1F56"/>
    <w:rsid w:val="004D2101"/>
    <w:rsid w:val="004D2323"/>
    <w:rsid w:val="004D2337"/>
    <w:rsid w:val="004D2381"/>
    <w:rsid w:val="004D278E"/>
    <w:rsid w:val="004D2895"/>
    <w:rsid w:val="004D2980"/>
    <w:rsid w:val="004D2B76"/>
    <w:rsid w:val="004D2BD9"/>
    <w:rsid w:val="004D2CE9"/>
    <w:rsid w:val="004D2D1C"/>
    <w:rsid w:val="004D2D28"/>
    <w:rsid w:val="004D2E50"/>
    <w:rsid w:val="004D2EEC"/>
    <w:rsid w:val="004D2F39"/>
    <w:rsid w:val="004D2F85"/>
    <w:rsid w:val="004D31BE"/>
    <w:rsid w:val="004D329B"/>
    <w:rsid w:val="004D32B1"/>
    <w:rsid w:val="004D32B5"/>
    <w:rsid w:val="004D3310"/>
    <w:rsid w:val="004D331F"/>
    <w:rsid w:val="004D33EA"/>
    <w:rsid w:val="004D35F8"/>
    <w:rsid w:val="004D3678"/>
    <w:rsid w:val="004D3699"/>
    <w:rsid w:val="004D3782"/>
    <w:rsid w:val="004D3898"/>
    <w:rsid w:val="004D3BB8"/>
    <w:rsid w:val="004D3C91"/>
    <w:rsid w:val="004D3D92"/>
    <w:rsid w:val="004D3DEE"/>
    <w:rsid w:val="004D4175"/>
    <w:rsid w:val="004D4449"/>
    <w:rsid w:val="004D44DC"/>
    <w:rsid w:val="004D4547"/>
    <w:rsid w:val="004D458C"/>
    <w:rsid w:val="004D45AD"/>
    <w:rsid w:val="004D4603"/>
    <w:rsid w:val="004D463F"/>
    <w:rsid w:val="004D466F"/>
    <w:rsid w:val="004D4675"/>
    <w:rsid w:val="004D467A"/>
    <w:rsid w:val="004D48DB"/>
    <w:rsid w:val="004D4937"/>
    <w:rsid w:val="004D4A3F"/>
    <w:rsid w:val="004D4B94"/>
    <w:rsid w:val="004D4D8D"/>
    <w:rsid w:val="004D4F5F"/>
    <w:rsid w:val="004D5149"/>
    <w:rsid w:val="004D536F"/>
    <w:rsid w:val="004D53D3"/>
    <w:rsid w:val="004D53E3"/>
    <w:rsid w:val="004D53F7"/>
    <w:rsid w:val="004D54B2"/>
    <w:rsid w:val="004D562D"/>
    <w:rsid w:val="004D56AA"/>
    <w:rsid w:val="004D5723"/>
    <w:rsid w:val="004D57B9"/>
    <w:rsid w:val="004D580D"/>
    <w:rsid w:val="004D59E5"/>
    <w:rsid w:val="004D5A65"/>
    <w:rsid w:val="004D5ADC"/>
    <w:rsid w:val="004D5ADE"/>
    <w:rsid w:val="004D5AE7"/>
    <w:rsid w:val="004D5B3B"/>
    <w:rsid w:val="004D5B40"/>
    <w:rsid w:val="004D5CA1"/>
    <w:rsid w:val="004D5D62"/>
    <w:rsid w:val="004D5DEA"/>
    <w:rsid w:val="004D5E6E"/>
    <w:rsid w:val="004D5EFF"/>
    <w:rsid w:val="004D5FA1"/>
    <w:rsid w:val="004D5FEA"/>
    <w:rsid w:val="004D61D1"/>
    <w:rsid w:val="004D63B3"/>
    <w:rsid w:val="004D63C0"/>
    <w:rsid w:val="004D644E"/>
    <w:rsid w:val="004D64BA"/>
    <w:rsid w:val="004D6766"/>
    <w:rsid w:val="004D6768"/>
    <w:rsid w:val="004D6A0D"/>
    <w:rsid w:val="004D6A1B"/>
    <w:rsid w:val="004D6AC9"/>
    <w:rsid w:val="004D6B98"/>
    <w:rsid w:val="004D6D74"/>
    <w:rsid w:val="004D6DA7"/>
    <w:rsid w:val="004D6DF1"/>
    <w:rsid w:val="004D6E0A"/>
    <w:rsid w:val="004D709A"/>
    <w:rsid w:val="004D71B6"/>
    <w:rsid w:val="004D72AD"/>
    <w:rsid w:val="004D7569"/>
    <w:rsid w:val="004D75EB"/>
    <w:rsid w:val="004D787D"/>
    <w:rsid w:val="004D791C"/>
    <w:rsid w:val="004D79F2"/>
    <w:rsid w:val="004D7AE0"/>
    <w:rsid w:val="004D7C1A"/>
    <w:rsid w:val="004D7C82"/>
    <w:rsid w:val="004D7E51"/>
    <w:rsid w:val="004D7EC9"/>
    <w:rsid w:val="004D7FB8"/>
    <w:rsid w:val="004E0012"/>
    <w:rsid w:val="004E0148"/>
    <w:rsid w:val="004E01E7"/>
    <w:rsid w:val="004E02D2"/>
    <w:rsid w:val="004E04F8"/>
    <w:rsid w:val="004E05AA"/>
    <w:rsid w:val="004E060B"/>
    <w:rsid w:val="004E069E"/>
    <w:rsid w:val="004E08AB"/>
    <w:rsid w:val="004E08D1"/>
    <w:rsid w:val="004E0A03"/>
    <w:rsid w:val="004E0CB9"/>
    <w:rsid w:val="004E0D42"/>
    <w:rsid w:val="004E0E3D"/>
    <w:rsid w:val="004E11A1"/>
    <w:rsid w:val="004E126D"/>
    <w:rsid w:val="004E1283"/>
    <w:rsid w:val="004E129E"/>
    <w:rsid w:val="004E12CD"/>
    <w:rsid w:val="004E136D"/>
    <w:rsid w:val="004E1469"/>
    <w:rsid w:val="004E14FD"/>
    <w:rsid w:val="004E1516"/>
    <w:rsid w:val="004E16A0"/>
    <w:rsid w:val="004E1810"/>
    <w:rsid w:val="004E1994"/>
    <w:rsid w:val="004E1B5E"/>
    <w:rsid w:val="004E1BFA"/>
    <w:rsid w:val="004E1CAD"/>
    <w:rsid w:val="004E1FB4"/>
    <w:rsid w:val="004E237B"/>
    <w:rsid w:val="004E23CB"/>
    <w:rsid w:val="004E241E"/>
    <w:rsid w:val="004E244D"/>
    <w:rsid w:val="004E24AD"/>
    <w:rsid w:val="004E2769"/>
    <w:rsid w:val="004E27E6"/>
    <w:rsid w:val="004E281A"/>
    <w:rsid w:val="004E295C"/>
    <w:rsid w:val="004E29E0"/>
    <w:rsid w:val="004E2C73"/>
    <w:rsid w:val="004E2C74"/>
    <w:rsid w:val="004E2CD4"/>
    <w:rsid w:val="004E2D01"/>
    <w:rsid w:val="004E2DDE"/>
    <w:rsid w:val="004E3039"/>
    <w:rsid w:val="004E3102"/>
    <w:rsid w:val="004E3240"/>
    <w:rsid w:val="004E341E"/>
    <w:rsid w:val="004E34FC"/>
    <w:rsid w:val="004E3679"/>
    <w:rsid w:val="004E368A"/>
    <w:rsid w:val="004E3700"/>
    <w:rsid w:val="004E37E4"/>
    <w:rsid w:val="004E3856"/>
    <w:rsid w:val="004E3AF2"/>
    <w:rsid w:val="004E3B11"/>
    <w:rsid w:val="004E3B54"/>
    <w:rsid w:val="004E3B57"/>
    <w:rsid w:val="004E3FEC"/>
    <w:rsid w:val="004E3FF2"/>
    <w:rsid w:val="004E40D8"/>
    <w:rsid w:val="004E4285"/>
    <w:rsid w:val="004E4338"/>
    <w:rsid w:val="004E43F4"/>
    <w:rsid w:val="004E44E6"/>
    <w:rsid w:val="004E4545"/>
    <w:rsid w:val="004E45BE"/>
    <w:rsid w:val="004E461E"/>
    <w:rsid w:val="004E4767"/>
    <w:rsid w:val="004E498E"/>
    <w:rsid w:val="004E49FF"/>
    <w:rsid w:val="004E4A76"/>
    <w:rsid w:val="004E4B42"/>
    <w:rsid w:val="004E4B74"/>
    <w:rsid w:val="004E4BED"/>
    <w:rsid w:val="004E4D07"/>
    <w:rsid w:val="004E4D60"/>
    <w:rsid w:val="004E4E16"/>
    <w:rsid w:val="004E4E4C"/>
    <w:rsid w:val="004E4F47"/>
    <w:rsid w:val="004E5043"/>
    <w:rsid w:val="004E50B3"/>
    <w:rsid w:val="004E5101"/>
    <w:rsid w:val="004E51D1"/>
    <w:rsid w:val="004E5528"/>
    <w:rsid w:val="004E5571"/>
    <w:rsid w:val="004E55E1"/>
    <w:rsid w:val="004E573E"/>
    <w:rsid w:val="004E5816"/>
    <w:rsid w:val="004E5BC5"/>
    <w:rsid w:val="004E5C0E"/>
    <w:rsid w:val="004E5CBF"/>
    <w:rsid w:val="004E5D75"/>
    <w:rsid w:val="004E5DF2"/>
    <w:rsid w:val="004E5E06"/>
    <w:rsid w:val="004E6094"/>
    <w:rsid w:val="004E61DB"/>
    <w:rsid w:val="004E625B"/>
    <w:rsid w:val="004E6496"/>
    <w:rsid w:val="004E64E6"/>
    <w:rsid w:val="004E67AD"/>
    <w:rsid w:val="004E6931"/>
    <w:rsid w:val="004E6A6F"/>
    <w:rsid w:val="004E6B01"/>
    <w:rsid w:val="004E6BF1"/>
    <w:rsid w:val="004E6F6C"/>
    <w:rsid w:val="004E6FE1"/>
    <w:rsid w:val="004E7049"/>
    <w:rsid w:val="004E7094"/>
    <w:rsid w:val="004E7096"/>
    <w:rsid w:val="004E715F"/>
    <w:rsid w:val="004E7189"/>
    <w:rsid w:val="004E71B4"/>
    <w:rsid w:val="004E7258"/>
    <w:rsid w:val="004E7261"/>
    <w:rsid w:val="004E73A8"/>
    <w:rsid w:val="004E749F"/>
    <w:rsid w:val="004E75A1"/>
    <w:rsid w:val="004E760E"/>
    <w:rsid w:val="004E78BE"/>
    <w:rsid w:val="004E79D8"/>
    <w:rsid w:val="004E7BC2"/>
    <w:rsid w:val="004E7CF1"/>
    <w:rsid w:val="004E7D65"/>
    <w:rsid w:val="004E7F01"/>
    <w:rsid w:val="004E7F06"/>
    <w:rsid w:val="004E7F32"/>
    <w:rsid w:val="004F0032"/>
    <w:rsid w:val="004F0142"/>
    <w:rsid w:val="004F0179"/>
    <w:rsid w:val="004F02E2"/>
    <w:rsid w:val="004F0503"/>
    <w:rsid w:val="004F0591"/>
    <w:rsid w:val="004F059B"/>
    <w:rsid w:val="004F0831"/>
    <w:rsid w:val="004F0874"/>
    <w:rsid w:val="004F0C29"/>
    <w:rsid w:val="004F0EE7"/>
    <w:rsid w:val="004F0F57"/>
    <w:rsid w:val="004F0F5F"/>
    <w:rsid w:val="004F0FBF"/>
    <w:rsid w:val="004F11EB"/>
    <w:rsid w:val="004F1250"/>
    <w:rsid w:val="004F12BB"/>
    <w:rsid w:val="004F15DA"/>
    <w:rsid w:val="004F19F2"/>
    <w:rsid w:val="004F19FE"/>
    <w:rsid w:val="004F1B39"/>
    <w:rsid w:val="004F1C54"/>
    <w:rsid w:val="004F2120"/>
    <w:rsid w:val="004F22C0"/>
    <w:rsid w:val="004F2302"/>
    <w:rsid w:val="004F2447"/>
    <w:rsid w:val="004F25C1"/>
    <w:rsid w:val="004F2720"/>
    <w:rsid w:val="004F2783"/>
    <w:rsid w:val="004F29F3"/>
    <w:rsid w:val="004F2CF0"/>
    <w:rsid w:val="004F2D86"/>
    <w:rsid w:val="004F306B"/>
    <w:rsid w:val="004F30F2"/>
    <w:rsid w:val="004F31A3"/>
    <w:rsid w:val="004F32A9"/>
    <w:rsid w:val="004F34F6"/>
    <w:rsid w:val="004F36D5"/>
    <w:rsid w:val="004F36FB"/>
    <w:rsid w:val="004F379A"/>
    <w:rsid w:val="004F382F"/>
    <w:rsid w:val="004F3A43"/>
    <w:rsid w:val="004F3A4E"/>
    <w:rsid w:val="004F3ABF"/>
    <w:rsid w:val="004F3C1F"/>
    <w:rsid w:val="004F3C55"/>
    <w:rsid w:val="004F3CFE"/>
    <w:rsid w:val="004F3D87"/>
    <w:rsid w:val="004F3DED"/>
    <w:rsid w:val="004F402F"/>
    <w:rsid w:val="004F410D"/>
    <w:rsid w:val="004F413D"/>
    <w:rsid w:val="004F42CA"/>
    <w:rsid w:val="004F42FE"/>
    <w:rsid w:val="004F4324"/>
    <w:rsid w:val="004F43E0"/>
    <w:rsid w:val="004F43E7"/>
    <w:rsid w:val="004F4477"/>
    <w:rsid w:val="004F4596"/>
    <w:rsid w:val="004F4632"/>
    <w:rsid w:val="004F46C8"/>
    <w:rsid w:val="004F4820"/>
    <w:rsid w:val="004F4981"/>
    <w:rsid w:val="004F49D1"/>
    <w:rsid w:val="004F4AB0"/>
    <w:rsid w:val="004F4DD3"/>
    <w:rsid w:val="004F4DF3"/>
    <w:rsid w:val="004F4E1B"/>
    <w:rsid w:val="004F4F14"/>
    <w:rsid w:val="004F4F1F"/>
    <w:rsid w:val="004F4FC2"/>
    <w:rsid w:val="004F521C"/>
    <w:rsid w:val="004F5382"/>
    <w:rsid w:val="004F53EF"/>
    <w:rsid w:val="004F5497"/>
    <w:rsid w:val="004F5560"/>
    <w:rsid w:val="004F5688"/>
    <w:rsid w:val="004F56C2"/>
    <w:rsid w:val="004F5706"/>
    <w:rsid w:val="004F5807"/>
    <w:rsid w:val="004F58E9"/>
    <w:rsid w:val="004F5A54"/>
    <w:rsid w:val="004F5A9C"/>
    <w:rsid w:val="004F5B0B"/>
    <w:rsid w:val="004F5C5E"/>
    <w:rsid w:val="004F5C8E"/>
    <w:rsid w:val="004F5CD9"/>
    <w:rsid w:val="004F5D41"/>
    <w:rsid w:val="004F5F22"/>
    <w:rsid w:val="004F6259"/>
    <w:rsid w:val="004F6386"/>
    <w:rsid w:val="004F63D2"/>
    <w:rsid w:val="004F645D"/>
    <w:rsid w:val="004F678D"/>
    <w:rsid w:val="004F6844"/>
    <w:rsid w:val="004F6997"/>
    <w:rsid w:val="004F6AF2"/>
    <w:rsid w:val="004F6CB1"/>
    <w:rsid w:val="004F6CCD"/>
    <w:rsid w:val="004F6E0B"/>
    <w:rsid w:val="004F6E35"/>
    <w:rsid w:val="004F6F04"/>
    <w:rsid w:val="004F725E"/>
    <w:rsid w:val="004F72F7"/>
    <w:rsid w:val="004F7537"/>
    <w:rsid w:val="004F7637"/>
    <w:rsid w:val="004F7706"/>
    <w:rsid w:val="004F777B"/>
    <w:rsid w:val="004F77A1"/>
    <w:rsid w:val="004F794F"/>
    <w:rsid w:val="004F7B06"/>
    <w:rsid w:val="004F7B8D"/>
    <w:rsid w:val="004F7C3B"/>
    <w:rsid w:val="004F7C43"/>
    <w:rsid w:val="004F7F84"/>
    <w:rsid w:val="0050019E"/>
    <w:rsid w:val="005001F7"/>
    <w:rsid w:val="005002D9"/>
    <w:rsid w:val="005002DB"/>
    <w:rsid w:val="0050033A"/>
    <w:rsid w:val="00500348"/>
    <w:rsid w:val="0050089B"/>
    <w:rsid w:val="00500A13"/>
    <w:rsid w:val="00500C2C"/>
    <w:rsid w:val="00500C97"/>
    <w:rsid w:val="00500D3E"/>
    <w:rsid w:val="00500F55"/>
    <w:rsid w:val="00501320"/>
    <w:rsid w:val="0050135E"/>
    <w:rsid w:val="005013C6"/>
    <w:rsid w:val="00501707"/>
    <w:rsid w:val="0050178C"/>
    <w:rsid w:val="00501A62"/>
    <w:rsid w:val="00501B46"/>
    <w:rsid w:val="00501B6D"/>
    <w:rsid w:val="00501BB1"/>
    <w:rsid w:val="00501C3F"/>
    <w:rsid w:val="00501D03"/>
    <w:rsid w:val="00501FF5"/>
    <w:rsid w:val="00502076"/>
    <w:rsid w:val="0050212F"/>
    <w:rsid w:val="005022C6"/>
    <w:rsid w:val="00502420"/>
    <w:rsid w:val="00502464"/>
    <w:rsid w:val="00502680"/>
    <w:rsid w:val="00502724"/>
    <w:rsid w:val="005027F4"/>
    <w:rsid w:val="0050280B"/>
    <w:rsid w:val="005028A3"/>
    <w:rsid w:val="005028CF"/>
    <w:rsid w:val="00502946"/>
    <w:rsid w:val="005029F9"/>
    <w:rsid w:val="00502A4C"/>
    <w:rsid w:val="00502C15"/>
    <w:rsid w:val="00502D25"/>
    <w:rsid w:val="00502D5E"/>
    <w:rsid w:val="00502DB6"/>
    <w:rsid w:val="00502E15"/>
    <w:rsid w:val="00502E1A"/>
    <w:rsid w:val="00502E40"/>
    <w:rsid w:val="00502EE5"/>
    <w:rsid w:val="00502FB2"/>
    <w:rsid w:val="005031A0"/>
    <w:rsid w:val="00503238"/>
    <w:rsid w:val="0050330C"/>
    <w:rsid w:val="0050350C"/>
    <w:rsid w:val="00503633"/>
    <w:rsid w:val="005037E6"/>
    <w:rsid w:val="00503890"/>
    <w:rsid w:val="00503927"/>
    <w:rsid w:val="00503AF2"/>
    <w:rsid w:val="00503AF7"/>
    <w:rsid w:val="00503C21"/>
    <w:rsid w:val="00503C78"/>
    <w:rsid w:val="00503CEE"/>
    <w:rsid w:val="00503E70"/>
    <w:rsid w:val="00503F22"/>
    <w:rsid w:val="005043A7"/>
    <w:rsid w:val="00504582"/>
    <w:rsid w:val="00504691"/>
    <w:rsid w:val="0050499C"/>
    <w:rsid w:val="00504B6B"/>
    <w:rsid w:val="00504C6F"/>
    <w:rsid w:val="00504C97"/>
    <w:rsid w:val="00504ED7"/>
    <w:rsid w:val="00504EE2"/>
    <w:rsid w:val="00504F7C"/>
    <w:rsid w:val="0050516D"/>
    <w:rsid w:val="0050537A"/>
    <w:rsid w:val="0050552E"/>
    <w:rsid w:val="0050554D"/>
    <w:rsid w:val="005056ED"/>
    <w:rsid w:val="00505917"/>
    <w:rsid w:val="00505942"/>
    <w:rsid w:val="00505A08"/>
    <w:rsid w:val="00505AC0"/>
    <w:rsid w:val="00505D8A"/>
    <w:rsid w:val="00505D93"/>
    <w:rsid w:val="00505D98"/>
    <w:rsid w:val="00505F60"/>
    <w:rsid w:val="00505FB6"/>
    <w:rsid w:val="005061B3"/>
    <w:rsid w:val="0050626B"/>
    <w:rsid w:val="005062DB"/>
    <w:rsid w:val="005063C4"/>
    <w:rsid w:val="005064F3"/>
    <w:rsid w:val="00506508"/>
    <w:rsid w:val="00506590"/>
    <w:rsid w:val="005065A5"/>
    <w:rsid w:val="005065E0"/>
    <w:rsid w:val="00506954"/>
    <w:rsid w:val="0050696C"/>
    <w:rsid w:val="0050696E"/>
    <w:rsid w:val="00506972"/>
    <w:rsid w:val="005069D2"/>
    <w:rsid w:val="00506AB5"/>
    <w:rsid w:val="00506AF9"/>
    <w:rsid w:val="00506BAC"/>
    <w:rsid w:val="00506C10"/>
    <w:rsid w:val="00506CDC"/>
    <w:rsid w:val="00506CF3"/>
    <w:rsid w:val="00506DD8"/>
    <w:rsid w:val="00506ED2"/>
    <w:rsid w:val="00506FC5"/>
    <w:rsid w:val="005070DE"/>
    <w:rsid w:val="00507134"/>
    <w:rsid w:val="005071B5"/>
    <w:rsid w:val="005071BB"/>
    <w:rsid w:val="005072EE"/>
    <w:rsid w:val="0050737E"/>
    <w:rsid w:val="005073A1"/>
    <w:rsid w:val="005073AF"/>
    <w:rsid w:val="005078CE"/>
    <w:rsid w:val="00507936"/>
    <w:rsid w:val="00507A02"/>
    <w:rsid w:val="00507AB6"/>
    <w:rsid w:val="00507BE4"/>
    <w:rsid w:val="00507C9E"/>
    <w:rsid w:val="00507D48"/>
    <w:rsid w:val="00507DEE"/>
    <w:rsid w:val="00507E43"/>
    <w:rsid w:val="00507FDB"/>
    <w:rsid w:val="005100BD"/>
    <w:rsid w:val="005100F3"/>
    <w:rsid w:val="005105C0"/>
    <w:rsid w:val="00510769"/>
    <w:rsid w:val="00510878"/>
    <w:rsid w:val="005109B9"/>
    <w:rsid w:val="00510A1D"/>
    <w:rsid w:val="00510C89"/>
    <w:rsid w:val="00510D8C"/>
    <w:rsid w:val="00510DC9"/>
    <w:rsid w:val="00510FD3"/>
    <w:rsid w:val="0051108E"/>
    <w:rsid w:val="00511204"/>
    <w:rsid w:val="005112F2"/>
    <w:rsid w:val="00511433"/>
    <w:rsid w:val="00511563"/>
    <w:rsid w:val="00511630"/>
    <w:rsid w:val="00511727"/>
    <w:rsid w:val="005117A0"/>
    <w:rsid w:val="005117BA"/>
    <w:rsid w:val="00511817"/>
    <w:rsid w:val="0051186E"/>
    <w:rsid w:val="005119DA"/>
    <w:rsid w:val="005119FB"/>
    <w:rsid w:val="00511ABB"/>
    <w:rsid w:val="00511C72"/>
    <w:rsid w:val="00511C78"/>
    <w:rsid w:val="00511D54"/>
    <w:rsid w:val="00511D79"/>
    <w:rsid w:val="00511DDB"/>
    <w:rsid w:val="00511DE9"/>
    <w:rsid w:val="00511F16"/>
    <w:rsid w:val="00511F93"/>
    <w:rsid w:val="00512080"/>
    <w:rsid w:val="0051213B"/>
    <w:rsid w:val="00512227"/>
    <w:rsid w:val="00512269"/>
    <w:rsid w:val="005122C5"/>
    <w:rsid w:val="005123B1"/>
    <w:rsid w:val="005124CA"/>
    <w:rsid w:val="00512500"/>
    <w:rsid w:val="0051257D"/>
    <w:rsid w:val="00512AED"/>
    <w:rsid w:val="00512B19"/>
    <w:rsid w:val="00512BA0"/>
    <w:rsid w:val="00512D3F"/>
    <w:rsid w:val="00512E7E"/>
    <w:rsid w:val="00513009"/>
    <w:rsid w:val="0051300C"/>
    <w:rsid w:val="0051306C"/>
    <w:rsid w:val="005131E0"/>
    <w:rsid w:val="005132E5"/>
    <w:rsid w:val="00513310"/>
    <w:rsid w:val="0051334C"/>
    <w:rsid w:val="0051338B"/>
    <w:rsid w:val="0051347C"/>
    <w:rsid w:val="0051352E"/>
    <w:rsid w:val="005136C3"/>
    <w:rsid w:val="00513747"/>
    <w:rsid w:val="00513974"/>
    <w:rsid w:val="005139FF"/>
    <w:rsid w:val="00513B66"/>
    <w:rsid w:val="00513B6B"/>
    <w:rsid w:val="00513EBD"/>
    <w:rsid w:val="00513EFA"/>
    <w:rsid w:val="00513F16"/>
    <w:rsid w:val="00513F37"/>
    <w:rsid w:val="00513F79"/>
    <w:rsid w:val="00513FB4"/>
    <w:rsid w:val="00514071"/>
    <w:rsid w:val="005140B4"/>
    <w:rsid w:val="005140B9"/>
    <w:rsid w:val="00514154"/>
    <w:rsid w:val="00514366"/>
    <w:rsid w:val="00514450"/>
    <w:rsid w:val="00514477"/>
    <w:rsid w:val="00514504"/>
    <w:rsid w:val="0051468C"/>
    <w:rsid w:val="00514712"/>
    <w:rsid w:val="00514B24"/>
    <w:rsid w:val="00514BEE"/>
    <w:rsid w:val="00514C34"/>
    <w:rsid w:val="00514C67"/>
    <w:rsid w:val="00514D5C"/>
    <w:rsid w:val="00514D78"/>
    <w:rsid w:val="00515003"/>
    <w:rsid w:val="005150D8"/>
    <w:rsid w:val="005151AD"/>
    <w:rsid w:val="00515250"/>
    <w:rsid w:val="005152A2"/>
    <w:rsid w:val="005152EC"/>
    <w:rsid w:val="0051533E"/>
    <w:rsid w:val="00515359"/>
    <w:rsid w:val="00515495"/>
    <w:rsid w:val="0051552C"/>
    <w:rsid w:val="00515644"/>
    <w:rsid w:val="00515725"/>
    <w:rsid w:val="005158AF"/>
    <w:rsid w:val="0051592A"/>
    <w:rsid w:val="00515932"/>
    <w:rsid w:val="00515A13"/>
    <w:rsid w:val="00515AB6"/>
    <w:rsid w:val="00515C42"/>
    <w:rsid w:val="00515CD7"/>
    <w:rsid w:val="00515D8A"/>
    <w:rsid w:val="00515EF8"/>
    <w:rsid w:val="00516054"/>
    <w:rsid w:val="0051614F"/>
    <w:rsid w:val="0051629F"/>
    <w:rsid w:val="0051630A"/>
    <w:rsid w:val="0051638F"/>
    <w:rsid w:val="005163F5"/>
    <w:rsid w:val="005164D6"/>
    <w:rsid w:val="005165D2"/>
    <w:rsid w:val="00516685"/>
    <w:rsid w:val="0051677F"/>
    <w:rsid w:val="005168E3"/>
    <w:rsid w:val="00516AEF"/>
    <w:rsid w:val="00516BC1"/>
    <w:rsid w:val="00516EB9"/>
    <w:rsid w:val="00517051"/>
    <w:rsid w:val="005170A9"/>
    <w:rsid w:val="00517202"/>
    <w:rsid w:val="005172C4"/>
    <w:rsid w:val="0051731C"/>
    <w:rsid w:val="00517385"/>
    <w:rsid w:val="005173E7"/>
    <w:rsid w:val="0051754B"/>
    <w:rsid w:val="005175DA"/>
    <w:rsid w:val="00517680"/>
    <w:rsid w:val="005176ED"/>
    <w:rsid w:val="0051779F"/>
    <w:rsid w:val="005179E6"/>
    <w:rsid w:val="00517A4B"/>
    <w:rsid w:val="00517AAF"/>
    <w:rsid w:val="00517AF5"/>
    <w:rsid w:val="00517C0B"/>
    <w:rsid w:val="00517C31"/>
    <w:rsid w:val="00517C9F"/>
    <w:rsid w:val="00517D46"/>
    <w:rsid w:val="00517DC1"/>
    <w:rsid w:val="00520149"/>
    <w:rsid w:val="005203D4"/>
    <w:rsid w:val="00520546"/>
    <w:rsid w:val="0052068E"/>
    <w:rsid w:val="005207DD"/>
    <w:rsid w:val="005207FA"/>
    <w:rsid w:val="00520960"/>
    <w:rsid w:val="00520CDD"/>
    <w:rsid w:val="00520DC6"/>
    <w:rsid w:val="00520E80"/>
    <w:rsid w:val="00521036"/>
    <w:rsid w:val="0052107A"/>
    <w:rsid w:val="005210F3"/>
    <w:rsid w:val="005212CA"/>
    <w:rsid w:val="00521527"/>
    <w:rsid w:val="00521641"/>
    <w:rsid w:val="00521661"/>
    <w:rsid w:val="00521700"/>
    <w:rsid w:val="0052177A"/>
    <w:rsid w:val="00521878"/>
    <w:rsid w:val="00521A16"/>
    <w:rsid w:val="00521C04"/>
    <w:rsid w:val="00521C18"/>
    <w:rsid w:val="00521CBD"/>
    <w:rsid w:val="00521CC2"/>
    <w:rsid w:val="00521CE1"/>
    <w:rsid w:val="00521D75"/>
    <w:rsid w:val="00521F23"/>
    <w:rsid w:val="00521F5C"/>
    <w:rsid w:val="005220D8"/>
    <w:rsid w:val="005221DD"/>
    <w:rsid w:val="0052238D"/>
    <w:rsid w:val="005226C0"/>
    <w:rsid w:val="005226FD"/>
    <w:rsid w:val="0052293A"/>
    <w:rsid w:val="00522967"/>
    <w:rsid w:val="00522A50"/>
    <w:rsid w:val="00522B6E"/>
    <w:rsid w:val="00522D2E"/>
    <w:rsid w:val="00522DA1"/>
    <w:rsid w:val="00522E7B"/>
    <w:rsid w:val="00523052"/>
    <w:rsid w:val="00523092"/>
    <w:rsid w:val="0052331C"/>
    <w:rsid w:val="00523370"/>
    <w:rsid w:val="00523371"/>
    <w:rsid w:val="00523615"/>
    <w:rsid w:val="00523790"/>
    <w:rsid w:val="00523803"/>
    <w:rsid w:val="0052394E"/>
    <w:rsid w:val="00523B52"/>
    <w:rsid w:val="00523C54"/>
    <w:rsid w:val="00523CBD"/>
    <w:rsid w:val="00523EC8"/>
    <w:rsid w:val="00523F03"/>
    <w:rsid w:val="00523FFD"/>
    <w:rsid w:val="005240B3"/>
    <w:rsid w:val="00524182"/>
    <w:rsid w:val="00524335"/>
    <w:rsid w:val="005243C1"/>
    <w:rsid w:val="00524526"/>
    <w:rsid w:val="00524566"/>
    <w:rsid w:val="0052456E"/>
    <w:rsid w:val="005245F9"/>
    <w:rsid w:val="005246BF"/>
    <w:rsid w:val="005246C2"/>
    <w:rsid w:val="00524785"/>
    <w:rsid w:val="005247F3"/>
    <w:rsid w:val="00524832"/>
    <w:rsid w:val="005248BE"/>
    <w:rsid w:val="005248E0"/>
    <w:rsid w:val="00524AB1"/>
    <w:rsid w:val="00524B33"/>
    <w:rsid w:val="00524BDF"/>
    <w:rsid w:val="00524BFB"/>
    <w:rsid w:val="00524C4D"/>
    <w:rsid w:val="00524DA8"/>
    <w:rsid w:val="00524DB2"/>
    <w:rsid w:val="00524E13"/>
    <w:rsid w:val="00524E5C"/>
    <w:rsid w:val="00524EB1"/>
    <w:rsid w:val="00524EF3"/>
    <w:rsid w:val="00524F07"/>
    <w:rsid w:val="005251AC"/>
    <w:rsid w:val="005252CD"/>
    <w:rsid w:val="00525306"/>
    <w:rsid w:val="0052542F"/>
    <w:rsid w:val="005254A0"/>
    <w:rsid w:val="00525536"/>
    <w:rsid w:val="005257CD"/>
    <w:rsid w:val="005258B2"/>
    <w:rsid w:val="0052599F"/>
    <w:rsid w:val="00525AF4"/>
    <w:rsid w:val="00525C60"/>
    <w:rsid w:val="00525C73"/>
    <w:rsid w:val="00525C88"/>
    <w:rsid w:val="00525D2C"/>
    <w:rsid w:val="00525E5C"/>
    <w:rsid w:val="00525F4F"/>
    <w:rsid w:val="00526408"/>
    <w:rsid w:val="00526667"/>
    <w:rsid w:val="00526704"/>
    <w:rsid w:val="005268AF"/>
    <w:rsid w:val="00526978"/>
    <w:rsid w:val="00526A27"/>
    <w:rsid w:val="00526A42"/>
    <w:rsid w:val="00526AA5"/>
    <w:rsid w:val="00526E22"/>
    <w:rsid w:val="00526E7F"/>
    <w:rsid w:val="00527234"/>
    <w:rsid w:val="0052727D"/>
    <w:rsid w:val="005272A7"/>
    <w:rsid w:val="00527477"/>
    <w:rsid w:val="005274C4"/>
    <w:rsid w:val="005278AB"/>
    <w:rsid w:val="00527960"/>
    <w:rsid w:val="00527BCF"/>
    <w:rsid w:val="00527C8B"/>
    <w:rsid w:val="00527CA1"/>
    <w:rsid w:val="00527DD5"/>
    <w:rsid w:val="00527F33"/>
    <w:rsid w:val="0053004D"/>
    <w:rsid w:val="00530241"/>
    <w:rsid w:val="0053025E"/>
    <w:rsid w:val="00530268"/>
    <w:rsid w:val="0053050B"/>
    <w:rsid w:val="0053075B"/>
    <w:rsid w:val="00530891"/>
    <w:rsid w:val="00530A09"/>
    <w:rsid w:val="00530A99"/>
    <w:rsid w:val="00530B09"/>
    <w:rsid w:val="00530B73"/>
    <w:rsid w:val="00530BA2"/>
    <w:rsid w:val="00530F83"/>
    <w:rsid w:val="00531097"/>
    <w:rsid w:val="005310DF"/>
    <w:rsid w:val="005311F0"/>
    <w:rsid w:val="00531421"/>
    <w:rsid w:val="00531451"/>
    <w:rsid w:val="0053145E"/>
    <w:rsid w:val="005315A2"/>
    <w:rsid w:val="005315FA"/>
    <w:rsid w:val="0053164A"/>
    <w:rsid w:val="005316E4"/>
    <w:rsid w:val="0053175A"/>
    <w:rsid w:val="005317B8"/>
    <w:rsid w:val="005317FC"/>
    <w:rsid w:val="005318FD"/>
    <w:rsid w:val="00531A3E"/>
    <w:rsid w:val="00531AD8"/>
    <w:rsid w:val="00531C0E"/>
    <w:rsid w:val="00531C74"/>
    <w:rsid w:val="00531E4B"/>
    <w:rsid w:val="00531E59"/>
    <w:rsid w:val="00531E80"/>
    <w:rsid w:val="00531EC2"/>
    <w:rsid w:val="00531F29"/>
    <w:rsid w:val="00532223"/>
    <w:rsid w:val="00532657"/>
    <w:rsid w:val="0053266D"/>
    <w:rsid w:val="00532756"/>
    <w:rsid w:val="005327AA"/>
    <w:rsid w:val="00532805"/>
    <w:rsid w:val="0053293F"/>
    <w:rsid w:val="00532AD6"/>
    <w:rsid w:val="00532E9E"/>
    <w:rsid w:val="00532EF4"/>
    <w:rsid w:val="005330A4"/>
    <w:rsid w:val="005330CD"/>
    <w:rsid w:val="00533254"/>
    <w:rsid w:val="00533303"/>
    <w:rsid w:val="005336C3"/>
    <w:rsid w:val="00533A67"/>
    <w:rsid w:val="00533AE9"/>
    <w:rsid w:val="00533CE4"/>
    <w:rsid w:val="00533D26"/>
    <w:rsid w:val="00533DC6"/>
    <w:rsid w:val="00533E91"/>
    <w:rsid w:val="00533E92"/>
    <w:rsid w:val="00533F46"/>
    <w:rsid w:val="00533F70"/>
    <w:rsid w:val="00533F94"/>
    <w:rsid w:val="0053400D"/>
    <w:rsid w:val="005341A1"/>
    <w:rsid w:val="0053426C"/>
    <w:rsid w:val="005342B9"/>
    <w:rsid w:val="00534696"/>
    <w:rsid w:val="005346AE"/>
    <w:rsid w:val="00534840"/>
    <w:rsid w:val="0053490F"/>
    <w:rsid w:val="00534920"/>
    <w:rsid w:val="005349BA"/>
    <w:rsid w:val="00534B53"/>
    <w:rsid w:val="00534BA2"/>
    <w:rsid w:val="00534E6C"/>
    <w:rsid w:val="00534FA9"/>
    <w:rsid w:val="0053538F"/>
    <w:rsid w:val="0053539C"/>
    <w:rsid w:val="005353A2"/>
    <w:rsid w:val="00535AD0"/>
    <w:rsid w:val="00535C5D"/>
    <w:rsid w:val="00535C8D"/>
    <w:rsid w:val="00535CDB"/>
    <w:rsid w:val="00535F65"/>
    <w:rsid w:val="00535F83"/>
    <w:rsid w:val="00535FD4"/>
    <w:rsid w:val="005361AE"/>
    <w:rsid w:val="005361DB"/>
    <w:rsid w:val="005361E4"/>
    <w:rsid w:val="00536229"/>
    <w:rsid w:val="00536284"/>
    <w:rsid w:val="005363AC"/>
    <w:rsid w:val="005364E5"/>
    <w:rsid w:val="005365BD"/>
    <w:rsid w:val="005366FA"/>
    <w:rsid w:val="00536896"/>
    <w:rsid w:val="00536B80"/>
    <w:rsid w:val="00536DC4"/>
    <w:rsid w:val="00536E8C"/>
    <w:rsid w:val="00536F64"/>
    <w:rsid w:val="00536F72"/>
    <w:rsid w:val="0053714C"/>
    <w:rsid w:val="0053721C"/>
    <w:rsid w:val="0053742C"/>
    <w:rsid w:val="00537532"/>
    <w:rsid w:val="005375AA"/>
    <w:rsid w:val="00537611"/>
    <w:rsid w:val="00537614"/>
    <w:rsid w:val="00537881"/>
    <w:rsid w:val="00537A50"/>
    <w:rsid w:val="00537CA1"/>
    <w:rsid w:val="00537CD9"/>
    <w:rsid w:val="00537E81"/>
    <w:rsid w:val="00537EE0"/>
    <w:rsid w:val="00540037"/>
    <w:rsid w:val="00540050"/>
    <w:rsid w:val="005400A2"/>
    <w:rsid w:val="00540230"/>
    <w:rsid w:val="005404D3"/>
    <w:rsid w:val="005406B7"/>
    <w:rsid w:val="005407BC"/>
    <w:rsid w:val="00540879"/>
    <w:rsid w:val="00540A82"/>
    <w:rsid w:val="00540B1A"/>
    <w:rsid w:val="00540D20"/>
    <w:rsid w:val="00540D91"/>
    <w:rsid w:val="0054111F"/>
    <w:rsid w:val="0054117E"/>
    <w:rsid w:val="0054118B"/>
    <w:rsid w:val="00541338"/>
    <w:rsid w:val="00541396"/>
    <w:rsid w:val="005413FC"/>
    <w:rsid w:val="0054141D"/>
    <w:rsid w:val="005415FF"/>
    <w:rsid w:val="00541820"/>
    <w:rsid w:val="005418A1"/>
    <w:rsid w:val="00541A41"/>
    <w:rsid w:val="00541A78"/>
    <w:rsid w:val="00541B81"/>
    <w:rsid w:val="00541D9B"/>
    <w:rsid w:val="00542032"/>
    <w:rsid w:val="00542157"/>
    <w:rsid w:val="005422C4"/>
    <w:rsid w:val="005423BE"/>
    <w:rsid w:val="005423E0"/>
    <w:rsid w:val="00542447"/>
    <w:rsid w:val="00542719"/>
    <w:rsid w:val="00542779"/>
    <w:rsid w:val="00542879"/>
    <w:rsid w:val="00542ACB"/>
    <w:rsid w:val="00542AEF"/>
    <w:rsid w:val="00542BCE"/>
    <w:rsid w:val="00542D6F"/>
    <w:rsid w:val="00542E67"/>
    <w:rsid w:val="00542FF1"/>
    <w:rsid w:val="00543037"/>
    <w:rsid w:val="00543050"/>
    <w:rsid w:val="0054306F"/>
    <w:rsid w:val="00543346"/>
    <w:rsid w:val="005433AF"/>
    <w:rsid w:val="005433BA"/>
    <w:rsid w:val="005433C7"/>
    <w:rsid w:val="00543494"/>
    <w:rsid w:val="00543A51"/>
    <w:rsid w:val="00543B30"/>
    <w:rsid w:val="00543E61"/>
    <w:rsid w:val="00543F2C"/>
    <w:rsid w:val="005441FE"/>
    <w:rsid w:val="00544271"/>
    <w:rsid w:val="00544485"/>
    <w:rsid w:val="005446F4"/>
    <w:rsid w:val="00544878"/>
    <w:rsid w:val="00544B3C"/>
    <w:rsid w:val="00544CAA"/>
    <w:rsid w:val="00544DD2"/>
    <w:rsid w:val="00544E62"/>
    <w:rsid w:val="00544F3C"/>
    <w:rsid w:val="0054507C"/>
    <w:rsid w:val="00545194"/>
    <w:rsid w:val="0054525F"/>
    <w:rsid w:val="0054537F"/>
    <w:rsid w:val="005453EF"/>
    <w:rsid w:val="005454AF"/>
    <w:rsid w:val="00545852"/>
    <w:rsid w:val="00545AAE"/>
    <w:rsid w:val="00545FE2"/>
    <w:rsid w:val="00546036"/>
    <w:rsid w:val="0054610B"/>
    <w:rsid w:val="005461E9"/>
    <w:rsid w:val="00546544"/>
    <w:rsid w:val="00546572"/>
    <w:rsid w:val="0054657B"/>
    <w:rsid w:val="00546603"/>
    <w:rsid w:val="00546639"/>
    <w:rsid w:val="0054669E"/>
    <w:rsid w:val="00546779"/>
    <w:rsid w:val="0054681E"/>
    <w:rsid w:val="005468EF"/>
    <w:rsid w:val="0054698A"/>
    <w:rsid w:val="00546A65"/>
    <w:rsid w:val="00546B4B"/>
    <w:rsid w:val="00546BA8"/>
    <w:rsid w:val="00546D03"/>
    <w:rsid w:val="00546D6F"/>
    <w:rsid w:val="00546D98"/>
    <w:rsid w:val="00546F2C"/>
    <w:rsid w:val="00546F71"/>
    <w:rsid w:val="005470D4"/>
    <w:rsid w:val="005471A0"/>
    <w:rsid w:val="00547329"/>
    <w:rsid w:val="0054745F"/>
    <w:rsid w:val="00547472"/>
    <w:rsid w:val="005476BF"/>
    <w:rsid w:val="005477AC"/>
    <w:rsid w:val="00547806"/>
    <w:rsid w:val="0054787F"/>
    <w:rsid w:val="00547AE6"/>
    <w:rsid w:val="00547B4A"/>
    <w:rsid w:val="00547D42"/>
    <w:rsid w:val="00550085"/>
    <w:rsid w:val="005500A3"/>
    <w:rsid w:val="00550111"/>
    <w:rsid w:val="0055017E"/>
    <w:rsid w:val="00550357"/>
    <w:rsid w:val="00550482"/>
    <w:rsid w:val="0055059E"/>
    <w:rsid w:val="005509FE"/>
    <w:rsid w:val="00550BF4"/>
    <w:rsid w:val="00550BF5"/>
    <w:rsid w:val="00550D6E"/>
    <w:rsid w:val="00550DC1"/>
    <w:rsid w:val="00550F4A"/>
    <w:rsid w:val="00550F77"/>
    <w:rsid w:val="00551078"/>
    <w:rsid w:val="00551117"/>
    <w:rsid w:val="005511B1"/>
    <w:rsid w:val="0055131D"/>
    <w:rsid w:val="00551412"/>
    <w:rsid w:val="00551428"/>
    <w:rsid w:val="0055142A"/>
    <w:rsid w:val="00551597"/>
    <w:rsid w:val="0055167B"/>
    <w:rsid w:val="0055171C"/>
    <w:rsid w:val="00551762"/>
    <w:rsid w:val="005518B6"/>
    <w:rsid w:val="005519DB"/>
    <w:rsid w:val="00551A5C"/>
    <w:rsid w:val="00551B1A"/>
    <w:rsid w:val="00551C0F"/>
    <w:rsid w:val="00551C18"/>
    <w:rsid w:val="00551CDA"/>
    <w:rsid w:val="00551D45"/>
    <w:rsid w:val="00551EBF"/>
    <w:rsid w:val="00551F33"/>
    <w:rsid w:val="00551F9D"/>
    <w:rsid w:val="00552004"/>
    <w:rsid w:val="00552178"/>
    <w:rsid w:val="0055221E"/>
    <w:rsid w:val="005522A1"/>
    <w:rsid w:val="005523C6"/>
    <w:rsid w:val="0055266B"/>
    <w:rsid w:val="00552A4A"/>
    <w:rsid w:val="00552C82"/>
    <w:rsid w:val="00552CC1"/>
    <w:rsid w:val="00552DBC"/>
    <w:rsid w:val="00552DD3"/>
    <w:rsid w:val="00552DDE"/>
    <w:rsid w:val="00552F45"/>
    <w:rsid w:val="0055324A"/>
    <w:rsid w:val="00553257"/>
    <w:rsid w:val="005532F9"/>
    <w:rsid w:val="0055333B"/>
    <w:rsid w:val="00553421"/>
    <w:rsid w:val="00553426"/>
    <w:rsid w:val="00553439"/>
    <w:rsid w:val="005535CD"/>
    <w:rsid w:val="005536C2"/>
    <w:rsid w:val="005536C7"/>
    <w:rsid w:val="00553A78"/>
    <w:rsid w:val="00553B12"/>
    <w:rsid w:val="00553B75"/>
    <w:rsid w:val="00553C2A"/>
    <w:rsid w:val="00553EF2"/>
    <w:rsid w:val="00553FE7"/>
    <w:rsid w:val="0055404C"/>
    <w:rsid w:val="005542ED"/>
    <w:rsid w:val="00554722"/>
    <w:rsid w:val="0055492D"/>
    <w:rsid w:val="00554A7D"/>
    <w:rsid w:val="00554AD9"/>
    <w:rsid w:val="00554B86"/>
    <w:rsid w:val="00554C1F"/>
    <w:rsid w:val="00554C8F"/>
    <w:rsid w:val="00554D90"/>
    <w:rsid w:val="00554E42"/>
    <w:rsid w:val="00554F36"/>
    <w:rsid w:val="005552F9"/>
    <w:rsid w:val="005554D7"/>
    <w:rsid w:val="005555A9"/>
    <w:rsid w:val="005555D3"/>
    <w:rsid w:val="005555EB"/>
    <w:rsid w:val="005556AE"/>
    <w:rsid w:val="005556CB"/>
    <w:rsid w:val="005556ED"/>
    <w:rsid w:val="005557BF"/>
    <w:rsid w:val="0055593C"/>
    <w:rsid w:val="00555A9F"/>
    <w:rsid w:val="00555AC7"/>
    <w:rsid w:val="00555D0A"/>
    <w:rsid w:val="00555F66"/>
    <w:rsid w:val="00555FCE"/>
    <w:rsid w:val="00556055"/>
    <w:rsid w:val="005560CF"/>
    <w:rsid w:val="005562F9"/>
    <w:rsid w:val="0055632A"/>
    <w:rsid w:val="00556523"/>
    <w:rsid w:val="00556551"/>
    <w:rsid w:val="00556604"/>
    <w:rsid w:val="00556685"/>
    <w:rsid w:val="0055672D"/>
    <w:rsid w:val="0055677B"/>
    <w:rsid w:val="00556837"/>
    <w:rsid w:val="005569CF"/>
    <w:rsid w:val="00556ABF"/>
    <w:rsid w:val="00556BAD"/>
    <w:rsid w:val="00556C0C"/>
    <w:rsid w:val="00556C5A"/>
    <w:rsid w:val="00556CB0"/>
    <w:rsid w:val="00556E01"/>
    <w:rsid w:val="00556F59"/>
    <w:rsid w:val="005571AB"/>
    <w:rsid w:val="005571DA"/>
    <w:rsid w:val="0055738F"/>
    <w:rsid w:val="00557599"/>
    <w:rsid w:val="005577B6"/>
    <w:rsid w:val="00557AC4"/>
    <w:rsid w:val="00557AE6"/>
    <w:rsid w:val="00557BDC"/>
    <w:rsid w:val="00557C28"/>
    <w:rsid w:val="00557C9C"/>
    <w:rsid w:val="00560137"/>
    <w:rsid w:val="00560277"/>
    <w:rsid w:val="0056028D"/>
    <w:rsid w:val="005603F1"/>
    <w:rsid w:val="00560472"/>
    <w:rsid w:val="0056050B"/>
    <w:rsid w:val="0056062B"/>
    <w:rsid w:val="00560724"/>
    <w:rsid w:val="005607A2"/>
    <w:rsid w:val="005608D1"/>
    <w:rsid w:val="00560979"/>
    <w:rsid w:val="00560A37"/>
    <w:rsid w:val="00560ACE"/>
    <w:rsid w:val="00560B6F"/>
    <w:rsid w:val="00560D8E"/>
    <w:rsid w:val="00560DA5"/>
    <w:rsid w:val="00560E49"/>
    <w:rsid w:val="00560FA4"/>
    <w:rsid w:val="00560FB1"/>
    <w:rsid w:val="00561135"/>
    <w:rsid w:val="00561173"/>
    <w:rsid w:val="005612B0"/>
    <w:rsid w:val="00561337"/>
    <w:rsid w:val="00561352"/>
    <w:rsid w:val="00561363"/>
    <w:rsid w:val="00561374"/>
    <w:rsid w:val="005613C6"/>
    <w:rsid w:val="00561607"/>
    <w:rsid w:val="0056177B"/>
    <w:rsid w:val="00561831"/>
    <w:rsid w:val="00561922"/>
    <w:rsid w:val="00561B91"/>
    <w:rsid w:val="00561B99"/>
    <w:rsid w:val="00561BA4"/>
    <w:rsid w:val="00561BB7"/>
    <w:rsid w:val="00561CC9"/>
    <w:rsid w:val="00562005"/>
    <w:rsid w:val="00562145"/>
    <w:rsid w:val="00562175"/>
    <w:rsid w:val="00562179"/>
    <w:rsid w:val="005622CB"/>
    <w:rsid w:val="005623E3"/>
    <w:rsid w:val="00562459"/>
    <w:rsid w:val="0056289B"/>
    <w:rsid w:val="00562D08"/>
    <w:rsid w:val="00562D92"/>
    <w:rsid w:val="00562E89"/>
    <w:rsid w:val="00562F1F"/>
    <w:rsid w:val="0056304C"/>
    <w:rsid w:val="005633DC"/>
    <w:rsid w:val="005633F2"/>
    <w:rsid w:val="005633F3"/>
    <w:rsid w:val="005634CD"/>
    <w:rsid w:val="0056353B"/>
    <w:rsid w:val="0056360F"/>
    <w:rsid w:val="0056371A"/>
    <w:rsid w:val="0056372D"/>
    <w:rsid w:val="0056381B"/>
    <w:rsid w:val="00563B60"/>
    <w:rsid w:val="00563B9F"/>
    <w:rsid w:val="00563CC9"/>
    <w:rsid w:val="00563CFE"/>
    <w:rsid w:val="00563E32"/>
    <w:rsid w:val="0056419E"/>
    <w:rsid w:val="005641A0"/>
    <w:rsid w:val="005641DB"/>
    <w:rsid w:val="00564464"/>
    <w:rsid w:val="0056475D"/>
    <w:rsid w:val="0056487C"/>
    <w:rsid w:val="00564A38"/>
    <w:rsid w:val="00564A74"/>
    <w:rsid w:val="00564B24"/>
    <w:rsid w:val="0056500F"/>
    <w:rsid w:val="005651BD"/>
    <w:rsid w:val="0056544D"/>
    <w:rsid w:val="00565499"/>
    <w:rsid w:val="005654BB"/>
    <w:rsid w:val="005656FD"/>
    <w:rsid w:val="0056575E"/>
    <w:rsid w:val="00565887"/>
    <w:rsid w:val="005658B8"/>
    <w:rsid w:val="005658E7"/>
    <w:rsid w:val="00565A7B"/>
    <w:rsid w:val="00565C8A"/>
    <w:rsid w:val="00565D57"/>
    <w:rsid w:val="00565D6B"/>
    <w:rsid w:val="00565D97"/>
    <w:rsid w:val="00565E6C"/>
    <w:rsid w:val="00565E89"/>
    <w:rsid w:val="00565E96"/>
    <w:rsid w:val="00565EF6"/>
    <w:rsid w:val="0056605E"/>
    <w:rsid w:val="00566075"/>
    <w:rsid w:val="0056610C"/>
    <w:rsid w:val="005661E4"/>
    <w:rsid w:val="00566279"/>
    <w:rsid w:val="005662AD"/>
    <w:rsid w:val="0056631B"/>
    <w:rsid w:val="0056637F"/>
    <w:rsid w:val="005665A0"/>
    <w:rsid w:val="0056691B"/>
    <w:rsid w:val="005669CC"/>
    <w:rsid w:val="00566A59"/>
    <w:rsid w:val="00566AE4"/>
    <w:rsid w:val="00566F31"/>
    <w:rsid w:val="00566F6C"/>
    <w:rsid w:val="00567029"/>
    <w:rsid w:val="005670DF"/>
    <w:rsid w:val="00567180"/>
    <w:rsid w:val="00567262"/>
    <w:rsid w:val="00567269"/>
    <w:rsid w:val="00567635"/>
    <w:rsid w:val="0056781C"/>
    <w:rsid w:val="005678D5"/>
    <w:rsid w:val="00567B85"/>
    <w:rsid w:val="00567C87"/>
    <w:rsid w:val="00567E31"/>
    <w:rsid w:val="00567F6E"/>
    <w:rsid w:val="00570100"/>
    <w:rsid w:val="005701A4"/>
    <w:rsid w:val="0057023F"/>
    <w:rsid w:val="0057037E"/>
    <w:rsid w:val="005703E3"/>
    <w:rsid w:val="005705E7"/>
    <w:rsid w:val="00570661"/>
    <w:rsid w:val="00570781"/>
    <w:rsid w:val="00570932"/>
    <w:rsid w:val="00570975"/>
    <w:rsid w:val="00570A20"/>
    <w:rsid w:val="00570A70"/>
    <w:rsid w:val="00570C0B"/>
    <w:rsid w:val="00570E43"/>
    <w:rsid w:val="00570E7B"/>
    <w:rsid w:val="00570E92"/>
    <w:rsid w:val="00570E97"/>
    <w:rsid w:val="00570FB7"/>
    <w:rsid w:val="00570FE9"/>
    <w:rsid w:val="0057103D"/>
    <w:rsid w:val="00571115"/>
    <w:rsid w:val="00571187"/>
    <w:rsid w:val="00571249"/>
    <w:rsid w:val="005712F9"/>
    <w:rsid w:val="0057132A"/>
    <w:rsid w:val="005714F6"/>
    <w:rsid w:val="00571531"/>
    <w:rsid w:val="00571668"/>
    <w:rsid w:val="005718C7"/>
    <w:rsid w:val="0057193B"/>
    <w:rsid w:val="0057193C"/>
    <w:rsid w:val="00571A4F"/>
    <w:rsid w:val="00571AB5"/>
    <w:rsid w:val="00571B12"/>
    <w:rsid w:val="00571D4D"/>
    <w:rsid w:val="00571D5A"/>
    <w:rsid w:val="00571DD0"/>
    <w:rsid w:val="00571DE8"/>
    <w:rsid w:val="00571DF9"/>
    <w:rsid w:val="0057206F"/>
    <w:rsid w:val="0057208D"/>
    <w:rsid w:val="005720E8"/>
    <w:rsid w:val="005721A0"/>
    <w:rsid w:val="0057228A"/>
    <w:rsid w:val="005722CC"/>
    <w:rsid w:val="005724BA"/>
    <w:rsid w:val="00572585"/>
    <w:rsid w:val="005725A7"/>
    <w:rsid w:val="005726F9"/>
    <w:rsid w:val="00572722"/>
    <w:rsid w:val="0057282A"/>
    <w:rsid w:val="00572845"/>
    <w:rsid w:val="005729AA"/>
    <w:rsid w:val="00572A60"/>
    <w:rsid w:val="00572A8D"/>
    <w:rsid w:val="00572B48"/>
    <w:rsid w:val="00572DDA"/>
    <w:rsid w:val="00572E4D"/>
    <w:rsid w:val="00572EA6"/>
    <w:rsid w:val="00572F09"/>
    <w:rsid w:val="00572FC7"/>
    <w:rsid w:val="00572FD9"/>
    <w:rsid w:val="005731B1"/>
    <w:rsid w:val="00573244"/>
    <w:rsid w:val="00573314"/>
    <w:rsid w:val="00573353"/>
    <w:rsid w:val="0057335F"/>
    <w:rsid w:val="005733C9"/>
    <w:rsid w:val="0057357D"/>
    <w:rsid w:val="00573622"/>
    <w:rsid w:val="005736D2"/>
    <w:rsid w:val="00573BF8"/>
    <w:rsid w:val="00573F22"/>
    <w:rsid w:val="00573F3B"/>
    <w:rsid w:val="00573FE9"/>
    <w:rsid w:val="0057411F"/>
    <w:rsid w:val="0057413D"/>
    <w:rsid w:val="00574192"/>
    <w:rsid w:val="00574591"/>
    <w:rsid w:val="005745B4"/>
    <w:rsid w:val="005745ED"/>
    <w:rsid w:val="00574642"/>
    <w:rsid w:val="0057487E"/>
    <w:rsid w:val="005748CF"/>
    <w:rsid w:val="00574918"/>
    <w:rsid w:val="00574921"/>
    <w:rsid w:val="00574BF4"/>
    <w:rsid w:val="00574C38"/>
    <w:rsid w:val="00574C8C"/>
    <w:rsid w:val="00574D04"/>
    <w:rsid w:val="00574E05"/>
    <w:rsid w:val="00574FB8"/>
    <w:rsid w:val="005752EA"/>
    <w:rsid w:val="005752ED"/>
    <w:rsid w:val="005753F6"/>
    <w:rsid w:val="0057557A"/>
    <w:rsid w:val="005755A7"/>
    <w:rsid w:val="005755D1"/>
    <w:rsid w:val="005759E3"/>
    <w:rsid w:val="00575A49"/>
    <w:rsid w:val="00575CC1"/>
    <w:rsid w:val="00575DBB"/>
    <w:rsid w:val="00575FB4"/>
    <w:rsid w:val="00576162"/>
    <w:rsid w:val="0057628D"/>
    <w:rsid w:val="00576315"/>
    <w:rsid w:val="005763A1"/>
    <w:rsid w:val="005765AF"/>
    <w:rsid w:val="0057678B"/>
    <w:rsid w:val="0057699D"/>
    <w:rsid w:val="00576A37"/>
    <w:rsid w:val="00576BC4"/>
    <w:rsid w:val="00576CA1"/>
    <w:rsid w:val="00576D4F"/>
    <w:rsid w:val="00576F68"/>
    <w:rsid w:val="00576FBC"/>
    <w:rsid w:val="00576FF4"/>
    <w:rsid w:val="0057702D"/>
    <w:rsid w:val="00577105"/>
    <w:rsid w:val="00577162"/>
    <w:rsid w:val="0057717E"/>
    <w:rsid w:val="005772DA"/>
    <w:rsid w:val="00577371"/>
    <w:rsid w:val="00577513"/>
    <w:rsid w:val="00577590"/>
    <w:rsid w:val="00577642"/>
    <w:rsid w:val="00577648"/>
    <w:rsid w:val="00577757"/>
    <w:rsid w:val="0057779D"/>
    <w:rsid w:val="005777FE"/>
    <w:rsid w:val="0057787D"/>
    <w:rsid w:val="0057792E"/>
    <w:rsid w:val="005779A6"/>
    <w:rsid w:val="00577A0F"/>
    <w:rsid w:val="00577AEC"/>
    <w:rsid w:val="00577CA4"/>
    <w:rsid w:val="00577EF2"/>
    <w:rsid w:val="0058011B"/>
    <w:rsid w:val="00580197"/>
    <w:rsid w:val="005801A5"/>
    <w:rsid w:val="00580203"/>
    <w:rsid w:val="00580397"/>
    <w:rsid w:val="0058044F"/>
    <w:rsid w:val="005805C7"/>
    <w:rsid w:val="0058067A"/>
    <w:rsid w:val="0058075D"/>
    <w:rsid w:val="005807AD"/>
    <w:rsid w:val="00580975"/>
    <w:rsid w:val="005809ED"/>
    <w:rsid w:val="005809FF"/>
    <w:rsid w:val="00580B24"/>
    <w:rsid w:val="00580E91"/>
    <w:rsid w:val="00580EFC"/>
    <w:rsid w:val="00581185"/>
    <w:rsid w:val="005812EE"/>
    <w:rsid w:val="00581317"/>
    <w:rsid w:val="0058156D"/>
    <w:rsid w:val="00581812"/>
    <w:rsid w:val="0058192E"/>
    <w:rsid w:val="0058198A"/>
    <w:rsid w:val="00581AD4"/>
    <w:rsid w:val="00581B28"/>
    <w:rsid w:val="00581DD6"/>
    <w:rsid w:val="00581E8D"/>
    <w:rsid w:val="00581E98"/>
    <w:rsid w:val="00581F21"/>
    <w:rsid w:val="00582059"/>
    <w:rsid w:val="0058211E"/>
    <w:rsid w:val="00582311"/>
    <w:rsid w:val="00582388"/>
    <w:rsid w:val="005825CD"/>
    <w:rsid w:val="00582742"/>
    <w:rsid w:val="005828ED"/>
    <w:rsid w:val="00582B8E"/>
    <w:rsid w:val="00582BB1"/>
    <w:rsid w:val="00582C29"/>
    <w:rsid w:val="00582DBE"/>
    <w:rsid w:val="00582E5E"/>
    <w:rsid w:val="005834FA"/>
    <w:rsid w:val="00583515"/>
    <w:rsid w:val="005838B4"/>
    <w:rsid w:val="005839FF"/>
    <w:rsid w:val="00583B08"/>
    <w:rsid w:val="00583D80"/>
    <w:rsid w:val="00583F26"/>
    <w:rsid w:val="00583FBC"/>
    <w:rsid w:val="00584074"/>
    <w:rsid w:val="005840B8"/>
    <w:rsid w:val="005840B9"/>
    <w:rsid w:val="005843A2"/>
    <w:rsid w:val="005843E2"/>
    <w:rsid w:val="0058468B"/>
    <w:rsid w:val="0058476E"/>
    <w:rsid w:val="005849F6"/>
    <w:rsid w:val="00584ACD"/>
    <w:rsid w:val="00584B78"/>
    <w:rsid w:val="00584B93"/>
    <w:rsid w:val="00584E8A"/>
    <w:rsid w:val="00584F45"/>
    <w:rsid w:val="00584F91"/>
    <w:rsid w:val="00585009"/>
    <w:rsid w:val="00585091"/>
    <w:rsid w:val="0058511D"/>
    <w:rsid w:val="00585254"/>
    <w:rsid w:val="005853B7"/>
    <w:rsid w:val="005853CD"/>
    <w:rsid w:val="005853D5"/>
    <w:rsid w:val="00585653"/>
    <w:rsid w:val="0058571D"/>
    <w:rsid w:val="00585885"/>
    <w:rsid w:val="005858BA"/>
    <w:rsid w:val="005858DE"/>
    <w:rsid w:val="0058594B"/>
    <w:rsid w:val="005859D3"/>
    <w:rsid w:val="00585BAE"/>
    <w:rsid w:val="00585C96"/>
    <w:rsid w:val="00585CA5"/>
    <w:rsid w:val="00585D71"/>
    <w:rsid w:val="00586089"/>
    <w:rsid w:val="005860F5"/>
    <w:rsid w:val="00586264"/>
    <w:rsid w:val="005862D1"/>
    <w:rsid w:val="0058630A"/>
    <w:rsid w:val="00586465"/>
    <w:rsid w:val="005865F4"/>
    <w:rsid w:val="00586A25"/>
    <w:rsid w:val="00586A64"/>
    <w:rsid w:val="00586B97"/>
    <w:rsid w:val="00586BA3"/>
    <w:rsid w:val="00586C7C"/>
    <w:rsid w:val="00586C94"/>
    <w:rsid w:val="00586CB2"/>
    <w:rsid w:val="00586DCD"/>
    <w:rsid w:val="00586E31"/>
    <w:rsid w:val="005870E5"/>
    <w:rsid w:val="00587111"/>
    <w:rsid w:val="00587371"/>
    <w:rsid w:val="005873C3"/>
    <w:rsid w:val="005873FD"/>
    <w:rsid w:val="00587585"/>
    <w:rsid w:val="00587696"/>
    <w:rsid w:val="0058774E"/>
    <w:rsid w:val="00587888"/>
    <w:rsid w:val="0058788A"/>
    <w:rsid w:val="005878CC"/>
    <w:rsid w:val="00587A74"/>
    <w:rsid w:val="00587AC4"/>
    <w:rsid w:val="00587B80"/>
    <w:rsid w:val="00587C54"/>
    <w:rsid w:val="00587D73"/>
    <w:rsid w:val="00587DBC"/>
    <w:rsid w:val="00587F05"/>
    <w:rsid w:val="00587F27"/>
    <w:rsid w:val="00587FB3"/>
    <w:rsid w:val="005900C9"/>
    <w:rsid w:val="005901C4"/>
    <w:rsid w:val="005902DB"/>
    <w:rsid w:val="00590437"/>
    <w:rsid w:val="00590470"/>
    <w:rsid w:val="0059050B"/>
    <w:rsid w:val="0059055A"/>
    <w:rsid w:val="00590597"/>
    <w:rsid w:val="00590995"/>
    <w:rsid w:val="00590AB9"/>
    <w:rsid w:val="00590B4C"/>
    <w:rsid w:val="00590B94"/>
    <w:rsid w:val="00590C3C"/>
    <w:rsid w:val="00590D57"/>
    <w:rsid w:val="00590DEF"/>
    <w:rsid w:val="00590EBE"/>
    <w:rsid w:val="00590F2F"/>
    <w:rsid w:val="00590F81"/>
    <w:rsid w:val="00590F8F"/>
    <w:rsid w:val="00591451"/>
    <w:rsid w:val="0059158A"/>
    <w:rsid w:val="0059161E"/>
    <w:rsid w:val="00591692"/>
    <w:rsid w:val="005916BF"/>
    <w:rsid w:val="0059174A"/>
    <w:rsid w:val="0059180C"/>
    <w:rsid w:val="00591838"/>
    <w:rsid w:val="00591940"/>
    <w:rsid w:val="005919AB"/>
    <w:rsid w:val="00591C09"/>
    <w:rsid w:val="00591D60"/>
    <w:rsid w:val="00591DE3"/>
    <w:rsid w:val="00591EC2"/>
    <w:rsid w:val="00591FEE"/>
    <w:rsid w:val="00592342"/>
    <w:rsid w:val="00592364"/>
    <w:rsid w:val="005923C5"/>
    <w:rsid w:val="005924BD"/>
    <w:rsid w:val="0059255C"/>
    <w:rsid w:val="005925EC"/>
    <w:rsid w:val="005925F9"/>
    <w:rsid w:val="005926E5"/>
    <w:rsid w:val="005928B6"/>
    <w:rsid w:val="00592A21"/>
    <w:rsid w:val="00592AB8"/>
    <w:rsid w:val="00592B17"/>
    <w:rsid w:val="00592BEC"/>
    <w:rsid w:val="00592C42"/>
    <w:rsid w:val="00592D02"/>
    <w:rsid w:val="00592D53"/>
    <w:rsid w:val="0059307B"/>
    <w:rsid w:val="005930F0"/>
    <w:rsid w:val="005933F2"/>
    <w:rsid w:val="00593401"/>
    <w:rsid w:val="00593470"/>
    <w:rsid w:val="005934D7"/>
    <w:rsid w:val="005937A1"/>
    <w:rsid w:val="005938B8"/>
    <w:rsid w:val="0059390D"/>
    <w:rsid w:val="005939FE"/>
    <w:rsid w:val="00593B04"/>
    <w:rsid w:val="00593C73"/>
    <w:rsid w:val="00593D05"/>
    <w:rsid w:val="00593F47"/>
    <w:rsid w:val="00593F90"/>
    <w:rsid w:val="00593FA8"/>
    <w:rsid w:val="005940FA"/>
    <w:rsid w:val="00594165"/>
    <w:rsid w:val="00594242"/>
    <w:rsid w:val="005944EA"/>
    <w:rsid w:val="005945F0"/>
    <w:rsid w:val="00594800"/>
    <w:rsid w:val="00594954"/>
    <w:rsid w:val="00594A4E"/>
    <w:rsid w:val="00594A99"/>
    <w:rsid w:val="00594BC5"/>
    <w:rsid w:val="00594C82"/>
    <w:rsid w:val="00595043"/>
    <w:rsid w:val="00595052"/>
    <w:rsid w:val="0059529F"/>
    <w:rsid w:val="00595666"/>
    <w:rsid w:val="0059570F"/>
    <w:rsid w:val="00595728"/>
    <w:rsid w:val="00595BFA"/>
    <w:rsid w:val="00595C61"/>
    <w:rsid w:val="00595CA3"/>
    <w:rsid w:val="005960E7"/>
    <w:rsid w:val="00596140"/>
    <w:rsid w:val="00596197"/>
    <w:rsid w:val="0059625C"/>
    <w:rsid w:val="00596273"/>
    <w:rsid w:val="005962B5"/>
    <w:rsid w:val="00596390"/>
    <w:rsid w:val="0059653D"/>
    <w:rsid w:val="00596543"/>
    <w:rsid w:val="0059664F"/>
    <w:rsid w:val="005968A1"/>
    <w:rsid w:val="005968B2"/>
    <w:rsid w:val="00596A28"/>
    <w:rsid w:val="00596B1D"/>
    <w:rsid w:val="00596B95"/>
    <w:rsid w:val="00596E6C"/>
    <w:rsid w:val="00596F6F"/>
    <w:rsid w:val="005970C9"/>
    <w:rsid w:val="00597225"/>
    <w:rsid w:val="0059731A"/>
    <w:rsid w:val="005973EE"/>
    <w:rsid w:val="0059745E"/>
    <w:rsid w:val="005975C8"/>
    <w:rsid w:val="0059765E"/>
    <w:rsid w:val="00597735"/>
    <w:rsid w:val="00597990"/>
    <w:rsid w:val="005979D4"/>
    <w:rsid w:val="005979EB"/>
    <w:rsid w:val="00597AD3"/>
    <w:rsid w:val="00597AF4"/>
    <w:rsid w:val="00597B52"/>
    <w:rsid w:val="00597DDC"/>
    <w:rsid w:val="00597E2E"/>
    <w:rsid w:val="00597E81"/>
    <w:rsid w:val="00597EF0"/>
    <w:rsid w:val="005A0121"/>
    <w:rsid w:val="005A0197"/>
    <w:rsid w:val="005A05DB"/>
    <w:rsid w:val="005A062F"/>
    <w:rsid w:val="005A0632"/>
    <w:rsid w:val="005A0726"/>
    <w:rsid w:val="005A08E9"/>
    <w:rsid w:val="005A0A53"/>
    <w:rsid w:val="005A0A81"/>
    <w:rsid w:val="005A0B1C"/>
    <w:rsid w:val="005A0B82"/>
    <w:rsid w:val="005A0E5B"/>
    <w:rsid w:val="005A0FC6"/>
    <w:rsid w:val="005A0FDB"/>
    <w:rsid w:val="005A0FFF"/>
    <w:rsid w:val="005A101B"/>
    <w:rsid w:val="005A10FF"/>
    <w:rsid w:val="005A131B"/>
    <w:rsid w:val="005A1468"/>
    <w:rsid w:val="005A14EF"/>
    <w:rsid w:val="005A151F"/>
    <w:rsid w:val="005A15E3"/>
    <w:rsid w:val="005A1633"/>
    <w:rsid w:val="005A16A1"/>
    <w:rsid w:val="005A16FB"/>
    <w:rsid w:val="005A1743"/>
    <w:rsid w:val="005A1896"/>
    <w:rsid w:val="005A192E"/>
    <w:rsid w:val="005A1978"/>
    <w:rsid w:val="005A1AF4"/>
    <w:rsid w:val="005A1BD8"/>
    <w:rsid w:val="005A1DCC"/>
    <w:rsid w:val="005A1F45"/>
    <w:rsid w:val="005A1F4A"/>
    <w:rsid w:val="005A2038"/>
    <w:rsid w:val="005A2053"/>
    <w:rsid w:val="005A20B2"/>
    <w:rsid w:val="005A2164"/>
    <w:rsid w:val="005A21FD"/>
    <w:rsid w:val="005A23B0"/>
    <w:rsid w:val="005A23C3"/>
    <w:rsid w:val="005A26C9"/>
    <w:rsid w:val="005A26EE"/>
    <w:rsid w:val="005A2A5C"/>
    <w:rsid w:val="005A2A77"/>
    <w:rsid w:val="005A2B91"/>
    <w:rsid w:val="005A2E0D"/>
    <w:rsid w:val="005A3017"/>
    <w:rsid w:val="005A3070"/>
    <w:rsid w:val="005A3392"/>
    <w:rsid w:val="005A34EB"/>
    <w:rsid w:val="005A356C"/>
    <w:rsid w:val="005A35B1"/>
    <w:rsid w:val="005A3725"/>
    <w:rsid w:val="005A372C"/>
    <w:rsid w:val="005A374D"/>
    <w:rsid w:val="005A381F"/>
    <w:rsid w:val="005A383F"/>
    <w:rsid w:val="005A38FD"/>
    <w:rsid w:val="005A3970"/>
    <w:rsid w:val="005A3CDB"/>
    <w:rsid w:val="005A3D6D"/>
    <w:rsid w:val="005A3E3A"/>
    <w:rsid w:val="005A4088"/>
    <w:rsid w:val="005A443A"/>
    <w:rsid w:val="005A459B"/>
    <w:rsid w:val="005A4838"/>
    <w:rsid w:val="005A4884"/>
    <w:rsid w:val="005A4971"/>
    <w:rsid w:val="005A4A42"/>
    <w:rsid w:val="005A4B9B"/>
    <w:rsid w:val="005A4C7A"/>
    <w:rsid w:val="005A4D0D"/>
    <w:rsid w:val="005A4D43"/>
    <w:rsid w:val="005A4FFC"/>
    <w:rsid w:val="005A5156"/>
    <w:rsid w:val="005A52B4"/>
    <w:rsid w:val="005A53B0"/>
    <w:rsid w:val="005A5430"/>
    <w:rsid w:val="005A5458"/>
    <w:rsid w:val="005A560C"/>
    <w:rsid w:val="005A562A"/>
    <w:rsid w:val="005A5696"/>
    <w:rsid w:val="005A57C5"/>
    <w:rsid w:val="005A5986"/>
    <w:rsid w:val="005A5BB9"/>
    <w:rsid w:val="005A5BF1"/>
    <w:rsid w:val="005A5CCF"/>
    <w:rsid w:val="005A5D04"/>
    <w:rsid w:val="005A5D4E"/>
    <w:rsid w:val="005A5DF0"/>
    <w:rsid w:val="005A603F"/>
    <w:rsid w:val="005A60A3"/>
    <w:rsid w:val="005A6139"/>
    <w:rsid w:val="005A61AD"/>
    <w:rsid w:val="005A6261"/>
    <w:rsid w:val="005A6312"/>
    <w:rsid w:val="005A633A"/>
    <w:rsid w:val="005A633C"/>
    <w:rsid w:val="005A63E9"/>
    <w:rsid w:val="005A63EA"/>
    <w:rsid w:val="005A64D3"/>
    <w:rsid w:val="005A65CD"/>
    <w:rsid w:val="005A6742"/>
    <w:rsid w:val="005A67AB"/>
    <w:rsid w:val="005A680C"/>
    <w:rsid w:val="005A6823"/>
    <w:rsid w:val="005A6A85"/>
    <w:rsid w:val="005A6BDA"/>
    <w:rsid w:val="005A6BE9"/>
    <w:rsid w:val="005A6C4A"/>
    <w:rsid w:val="005A6CC7"/>
    <w:rsid w:val="005A6CED"/>
    <w:rsid w:val="005A6DDD"/>
    <w:rsid w:val="005A709C"/>
    <w:rsid w:val="005A70BD"/>
    <w:rsid w:val="005A70D1"/>
    <w:rsid w:val="005A713E"/>
    <w:rsid w:val="005A714C"/>
    <w:rsid w:val="005A7187"/>
    <w:rsid w:val="005A727C"/>
    <w:rsid w:val="005A72AA"/>
    <w:rsid w:val="005A72B2"/>
    <w:rsid w:val="005A731A"/>
    <w:rsid w:val="005A7466"/>
    <w:rsid w:val="005A7535"/>
    <w:rsid w:val="005A77AD"/>
    <w:rsid w:val="005A783B"/>
    <w:rsid w:val="005A7888"/>
    <w:rsid w:val="005A793E"/>
    <w:rsid w:val="005A7944"/>
    <w:rsid w:val="005A7A15"/>
    <w:rsid w:val="005A7BC3"/>
    <w:rsid w:val="005A7BCD"/>
    <w:rsid w:val="005A7ED9"/>
    <w:rsid w:val="005A7F0B"/>
    <w:rsid w:val="005B00AA"/>
    <w:rsid w:val="005B0124"/>
    <w:rsid w:val="005B0126"/>
    <w:rsid w:val="005B033B"/>
    <w:rsid w:val="005B0474"/>
    <w:rsid w:val="005B04CB"/>
    <w:rsid w:val="005B0509"/>
    <w:rsid w:val="005B0517"/>
    <w:rsid w:val="005B0533"/>
    <w:rsid w:val="005B0555"/>
    <w:rsid w:val="005B0726"/>
    <w:rsid w:val="005B08D9"/>
    <w:rsid w:val="005B0956"/>
    <w:rsid w:val="005B0A80"/>
    <w:rsid w:val="005B0B7A"/>
    <w:rsid w:val="005B0C03"/>
    <w:rsid w:val="005B106D"/>
    <w:rsid w:val="005B128D"/>
    <w:rsid w:val="005B1387"/>
    <w:rsid w:val="005B1492"/>
    <w:rsid w:val="005B149D"/>
    <w:rsid w:val="005B1631"/>
    <w:rsid w:val="005B1776"/>
    <w:rsid w:val="005B181F"/>
    <w:rsid w:val="005B1863"/>
    <w:rsid w:val="005B19D5"/>
    <w:rsid w:val="005B1BC8"/>
    <w:rsid w:val="005B1E96"/>
    <w:rsid w:val="005B1F19"/>
    <w:rsid w:val="005B210C"/>
    <w:rsid w:val="005B2115"/>
    <w:rsid w:val="005B21EF"/>
    <w:rsid w:val="005B223D"/>
    <w:rsid w:val="005B2301"/>
    <w:rsid w:val="005B23EE"/>
    <w:rsid w:val="005B272D"/>
    <w:rsid w:val="005B29A3"/>
    <w:rsid w:val="005B2A25"/>
    <w:rsid w:val="005B2AA2"/>
    <w:rsid w:val="005B2AB5"/>
    <w:rsid w:val="005B2B97"/>
    <w:rsid w:val="005B2D32"/>
    <w:rsid w:val="005B2D82"/>
    <w:rsid w:val="005B2D8B"/>
    <w:rsid w:val="005B2EF3"/>
    <w:rsid w:val="005B2F29"/>
    <w:rsid w:val="005B2F5E"/>
    <w:rsid w:val="005B30B7"/>
    <w:rsid w:val="005B319A"/>
    <w:rsid w:val="005B319C"/>
    <w:rsid w:val="005B32D0"/>
    <w:rsid w:val="005B32F5"/>
    <w:rsid w:val="005B3462"/>
    <w:rsid w:val="005B35B6"/>
    <w:rsid w:val="005B382F"/>
    <w:rsid w:val="005B39E0"/>
    <w:rsid w:val="005B3C07"/>
    <w:rsid w:val="005B3C71"/>
    <w:rsid w:val="005B3DCC"/>
    <w:rsid w:val="005B3E87"/>
    <w:rsid w:val="005B3F54"/>
    <w:rsid w:val="005B3FC7"/>
    <w:rsid w:val="005B425F"/>
    <w:rsid w:val="005B4292"/>
    <w:rsid w:val="005B42CB"/>
    <w:rsid w:val="005B4665"/>
    <w:rsid w:val="005B46C7"/>
    <w:rsid w:val="005B474E"/>
    <w:rsid w:val="005B480E"/>
    <w:rsid w:val="005B49B5"/>
    <w:rsid w:val="005B4B46"/>
    <w:rsid w:val="005B4DC2"/>
    <w:rsid w:val="005B5225"/>
    <w:rsid w:val="005B5240"/>
    <w:rsid w:val="005B52DE"/>
    <w:rsid w:val="005B558E"/>
    <w:rsid w:val="005B58DC"/>
    <w:rsid w:val="005B58ED"/>
    <w:rsid w:val="005B5A81"/>
    <w:rsid w:val="005B5BF4"/>
    <w:rsid w:val="005B5D24"/>
    <w:rsid w:val="005B5DD0"/>
    <w:rsid w:val="005B5E78"/>
    <w:rsid w:val="005B6018"/>
    <w:rsid w:val="005B60D4"/>
    <w:rsid w:val="005B619A"/>
    <w:rsid w:val="005B65AD"/>
    <w:rsid w:val="005B69E3"/>
    <w:rsid w:val="005B6ABA"/>
    <w:rsid w:val="005B6D71"/>
    <w:rsid w:val="005B7155"/>
    <w:rsid w:val="005B72F9"/>
    <w:rsid w:val="005B7508"/>
    <w:rsid w:val="005B766A"/>
    <w:rsid w:val="005B76A2"/>
    <w:rsid w:val="005B7801"/>
    <w:rsid w:val="005B7911"/>
    <w:rsid w:val="005B7979"/>
    <w:rsid w:val="005B7A4D"/>
    <w:rsid w:val="005B7AA2"/>
    <w:rsid w:val="005B7B46"/>
    <w:rsid w:val="005B7BD4"/>
    <w:rsid w:val="005B7CE8"/>
    <w:rsid w:val="005B7DDE"/>
    <w:rsid w:val="005B7E7C"/>
    <w:rsid w:val="005B7F5B"/>
    <w:rsid w:val="005B7FDD"/>
    <w:rsid w:val="005C0067"/>
    <w:rsid w:val="005C0153"/>
    <w:rsid w:val="005C0232"/>
    <w:rsid w:val="005C0355"/>
    <w:rsid w:val="005C0512"/>
    <w:rsid w:val="005C05E3"/>
    <w:rsid w:val="005C0779"/>
    <w:rsid w:val="005C084F"/>
    <w:rsid w:val="005C0967"/>
    <w:rsid w:val="005C0B13"/>
    <w:rsid w:val="005C1093"/>
    <w:rsid w:val="005C13CF"/>
    <w:rsid w:val="005C149B"/>
    <w:rsid w:val="005C16AB"/>
    <w:rsid w:val="005C18BD"/>
    <w:rsid w:val="005C1BAC"/>
    <w:rsid w:val="005C1CCD"/>
    <w:rsid w:val="005C1DB5"/>
    <w:rsid w:val="005C1DD2"/>
    <w:rsid w:val="005C1E9F"/>
    <w:rsid w:val="005C2036"/>
    <w:rsid w:val="005C20C8"/>
    <w:rsid w:val="005C2208"/>
    <w:rsid w:val="005C220E"/>
    <w:rsid w:val="005C22A4"/>
    <w:rsid w:val="005C2320"/>
    <w:rsid w:val="005C232C"/>
    <w:rsid w:val="005C24B3"/>
    <w:rsid w:val="005C260E"/>
    <w:rsid w:val="005C26B1"/>
    <w:rsid w:val="005C270E"/>
    <w:rsid w:val="005C278E"/>
    <w:rsid w:val="005C2876"/>
    <w:rsid w:val="005C2956"/>
    <w:rsid w:val="005C29C8"/>
    <w:rsid w:val="005C2A9E"/>
    <w:rsid w:val="005C2C37"/>
    <w:rsid w:val="005C3082"/>
    <w:rsid w:val="005C30F1"/>
    <w:rsid w:val="005C3108"/>
    <w:rsid w:val="005C3348"/>
    <w:rsid w:val="005C343B"/>
    <w:rsid w:val="005C3456"/>
    <w:rsid w:val="005C3480"/>
    <w:rsid w:val="005C376D"/>
    <w:rsid w:val="005C38C4"/>
    <w:rsid w:val="005C38D1"/>
    <w:rsid w:val="005C391E"/>
    <w:rsid w:val="005C3AA9"/>
    <w:rsid w:val="005C3B45"/>
    <w:rsid w:val="005C421E"/>
    <w:rsid w:val="005C42AF"/>
    <w:rsid w:val="005C42DB"/>
    <w:rsid w:val="005C4351"/>
    <w:rsid w:val="005C4637"/>
    <w:rsid w:val="005C48FA"/>
    <w:rsid w:val="005C4A13"/>
    <w:rsid w:val="005C4A28"/>
    <w:rsid w:val="005C4A97"/>
    <w:rsid w:val="005C4B57"/>
    <w:rsid w:val="005C4CBC"/>
    <w:rsid w:val="005C4CDC"/>
    <w:rsid w:val="005C4E5F"/>
    <w:rsid w:val="005C4F52"/>
    <w:rsid w:val="005C4FBB"/>
    <w:rsid w:val="005C500D"/>
    <w:rsid w:val="005C5148"/>
    <w:rsid w:val="005C520B"/>
    <w:rsid w:val="005C54CC"/>
    <w:rsid w:val="005C5524"/>
    <w:rsid w:val="005C5955"/>
    <w:rsid w:val="005C596B"/>
    <w:rsid w:val="005C59F0"/>
    <w:rsid w:val="005C5ACB"/>
    <w:rsid w:val="005C5DB8"/>
    <w:rsid w:val="005C5DB9"/>
    <w:rsid w:val="005C5F7A"/>
    <w:rsid w:val="005C6069"/>
    <w:rsid w:val="005C6205"/>
    <w:rsid w:val="005C6336"/>
    <w:rsid w:val="005C6444"/>
    <w:rsid w:val="005C6477"/>
    <w:rsid w:val="005C64B7"/>
    <w:rsid w:val="005C6522"/>
    <w:rsid w:val="005C6642"/>
    <w:rsid w:val="005C66C3"/>
    <w:rsid w:val="005C68A7"/>
    <w:rsid w:val="005C6B87"/>
    <w:rsid w:val="005C6C20"/>
    <w:rsid w:val="005C6E3F"/>
    <w:rsid w:val="005C6F40"/>
    <w:rsid w:val="005C6F69"/>
    <w:rsid w:val="005C6F6E"/>
    <w:rsid w:val="005C7046"/>
    <w:rsid w:val="005C70CD"/>
    <w:rsid w:val="005C7174"/>
    <w:rsid w:val="005C71B6"/>
    <w:rsid w:val="005C72C2"/>
    <w:rsid w:val="005C739B"/>
    <w:rsid w:val="005C74DF"/>
    <w:rsid w:val="005C74F6"/>
    <w:rsid w:val="005C756A"/>
    <w:rsid w:val="005C7772"/>
    <w:rsid w:val="005C7858"/>
    <w:rsid w:val="005C7915"/>
    <w:rsid w:val="005C7971"/>
    <w:rsid w:val="005C7BE7"/>
    <w:rsid w:val="005C7C7B"/>
    <w:rsid w:val="005C7CE4"/>
    <w:rsid w:val="005C7DDC"/>
    <w:rsid w:val="005C7F05"/>
    <w:rsid w:val="005C7F7A"/>
    <w:rsid w:val="005D008B"/>
    <w:rsid w:val="005D0196"/>
    <w:rsid w:val="005D01E8"/>
    <w:rsid w:val="005D0260"/>
    <w:rsid w:val="005D0333"/>
    <w:rsid w:val="005D0344"/>
    <w:rsid w:val="005D0641"/>
    <w:rsid w:val="005D06EF"/>
    <w:rsid w:val="005D07DA"/>
    <w:rsid w:val="005D08DF"/>
    <w:rsid w:val="005D0B56"/>
    <w:rsid w:val="005D0B69"/>
    <w:rsid w:val="005D0BC4"/>
    <w:rsid w:val="005D0C03"/>
    <w:rsid w:val="005D0C96"/>
    <w:rsid w:val="005D0E38"/>
    <w:rsid w:val="005D0E99"/>
    <w:rsid w:val="005D1041"/>
    <w:rsid w:val="005D104F"/>
    <w:rsid w:val="005D106F"/>
    <w:rsid w:val="005D1091"/>
    <w:rsid w:val="005D1154"/>
    <w:rsid w:val="005D123C"/>
    <w:rsid w:val="005D1260"/>
    <w:rsid w:val="005D138D"/>
    <w:rsid w:val="005D14E1"/>
    <w:rsid w:val="005D1527"/>
    <w:rsid w:val="005D15B3"/>
    <w:rsid w:val="005D1633"/>
    <w:rsid w:val="005D16C6"/>
    <w:rsid w:val="005D193F"/>
    <w:rsid w:val="005D1954"/>
    <w:rsid w:val="005D1A7B"/>
    <w:rsid w:val="005D1AAA"/>
    <w:rsid w:val="005D1BD0"/>
    <w:rsid w:val="005D1E3B"/>
    <w:rsid w:val="005D1E4A"/>
    <w:rsid w:val="005D1E5C"/>
    <w:rsid w:val="005D1FB9"/>
    <w:rsid w:val="005D2034"/>
    <w:rsid w:val="005D23D0"/>
    <w:rsid w:val="005D2480"/>
    <w:rsid w:val="005D2493"/>
    <w:rsid w:val="005D257B"/>
    <w:rsid w:val="005D25EF"/>
    <w:rsid w:val="005D261D"/>
    <w:rsid w:val="005D27E8"/>
    <w:rsid w:val="005D2833"/>
    <w:rsid w:val="005D2933"/>
    <w:rsid w:val="005D2939"/>
    <w:rsid w:val="005D2993"/>
    <w:rsid w:val="005D2ADC"/>
    <w:rsid w:val="005D2AF9"/>
    <w:rsid w:val="005D2B84"/>
    <w:rsid w:val="005D2C03"/>
    <w:rsid w:val="005D2FE2"/>
    <w:rsid w:val="005D3043"/>
    <w:rsid w:val="005D31C3"/>
    <w:rsid w:val="005D3496"/>
    <w:rsid w:val="005D363F"/>
    <w:rsid w:val="005D3707"/>
    <w:rsid w:val="005D3743"/>
    <w:rsid w:val="005D3848"/>
    <w:rsid w:val="005D39F4"/>
    <w:rsid w:val="005D3A97"/>
    <w:rsid w:val="005D3C6E"/>
    <w:rsid w:val="005D3DC0"/>
    <w:rsid w:val="005D3E9D"/>
    <w:rsid w:val="005D3EFA"/>
    <w:rsid w:val="005D4531"/>
    <w:rsid w:val="005D460F"/>
    <w:rsid w:val="005D4A0C"/>
    <w:rsid w:val="005D4B12"/>
    <w:rsid w:val="005D4BD4"/>
    <w:rsid w:val="005D4C92"/>
    <w:rsid w:val="005D4C99"/>
    <w:rsid w:val="005D4D9A"/>
    <w:rsid w:val="005D4EDD"/>
    <w:rsid w:val="005D4EF8"/>
    <w:rsid w:val="005D4F89"/>
    <w:rsid w:val="005D50BC"/>
    <w:rsid w:val="005D527E"/>
    <w:rsid w:val="005D5317"/>
    <w:rsid w:val="005D533C"/>
    <w:rsid w:val="005D555A"/>
    <w:rsid w:val="005D56DE"/>
    <w:rsid w:val="005D5772"/>
    <w:rsid w:val="005D5830"/>
    <w:rsid w:val="005D59C5"/>
    <w:rsid w:val="005D59D9"/>
    <w:rsid w:val="005D5B0D"/>
    <w:rsid w:val="005D5BCC"/>
    <w:rsid w:val="005D5BEB"/>
    <w:rsid w:val="005D5CD5"/>
    <w:rsid w:val="005D5DEA"/>
    <w:rsid w:val="005D5DFE"/>
    <w:rsid w:val="005D5F9C"/>
    <w:rsid w:val="005D5FD9"/>
    <w:rsid w:val="005D61AA"/>
    <w:rsid w:val="005D61FF"/>
    <w:rsid w:val="005D6271"/>
    <w:rsid w:val="005D6294"/>
    <w:rsid w:val="005D62F4"/>
    <w:rsid w:val="005D62FB"/>
    <w:rsid w:val="005D6324"/>
    <w:rsid w:val="005D64A7"/>
    <w:rsid w:val="005D651D"/>
    <w:rsid w:val="005D65D9"/>
    <w:rsid w:val="005D65ED"/>
    <w:rsid w:val="005D6966"/>
    <w:rsid w:val="005D6C4A"/>
    <w:rsid w:val="005D6C63"/>
    <w:rsid w:val="005D6C84"/>
    <w:rsid w:val="005D6ED6"/>
    <w:rsid w:val="005D6F03"/>
    <w:rsid w:val="005D6F51"/>
    <w:rsid w:val="005D700B"/>
    <w:rsid w:val="005D70B2"/>
    <w:rsid w:val="005D7295"/>
    <w:rsid w:val="005D72AF"/>
    <w:rsid w:val="005D757B"/>
    <w:rsid w:val="005D764F"/>
    <w:rsid w:val="005D7686"/>
    <w:rsid w:val="005D769F"/>
    <w:rsid w:val="005D7702"/>
    <w:rsid w:val="005D773D"/>
    <w:rsid w:val="005D7995"/>
    <w:rsid w:val="005D7BD7"/>
    <w:rsid w:val="005D7D41"/>
    <w:rsid w:val="005D7E8A"/>
    <w:rsid w:val="005D7F31"/>
    <w:rsid w:val="005D7F58"/>
    <w:rsid w:val="005E005E"/>
    <w:rsid w:val="005E024F"/>
    <w:rsid w:val="005E0311"/>
    <w:rsid w:val="005E03FB"/>
    <w:rsid w:val="005E0771"/>
    <w:rsid w:val="005E09BA"/>
    <w:rsid w:val="005E0BC3"/>
    <w:rsid w:val="005E0BE8"/>
    <w:rsid w:val="005E0CBD"/>
    <w:rsid w:val="005E0CC5"/>
    <w:rsid w:val="005E0DAF"/>
    <w:rsid w:val="005E0FCB"/>
    <w:rsid w:val="005E1176"/>
    <w:rsid w:val="005E1274"/>
    <w:rsid w:val="005E1415"/>
    <w:rsid w:val="005E1520"/>
    <w:rsid w:val="005E1770"/>
    <w:rsid w:val="005E1965"/>
    <w:rsid w:val="005E19EA"/>
    <w:rsid w:val="005E1CEF"/>
    <w:rsid w:val="005E2052"/>
    <w:rsid w:val="005E2480"/>
    <w:rsid w:val="005E24A5"/>
    <w:rsid w:val="005E260B"/>
    <w:rsid w:val="005E26DF"/>
    <w:rsid w:val="005E2826"/>
    <w:rsid w:val="005E2920"/>
    <w:rsid w:val="005E2965"/>
    <w:rsid w:val="005E2992"/>
    <w:rsid w:val="005E2B45"/>
    <w:rsid w:val="005E2BBF"/>
    <w:rsid w:val="005E2C05"/>
    <w:rsid w:val="005E2C28"/>
    <w:rsid w:val="005E2C56"/>
    <w:rsid w:val="005E2EF9"/>
    <w:rsid w:val="005E2FD3"/>
    <w:rsid w:val="005E3024"/>
    <w:rsid w:val="005E313B"/>
    <w:rsid w:val="005E317F"/>
    <w:rsid w:val="005E31E5"/>
    <w:rsid w:val="005E3260"/>
    <w:rsid w:val="005E33A0"/>
    <w:rsid w:val="005E359A"/>
    <w:rsid w:val="005E369C"/>
    <w:rsid w:val="005E38E2"/>
    <w:rsid w:val="005E394A"/>
    <w:rsid w:val="005E3A80"/>
    <w:rsid w:val="005E3B54"/>
    <w:rsid w:val="005E3BBC"/>
    <w:rsid w:val="005E3C5A"/>
    <w:rsid w:val="005E3D04"/>
    <w:rsid w:val="005E3D09"/>
    <w:rsid w:val="005E3D58"/>
    <w:rsid w:val="005E3D7E"/>
    <w:rsid w:val="005E3EF5"/>
    <w:rsid w:val="005E420F"/>
    <w:rsid w:val="005E422E"/>
    <w:rsid w:val="005E4352"/>
    <w:rsid w:val="005E4399"/>
    <w:rsid w:val="005E444C"/>
    <w:rsid w:val="005E44FF"/>
    <w:rsid w:val="005E4537"/>
    <w:rsid w:val="005E46E0"/>
    <w:rsid w:val="005E47ED"/>
    <w:rsid w:val="005E47F7"/>
    <w:rsid w:val="005E4A82"/>
    <w:rsid w:val="005E4B36"/>
    <w:rsid w:val="005E4BEB"/>
    <w:rsid w:val="005E4C2B"/>
    <w:rsid w:val="005E4DEF"/>
    <w:rsid w:val="005E50EA"/>
    <w:rsid w:val="005E5155"/>
    <w:rsid w:val="005E5173"/>
    <w:rsid w:val="005E5488"/>
    <w:rsid w:val="005E5656"/>
    <w:rsid w:val="005E5736"/>
    <w:rsid w:val="005E57CA"/>
    <w:rsid w:val="005E592F"/>
    <w:rsid w:val="005E59E6"/>
    <w:rsid w:val="005E5A5D"/>
    <w:rsid w:val="005E5BC3"/>
    <w:rsid w:val="005E6067"/>
    <w:rsid w:val="005E6349"/>
    <w:rsid w:val="005E63B8"/>
    <w:rsid w:val="005E63D3"/>
    <w:rsid w:val="005E663E"/>
    <w:rsid w:val="005E665E"/>
    <w:rsid w:val="005E6677"/>
    <w:rsid w:val="005E676D"/>
    <w:rsid w:val="005E682F"/>
    <w:rsid w:val="005E685C"/>
    <w:rsid w:val="005E68F2"/>
    <w:rsid w:val="005E6A54"/>
    <w:rsid w:val="005E6CDF"/>
    <w:rsid w:val="005E6DEB"/>
    <w:rsid w:val="005E6E09"/>
    <w:rsid w:val="005E7062"/>
    <w:rsid w:val="005E738B"/>
    <w:rsid w:val="005E7577"/>
    <w:rsid w:val="005E7674"/>
    <w:rsid w:val="005E77C2"/>
    <w:rsid w:val="005E77EB"/>
    <w:rsid w:val="005E7964"/>
    <w:rsid w:val="005E7AA0"/>
    <w:rsid w:val="005E7E79"/>
    <w:rsid w:val="005E7FA5"/>
    <w:rsid w:val="005F011D"/>
    <w:rsid w:val="005F01CC"/>
    <w:rsid w:val="005F02C4"/>
    <w:rsid w:val="005F05F4"/>
    <w:rsid w:val="005F0B1C"/>
    <w:rsid w:val="005F0C45"/>
    <w:rsid w:val="005F0C9D"/>
    <w:rsid w:val="005F0F19"/>
    <w:rsid w:val="005F1082"/>
    <w:rsid w:val="005F11F5"/>
    <w:rsid w:val="005F12AC"/>
    <w:rsid w:val="005F13FE"/>
    <w:rsid w:val="005F151F"/>
    <w:rsid w:val="005F173A"/>
    <w:rsid w:val="005F1840"/>
    <w:rsid w:val="005F199C"/>
    <w:rsid w:val="005F1A99"/>
    <w:rsid w:val="005F1B0B"/>
    <w:rsid w:val="005F1CDD"/>
    <w:rsid w:val="005F1DBF"/>
    <w:rsid w:val="005F1EB4"/>
    <w:rsid w:val="005F1FFF"/>
    <w:rsid w:val="005F20E4"/>
    <w:rsid w:val="005F241E"/>
    <w:rsid w:val="005F264A"/>
    <w:rsid w:val="005F264F"/>
    <w:rsid w:val="005F291D"/>
    <w:rsid w:val="005F2981"/>
    <w:rsid w:val="005F2A18"/>
    <w:rsid w:val="005F2C28"/>
    <w:rsid w:val="005F2E4A"/>
    <w:rsid w:val="005F2E76"/>
    <w:rsid w:val="005F2EAC"/>
    <w:rsid w:val="005F2EC4"/>
    <w:rsid w:val="005F2EE1"/>
    <w:rsid w:val="005F2F76"/>
    <w:rsid w:val="005F3093"/>
    <w:rsid w:val="005F31CC"/>
    <w:rsid w:val="005F3259"/>
    <w:rsid w:val="005F34B6"/>
    <w:rsid w:val="005F3563"/>
    <w:rsid w:val="005F3B4C"/>
    <w:rsid w:val="005F3CE1"/>
    <w:rsid w:val="005F3F0D"/>
    <w:rsid w:val="005F3F2E"/>
    <w:rsid w:val="005F3F52"/>
    <w:rsid w:val="005F4330"/>
    <w:rsid w:val="005F43DA"/>
    <w:rsid w:val="005F444E"/>
    <w:rsid w:val="005F4763"/>
    <w:rsid w:val="005F47B3"/>
    <w:rsid w:val="005F4886"/>
    <w:rsid w:val="005F4996"/>
    <w:rsid w:val="005F4CB3"/>
    <w:rsid w:val="005F4D5B"/>
    <w:rsid w:val="005F4E29"/>
    <w:rsid w:val="005F4F23"/>
    <w:rsid w:val="005F4F49"/>
    <w:rsid w:val="005F4F77"/>
    <w:rsid w:val="005F512F"/>
    <w:rsid w:val="005F518C"/>
    <w:rsid w:val="005F5254"/>
    <w:rsid w:val="005F53FE"/>
    <w:rsid w:val="005F5402"/>
    <w:rsid w:val="005F54E7"/>
    <w:rsid w:val="005F5799"/>
    <w:rsid w:val="005F5882"/>
    <w:rsid w:val="005F58DF"/>
    <w:rsid w:val="005F5A20"/>
    <w:rsid w:val="005F5ABE"/>
    <w:rsid w:val="005F5C81"/>
    <w:rsid w:val="005F5EC8"/>
    <w:rsid w:val="005F5FEC"/>
    <w:rsid w:val="005F6096"/>
    <w:rsid w:val="005F60B1"/>
    <w:rsid w:val="005F618C"/>
    <w:rsid w:val="005F6224"/>
    <w:rsid w:val="005F66E4"/>
    <w:rsid w:val="005F6809"/>
    <w:rsid w:val="005F6848"/>
    <w:rsid w:val="005F69B0"/>
    <w:rsid w:val="005F6DA2"/>
    <w:rsid w:val="005F6FE5"/>
    <w:rsid w:val="005F7019"/>
    <w:rsid w:val="005F7247"/>
    <w:rsid w:val="005F72CF"/>
    <w:rsid w:val="005F737D"/>
    <w:rsid w:val="005F74EB"/>
    <w:rsid w:val="005F7512"/>
    <w:rsid w:val="005F7545"/>
    <w:rsid w:val="005F7628"/>
    <w:rsid w:val="005F772B"/>
    <w:rsid w:val="005F7801"/>
    <w:rsid w:val="005F782D"/>
    <w:rsid w:val="005F7A60"/>
    <w:rsid w:val="005F7C64"/>
    <w:rsid w:val="0060009D"/>
    <w:rsid w:val="006001CB"/>
    <w:rsid w:val="006002A5"/>
    <w:rsid w:val="006003B9"/>
    <w:rsid w:val="006005D1"/>
    <w:rsid w:val="00600739"/>
    <w:rsid w:val="00600752"/>
    <w:rsid w:val="0060082C"/>
    <w:rsid w:val="00600835"/>
    <w:rsid w:val="00600886"/>
    <w:rsid w:val="006009A9"/>
    <w:rsid w:val="00600B12"/>
    <w:rsid w:val="00600BFF"/>
    <w:rsid w:val="00600D6D"/>
    <w:rsid w:val="00600DDB"/>
    <w:rsid w:val="00600DE7"/>
    <w:rsid w:val="00600E17"/>
    <w:rsid w:val="00600E74"/>
    <w:rsid w:val="00601190"/>
    <w:rsid w:val="00601273"/>
    <w:rsid w:val="00601334"/>
    <w:rsid w:val="0060149E"/>
    <w:rsid w:val="006014D8"/>
    <w:rsid w:val="006015CF"/>
    <w:rsid w:val="006016DC"/>
    <w:rsid w:val="00601707"/>
    <w:rsid w:val="00601765"/>
    <w:rsid w:val="00601771"/>
    <w:rsid w:val="00601946"/>
    <w:rsid w:val="00601955"/>
    <w:rsid w:val="006019D9"/>
    <w:rsid w:val="00601A09"/>
    <w:rsid w:val="00601A65"/>
    <w:rsid w:val="00601AFC"/>
    <w:rsid w:val="00601B61"/>
    <w:rsid w:val="00601BA1"/>
    <w:rsid w:val="00601CF5"/>
    <w:rsid w:val="00601E25"/>
    <w:rsid w:val="00601FE4"/>
    <w:rsid w:val="00602186"/>
    <w:rsid w:val="006022D4"/>
    <w:rsid w:val="00602362"/>
    <w:rsid w:val="006024AB"/>
    <w:rsid w:val="0060255A"/>
    <w:rsid w:val="0060282B"/>
    <w:rsid w:val="006029F6"/>
    <w:rsid w:val="00602A55"/>
    <w:rsid w:val="00602A9A"/>
    <w:rsid w:val="00602B88"/>
    <w:rsid w:val="00602C68"/>
    <w:rsid w:val="00602D23"/>
    <w:rsid w:val="00602F82"/>
    <w:rsid w:val="0060316B"/>
    <w:rsid w:val="0060318C"/>
    <w:rsid w:val="0060321D"/>
    <w:rsid w:val="00603307"/>
    <w:rsid w:val="00603343"/>
    <w:rsid w:val="0060354B"/>
    <w:rsid w:val="006037F3"/>
    <w:rsid w:val="006038A4"/>
    <w:rsid w:val="00603AB7"/>
    <w:rsid w:val="00603AD7"/>
    <w:rsid w:val="00603DFD"/>
    <w:rsid w:val="00604004"/>
    <w:rsid w:val="0060408A"/>
    <w:rsid w:val="006040CE"/>
    <w:rsid w:val="00604143"/>
    <w:rsid w:val="006043F4"/>
    <w:rsid w:val="00604546"/>
    <w:rsid w:val="00604730"/>
    <w:rsid w:val="006047C7"/>
    <w:rsid w:val="006048FF"/>
    <w:rsid w:val="00604BAC"/>
    <w:rsid w:val="0060511A"/>
    <w:rsid w:val="0060533F"/>
    <w:rsid w:val="00605740"/>
    <w:rsid w:val="0060583F"/>
    <w:rsid w:val="0060596D"/>
    <w:rsid w:val="006059CB"/>
    <w:rsid w:val="00605AD1"/>
    <w:rsid w:val="00605AD9"/>
    <w:rsid w:val="00605D03"/>
    <w:rsid w:val="00605E09"/>
    <w:rsid w:val="00605E0A"/>
    <w:rsid w:val="00606015"/>
    <w:rsid w:val="0060601C"/>
    <w:rsid w:val="006060CC"/>
    <w:rsid w:val="006062BF"/>
    <w:rsid w:val="006062F9"/>
    <w:rsid w:val="00606336"/>
    <w:rsid w:val="006064FB"/>
    <w:rsid w:val="0060653F"/>
    <w:rsid w:val="00606543"/>
    <w:rsid w:val="00606557"/>
    <w:rsid w:val="006065AA"/>
    <w:rsid w:val="00606682"/>
    <w:rsid w:val="0060689A"/>
    <w:rsid w:val="00606F17"/>
    <w:rsid w:val="006071A4"/>
    <w:rsid w:val="006071CA"/>
    <w:rsid w:val="006071EE"/>
    <w:rsid w:val="006073E6"/>
    <w:rsid w:val="0060746D"/>
    <w:rsid w:val="006075F1"/>
    <w:rsid w:val="00607750"/>
    <w:rsid w:val="00607795"/>
    <w:rsid w:val="006078DE"/>
    <w:rsid w:val="00607930"/>
    <w:rsid w:val="00607A38"/>
    <w:rsid w:val="00607AC1"/>
    <w:rsid w:val="00607C37"/>
    <w:rsid w:val="00607D96"/>
    <w:rsid w:val="00607FED"/>
    <w:rsid w:val="0061013F"/>
    <w:rsid w:val="006101DA"/>
    <w:rsid w:val="006101FD"/>
    <w:rsid w:val="00610213"/>
    <w:rsid w:val="006102A0"/>
    <w:rsid w:val="006102F2"/>
    <w:rsid w:val="00610415"/>
    <w:rsid w:val="0061045B"/>
    <w:rsid w:val="00610474"/>
    <w:rsid w:val="006105B1"/>
    <w:rsid w:val="00610769"/>
    <w:rsid w:val="006107E7"/>
    <w:rsid w:val="00610882"/>
    <w:rsid w:val="00610A32"/>
    <w:rsid w:val="00610ACA"/>
    <w:rsid w:val="00610CE9"/>
    <w:rsid w:val="00610ED2"/>
    <w:rsid w:val="00610F27"/>
    <w:rsid w:val="00611273"/>
    <w:rsid w:val="00611393"/>
    <w:rsid w:val="006113C2"/>
    <w:rsid w:val="00611430"/>
    <w:rsid w:val="0061159D"/>
    <w:rsid w:val="0061181D"/>
    <w:rsid w:val="00611922"/>
    <w:rsid w:val="006119BC"/>
    <w:rsid w:val="00611C29"/>
    <w:rsid w:val="00611E27"/>
    <w:rsid w:val="00612112"/>
    <w:rsid w:val="00612284"/>
    <w:rsid w:val="00612377"/>
    <w:rsid w:val="006123C3"/>
    <w:rsid w:val="00612422"/>
    <w:rsid w:val="0061270B"/>
    <w:rsid w:val="00612833"/>
    <w:rsid w:val="0061288C"/>
    <w:rsid w:val="00612891"/>
    <w:rsid w:val="00612999"/>
    <w:rsid w:val="006129F7"/>
    <w:rsid w:val="00612A0B"/>
    <w:rsid w:val="00612B1F"/>
    <w:rsid w:val="00612C39"/>
    <w:rsid w:val="00612CAD"/>
    <w:rsid w:val="00612D8F"/>
    <w:rsid w:val="00612DF5"/>
    <w:rsid w:val="00612E1A"/>
    <w:rsid w:val="00612E92"/>
    <w:rsid w:val="00612FDA"/>
    <w:rsid w:val="00613444"/>
    <w:rsid w:val="006134F1"/>
    <w:rsid w:val="00613500"/>
    <w:rsid w:val="0061371F"/>
    <w:rsid w:val="00613868"/>
    <w:rsid w:val="006138FA"/>
    <w:rsid w:val="0061391E"/>
    <w:rsid w:val="0061396C"/>
    <w:rsid w:val="0061398E"/>
    <w:rsid w:val="00613BD7"/>
    <w:rsid w:val="00613D30"/>
    <w:rsid w:val="00613DB6"/>
    <w:rsid w:val="00613F52"/>
    <w:rsid w:val="00614022"/>
    <w:rsid w:val="0061403F"/>
    <w:rsid w:val="00614060"/>
    <w:rsid w:val="006140EA"/>
    <w:rsid w:val="0061417B"/>
    <w:rsid w:val="006141F6"/>
    <w:rsid w:val="006142A4"/>
    <w:rsid w:val="0061432E"/>
    <w:rsid w:val="00614354"/>
    <w:rsid w:val="00614376"/>
    <w:rsid w:val="0061439C"/>
    <w:rsid w:val="006146F7"/>
    <w:rsid w:val="006148BF"/>
    <w:rsid w:val="006149DE"/>
    <w:rsid w:val="00614A4E"/>
    <w:rsid w:val="00614B09"/>
    <w:rsid w:val="00614D21"/>
    <w:rsid w:val="00614F45"/>
    <w:rsid w:val="00614F96"/>
    <w:rsid w:val="00615276"/>
    <w:rsid w:val="0061566C"/>
    <w:rsid w:val="006157E6"/>
    <w:rsid w:val="0061581B"/>
    <w:rsid w:val="006158E5"/>
    <w:rsid w:val="006159F1"/>
    <w:rsid w:val="00615CE8"/>
    <w:rsid w:val="00615CEA"/>
    <w:rsid w:val="00615DA8"/>
    <w:rsid w:val="00615E51"/>
    <w:rsid w:val="00615F23"/>
    <w:rsid w:val="0061608B"/>
    <w:rsid w:val="0061632B"/>
    <w:rsid w:val="00616384"/>
    <w:rsid w:val="006163B4"/>
    <w:rsid w:val="006163B8"/>
    <w:rsid w:val="0061667C"/>
    <w:rsid w:val="0061686D"/>
    <w:rsid w:val="00616A42"/>
    <w:rsid w:val="00616A6F"/>
    <w:rsid w:val="00616BD3"/>
    <w:rsid w:val="006172B8"/>
    <w:rsid w:val="006173DC"/>
    <w:rsid w:val="006176B7"/>
    <w:rsid w:val="006176DC"/>
    <w:rsid w:val="00617823"/>
    <w:rsid w:val="00617847"/>
    <w:rsid w:val="00617998"/>
    <w:rsid w:val="00617A10"/>
    <w:rsid w:val="00617B03"/>
    <w:rsid w:val="00617F3E"/>
    <w:rsid w:val="00617F86"/>
    <w:rsid w:val="00617FA7"/>
    <w:rsid w:val="006200F5"/>
    <w:rsid w:val="0062014A"/>
    <w:rsid w:val="0062039F"/>
    <w:rsid w:val="0062056A"/>
    <w:rsid w:val="00620648"/>
    <w:rsid w:val="0062071D"/>
    <w:rsid w:val="00620790"/>
    <w:rsid w:val="006208FE"/>
    <w:rsid w:val="006209E8"/>
    <w:rsid w:val="00620A28"/>
    <w:rsid w:val="00620AF5"/>
    <w:rsid w:val="00620B7D"/>
    <w:rsid w:val="00620B91"/>
    <w:rsid w:val="00620BFE"/>
    <w:rsid w:val="00620C44"/>
    <w:rsid w:val="00620C74"/>
    <w:rsid w:val="00620D4B"/>
    <w:rsid w:val="00620E8C"/>
    <w:rsid w:val="00620F1A"/>
    <w:rsid w:val="006212FA"/>
    <w:rsid w:val="00621848"/>
    <w:rsid w:val="0062191D"/>
    <w:rsid w:val="00621A1C"/>
    <w:rsid w:val="00621BB8"/>
    <w:rsid w:val="00621DF4"/>
    <w:rsid w:val="00621F44"/>
    <w:rsid w:val="0062202D"/>
    <w:rsid w:val="00622181"/>
    <w:rsid w:val="00622205"/>
    <w:rsid w:val="006225B2"/>
    <w:rsid w:val="006226AB"/>
    <w:rsid w:val="00622728"/>
    <w:rsid w:val="0062286A"/>
    <w:rsid w:val="0062286F"/>
    <w:rsid w:val="00622982"/>
    <w:rsid w:val="00622B4D"/>
    <w:rsid w:val="00622F7B"/>
    <w:rsid w:val="00623077"/>
    <w:rsid w:val="00623084"/>
    <w:rsid w:val="00623144"/>
    <w:rsid w:val="00623208"/>
    <w:rsid w:val="00623215"/>
    <w:rsid w:val="0062343A"/>
    <w:rsid w:val="00623555"/>
    <w:rsid w:val="00623803"/>
    <w:rsid w:val="006238BB"/>
    <w:rsid w:val="00623BD1"/>
    <w:rsid w:val="00623D83"/>
    <w:rsid w:val="00623D8E"/>
    <w:rsid w:val="00623F22"/>
    <w:rsid w:val="00623F7B"/>
    <w:rsid w:val="006240F1"/>
    <w:rsid w:val="0062433D"/>
    <w:rsid w:val="0062440D"/>
    <w:rsid w:val="0062476C"/>
    <w:rsid w:val="00624880"/>
    <w:rsid w:val="00624C64"/>
    <w:rsid w:val="00624CA5"/>
    <w:rsid w:val="00624D5F"/>
    <w:rsid w:val="00624E4A"/>
    <w:rsid w:val="00624EB9"/>
    <w:rsid w:val="00624F75"/>
    <w:rsid w:val="00625148"/>
    <w:rsid w:val="0062519A"/>
    <w:rsid w:val="006252C6"/>
    <w:rsid w:val="0062531E"/>
    <w:rsid w:val="006253DD"/>
    <w:rsid w:val="00625551"/>
    <w:rsid w:val="0062574D"/>
    <w:rsid w:val="006259FF"/>
    <w:rsid w:val="00625AC4"/>
    <w:rsid w:val="00625E67"/>
    <w:rsid w:val="00625F0E"/>
    <w:rsid w:val="00625FE5"/>
    <w:rsid w:val="0062603E"/>
    <w:rsid w:val="00626073"/>
    <w:rsid w:val="006263BC"/>
    <w:rsid w:val="00626403"/>
    <w:rsid w:val="00626565"/>
    <w:rsid w:val="00626683"/>
    <w:rsid w:val="00626839"/>
    <w:rsid w:val="006268ED"/>
    <w:rsid w:val="00626B5F"/>
    <w:rsid w:val="00626BD8"/>
    <w:rsid w:val="00626BF8"/>
    <w:rsid w:val="00626D8F"/>
    <w:rsid w:val="00626E1A"/>
    <w:rsid w:val="00626F47"/>
    <w:rsid w:val="006270BD"/>
    <w:rsid w:val="00627160"/>
    <w:rsid w:val="006273DA"/>
    <w:rsid w:val="00627419"/>
    <w:rsid w:val="00627430"/>
    <w:rsid w:val="006275B6"/>
    <w:rsid w:val="00627922"/>
    <w:rsid w:val="00627946"/>
    <w:rsid w:val="00627974"/>
    <w:rsid w:val="006279B6"/>
    <w:rsid w:val="00627AA6"/>
    <w:rsid w:val="00627B43"/>
    <w:rsid w:val="00627C6C"/>
    <w:rsid w:val="00627D27"/>
    <w:rsid w:val="00627DE6"/>
    <w:rsid w:val="00627E25"/>
    <w:rsid w:val="00627EB3"/>
    <w:rsid w:val="006300E7"/>
    <w:rsid w:val="00630283"/>
    <w:rsid w:val="006302AF"/>
    <w:rsid w:val="006302D8"/>
    <w:rsid w:val="00630360"/>
    <w:rsid w:val="00630478"/>
    <w:rsid w:val="00630889"/>
    <w:rsid w:val="006309AB"/>
    <w:rsid w:val="00630AA2"/>
    <w:rsid w:val="00630AB0"/>
    <w:rsid w:val="00630AEB"/>
    <w:rsid w:val="00630C51"/>
    <w:rsid w:val="00630CF7"/>
    <w:rsid w:val="00630E7F"/>
    <w:rsid w:val="00631166"/>
    <w:rsid w:val="00631180"/>
    <w:rsid w:val="0063118B"/>
    <w:rsid w:val="00631328"/>
    <w:rsid w:val="0063132E"/>
    <w:rsid w:val="0063148C"/>
    <w:rsid w:val="006314E2"/>
    <w:rsid w:val="0063156C"/>
    <w:rsid w:val="006315B6"/>
    <w:rsid w:val="00631674"/>
    <w:rsid w:val="006316F8"/>
    <w:rsid w:val="006319F9"/>
    <w:rsid w:val="00631A9A"/>
    <w:rsid w:val="00631B3E"/>
    <w:rsid w:val="00631CFF"/>
    <w:rsid w:val="00631F43"/>
    <w:rsid w:val="006321E2"/>
    <w:rsid w:val="006322D2"/>
    <w:rsid w:val="006324A5"/>
    <w:rsid w:val="00632548"/>
    <w:rsid w:val="0063266B"/>
    <w:rsid w:val="006326FF"/>
    <w:rsid w:val="006327F7"/>
    <w:rsid w:val="00632926"/>
    <w:rsid w:val="00632C5E"/>
    <w:rsid w:val="00632CEE"/>
    <w:rsid w:val="00632FBE"/>
    <w:rsid w:val="00632FD8"/>
    <w:rsid w:val="006334F2"/>
    <w:rsid w:val="006336F0"/>
    <w:rsid w:val="0063373E"/>
    <w:rsid w:val="006338CC"/>
    <w:rsid w:val="00633976"/>
    <w:rsid w:val="006339F4"/>
    <w:rsid w:val="00633A45"/>
    <w:rsid w:val="00633B6D"/>
    <w:rsid w:val="00633BD3"/>
    <w:rsid w:val="00633BFA"/>
    <w:rsid w:val="00633CFE"/>
    <w:rsid w:val="00633DC9"/>
    <w:rsid w:val="00633DCB"/>
    <w:rsid w:val="00633DF1"/>
    <w:rsid w:val="00633EB9"/>
    <w:rsid w:val="00633F5D"/>
    <w:rsid w:val="00634097"/>
    <w:rsid w:val="00634288"/>
    <w:rsid w:val="0063446D"/>
    <w:rsid w:val="006344DF"/>
    <w:rsid w:val="0063451A"/>
    <w:rsid w:val="006345E1"/>
    <w:rsid w:val="006345F3"/>
    <w:rsid w:val="00634797"/>
    <w:rsid w:val="006349CD"/>
    <w:rsid w:val="006349FB"/>
    <w:rsid w:val="00634A0E"/>
    <w:rsid w:val="00634A14"/>
    <w:rsid w:val="00634F98"/>
    <w:rsid w:val="00634FF9"/>
    <w:rsid w:val="00635095"/>
    <w:rsid w:val="006350DA"/>
    <w:rsid w:val="0063531D"/>
    <w:rsid w:val="0063533F"/>
    <w:rsid w:val="0063543D"/>
    <w:rsid w:val="0063546F"/>
    <w:rsid w:val="0063549C"/>
    <w:rsid w:val="0063563E"/>
    <w:rsid w:val="00635A7E"/>
    <w:rsid w:val="00635AAA"/>
    <w:rsid w:val="00635C1A"/>
    <w:rsid w:val="00635D3E"/>
    <w:rsid w:val="00635E44"/>
    <w:rsid w:val="006361E1"/>
    <w:rsid w:val="00636356"/>
    <w:rsid w:val="006363D2"/>
    <w:rsid w:val="006363F9"/>
    <w:rsid w:val="0063658F"/>
    <w:rsid w:val="0063671A"/>
    <w:rsid w:val="0063680F"/>
    <w:rsid w:val="00636926"/>
    <w:rsid w:val="00636964"/>
    <w:rsid w:val="00636A94"/>
    <w:rsid w:val="00636C3A"/>
    <w:rsid w:val="00636D1D"/>
    <w:rsid w:val="00636D68"/>
    <w:rsid w:val="00636D79"/>
    <w:rsid w:val="00636E3D"/>
    <w:rsid w:val="00636EEA"/>
    <w:rsid w:val="00636EEE"/>
    <w:rsid w:val="00636F63"/>
    <w:rsid w:val="0063703E"/>
    <w:rsid w:val="006370B6"/>
    <w:rsid w:val="00637152"/>
    <w:rsid w:val="006371A7"/>
    <w:rsid w:val="006371E7"/>
    <w:rsid w:val="006373D3"/>
    <w:rsid w:val="0063745B"/>
    <w:rsid w:val="006377FA"/>
    <w:rsid w:val="006378C1"/>
    <w:rsid w:val="0063795F"/>
    <w:rsid w:val="006379A4"/>
    <w:rsid w:val="00637AB0"/>
    <w:rsid w:val="00637B1B"/>
    <w:rsid w:val="00637C61"/>
    <w:rsid w:val="00637D89"/>
    <w:rsid w:val="00637DBF"/>
    <w:rsid w:val="00637E14"/>
    <w:rsid w:val="00637ED8"/>
    <w:rsid w:val="00640038"/>
    <w:rsid w:val="006400E2"/>
    <w:rsid w:val="00640193"/>
    <w:rsid w:val="006401B0"/>
    <w:rsid w:val="006402B8"/>
    <w:rsid w:val="006403D9"/>
    <w:rsid w:val="00640470"/>
    <w:rsid w:val="00640599"/>
    <w:rsid w:val="00640656"/>
    <w:rsid w:val="0064078E"/>
    <w:rsid w:val="006407A9"/>
    <w:rsid w:val="006407CE"/>
    <w:rsid w:val="006408CD"/>
    <w:rsid w:val="006408DC"/>
    <w:rsid w:val="00640A1B"/>
    <w:rsid w:val="00640CA6"/>
    <w:rsid w:val="00640DE1"/>
    <w:rsid w:val="00640E6F"/>
    <w:rsid w:val="00641023"/>
    <w:rsid w:val="00641184"/>
    <w:rsid w:val="006411FE"/>
    <w:rsid w:val="00641297"/>
    <w:rsid w:val="00641810"/>
    <w:rsid w:val="00641A66"/>
    <w:rsid w:val="00641D7C"/>
    <w:rsid w:val="00641F92"/>
    <w:rsid w:val="00641FB1"/>
    <w:rsid w:val="00642151"/>
    <w:rsid w:val="0064216E"/>
    <w:rsid w:val="00642338"/>
    <w:rsid w:val="006423FA"/>
    <w:rsid w:val="006423FB"/>
    <w:rsid w:val="006426A3"/>
    <w:rsid w:val="00642AD6"/>
    <w:rsid w:val="00642C1A"/>
    <w:rsid w:val="00642DAA"/>
    <w:rsid w:val="00642E32"/>
    <w:rsid w:val="00642EA4"/>
    <w:rsid w:val="00642F6A"/>
    <w:rsid w:val="0064301D"/>
    <w:rsid w:val="00643079"/>
    <w:rsid w:val="0064315C"/>
    <w:rsid w:val="006431E9"/>
    <w:rsid w:val="006432A2"/>
    <w:rsid w:val="0064337E"/>
    <w:rsid w:val="00643423"/>
    <w:rsid w:val="006434E3"/>
    <w:rsid w:val="0064354F"/>
    <w:rsid w:val="00643886"/>
    <w:rsid w:val="00643892"/>
    <w:rsid w:val="00643B39"/>
    <w:rsid w:val="00643BB0"/>
    <w:rsid w:val="00643CCC"/>
    <w:rsid w:val="00643CEC"/>
    <w:rsid w:val="00643D0B"/>
    <w:rsid w:val="00643E36"/>
    <w:rsid w:val="00643EA5"/>
    <w:rsid w:val="00643F61"/>
    <w:rsid w:val="00644142"/>
    <w:rsid w:val="006443B1"/>
    <w:rsid w:val="0064452C"/>
    <w:rsid w:val="00644671"/>
    <w:rsid w:val="006446A1"/>
    <w:rsid w:val="006447D2"/>
    <w:rsid w:val="006448FA"/>
    <w:rsid w:val="00644A5C"/>
    <w:rsid w:val="00644AE3"/>
    <w:rsid w:val="00644B12"/>
    <w:rsid w:val="00644E13"/>
    <w:rsid w:val="00644E40"/>
    <w:rsid w:val="00644E72"/>
    <w:rsid w:val="00644EDC"/>
    <w:rsid w:val="00644FB4"/>
    <w:rsid w:val="00645007"/>
    <w:rsid w:val="0064528A"/>
    <w:rsid w:val="00645476"/>
    <w:rsid w:val="00645499"/>
    <w:rsid w:val="0064550A"/>
    <w:rsid w:val="006456B9"/>
    <w:rsid w:val="006456D7"/>
    <w:rsid w:val="00645759"/>
    <w:rsid w:val="0064598A"/>
    <w:rsid w:val="006459DF"/>
    <w:rsid w:val="00645C1D"/>
    <w:rsid w:val="00645C35"/>
    <w:rsid w:val="00645C57"/>
    <w:rsid w:val="00645D2A"/>
    <w:rsid w:val="00645E13"/>
    <w:rsid w:val="00645FA4"/>
    <w:rsid w:val="00646164"/>
    <w:rsid w:val="00646559"/>
    <w:rsid w:val="006465ED"/>
    <w:rsid w:val="006465F5"/>
    <w:rsid w:val="0064663A"/>
    <w:rsid w:val="00646640"/>
    <w:rsid w:val="00646754"/>
    <w:rsid w:val="00646852"/>
    <w:rsid w:val="00646921"/>
    <w:rsid w:val="006469F6"/>
    <w:rsid w:val="00646A1F"/>
    <w:rsid w:val="00646AE0"/>
    <w:rsid w:val="00646AFE"/>
    <w:rsid w:val="00646BA1"/>
    <w:rsid w:val="00646D23"/>
    <w:rsid w:val="00646D87"/>
    <w:rsid w:val="00647022"/>
    <w:rsid w:val="006473B2"/>
    <w:rsid w:val="00647469"/>
    <w:rsid w:val="00647592"/>
    <w:rsid w:val="006475B1"/>
    <w:rsid w:val="006476E1"/>
    <w:rsid w:val="00647737"/>
    <w:rsid w:val="006477A5"/>
    <w:rsid w:val="0064789C"/>
    <w:rsid w:val="006478DD"/>
    <w:rsid w:val="00647B72"/>
    <w:rsid w:val="00647D1B"/>
    <w:rsid w:val="00647DAA"/>
    <w:rsid w:val="00647ECB"/>
    <w:rsid w:val="00647ED1"/>
    <w:rsid w:val="00647F46"/>
    <w:rsid w:val="006500DF"/>
    <w:rsid w:val="00650390"/>
    <w:rsid w:val="006504A2"/>
    <w:rsid w:val="00650636"/>
    <w:rsid w:val="006508A4"/>
    <w:rsid w:val="0065092D"/>
    <w:rsid w:val="00650A52"/>
    <w:rsid w:val="00650ADB"/>
    <w:rsid w:val="00650AE5"/>
    <w:rsid w:val="00650AF4"/>
    <w:rsid w:val="00650B04"/>
    <w:rsid w:val="00650B0A"/>
    <w:rsid w:val="00650B1E"/>
    <w:rsid w:val="00650DCD"/>
    <w:rsid w:val="00650DD2"/>
    <w:rsid w:val="00650F1E"/>
    <w:rsid w:val="00650FC8"/>
    <w:rsid w:val="0065108D"/>
    <w:rsid w:val="006510A9"/>
    <w:rsid w:val="0065122C"/>
    <w:rsid w:val="006512C3"/>
    <w:rsid w:val="00651392"/>
    <w:rsid w:val="006513F9"/>
    <w:rsid w:val="0065158A"/>
    <w:rsid w:val="0065163A"/>
    <w:rsid w:val="00651766"/>
    <w:rsid w:val="00651784"/>
    <w:rsid w:val="00651811"/>
    <w:rsid w:val="00651910"/>
    <w:rsid w:val="0065196D"/>
    <w:rsid w:val="00651BB0"/>
    <w:rsid w:val="00651D42"/>
    <w:rsid w:val="00651E17"/>
    <w:rsid w:val="00651F5E"/>
    <w:rsid w:val="0065200E"/>
    <w:rsid w:val="006521D6"/>
    <w:rsid w:val="00652245"/>
    <w:rsid w:val="006522E8"/>
    <w:rsid w:val="00652488"/>
    <w:rsid w:val="006528B9"/>
    <w:rsid w:val="0065299F"/>
    <w:rsid w:val="00652BE3"/>
    <w:rsid w:val="00652BFF"/>
    <w:rsid w:val="00652C9E"/>
    <w:rsid w:val="00652DD7"/>
    <w:rsid w:val="00652F3B"/>
    <w:rsid w:val="00652FD5"/>
    <w:rsid w:val="00653035"/>
    <w:rsid w:val="00653249"/>
    <w:rsid w:val="00653289"/>
    <w:rsid w:val="00653373"/>
    <w:rsid w:val="0065344F"/>
    <w:rsid w:val="00653492"/>
    <w:rsid w:val="006534DC"/>
    <w:rsid w:val="006534E4"/>
    <w:rsid w:val="00653581"/>
    <w:rsid w:val="00653637"/>
    <w:rsid w:val="006537DF"/>
    <w:rsid w:val="00653A62"/>
    <w:rsid w:val="00653B20"/>
    <w:rsid w:val="00653B24"/>
    <w:rsid w:val="00653BC1"/>
    <w:rsid w:val="00653BFB"/>
    <w:rsid w:val="00653C91"/>
    <w:rsid w:val="00653E16"/>
    <w:rsid w:val="00653EF3"/>
    <w:rsid w:val="00654080"/>
    <w:rsid w:val="00654271"/>
    <w:rsid w:val="00654331"/>
    <w:rsid w:val="0065434E"/>
    <w:rsid w:val="00654402"/>
    <w:rsid w:val="00654465"/>
    <w:rsid w:val="00654670"/>
    <w:rsid w:val="0065476A"/>
    <w:rsid w:val="00654881"/>
    <w:rsid w:val="006548A2"/>
    <w:rsid w:val="006549EF"/>
    <w:rsid w:val="00654A6D"/>
    <w:rsid w:val="00654AD8"/>
    <w:rsid w:val="00654AEE"/>
    <w:rsid w:val="00654B5D"/>
    <w:rsid w:val="00654C4B"/>
    <w:rsid w:val="00654CC1"/>
    <w:rsid w:val="00654CE2"/>
    <w:rsid w:val="00654D19"/>
    <w:rsid w:val="00654DD1"/>
    <w:rsid w:val="00654F16"/>
    <w:rsid w:val="00654FB4"/>
    <w:rsid w:val="0065544C"/>
    <w:rsid w:val="00655513"/>
    <w:rsid w:val="00655729"/>
    <w:rsid w:val="00655A4A"/>
    <w:rsid w:val="00655ABD"/>
    <w:rsid w:val="00655B17"/>
    <w:rsid w:val="00655B51"/>
    <w:rsid w:val="00655BF9"/>
    <w:rsid w:val="00655D31"/>
    <w:rsid w:val="00655DD0"/>
    <w:rsid w:val="00655E77"/>
    <w:rsid w:val="00656081"/>
    <w:rsid w:val="006560B9"/>
    <w:rsid w:val="00656460"/>
    <w:rsid w:val="006564ED"/>
    <w:rsid w:val="0065650D"/>
    <w:rsid w:val="00656905"/>
    <w:rsid w:val="00656AB9"/>
    <w:rsid w:val="00656CD0"/>
    <w:rsid w:val="00656D5B"/>
    <w:rsid w:val="00656E44"/>
    <w:rsid w:val="00657067"/>
    <w:rsid w:val="0065715D"/>
    <w:rsid w:val="00657326"/>
    <w:rsid w:val="00657550"/>
    <w:rsid w:val="006575CE"/>
    <w:rsid w:val="006575D4"/>
    <w:rsid w:val="00657622"/>
    <w:rsid w:val="00657687"/>
    <w:rsid w:val="006576C5"/>
    <w:rsid w:val="006576DE"/>
    <w:rsid w:val="00657824"/>
    <w:rsid w:val="00657A78"/>
    <w:rsid w:val="00657ABA"/>
    <w:rsid w:val="00657B88"/>
    <w:rsid w:val="00657FFD"/>
    <w:rsid w:val="006602F2"/>
    <w:rsid w:val="0066036F"/>
    <w:rsid w:val="00660715"/>
    <w:rsid w:val="00660828"/>
    <w:rsid w:val="006608D4"/>
    <w:rsid w:val="00660962"/>
    <w:rsid w:val="00660AAE"/>
    <w:rsid w:val="00660CBA"/>
    <w:rsid w:val="00660EB8"/>
    <w:rsid w:val="0066101B"/>
    <w:rsid w:val="0066101D"/>
    <w:rsid w:val="00661155"/>
    <w:rsid w:val="006611B0"/>
    <w:rsid w:val="0066120E"/>
    <w:rsid w:val="0066122E"/>
    <w:rsid w:val="00661399"/>
    <w:rsid w:val="0066151F"/>
    <w:rsid w:val="0066154E"/>
    <w:rsid w:val="00661696"/>
    <w:rsid w:val="0066193B"/>
    <w:rsid w:val="00661BBA"/>
    <w:rsid w:val="00661C4F"/>
    <w:rsid w:val="00661E4D"/>
    <w:rsid w:val="006621D5"/>
    <w:rsid w:val="006621EF"/>
    <w:rsid w:val="0066220C"/>
    <w:rsid w:val="00662365"/>
    <w:rsid w:val="006626A7"/>
    <w:rsid w:val="00662778"/>
    <w:rsid w:val="00662902"/>
    <w:rsid w:val="00662AB2"/>
    <w:rsid w:val="00662B60"/>
    <w:rsid w:val="00662CFD"/>
    <w:rsid w:val="00662D5D"/>
    <w:rsid w:val="00662D5E"/>
    <w:rsid w:val="00662EBC"/>
    <w:rsid w:val="006630EA"/>
    <w:rsid w:val="00663193"/>
    <w:rsid w:val="0066326B"/>
    <w:rsid w:val="00663414"/>
    <w:rsid w:val="006634BA"/>
    <w:rsid w:val="00663537"/>
    <w:rsid w:val="00663691"/>
    <w:rsid w:val="00663754"/>
    <w:rsid w:val="00663931"/>
    <w:rsid w:val="00663A20"/>
    <w:rsid w:val="00663B47"/>
    <w:rsid w:val="00663B68"/>
    <w:rsid w:val="00663DDF"/>
    <w:rsid w:val="00663EA0"/>
    <w:rsid w:val="00663EAD"/>
    <w:rsid w:val="006640AE"/>
    <w:rsid w:val="006640E9"/>
    <w:rsid w:val="00664197"/>
    <w:rsid w:val="00664200"/>
    <w:rsid w:val="0066431B"/>
    <w:rsid w:val="006643A1"/>
    <w:rsid w:val="006643DB"/>
    <w:rsid w:val="006643DD"/>
    <w:rsid w:val="00664462"/>
    <w:rsid w:val="00664605"/>
    <w:rsid w:val="00664624"/>
    <w:rsid w:val="0066462A"/>
    <w:rsid w:val="0066477D"/>
    <w:rsid w:val="0066478A"/>
    <w:rsid w:val="00664E12"/>
    <w:rsid w:val="00664E27"/>
    <w:rsid w:val="00664E61"/>
    <w:rsid w:val="00664F04"/>
    <w:rsid w:val="0066504E"/>
    <w:rsid w:val="00665178"/>
    <w:rsid w:val="006654F4"/>
    <w:rsid w:val="00665807"/>
    <w:rsid w:val="006658E2"/>
    <w:rsid w:val="00665959"/>
    <w:rsid w:val="00665967"/>
    <w:rsid w:val="006659CB"/>
    <w:rsid w:val="00665A68"/>
    <w:rsid w:val="00665AB8"/>
    <w:rsid w:val="00665BD6"/>
    <w:rsid w:val="00665C64"/>
    <w:rsid w:val="00665E69"/>
    <w:rsid w:val="0066607C"/>
    <w:rsid w:val="00666390"/>
    <w:rsid w:val="0066656D"/>
    <w:rsid w:val="00666819"/>
    <w:rsid w:val="0066688F"/>
    <w:rsid w:val="00666A01"/>
    <w:rsid w:val="00666C00"/>
    <w:rsid w:val="00666D22"/>
    <w:rsid w:val="00667086"/>
    <w:rsid w:val="00667094"/>
    <w:rsid w:val="0066721E"/>
    <w:rsid w:val="00667234"/>
    <w:rsid w:val="0066747E"/>
    <w:rsid w:val="0066761A"/>
    <w:rsid w:val="00667797"/>
    <w:rsid w:val="006679D1"/>
    <w:rsid w:val="00667B1E"/>
    <w:rsid w:val="00667B7F"/>
    <w:rsid w:val="00667C09"/>
    <w:rsid w:val="00667CDF"/>
    <w:rsid w:val="00667CF2"/>
    <w:rsid w:val="00667E4B"/>
    <w:rsid w:val="00670173"/>
    <w:rsid w:val="006701E6"/>
    <w:rsid w:val="006701FE"/>
    <w:rsid w:val="00670252"/>
    <w:rsid w:val="00670287"/>
    <w:rsid w:val="006705F3"/>
    <w:rsid w:val="00670612"/>
    <w:rsid w:val="00670670"/>
    <w:rsid w:val="0067073B"/>
    <w:rsid w:val="0067073F"/>
    <w:rsid w:val="00670768"/>
    <w:rsid w:val="00670AB6"/>
    <w:rsid w:val="00670ADC"/>
    <w:rsid w:val="00670B4D"/>
    <w:rsid w:val="00670D48"/>
    <w:rsid w:val="00670E31"/>
    <w:rsid w:val="00670F19"/>
    <w:rsid w:val="00670F99"/>
    <w:rsid w:val="006710DF"/>
    <w:rsid w:val="0067122D"/>
    <w:rsid w:val="00671275"/>
    <w:rsid w:val="00671374"/>
    <w:rsid w:val="0067144D"/>
    <w:rsid w:val="00671487"/>
    <w:rsid w:val="0067150A"/>
    <w:rsid w:val="0067154A"/>
    <w:rsid w:val="00671636"/>
    <w:rsid w:val="00671809"/>
    <w:rsid w:val="00671913"/>
    <w:rsid w:val="00671A5C"/>
    <w:rsid w:val="00671AD6"/>
    <w:rsid w:val="00671C15"/>
    <w:rsid w:val="00671CF3"/>
    <w:rsid w:val="00671D51"/>
    <w:rsid w:val="00671F9B"/>
    <w:rsid w:val="00672115"/>
    <w:rsid w:val="00672128"/>
    <w:rsid w:val="00672239"/>
    <w:rsid w:val="0067241E"/>
    <w:rsid w:val="00672467"/>
    <w:rsid w:val="006724C7"/>
    <w:rsid w:val="0067259C"/>
    <w:rsid w:val="006726B8"/>
    <w:rsid w:val="0067278E"/>
    <w:rsid w:val="006727E9"/>
    <w:rsid w:val="00672912"/>
    <w:rsid w:val="0067294F"/>
    <w:rsid w:val="00672970"/>
    <w:rsid w:val="00672B31"/>
    <w:rsid w:val="00672B3A"/>
    <w:rsid w:val="00672C33"/>
    <w:rsid w:val="00672D5D"/>
    <w:rsid w:val="00672D6B"/>
    <w:rsid w:val="00672D80"/>
    <w:rsid w:val="00672ED3"/>
    <w:rsid w:val="00672EF7"/>
    <w:rsid w:val="00672F31"/>
    <w:rsid w:val="00673055"/>
    <w:rsid w:val="00673110"/>
    <w:rsid w:val="00673191"/>
    <w:rsid w:val="0067330D"/>
    <w:rsid w:val="0067338F"/>
    <w:rsid w:val="006734A2"/>
    <w:rsid w:val="006734B2"/>
    <w:rsid w:val="006735F6"/>
    <w:rsid w:val="00673601"/>
    <w:rsid w:val="00673758"/>
    <w:rsid w:val="00673864"/>
    <w:rsid w:val="0067396F"/>
    <w:rsid w:val="00673984"/>
    <w:rsid w:val="00673A60"/>
    <w:rsid w:val="00673BE0"/>
    <w:rsid w:val="00673C5E"/>
    <w:rsid w:val="00673C95"/>
    <w:rsid w:val="00673E3C"/>
    <w:rsid w:val="00674066"/>
    <w:rsid w:val="006740AD"/>
    <w:rsid w:val="006741BD"/>
    <w:rsid w:val="006741EF"/>
    <w:rsid w:val="00674264"/>
    <w:rsid w:val="006742C7"/>
    <w:rsid w:val="006745D5"/>
    <w:rsid w:val="006745DA"/>
    <w:rsid w:val="006748E4"/>
    <w:rsid w:val="006749AF"/>
    <w:rsid w:val="006749BC"/>
    <w:rsid w:val="00674ADD"/>
    <w:rsid w:val="00674B08"/>
    <w:rsid w:val="00674B6F"/>
    <w:rsid w:val="00674D38"/>
    <w:rsid w:val="00674E96"/>
    <w:rsid w:val="00674F9C"/>
    <w:rsid w:val="00674FF2"/>
    <w:rsid w:val="006750B8"/>
    <w:rsid w:val="0067569C"/>
    <w:rsid w:val="006756E6"/>
    <w:rsid w:val="006758F7"/>
    <w:rsid w:val="00675A6E"/>
    <w:rsid w:val="00675FCD"/>
    <w:rsid w:val="00676093"/>
    <w:rsid w:val="006760F2"/>
    <w:rsid w:val="00676143"/>
    <w:rsid w:val="00676196"/>
    <w:rsid w:val="0067623B"/>
    <w:rsid w:val="0067632B"/>
    <w:rsid w:val="0067639A"/>
    <w:rsid w:val="00676433"/>
    <w:rsid w:val="006764DD"/>
    <w:rsid w:val="00676524"/>
    <w:rsid w:val="0067653B"/>
    <w:rsid w:val="00676596"/>
    <w:rsid w:val="006765D5"/>
    <w:rsid w:val="006765FF"/>
    <w:rsid w:val="00676717"/>
    <w:rsid w:val="00676730"/>
    <w:rsid w:val="0067685F"/>
    <w:rsid w:val="0067687D"/>
    <w:rsid w:val="006768C9"/>
    <w:rsid w:val="00676959"/>
    <w:rsid w:val="00676A6C"/>
    <w:rsid w:val="00676B87"/>
    <w:rsid w:val="00677525"/>
    <w:rsid w:val="0067779F"/>
    <w:rsid w:val="00677836"/>
    <w:rsid w:val="00677ADE"/>
    <w:rsid w:val="00677AF9"/>
    <w:rsid w:val="00677B41"/>
    <w:rsid w:val="00677CF8"/>
    <w:rsid w:val="00677E47"/>
    <w:rsid w:val="00677FF5"/>
    <w:rsid w:val="00680121"/>
    <w:rsid w:val="00680313"/>
    <w:rsid w:val="00680341"/>
    <w:rsid w:val="00680375"/>
    <w:rsid w:val="00680401"/>
    <w:rsid w:val="00680421"/>
    <w:rsid w:val="00680510"/>
    <w:rsid w:val="00680882"/>
    <w:rsid w:val="0068093D"/>
    <w:rsid w:val="006809A1"/>
    <w:rsid w:val="00680B4F"/>
    <w:rsid w:val="00680CB8"/>
    <w:rsid w:val="00680DF4"/>
    <w:rsid w:val="00680E66"/>
    <w:rsid w:val="00680F46"/>
    <w:rsid w:val="00680F59"/>
    <w:rsid w:val="00680F5C"/>
    <w:rsid w:val="00680FF6"/>
    <w:rsid w:val="006813FC"/>
    <w:rsid w:val="00681445"/>
    <w:rsid w:val="006815A0"/>
    <w:rsid w:val="00681765"/>
    <w:rsid w:val="006819E7"/>
    <w:rsid w:val="00681A6E"/>
    <w:rsid w:val="00681ABC"/>
    <w:rsid w:val="00681B4E"/>
    <w:rsid w:val="00681BB8"/>
    <w:rsid w:val="00681C7B"/>
    <w:rsid w:val="00681D43"/>
    <w:rsid w:val="00681E0D"/>
    <w:rsid w:val="00681FDB"/>
    <w:rsid w:val="00682126"/>
    <w:rsid w:val="006821FE"/>
    <w:rsid w:val="006824E0"/>
    <w:rsid w:val="006824F3"/>
    <w:rsid w:val="00682550"/>
    <w:rsid w:val="006825A4"/>
    <w:rsid w:val="006825C3"/>
    <w:rsid w:val="00682823"/>
    <w:rsid w:val="006829EB"/>
    <w:rsid w:val="00682A10"/>
    <w:rsid w:val="00682B5D"/>
    <w:rsid w:val="00682B65"/>
    <w:rsid w:val="00682B71"/>
    <w:rsid w:val="00682C8F"/>
    <w:rsid w:val="00682E0B"/>
    <w:rsid w:val="00682EB7"/>
    <w:rsid w:val="00682FFD"/>
    <w:rsid w:val="006831E4"/>
    <w:rsid w:val="00683259"/>
    <w:rsid w:val="00683492"/>
    <w:rsid w:val="006835EE"/>
    <w:rsid w:val="006836B1"/>
    <w:rsid w:val="006837FE"/>
    <w:rsid w:val="00683885"/>
    <w:rsid w:val="006838C6"/>
    <w:rsid w:val="00683992"/>
    <w:rsid w:val="00683A02"/>
    <w:rsid w:val="00683A1B"/>
    <w:rsid w:val="00683A9F"/>
    <w:rsid w:val="00683B21"/>
    <w:rsid w:val="00683B51"/>
    <w:rsid w:val="00683B87"/>
    <w:rsid w:val="00683C15"/>
    <w:rsid w:val="00683C2A"/>
    <w:rsid w:val="00683E67"/>
    <w:rsid w:val="00683E85"/>
    <w:rsid w:val="00683F52"/>
    <w:rsid w:val="00683FE8"/>
    <w:rsid w:val="0068407A"/>
    <w:rsid w:val="00684094"/>
    <w:rsid w:val="0068409C"/>
    <w:rsid w:val="00684118"/>
    <w:rsid w:val="0068413F"/>
    <w:rsid w:val="006844EC"/>
    <w:rsid w:val="0068460C"/>
    <w:rsid w:val="00684652"/>
    <w:rsid w:val="0068480A"/>
    <w:rsid w:val="0068480D"/>
    <w:rsid w:val="006848C4"/>
    <w:rsid w:val="0068497F"/>
    <w:rsid w:val="00684A09"/>
    <w:rsid w:val="00684C72"/>
    <w:rsid w:val="00684CC8"/>
    <w:rsid w:val="00684D2F"/>
    <w:rsid w:val="00684F73"/>
    <w:rsid w:val="006850FF"/>
    <w:rsid w:val="00685204"/>
    <w:rsid w:val="0068521A"/>
    <w:rsid w:val="00685230"/>
    <w:rsid w:val="0068525A"/>
    <w:rsid w:val="0068527D"/>
    <w:rsid w:val="0068532C"/>
    <w:rsid w:val="00685338"/>
    <w:rsid w:val="006853CB"/>
    <w:rsid w:val="006855EE"/>
    <w:rsid w:val="006859F8"/>
    <w:rsid w:val="00685B55"/>
    <w:rsid w:val="00685BE7"/>
    <w:rsid w:val="00685C3A"/>
    <w:rsid w:val="00685ED3"/>
    <w:rsid w:val="00686304"/>
    <w:rsid w:val="00686507"/>
    <w:rsid w:val="0068669F"/>
    <w:rsid w:val="006866F8"/>
    <w:rsid w:val="0068673B"/>
    <w:rsid w:val="0068698F"/>
    <w:rsid w:val="00686B58"/>
    <w:rsid w:val="00686D29"/>
    <w:rsid w:val="00686E6E"/>
    <w:rsid w:val="00686F02"/>
    <w:rsid w:val="00686F4B"/>
    <w:rsid w:val="00686FF3"/>
    <w:rsid w:val="006871AF"/>
    <w:rsid w:val="0068728D"/>
    <w:rsid w:val="006875DF"/>
    <w:rsid w:val="00687605"/>
    <w:rsid w:val="006878CD"/>
    <w:rsid w:val="006879EE"/>
    <w:rsid w:val="00687A29"/>
    <w:rsid w:val="00687A64"/>
    <w:rsid w:val="00687A6F"/>
    <w:rsid w:val="00687BA2"/>
    <w:rsid w:val="00687BC9"/>
    <w:rsid w:val="00687C09"/>
    <w:rsid w:val="00687C2C"/>
    <w:rsid w:val="00687CAA"/>
    <w:rsid w:val="00687DA1"/>
    <w:rsid w:val="00687E44"/>
    <w:rsid w:val="006901DB"/>
    <w:rsid w:val="006902FD"/>
    <w:rsid w:val="00690375"/>
    <w:rsid w:val="00690380"/>
    <w:rsid w:val="00690455"/>
    <w:rsid w:val="006904DF"/>
    <w:rsid w:val="0069095E"/>
    <w:rsid w:val="00690BD4"/>
    <w:rsid w:val="00690C2B"/>
    <w:rsid w:val="00690F30"/>
    <w:rsid w:val="0069104B"/>
    <w:rsid w:val="00691086"/>
    <w:rsid w:val="006914AC"/>
    <w:rsid w:val="006915EC"/>
    <w:rsid w:val="00691695"/>
    <w:rsid w:val="00691747"/>
    <w:rsid w:val="0069176A"/>
    <w:rsid w:val="00691890"/>
    <w:rsid w:val="00691A09"/>
    <w:rsid w:val="00691A2D"/>
    <w:rsid w:val="00691A73"/>
    <w:rsid w:val="00691C0A"/>
    <w:rsid w:val="00691C60"/>
    <w:rsid w:val="00691CD7"/>
    <w:rsid w:val="00691CDD"/>
    <w:rsid w:val="00691E11"/>
    <w:rsid w:val="006921F3"/>
    <w:rsid w:val="00692201"/>
    <w:rsid w:val="00692348"/>
    <w:rsid w:val="006925AF"/>
    <w:rsid w:val="0069275D"/>
    <w:rsid w:val="006928F6"/>
    <w:rsid w:val="0069295C"/>
    <w:rsid w:val="00692A10"/>
    <w:rsid w:val="00692B70"/>
    <w:rsid w:val="00692E26"/>
    <w:rsid w:val="00692E54"/>
    <w:rsid w:val="0069310A"/>
    <w:rsid w:val="00693142"/>
    <w:rsid w:val="00693210"/>
    <w:rsid w:val="00693247"/>
    <w:rsid w:val="006934A3"/>
    <w:rsid w:val="006934B0"/>
    <w:rsid w:val="006939B9"/>
    <w:rsid w:val="006939BF"/>
    <w:rsid w:val="00693D9B"/>
    <w:rsid w:val="00693DBD"/>
    <w:rsid w:val="00693DC9"/>
    <w:rsid w:val="00693EAE"/>
    <w:rsid w:val="00693FE7"/>
    <w:rsid w:val="00694146"/>
    <w:rsid w:val="00694155"/>
    <w:rsid w:val="00694247"/>
    <w:rsid w:val="006943AF"/>
    <w:rsid w:val="00694478"/>
    <w:rsid w:val="00694507"/>
    <w:rsid w:val="00694558"/>
    <w:rsid w:val="00694574"/>
    <w:rsid w:val="00694654"/>
    <w:rsid w:val="006949E7"/>
    <w:rsid w:val="00694BA9"/>
    <w:rsid w:val="00694D98"/>
    <w:rsid w:val="00694DC3"/>
    <w:rsid w:val="00694EFE"/>
    <w:rsid w:val="00694F7E"/>
    <w:rsid w:val="00694F9C"/>
    <w:rsid w:val="00694FD0"/>
    <w:rsid w:val="00694FF0"/>
    <w:rsid w:val="006951B2"/>
    <w:rsid w:val="006951E5"/>
    <w:rsid w:val="006951EE"/>
    <w:rsid w:val="006951FD"/>
    <w:rsid w:val="0069527F"/>
    <w:rsid w:val="0069539C"/>
    <w:rsid w:val="006955A3"/>
    <w:rsid w:val="006955DD"/>
    <w:rsid w:val="00695602"/>
    <w:rsid w:val="0069561E"/>
    <w:rsid w:val="0069585B"/>
    <w:rsid w:val="00695C65"/>
    <w:rsid w:val="00695DB7"/>
    <w:rsid w:val="00695EBB"/>
    <w:rsid w:val="00695F2B"/>
    <w:rsid w:val="00695F47"/>
    <w:rsid w:val="006960E3"/>
    <w:rsid w:val="00696300"/>
    <w:rsid w:val="0069659F"/>
    <w:rsid w:val="006965DC"/>
    <w:rsid w:val="006965E4"/>
    <w:rsid w:val="006965FE"/>
    <w:rsid w:val="006966A8"/>
    <w:rsid w:val="00696815"/>
    <w:rsid w:val="006968BA"/>
    <w:rsid w:val="0069695B"/>
    <w:rsid w:val="00696A10"/>
    <w:rsid w:val="00696B81"/>
    <w:rsid w:val="00696B90"/>
    <w:rsid w:val="00696DE9"/>
    <w:rsid w:val="00696E12"/>
    <w:rsid w:val="00696E97"/>
    <w:rsid w:val="00696FD5"/>
    <w:rsid w:val="00697041"/>
    <w:rsid w:val="006972A6"/>
    <w:rsid w:val="00697442"/>
    <w:rsid w:val="0069747C"/>
    <w:rsid w:val="00697593"/>
    <w:rsid w:val="00697713"/>
    <w:rsid w:val="006977AA"/>
    <w:rsid w:val="006977EA"/>
    <w:rsid w:val="0069794E"/>
    <w:rsid w:val="00697985"/>
    <w:rsid w:val="00697E9C"/>
    <w:rsid w:val="006A00E0"/>
    <w:rsid w:val="006A035C"/>
    <w:rsid w:val="006A04B8"/>
    <w:rsid w:val="006A063B"/>
    <w:rsid w:val="006A0824"/>
    <w:rsid w:val="006A09B8"/>
    <w:rsid w:val="006A09D1"/>
    <w:rsid w:val="006A0EB8"/>
    <w:rsid w:val="006A1052"/>
    <w:rsid w:val="006A1529"/>
    <w:rsid w:val="006A154F"/>
    <w:rsid w:val="006A156C"/>
    <w:rsid w:val="006A167F"/>
    <w:rsid w:val="006A1769"/>
    <w:rsid w:val="006A1771"/>
    <w:rsid w:val="006A17B5"/>
    <w:rsid w:val="006A1A07"/>
    <w:rsid w:val="006A1AA4"/>
    <w:rsid w:val="006A1B50"/>
    <w:rsid w:val="006A1D1D"/>
    <w:rsid w:val="006A1D25"/>
    <w:rsid w:val="006A1D64"/>
    <w:rsid w:val="006A1DA4"/>
    <w:rsid w:val="006A20D1"/>
    <w:rsid w:val="006A218C"/>
    <w:rsid w:val="006A2214"/>
    <w:rsid w:val="006A2237"/>
    <w:rsid w:val="006A2290"/>
    <w:rsid w:val="006A237E"/>
    <w:rsid w:val="006A2451"/>
    <w:rsid w:val="006A249A"/>
    <w:rsid w:val="006A25BF"/>
    <w:rsid w:val="006A25FA"/>
    <w:rsid w:val="006A2629"/>
    <w:rsid w:val="006A274B"/>
    <w:rsid w:val="006A2BA5"/>
    <w:rsid w:val="006A2ED6"/>
    <w:rsid w:val="006A2F47"/>
    <w:rsid w:val="006A3030"/>
    <w:rsid w:val="006A30A4"/>
    <w:rsid w:val="006A31E0"/>
    <w:rsid w:val="006A330E"/>
    <w:rsid w:val="006A349B"/>
    <w:rsid w:val="006A358E"/>
    <w:rsid w:val="006A364E"/>
    <w:rsid w:val="006A377D"/>
    <w:rsid w:val="006A3869"/>
    <w:rsid w:val="006A3997"/>
    <w:rsid w:val="006A3D4F"/>
    <w:rsid w:val="006A3E9D"/>
    <w:rsid w:val="006A3EEC"/>
    <w:rsid w:val="006A3EFA"/>
    <w:rsid w:val="006A42AA"/>
    <w:rsid w:val="006A4352"/>
    <w:rsid w:val="006A4462"/>
    <w:rsid w:val="006A446F"/>
    <w:rsid w:val="006A44CD"/>
    <w:rsid w:val="006A4569"/>
    <w:rsid w:val="006A458B"/>
    <w:rsid w:val="006A4961"/>
    <w:rsid w:val="006A49C9"/>
    <w:rsid w:val="006A49F1"/>
    <w:rsid w:val="006A4B5F"/>
    <w:rsid w:val="006A4C21"/>
    <w:rsid w:val="006A4CB3"/>
    <w:rsid w:val="006A4CE7"/>
    <w:rsid w:val="006A4D42"/>
    <w:rsid w:val="006A4EF5"/>
    <w:rsid w:val="006A4F0A"/>
    <w:rsid w:val="006A4F6E"/>
    <w:rsid w:val="006A5007"/>
    <w:rsid w:val="006A5066"/>
    <w:rsid w:val="006A50AC"/>
    <w:rsid w:val="006A50AF"/>
    <w:rsid w:val="006A5308"/>
    <w:rsid w:val="006A534F"/>
    <w:rsid w:val="006A5391"/>
    <w:rsid w:val="006A5428"/>
    <w:rsid w:val="006A543C"/>
    <w:rsid w:val="006A54E1"/>
    <w:rsid w:val="006A5527"/>
    <w:rsid w:val="006A55A9"/>
    <w:rsid w:val="006A5705"/>
    <w:rsid w:val="006A5878"/>
    <w:rsid w:val="006A58D4"/>
    <w:rsid w:val="006A5A62"/>
    <w:rsid w:val="006A5A85"/>
    <w:rsid w:val="006A5D4A"/>
    <w:rsid w:val="006A5F0C"/>
    <w:rsid w:val="006A6076"/>
    <w:rsid w:val="006A611F"/>
    <w:rsid w:val="006A615D"/>
    <w:rsid w:val="006A627A"/>
    <w:rsid w:val="006A628C"/>
    <w:rsid w:val="006A62B8"/>
    <w:rsid w:val="006A62C2"/>
    <w:rsid w:val="006A62D2"/>
    <w:rsid w:val="006A6483"/>
    <w:rsid w:val="006A649A"/>
    <w:rsid w:val="006A65C0"/>
    <w:rsid w:val="006A6690"/>
    <w:rsid w:val="006A676B"/>
    <w:rsid w:val="006A69E1"/>
    <w:rsid w:val="006A6A2D"/>
    <w:rsid w:val="006A6DA2"/>
    <w:rsid w:val="006A6E4C"/>
    <w:rsid w:val="006A6EE7"/>
    <w:rsid w:val="006A6F23"/>
    <w:rsid w:val="006A6FDD"/>
    <w:rsid w:val="006A6FDE"/>
    <w:rsid w:val="006A718F"/>
    <w:rsid w:val="006A71A9"/>
    <w:rsid w:val="006A7457"/>
    <w:rsid w:val="006A75CD"/>
    <w:rsid w:val="006A75D4"/>
    <w:rsid w:val="006A7686"/>
    <w:rsid w:val="006A76DE"/>
    <w:rsid w:val="006A76F1"/>
    <w:rsid w:val="006A7740"/>
    <w:rsid w:val="006A7AEC"/>
    <w:rsid w:val="006A7B3F"/>
    <w:rsid w:val="006A7B59"/>
    <w:rsid w:val="006A7BCA"/>
    <w:rsid w:val="006A7C3E"/>
    <w:rsid w:val="006A7F37"/>
    <w:rsid w:val="006B0171"/>
    <w:rsid w:val="006B02EF"/>
    <w:rsid w:val="006B037B"/>
    <w:rsid w:val="006B0656"/>
    <w:rsid w:val="006B07BB"/>
    <w:rsid w:val="006B0B19"/>
    <w:rsid w:val="006B0C3F"/>
    <w:rsid w:val="006B0E0A"/>
    <w:rsid w:val="006B0E9D"/>
    <w:rsid w:val="006B1097"/>
    <w:rsid w:val="006B1277"/>
    <w:rsid w:val="006B12D4"/>
    <w:rsid w:val="006B12E8"/>
    <w:rsid w:val="006B1426"/>
    <w:rsid w:val="006B1428"/>
    <w:rsid w:val="006B1768"/>
    <w:rsid w:val="006B176B"/>
    <w:rsid w:val="006B17F0"/>
    <w:rsid w:val="006B195E"/>
    <w:rsid w:val="006B1D17"/>
    <w:rsid w:val="006B1D49"/>
    <w:rsid w:val="006B1DEE"/>
    <w:rsid w:val="006B1F45"/>
    <w:rsid w:val="006B214F"/>
    <w:rsid w:val="006B21B1"/>
    <w:rsid w:val="006B2321"/>
    <w:rsid w:val="006B2352"/>
    <w:rsid w:val="006B283D"/>
    <w:rsid w:val="006B28E4"/>
    <w:rsid w:val="006B2ADA"/>
    <w:rsid w:val="006B2B81"/>
    <w:rsid w:val="006B2D3E"/>
    <w:rsid w:val="006B2D88"/>
    <w:rsid w:val="006B2F9F"/>
    <w:rsid w:val="006B31BB"/>
    <w:rsid w:val="006B31F1"/>
    <w:rsid w:val="006B3406"/>
    <w:rsid w:val="006B347D"/>
    <w:rsid w:val="006B3545"/>
    <w:rsid w:val="006B365A"/>
    <w:rsid w:val="006B37AD"/>
    <w:rsid w:val="006B37D5"/>
    <w:rsid w:val="006B38D2"/>
    <w:rsid w:val="006B3A41"/>
    <w:rsid w:val="006B3D15"/>
    <w:rsid w:val="006B4273"/>
    <w:rsid w:val="006B4448"/>
    <w:rsid w:val="006B4685"/>
    <w:rsid w:val="006B46BC"/>
    <w:rsid w:val="006B4B7D"/>
    <w:rsid w:val="006B4B86"/>
    <w:rsid w:val="006B4C3A"/>
    <w:rsid w:val="006B4D57"/>
    <w:rsid w:val="006B4E01"/>
    <w:rsid w:val="006B4F15"/>
    <w:rsid w:val="006B4FF0"/>
    <w:rsid w:val="006B5157"/>
    <w:rsid w:val="006B5212"/>
    <w:rsid w:val="006B5471"/>
    <w:rsid w:val="006B5740"/>
    <w:rsid w:val="006B57B7"/>
    <w:rsid w:val="006B596A"/>
    <w:rsid w:val="006B5A49"/>
    <w:rsid w:val="006B5D1A"/>
    <w:rsid w:val="006B5D89"/>
    <w:rsid w:val="006B5F78"/>
    <w:rsid w:val="006B5F96"/>
    <w:rsid w:val="006B6193"/>
    <w:rsid w:val="006B66DB"/>
    <w:rsid w:val="006B6857"/>
    <w:rsid w:val="006B6CC0"/>
    <w:rsid w:val="006B6EB2"/>
    <w:rsid w:val="006B7260"/>
    <w:rsid w:val="006B7273"/>
    <w:rsid w:val="006B7363"/>
    <w:rsid w:val="006B73A1"/>
    <w:rsid w:val="006B73FE"/>
    <w:rsid w:val="006B7547"/>
    <w:rsid w:val="006B76FE"/>
    <w:rsid w:val="006B7873"/>
    <w:rsid w:val="006B78D6"/>
    <w:rsid w:val="006B797A"/>
    <w:rsid w:val="006B7AB8"/>
    <w:rsid w:val="006B7B83"/>
    <w:rsid w:val="006B7D61"/>
    <w:rsid w:val="006B7DB2"/>
    <w:rsid w:val="006B7E98"/>
    <w:rsid w:val="006B7EAD"/>
    <w:rsid w:val="006B7F0A"/>
    <w:rsid w:val="006B7F9E"/>
    <w:rsid w:val="006B7FA2"/>
    <w:rsid w:val="006B7FA7"/>
    <w:rsid w:val="006C001C"/>
    <w:rsid w:val="006C00B0"/>
    <w:rsid w:val="006C00D2"/>
    <w:rsid w:val="006C0258"/>
    <w:rsid w:val="006C0276"/>
    <w:rsid w:val="006C02DF"/>
    <w:rsid w:val="006C031E"/>
    <w:rsid w:val="006C0588"/>
    <w:rsid w:val="006C0606"/>
    <w:rsid w:val="006C0680"/>
    <w:rsid w:val="006C072C"/>
    <w:rsid w:val="006C0C6B"/>
    <w:rsid w:val="006C0E17"/>
    <w:rsid w:val="006C1352"/>
    <w:rsid w:val="006C151B"/>
    <w:rsid w:val="006C1575"/>
    <w:rsid w:val="006C16BB"/>
    <w:rsid w:val="006C1838"/>
    <w:rsid w:val="006C186F"/>
    <w:rsid w:val="006C1B1E"/>
    <w:rsid w:val="006C1BDD"/>
    <w:rsid w:val="006C1F3C"/>
    <w:rsid w:val="006C1F4C"/>
    <w:rsid w:val="006C2051"/>
    <w:rsid w:val="006C20AF"/>
    <w:rsid w:val="006C2143"/>
    <w:rsid w:val="006C2353"/>
    <w:rsid w:val="006C2439"/>
    <w:rsid w:val="006C24C2"/>
    <w:rsid w:val="006C25C0"/>
    <w:rsid w:val="006C287D"/>
    <w:rsid w:val="006C29A5"/>
    <w:rsid w:val="006C29FA"/>
    <w:rsid w:val="006C2A5A"/>
    <w:rsid w:val="006C2AD6"/>
    <w:rsid w:val="006C2ADE"/>
    <w:rsid w:val="006C2B88"/>
    <w:rsid w:val="006C2D85"/>
    <w:rsid w:val="006C2E99"/>
    <w:rsid w:val="006C2F57"/>
    <w:rsid w:val="006C305E"/>
    <w:rsid w:val="006C3107"/>
    <w:rsid w:val="006C31E0"/>
    <w:rsid w:val="006C33F5"/>
    <w:rsid w:val="006C35A6"/>
    <w:rsid w:val="006C35FD"/>
    <w:rsid w:val="006C3712"/>
    <w:rsid w:val="006C3798"/>
    <w:rsid w:val="006C3842"/>
    <w:rsid w:val="006C387A"/>
    <w:rsid w:val="006C3928"/>
    <w:rsid w:val="006C3A71"/>
    <w:rsid w:val="006C3E21"/>
    <w:rsid w:val="006C4004"/>
    <w:rsid w:val="006C40B0"/>
    <w:rsid w:val="006C4247"/>
    <w:rsid w:val="006C4271"/>
    <w:rsid w:val="006C44A1"/>
    <w:rsid w:val="006C44AD"/>
    <w:rsid w:val="006C44C8"/>
    <w:rsid w:val="006C4647"/>
    <w:rsid w:val="006C4815"/>
    <w:rsid w:val="006C4890"/>
    <w:rsid w:val="006C48E7"/>
    <w:rsid w:val="006C4900"/>
    <w:rsid w:val="006C4A07"/>
    <w:rsid w:val="006C4D7D"/>
    <w:rsid w:val="006C4E5E"/>
    <w:rsid w:val="006C508E"/>
    <w:rsid w:val="006C5142"/>
    <w:rsid w:val="006C5152"/>
    <w:rsid w:val="006C5217"/>
    <w:rsid w:val="006C5378"/>
    <w:rsid w:val="006C544B"/>
    <w:rsid w:val="006C5516"/>
    <w:rsid w:val="006C5577"/>
    <w:rsid w:val="006C557A"/>
    <w:rsid w:val="006C558A"/>
    <w:rsid w:val="006C55EA"/>
    <w:rsid w:val="006C5811"/>
    <w:rsid w:val="006C581F"/>
    <w:rsid w:val="006C590C"/>
    <w:rsid w:val="006C591D"/>
    <w:rsid w:val="006C593E"/>
    <w:rsid w:val="006C5A80"/>
    <w:rsid w:val="006C5B44"/>
    <w:rsid w:val="006C5C10"/>
    <w:rsid w:val="006C5C38"/>
    <w:rsid w:val="006C5DCC"/>
    <w:rsid w:val="006C5FBF"/>
    <w:rsid w:val="006C612F"/>
    <w:rsid w:val="006C641A"/>
    <w:rsid w:val="006C66FA"/>
    <w:rsid w:val="006C67FA"/>
    <w:rsid w:val="006C6925"/>
    <w:rsid w:val="006C698C"/>
    <w:rsid w:val="006C69A9"/>
    <w:rsid w:val="006C6A05"/>
    <w:rsid w:val="006C6A16"/>
    <w:rsid w:val="006C6A1D"/>
    <w:rsid w:val="006C6A46"/>
    <w:rsid w:val="006C6A95"/>
    <w:rsid w:val="006C6B72"/>
    <w:rsid w:val="006C6E1F"/>
    <w:rsid w:val="006C6EE8"/>
    <w:rsid w:val="006C704F"/>
    <w:rsid w:val="006C72C5"/>
    <w:rsid w:val="006C74B4"/>
    <w:rsid w:val="006C7524"/>
    <w:rsid w:val="006C76B9"/>
    <w:rsid w:val="006C76CA"/>
    <w:rsid w:val="006C7746"/>
    <w:rsid w:val="006C78F1"/>
    <w:rsid w:val="006C7A14"/>
    <w:rsid w:val="006C7B26"/>
    <w:rsid w:val="006C7C3E"/>
    <w:rsid w:val="006C7CCE"/>
    <w:rsid w:val="006C7DBC"/>
    <w:rsid w:val="006C7DBF"/>
    <w:rsid w:val="006C7F10"/>
    <w:rsid w:val="006D013F"/>
    <w:rsid w:val="006D01A9"/>
    <w:rsid w:val="006D020D"/>
    <w:rsid w:val="006D031C"/>
    <w:rsid w:val="006D07E2"/>
    <w:rsid w:val="006D09CF"/>
    <w:rsid w:val="006D0A55"/>
    <w:rsid w:val="006D0DD4"/>
    <w:rsid w:val="006D1065"/>
    <w:rsid w:val="006D108C"/>
    <w:rsid w:val="006D126A"/>
    <w:rsid w:val="006D1277"/>
    <w:rsid w:val="006D12E7"/>
    <w:rsid w:val="006D13CE"/>
    <w:rsid w:val="006D14EF"/>
    <w:rsid w:val="006D14F0"/>
    <w:rsid w:val="006D1527"/>
    <w:rsid w:val="006D153E"/>
    <w:rsid w:val="006D178F"/>
    <w:rsid w:val="006D1869"/>
    <w:rsid w:val="006D18D9"/>
    <w:rsid w:val="006D19B9"/>
    <w:rsid w:val="006D1D41"/>
    <w:rsid w:val="006D1DC4"/>
    <w:rsid w:val="006D2030"/>
    <w:rsid w:val="006D2088"/>
    <w:rsid w:val="006D20B8"/>
    <w:rsid w:val="006D210F"/>
    <w:rsid w:val="006D2326"/>
    <w:rsid w:val="006D24EB"/>
    <w:rsid w:val="006D273D"/>
    <w:rsid w:val="006D28A4"/>
    <w:rsid w:val="006D2A9B"/>
    <w:rsid w:val="006D2B2E"/>
    <w:rsid w:val="006D2C4C"/>
    <w:rsid w:val="006D2CCC"/>
    <w:rsid w:val="006D2D2E"/>
    <w:rsid w:val="006D2D69"/>
    <w:rsid w:val="006D2D73"/>
    <w:rsid w:val="006D2DA8"/>
    <w:rsid w:val="006D2F2B"/>
    <w:rsid w:val="006D2FCD"/>
    <w:rsid w:val="006D30E9"/>
    <w:rsid w:val="006D3143"/>
    <w:rsid w:val="006D3193"/>
    <w:rsid w:val="006D31E4"/>
    <w:rsid w:val="006D326E"/>
    <w:rsid w:val="006D3281"/>
    <w:rsid w:val="006D34E8"/>
    <w:rsid w:val="006D365B"/>
    <w:rsid w:val="006D367B"/>
    <w:rsid w:val="006D381A"/>
    <w:rsid w:val="006D3862"/>
    <w:rsid w:val="006D3A4F"/>
    <w:rsid w:val="006D3ADB"/>
    <w:rsid w:val="006D3B18"/>
    <w:rsid w:val="006D3CAA"/>
    <w:rsid w:val="006D3D56"/>
    <w:rsid w:val="006D3EB8"/>
    <w:rsid w:val="006D40BB"/>
    <w:rsid w:val="006D429A"/>
    <w:rsid w:val="006D43D9"/>
    <w:rsid w:val="006D447C"/>
    <w:rsid w:val="006D45E2"/>
    <w:rsid w:val="006D4753"/>
    <w:rsid w:val="006D47CB"/>
    <w:rsid w:val="006D4810"/>
    <w:rsid w:val="006D4919"/>
    <w:rsid w:val="006D4A44"/>
    <w:rsid w:val="006D4B1F"/>
    <w:rsid w:val="006D4C65"/>
    <w:rsid w:val="006D4FEE"/>
    <w:rsid w:val="006D50E9"/>
    <w:rsid w:val="006D5189"/>
    <w:rsid w:val="006D5277"/>
    <w:rsid w:val="006D53EA"/>
    <w:rsid w:val="006D54ED"/>
    <w:rsid w:val="006D563A"/>
    <w:rsid w:val="006D56E1"/>
    <w:rsid w:val="006D5741"/>
    <w:rsid w:val="006D576D"/>
    <w:rsid w:val="006D57F3"/>
    <w:rsid w:val="006D580E"/>
    <w:rsid w:val="006D598B"/>
    <w:rsid w:val="006D59E2"/>
    <w:rsid w:val="006D5D85"/>
    <w:rsid w:val="006D5DB2"/>
    <w:rsid w:val="006D5E2F"/>
    <w:rsid w:val="006D5E6D"/>
    <w:rsid w:val="006D5FA3"/>
    <w:rsid w:val="006D5FF2"/>
    <w:rsid w:val="006D61E9"/>
    <w:rsid w:val="006D6216"/>
    <w:rsid w:val="006D6296"/>
    <w:rsid w:val="006D635F"/>
    <w:rsid w:val="006D63A0"/>
    <w:rsid w:val="006D6406"/>
    <w:rsid w:val="006D65D8"/>
    <w:rsid w:val="006D6776"/>
    <w:rsid w:val="006D6842"/>
    <w:rsid w:val="006D68C7"/>
    <w:rsid w:val="006D68E4"/>
    <w:rsid w:val="006D68F5"/>
    <w:rsid w:val="006D6A53"/>
    <w:rsid w:val="006D6A76"/>
    <w:rsid w:val="006D6DCD"/>
    <w:rsid w:val="006D702A"/>
    <w:rsid w:val="006D702E"/>
    <w:rsid w:val="006D7348"/>
    <w:rsid w:val="006D78E5"/>
    <w:rsid w:val="006D7906"/>
    <w:rsid w:val="006D7DF4"/>
    <w:rsid w:val="006D7F93"/>
    <w:rsid w:val="006E0168"/>
    <w:rsid w:val="006E04F6"/>
    <w:rsid w:val="006E0632"/>
    <w:rsid w:val="006E07E4"/>
    <w:rsid w:val="006E0A23"/>
    <w:rsid w:val="006E0A27"/>
    <w:rsid w:val="006E0A29"/>
    <w:rsid w:val="006E0B91"/>
    <w:rsid w:val="006E0E42"/>
    <w:rsid w:val="006E0F83"/>
    <w:rsid w:val="006E101A"/>
    <w:rsid w:val="006E110C"/>
    <w:rsid w:val="006E116E"/>
    <w:rsid w:val="006E11A2"/>
    <w:rsid w:val="006E11D6"/>
    <w:rsid w:val="006E11DD"/>
    <w:rsid w:val="006E126A"/>
    <w:rsid w:val="006E147E"/>
    <w:rsid w:val="006E169B"/>
    <w:rsid w:val="006E16DD"/>
    <w:rsid w:val="006E16F6"/>
    <w:rsid w:val="006E1733"/>
    <w:rsid w:val="006E179F"/>
    <w:rsid w:val="006E1860"/>
    <w:rsid w:val="006E1897"/>
    <w:rsid w:val="006E18AA"/>
    <w:rsid w:val="006E18FA"/>
    <w:rsid w:val="006E1911"/>
    <w:rsid w:val="006E1A77"/>
    <w:rsid w:val="006E1B36"/>
    <w:rsid w:val="006E1BCB"/>
    <w:rsid w:val="006E1E82"/>
    <w:rsid w:val="006E2185"/>
    <w:rsid w:val="006E21EA"/>
    <w:rsid w:val="006E24E8"/>
    <w:rsid w:val="006E2527"/>
    <w:rsid w:val="006E26C6"/>
    <w:rsid w:val="006E27E1"/>
    <w:rsid w:val="006E2806"/>
    <w:rsid w:val="006E281C"/>
    <w:rsid w:val="006E2840"/>
    <w:rsid w:val="006E295C"/>
    <w:rsid w:val="006E298E"/>
    <w:rsid w:val="006E2C27"/>
    <w:rsid w:val="006E2CB1"/>
    <w:rsid w:val="006E2D2D"/>
    <w:rsid w:val="006E2EBD"/>
    <w:rsid w:val="006E3083"/>
    <w:rsid w:val="006E3231"/>
    <w:rsid w:val="006E3311"/>
    <w:rsid w:val="006E335B"/>
    <w:rsid w:val="006E3455"/>
    <w:rsid w:val="006E349C"/>
    <w:rsid w:val="006E36F3"/>
    <w:rsid w:val="006E3A82"/>
    <w:rsid w:val="006E3AC2"/>
    <w:rsid w:val="006E3CDC"/>
    <w:rsid w:val="006E3FE1"/>
    <w:rsid w:val="006E4008"/>
    <w:rsid w:val="006E40C7"/>
    <w:rsid w:val="006E40F2"/>
    <w:rsid w:val="006E41A6"/>
    <w:rsid w:val="006E41BC"/>
    <w:rsid w:val="006E43EC"/>
    <w:rsid w:val="006E43FC"/>
    <w:rsid w:val="006E4506"/>
    <w:rsid w:val="006E4534"/>
    <w:rsid w:val="006E455D"/>
    <w:rsid w:val="006E4657"/>
    <w:rsid w:val="006E473C"/>
    <w:rsid w:val="006E4762"/>
    <w:rsid w:val="006E4827"/>
    <w:rsid w:val="006E49AA"/>
    <w:rsid w:val="006E49C8"/>
    <w:rsid w:val="006E4B8E"/>
    <w:rsid w:val="006E4C70"/>
    <w:rsid w:val="006E4C8D"/>
    <w:rsid w:val="006E4ED6"/>
    <w:rsid w:val="006E5092"/>
    <w:rsid w:val="006E51EA"/>
    <w:rsid w:val="006E539C"/>
    <w:rsid w:val="006E53D0"/>
    <w:rsid w:val="006E5420"/>
    <w:rsid w:val="006E5686"/>
    <w:rsid w:val="006E59A9"/>
    <w:rsid w:val="006E5E7B"/>
    <w:rsid w:val="006E5F67"/>
    <w:rsid w:val="006E5F9F"/>
    <w:rsid w:val="006E5FBA"/>
    <w:rsid w:val="006E6074"/>
    <w:rsid w:val="006E609F"/>
    <w:rsid w:val="006E61D1"/>
    <w:rsid w:val="006E6275"/>
    <w:rsid w:val="006E631D"/>
    <w:rsid w:val="006E63F5"/>
    <w:rsid w:val="006E64A5"/>
    <w:rsid w:val="006E650B"/>
    <w:rsid w:val="006E6593"/>
    <w:rsid w:val="006E65A3"/>
    <w:rsid w:val="006E6661"/>
    <w:rsid w:val="006E67CD"/>
    <w:rsid w:val="006E67EC"/>
    <w:rsid w:val="006E691A"/>
    <w:rsid w:val="006E6992"/>
    <w:rsid w:val="006E69D5"/>
    <w:rsid w:val="006E6B69"/>
    <w:rsid w:val="006E6BB4"/>
    <w:rsid w:val="006E6BCD"/>
    <w:rsid w:val="006E6C8C"/>
    <w:rsid w:val="006E6EB6"/>
    <w:rsid w:val="006E6ED3"/>
    <w:rsid w:val="006E6F3D"/>
    <w:rsid w:val="006E70A1"/>
    <w:rsid w:val="006E7150"/>
    <w:rsid w:val="006E7394"/>
    <w:rsid w:val="006E7414"/>
    <w:rsid w:val="006E748D"/>
    <w:rsid w:val="006E7504"/>
    <w:rsid w:val="006E7538"/>
    <w:rsid w:val="006E7626"/>
    <w:rsid w:val="006E76CB"/>
    <w:rsid w:val="006E7751"/>
    <w:rsid w:val="006E7773"/>
    <w:rsid w:val="006E778E"/>
    <w:rsid w:val="006E79CE"/>
    <w:rsid w:val="006E79FF"/>
    <w:rsid w:val="006E7A86"/>
    <w:rsid w:val="006E7B6C"/>
    <w:rsid w:val="006E7B99"/>
    <w:rsid w:val="006E7ED6"/>
    <w:rsid w:val="006E7F0F"/>
    <w:rsid w:val="006E7F70"/>
    <w:rsid w:val="006E7FBE"/>
    <w:rsid w:val="006E7FCE"/>
    <w:rsid w:val="006E7FD2"/>
    <w:rsid w:val="006F0010"/>
    <w:rsid w:val="006F0204"/>
    <w:rsid w:val="006F04AF"/>
    <w:rsid w:val="006F0C3D"/>
    <w:rsid w:val="006F0D06"/>
    <w:rsid w:val="006F0D08"/>
    <w:rsid w:val="006F0D23"/>
    <w:rsid w:val="006F0E4A"/>
    <w:rsid w:val="006F0EBF"/>
    <w:rsid w:val="006F1193"/>
    <w:rsid w:val="006F1215"/>
    <w:rsid w:val="006F135B"/>
    <w:rsid w:val="006F14D5"/>
    <w:rsid w:val="006F15F6"/>
    <w:rsid w:val="006F15FA"/>
    <w:rsid w:val="006F17AA"/>
    <w:rsid w:val="006F17F2"/>
    <w:rsid w:val="006F17F9"/>
    <w:rsid w:val="006F19BD"/>
    <w:rsid w:val="006F1BA4"/>
    <w:rsid w:val="006F1D9D"/>
    <w:rsid w:val="006F1E7B"/>
    <w:rsid w:val="006F1E8D"/>
    <w:rsid w:val="006F1EA4"/>
    <w:rsid w:val="006F1ED9"/>
    <w:rsid w:val="006F1F68"/>
    <w:rsid w:val="006F1FD6"/>
    <w:rsid w:val="006F206B"/>
    <w:rsid w:val="006F2091"/>
    <w:rsid w:val="006F2139"/>
    <w:rsid w:val="006F21AF"/>
    <w:rsid w:val="006F222B"/>
    <w:rsid w:val="006F224A"/>
    <w:rsid w:val="006F224E"/>
    <w:rsid w:val="006F233B"/>
    <w:rsid w:val="006F238F"/>
    <w:rsid w:val="006F23B3"/>
    <w:rsid w:val="006F23FB"/>
    <w:rsid w:val="006F2429"/>
    <w:rsid w:val="006F2692"/>
    <w:rsid w:val="006F269D"/>
    <w:rsid w:val="006F2765"/>
    <w:rsid w:val="006F2895"/>
    <w:rsid w:val="006F2C63"/>
    <w:rsid w:val="006F2CDE"/>
    <w:rsid w:val="006F2D3F"/>
    <w:rsid w:val="006F2F39"/>
    <w:rsid w:val="006F3042"/>
    <w:rsid w:val="006F3079"/>
    <w:rsid w:val="006F3136"/>
    <w:rsid w:val="006F3149"/>
    <w:rsid w:val="006F3176"/>
    <w:rsid w:val="006F3343"/>
    <w:rsid w:val="006F347F"/>
    <w:rsid w:val="006F34B1"/>
    <w:rsid w:val="006F380A"/>
    <w:rsid w:val="006F38EA"/>
    <w:rsid w:val="006F397A"/>
    <w:rsid w:val="006F3BD4"/>
    <w:rsid w:val="006F3CEE"/>
    <w:rsid w:val="006F3D67"/>
    <w:rsid w:val="006F3D95"/>
    <w:rsid w:val="006F3EF2"/>
    <w:rsid w:val="006F3FCB"/>
    <w:rsid w:val="006F4010"/>
    <w:rsid w:val="006F40F3"/>
    <w:rsid w:val="006F41E1"/>
    <w:rsid w:val="006F442F"/>
    <w:rsid w:val="006F44A9"/>
    <w:rsid w:val="006F452A"/>
    <w:rsid w:val="006F45C3"/>
    <w:rsid w:val="006F4848"/>
    <w:rsid w:val="006F4AEA"/>
    <w:rsid w:val="006F4BAE"/>
    <w:rsid w:val="006F4BBB"/>
    <w:rsid w:val="006F4D35"/>
    <w:rsid w:val="006F4ECF"/>
    <w:rsid w:val="006F4F21"/>
    <w:rsid w:val="006F4F47"/>
    <w:rsid w:val="006F5068"/>
    <w:rsid w:val="006F51F9"/>
    <w:rsid w:val="006F531D"/>
    <w:rsid w:val="006F5372"/>
    <w:rsid w:val="006F5375"/>
    <w:rsid w:val="006F5384"/>
    <w:rsid w:val="006F5427"/>
    <w:rsid w:val="006F5862"/>
    <w:rsid w:val="006F58DE"/>
    <w:rsid w:val="006F59E8"/>
    <w:rsid w:val="006F5A1C"/>
    <w:rsid w:val="006F5BB1"/>
    <w:rsid w:val="006F5DE4"/>
    <w:rsid w:val="006F5E27"/>
    <w:rsid w:val="006F5FBE"/>
    <w:rsid w:val="006F61E6"/>
    <w:rsid w:val="006F6358"/>
    <w:rsid w:val="006F6361"/>
    <w:rsid w:val="006F664B"/>
    <w:rsid w:val="006F6757"/>
    <w:rsid w:val="006F68F1"/>
    <w:rsid w:val="006F6B51"/>
    <w:rsid w:val="006F6BFF"/>
    <w:rsid w:val="006F6DBD"/>
    <w:rsid w:val="006F6EEB"/>
    <w:rsid w:val="006F70F0"/>
    <w:rsid w:val="006F7268"/>
    <w:rsid w:val="006F73ED"/>
    <w:rsid w:val="006F7462"/>
    <w:rsid w:val="006F750D"/>
    <w:rsid w:val="006F751D"/>
    <w:rsid w:val="006F7609"/>
    <w:rsid w:val="006F7696"/>
    <w:rsid w:val="006F76C0"/>
    <w:rsid w:val="006F77F3"/>
    <w:rsid w:val="006F7920"/>
    <w:rsid w:val="006F7A86"/>
    <w:rsid w:val="006F7BA5"/>
    <w:rsid w:val="006F7BBA"/>
    <w:rsid w:val="006F7BF9"/>
    <w:rsid w:val="006F7D9A"/>
    <w:rsid w:val="006F7DDF"/>
    <w:rsid w:val="006F7DE9"/>
    <w:rsid w:val="0070001C"/>
    <w:rsid w:val="007000AF"/>
    <w:rsid w:val="00700233"/>
    <w:rsid w:val="0070051F"/>
    <w:rsid w:val="0070054C"/>
    <w:rsid w:val="0070066B"/>
    <w:rsid w:val="007006C7"/>
    <w:rsid w:val="007006FF"/>
    <w:rsid w:val="00700775"/>
    <w:rsid w:val="00700787"/>
    <w:rsid w:val="007008B9"/>
    <w:rsid w:val="00700990"/>
    <w:rsid w:val="007009D3"/>
    <w:rsid w:val="007009D5"/>
    <w:rsid w:val="00700BF2"/>
    <w:rsid w:val="00700C47"/>
    <w:rsid w:val="00700CB9"/>
    <w:rsid w:val="00700D98"/>
    <w:rsid w:val="00700E11"/>
    <w:rsid w:val="00701008"/>
    <w:rsid w:val="00701328"/>
    <w:rsid w:val="00701668"/>
    <w:rsid w:val="007017C4"/>
    <w:rsid w:val="007017CC"/>
    <w:rsid w:val="007018B4"/>
    <w:rsid w:val="00701938"/>
    <w:rsid w:val="007019B3"/>
    <w:rsid w:val="00701A1E"/>
    <w:rsid w:val="00701B07"/>
    <w:rsid w:val="00701C6F"/>
    <w:rsid w:val="00701CC2"/>
    <w:rsid w:val="00701CE3"/>
    <w:rsid w:val="007020E0"/>
    <w:rsid w:val="007023AC"/>
    <w:rsid w:val="0070244B"/>
    <w:rsid w:val="00702450"/>
    <w:rsid w:val="00702497"/>
    <w:rsid w:val="00702558"/>
    <w:rsid w:val="007026CB"/>
    <w:rsid w:val="007028CB"/>
    <w:rsid w:val="0070295F"/>
    <w:rsid w:val="00702A32"/>
    <w:rsid w:val="00702C32"/>
    <w:rsid w:val="00702E1F"/>
    <w:rsid w:val="00702F77"/>
    <w:rsid w:val="00702F87"/>
    <w:rsid w:val="00702FC3"/>
    <w:rsid w:val="007031B6"/>
    <w:rsid w:val="00703236"/>
    <w:rsid w:val="007032C7"/>
    <w:rsid w:val="007032D8"/>
    <w:rsid w:val="007032E3"/>
    <w:rsid w:val="007033AF"/>
    <w:rsid w:val="0070340E"/>
    <w:rsid w:val="0070366A"/>
    <w:rsid w:val="00703672"/>
    <w:rsid w:val="0070368E"/>
    <w:rsid w:val="007036C7"/>
    <w:rsid w:val="00703898"/>
    <w:rsid w:val="00703A1A"/>
    <w:rsid w:val="00703D37"/>
    <w:rsid w:val="00703FE5"/>
    <w:rsid w:val="00704069"/>
    <w:rsid w:val="007040F1"/>
    <w:rsid w:val="007041F5"/>
    <w:rsid w:val="00704344"/>
    <w:rsid w:val="007044D9"/>
    <w:rsid w:val="007044E5"/>
    <w:rsid w:val="00704662"/>
    <w:rsid w:val="00704666"/>
    <w:rsid w:val="007046A2"/>
    <w:rsid w:val="007046F7"/>
    <w:rsid w:val="00704822"/>
    <w:rsid w:val="00704945"/>
    <w:rsid w:val="00704971"/>
    <w:rsid w:val="00704A92"/>
    <w:rsid w:val="00704AAD"/>
    <w:rsid w:val="00704C31"/>
    <w:rsid w:val="00704C86"/>
    <w:rsid w:val="00704CBA"/>
    <w:rsid w:val="00704F64"/>
    <w:rsid w:val="00705107"/>
    <w:rsid w:val="00705160"/>
    <w:rsid w:val="00705165"/>
    <w:rsid w:val="00705200"/>
    <w:rsid w:val="00705230"/>
    <w:rsid w:val="00705298"/>
    <w:rsid w:val="00705319"/>
    <w:rsid w:val="007054CE"/>
    <w:rsid w:val="00705A17"/>
    <w:rsid w:val="00705A78"/>
    <w:rsid w:val="00705AA2"/>
    <w:rsid w:val="00705B1D"/>
    <w:rsid w:val="00705B43"/>
    <w:rsid w:val="00705B86"/>
    <w:rsid w:val="00705BCC"/>
    <w:rsid w:val="00705EDE"/>
    <w:rsid w:val="00705F2C"/>
    <w:rsid w:val="0070603A"/>
    <w:rsid w:val="007060BB"/>
    <w:rsid w:val="0070627F"/>
    <w:rsid w:val="007064E3"/>
    <w:rsid w:val="007067FF"/>
    <w:rsid w:val="00706853"/>
    <w:rsid w:val="0070687C"/>
    <w:rsid w:val="00706922"/>
    <w:rsid w:val="00706984"/>
    <w:rsid w:val="00706A7E"/>
    <w:rsid w:val="0070703A"/>
    <w:rsid w:val="00707059"/>
    <w:rsid w:val="00707358"/>
    <w:rsid w:val="007073E7"/>
    <w:rsid w:val="00707605"/>
    <w:rsid w:val="007078BB"/>
    <w:rsid w:val="007079D7"/>
    <w:rsid w:val="00707A62"/>
    <w:rsid w:val="00707A94"/>
    <w:rsid w:val="00707BD9"/>
    <w:rsid w:val="00707CC3"/>
    <w:rsid w:val="00707E71"/>
    <w:rsid w:val="00707FA5"/>
    <w:rsid w:val="007100C4"/>
    <w:rsid w:val="007100FE"/>
    <w:rsid w:val="00710166"/>
    <w:rsid w:val="00710244"/>
    <w:rsid w:val="00710275"/>
    <w:rsid w:val="007104F2"/>
    <w:rsid w:val="007104FB"/>
    <w:rsid w:val="007107BF"/>
    <w:rsid w:val="0071082B"/>
    <w:rsid w:val="00710A38"/>
    <w:rsid w:val="00710C0C"/>
    <w:rsid w:val="00710C7A"/>
    <w:rsid w:val="00710EFC"/>
    <w:rsid w:val="00710F5E"/>
    <w:rsid w:val="00711363"/>
    <w:rsid w:val="00711415"/>
    <w:rsid w:val="0071145B"/>
    <w:rsid w:val="00711583"/>
    <w:rsid w:val="007115AF"/>
    <w:rsid w:val="007116FA"/>
    <w:rsid w:val="00711949"/>
    <w:rsid w:val="0071194E"/>
    <w:rsid w:val="007119F0"/>
    <w:rsid w:val="00711A11"/>
    <w:rsid w:val="00711AE3"/>
    <w:rsid w:val="00711B9E"/>
    <w:rsid w:val="00711D62"/>
    <w:rsid w:val="00712076"/>
    <w:rsid w:val="007120DB"/>
    <w:rsid w:val="00712138"/>
    <w:rsid w:val="00712233"/>
    <w:rsid w:val="00712243"/>
    <w:rsid w:val="007122C8"/>
    <w:rsid w:val="007123D3"/>
    <w:rsid w:val="007124C7"/>
    <w:rsid w:val="00712570"/>
    <w:rsid w:val="0071269E"/>
    <w:rsid w:val="007126F7"/>
    <w:rsid w:val="00712735"/>
    <w:rsid w:val="0071294C"/>
    <w:rsid w:val="00712AA3"/>
    <w:rsid w:val="00712C14"/>
    <w:rsid w:val="00712C1F"/>
    <w:rsid w:val="00712C41"/>
    <w:rsid w:val="00712D1B"/>
    <w:rsid w:val="00712DE7"/>
    <w:rsid w:val="00712E2F"/>
    <w:rsid w:val="00712F61"/>
    <w:rsid w:val="00712FD1"/>
    <w:rsid w:val="0071302B"/>
    <w:rsid w:val="00713036"/>
    <w:rsid w:val="007130ED"/>
    <w:rsid w:val="00713135"/>
    <w:rsid w:val="00713182"/>
    <w:rsid w:val="0071360E"/>
    <w:rsid w:val="0071361A"/>
    <w:rsid w:val="007137EA"/>
    <w:rsid w:val="00713856"/>
    <w:rsid w:val="0071386A"/>
    <w:rsid w:val="007138DA"/>
    <w:rsid w:val="00713A25"/>
    <w:rsid w:val="00713B2B"/>
    <w:rsid w:val="00713CA2"/>
    <w:rsid w:val="00713D44"/>
    <w:rsid w:val="00713E59"/>
    <w:rsid w:val="00713E5B"/>
    <w:rsid w:val="0071420A"/>
    <w:rsid w:val="007143F8"/>
    <w:rsid w:val="0071441D"/>
    <w:rsid w:val="007144E2"/>
    <w:rsid w:val="0071495D"/>
    <w:rsid w:val="007149FF"/>
    <w:rsid w:val="00714A61"/>
    <w:rsid w:val="00714D39"/>
    <w:rsid w:val="00714ED8"/>
    <w:rsid w:val="00714F31"/>
    <w:rsid w:val="00714F4F"/>
    <w:rsid w:val="00714FBA"/>
    <w:rsid w:val="00715267"/>
    <w:rsid w:val="007153EA"/>
    <w:rsid w:val="007153F3"/>
    <w:rsid w:val="007155A2"/>
    <w:rsid w:val="007156EB"/>
    <w:rsid w:val="007158AC"/>
    <w:rsid w:val="00715AB7"/>
    <w:rsid w:val="00715B4C"/>
    <w:rsid w:val="00715B5C"/>
    <w:rsid w:val="00715D06"/>
    <w:rsid w:val="00715D19"/>
    <w:rsid w:val="00715D29"/>
    <w:rsid w:val="00715E54"/>
    <w:rsid w:val="00715F5D"/>
    <w:rsid w:val="00715F5F"/>
    <w:rsid w:val="00715FE2"/>
    <w:rsid w:val="0071615A"/>
    <w:rsid w:val="00716249"/>
    <w:rsid w:val="007163AF"/>
    <w:rsid w:val="007163B3"/>
    <w:rsid w:val="00716552"/>
    <w:rsid w:val="00716747"/>
    <w:rsid w:val="00716763"/>
    <w:rsid w:val="00716800"/>
    <w:rsid w:val="007168CC"/>
    <w:rsid w:val="00716D25"/>
    <w:rsid w:val="00716DC0"/>
    <w:rsid w:val="00716E6F"/>
    <w:rsid w:val="00717067"/>
    <w:rsid w:val="0071709F"/>
    <w:rsid w:val="007170B2"/>
    <w:rsid w:val="00717158"/>
    <w:rsid w:val="00717173"/>
    <w:rsid w:val="007171C0"/>
    <w:rsid w:val="00717354"/>
    <w:rsid w:val="00717388"/>
    <w:rsid w:val="007173E2"/>
    <w:rsid w:val="007174FF"/>
    <w:rsid w:val="00717501"/>
    <w:rsid w:val="007175B0"/>
    <w:rsid w:val="00717738"/>
    <w:rsid w:val="00717AFF"/>
    <w:rsid w:val="00717D75"/>
    <w:rsid w:val="00717E83"/>
    <w:rsid w:val="00717F17"/>
    <w:rsid w:val="00720014"/>
    <w:rsid w:val="0072004D"/>
    <w:rsid w:val="0072026E"/>
    <w:rsid w:val="007202DF"/>
    <w:rsid w:val="007206A2"/>
    <w:rsid w:val="007206D6"/>
    <w:rsid w:val="007207DA"/>
    <w:rsid w:val="0072080A"/>
    <w:rsid w:val="00720956"/>
    <w:rsid w:val="00720958"/>
    <w:rsid w:val="0072097C"/>
    <w:rsid w:val="00720A03"/>
    <w:rsid w:val="00720CDE"/>
    <w:rsid w:val="00720DE6"/>
    <w:rsid w:val="00720E03"/>
    <w:rsid w:val="00720E0D"/>
    <w:rsid w:val="00720F0B"/>
    <w:rsid w:val="00721078"/>
    <w:rsid w:val="0072120F"/>
    <w:rsid w:val="0072125A"/>
    <w:rsid w:val="007212E1"/>
    <w:rsid w:val="00721368"/>
    <w:rsid w:val="00721378"/>
    <w:rsid w:val="0072148D"/>
    <w:rsid w:val="00721639"/>
    <w:rsid w:val="0072165F"/>
    <w:rsid w:val="00721771"/>
    <w:rsid w:val="007217A9"/>
    <w:rsid w:val="007217CD"/>
    <w:rsid w:val="007217F0"/>
    <w:rsid w:val="00721845"/>
    <w:rsid w:val="00721905"/>
    <w:rsid w:val="007219F1"/>
    <w:rsid w:val="00721A31"/>
    <w:rsid w:val="00721C1D"/>
    <w:rsid w:val="00721C31"/>
    <w:rsid w:val="00721FAA"/>
    <w:rsid w:val="00722023"/>
    <w:rsid w:val="00722060"/>
    <w:rsid w:val="007220AB"/>
    <w:rsid w:val="007220EB"/>
    <w:rsid w:val="007220FC"/>
    <w:rsid w:val="00722133"/>
    <w:rsid w:val="00722558"/>
    <w:rsid w:val="00722697"/>
    <w:rsid w:val="007228CA"/>
    <w:rsid w:val="007228EC"/>
    <w:rsid w:val="00722960"/>
    <w:rsid w:val="00722AD8"/>
    <w:rsid w:val="00722BF1"/>
    <w:rsid w:val="00722C76"/>
    <w:rsid w:val="00722D09"/>
    <w:rsid w:val="007230ED"/>
    <w:rsid w:val="0072314D"/>
    <w:rsid w:val="00723191"/>
    <w:rsid w:val="00723462"/>
    <w:rsid w:val="00723559"/>
    <w:rsid w:val="007236DE"/>
    <w:rsid w:val="00723976"/>
    <w:rsid w:val="00723B61"/>
    <w:rsid w:val="00723C45"/>
    <w:rsid w:val="00723EA3"/>
    <w:rsid w:val="00723EA9"/>
    <w:rsid w:val="00723EFE"/>
    <w:rsid w:val="00723FE0"/>
    <w:rsid w:val="00724069"/>
    <w:rsid w:val="007241EF"/>
    <w:rsid w:val="007242D9"/>
    <w:rsid w:val="007242EE"/>
    <w:rsid w:val="0072446E"/>
    <w:rsid w:val="007245DC"/>
    <w:rsid w:val="007247C6"/>
    <w:rsid w:val="00724906"/>
    <w:rsid w:val="007249E7"/>
    <w:rsid w:val="00724B59"/>
    <w:rsid w:val="00724C4D"/>
    <w:rsid w:val="00725038"/>
    <w:rsid w:val="007251BD"/>
    <w:rsid w:val="00725243"/>
    <w:rsid w:val="007252D7"/>
    <w:rsid w:val="0072536D"/>
    <w:rsid w:val="007254CD"/>
    <w:rsid w:val="007256EB"/>
    <w:rsid w:val="00725804"/>
    <w:rsid w:val="00725A5A"/>
    <w:rsid w:val="00725A68"/>
    <w:rsid w:val="00725A7E"/>
    <w:rsid w:val="00725AC0"/>
    <w:rsid w:val="00725D88"/>
    <w:rsid w:val="00725FA3"/>
    <w:rsid w:val="00726047"/>
    <w:rsid w:val="00726387"/>
    <w:rsid w:val="007263E6"/>
    <w:rsid w:val="00726422"/>
    <w:rsid w:val="0072656C"/>
    <w:rsid w:val="007266DC"/>
    <w:rsid w:val="00726720"/>
    <w:rsid w:val="0072675C"/>
    <w:rsid w:val="007269BC"/>
    <w:rsid w:val="00726D18"/>
    <w:rsid w:val="00726E02"/>
    <w:rsid w:val="00726EEB"/>
    <w:rsid w:val="00726F98"/>
    <w:rsid w:val="00726FEB"/>
    <w:rsid w:val="007270B2"/>
    <w:rsid w:val="0072710E"/>
    <w:rsid w:val="00727286"/>
    <w:rsid w:val="007272E0"/>
    <w:rsid w:val="007273EB"/>
    <w:rsid w:val="00727436"/>
    <w:rsid w:val="0072752E"/>
    <w:rsid w:val="007277BE"/>
    <w:rsid w:val="00727867"/>
    <w:rsid w:val="00727942"/>
    <w:rsid w:val="00730170"/>
    <w:rsid w:val="007301E7"/>
    <w:rsid w:val="0073038F"/>
    <w:rsid w:val="0073041D"/>
    <w:rsid w:val="007304C6"/>
    <w:rsid w:val="007304D3"/>
    <w:rsid w:val="00730673"/>
    <w:rsid w:val="007306CC"/>
    <w:rsid w:val="00730762"/>
    <w:rsid w:val="00730812"/>
    <w:rsid w:val="00730957"/>
    <w:rsid w:val="00730CB4"/>
    <w:rsid w:val="00730DDB"/>
    <w:rsid w:val="00730E1B"/>
    <w:rsid w:val="00730E79"/>
    <w:rsid w:val="00730F8A"/>
    <w:rsid w:val="00731150"/>
    <w:rsid w:val="00731162"/>
    <w:rsid w:val="00731175"/>
    <w:rsid w:val="00731228"/>
    <w:rsid w:val="0073154A"/>
    <w:rsid w:val="00731717"/>
    <w:rsid w:val="00731737"/>
    <w:rsid w:val="007317E2"/>
    <w:rsid w:val="0073183D"/>
    <w:rsid w:val="00731AB9"/>
    <w:rsid w:val="00731B8B"/>
    <w:rsid w:val="00731C48"/>
    <w:rsid w:val="00731F9D"/>
    <w:rsid w:val="0073211B"/>
    <w:rsid w:val="00732201"/>
    <w:rsid w:val="0073234A"/>
    <w:rsid w:val="007323A1"/>
    <w:rsid w:val="007323B5"/>
    <w:rsid w:val="0073269B"/>
    <w:rsid w:val="007326BF"/>
    <w:rsid w:val="007327F2"/>
    <w:rsid w:val="00732847"/>
    <w:rsid w:val="00732850"/>
    <w:rsid w:val="0073288E"/>
    <w:rsid w:val="007328B8"/>
    <w:rsid w:val="007328DC"/>
    <w:rsid w:val="007329E8"/>
    <w:rsid w:val="00732AFC"/>
    <w:rsid w:val="00732CEE"/>
    <w:rsid w:val="00732D7E"/>
    <w:rsid w:val="00732E5A"/>
    <w:rsid w:val="00732FC1"/>
    <w:rsid w:val="00732FEF"/>
    <w:rsid w:val="00733072"/>
    <w:rsid w:val="007333BC"/>
    <w:rsid w:val="00733444"/>
    <w:rsid w:val="007334A1"/>
    <w:rsid w:val="00733639"/>
    <w:rsid w:val="00733824"/>
    <w:rsid w:val="00733957"/>
    <w:rsid w:val="00733A06"/>
    <w:rsid w:val="00733AC6"/>
    <w:rsid w:val="00733BB3"/>
    <w:rsid w:val="00733CD3"/>
    <w:rsid w:val="00733CFD"/>
    <w:rsid w:val="00733D8D"/>
    <w:rsid w:val="00733DFE"/>
    <w:rsid w:val="00733E02"/>
    <w:rsid w:val="00733EA8"/>
    <w:rsid w:val="00734066"/>
    <w:rsid w:val="00734157"/>
    <w:rsid w:val="007342B1"/>
    <w:rsid w:val="007343B0"/>
    <w:rsid w:val="00734511"/>
    <w:rsid w:val="0073458B"/>
    <w:rsid w:val="007345B6"/>
    <w:rsid w:val="0073461D"/>
    <w:rsid w:val="00734635"/>
    <w:rsid w:val="007346F7"/>
    <w:rsid w:val="00734811"/>
    <w:rsid w:val="0073488A"/>
    <w:rsid w:val="00734961"/>
    <w:rsid w:val="00734AE0"/>
    <w:rsid w:val="00734B23"/>
    <w:rsid w:val="00734B40"/>
    <w:rsid w:val="00734D9F"/>
    <w:rsid w:val="00734E5B"/>
    <w:rsid w:val="00735291"/>
    <w:rsid w:val="0073537B"/>
    <w:rsid w:val="007353CB"/>
    <w:rsid w:val="0073554F"/>
    <w:rsid w:val="00735710"/>
    <w:rsid w:val="00735839"/>
    <w:rsid w:val="0073584C"/>
    <w:rsid w:val="0073591D"/>
    <w:rsid w:val="00735977"/>
    <w:rsid w:val="00735A4B"/>
    <w:rsid w:val="00735A68"/>
    <w:rsid w:val="00735AE7"/>
    <w:rsid w:val="00735C4F"/>
    <w:rsid w:val="00735DCA"/>
    <w:rsid w:val="00735E5F"/>
    <w:rsid w:val="00735FBB"/>
    <w:rsid w:val="0073625B"/>
    <w:rsid w:val="00736474"/>
    <w:rsid w:val="007364FF"/>
    <w:rsid w:val="00736619"/>
    <w:rsid w:val="007366D8"/>
    <w:rsid w:val="007368D4"/>
    <w:rsid w:val="007369A3"/>
    <w:rsid w:val="00736B08"/>
    <w:rsid w:val="00736BCC"/>
    <w:rsid w:val="00736C59"/>
    <w:rsid w:val="00736C9F"/>
    <w:rsid w:val="00736D4C"/>
    <w:rsid w:val="00736D9C"/>
    <w:rsid w:val="00736DB3"/>
    <w:rsid w:val="00736F15"/>
    <w:rsid w:val="00737004"/>
    <w:rsid w:val="0073704A"/>
    <w:rsid w:val="007370D5"/>
    <w:rsid w:val="00737401"/>
    <w:rsid w:val="00737497"/>
    <w:rsid w:val="007374A4"/>
    <w:rsid w:val="0073754F"/>
    <w:rsid w:val="0073759F"/>
    <w:rsid w:val="00737608"/>
    <w:rsid w:val="00737873"/>
    <w:rsid w:val="007378CE"/>
    <w:rsid w:val="0073795D"/>
    <w:rsid w:val="007379D5"/>
    <w:rsid w:val="00737B60"/>
    <w:rsid w:val="00737B6B"/>
    <w:rsid w:val="00737BC0"/>
    <w:rsid w:val="00737D0C"/>
    <w:rsid w:val="00737DDF"/>
    <w:rsid w:val="00737E9B"/>
    <w:rsid w:val="007401C0"/>
    <w:rsid w:val="0074027D"/>
    <w:rsid w:val="007404BB"/>
    <w:rsid w:val="007404EC"/>
    <w:rsid w:val="0074073C"/>
    <w:rsid w:val="00740880"/>
    <w:rsid w:val="007409D5"/>
    <w:rsid w:val="007409DB"/>
    <w:rsid w:val="00740A40"/>
    <w:rsid w:val="00740B10"/>
    <w:rsid w:val="00740BE8"/>
    <w:rsid w:val="00740C3F"/>
    <w:rsid w:val="00740CCE"/>
    <w:rsid w:val="00740E4D"/>
    <w:rsid w:val="00740F32"/>
    <w:rsid w:val="00741039"/>
    <w:rsid w:val="00741114"/>
    <w:rsid w:val="00741529"/>
    <w:rsid w:val="007416C2"/>
    <w:rsid w:val="007416D5"/>
    <w:rsid w:val="0074188A"/>
    <w:rsid w:val="00741AF9"/>
    <w:rsid w:val="00741B7F"/>
    <w:rsid w:val="00741CD4"/>
    <w:rsid w:val="00741D37"/>
    <w:rsid w:val="00742114"/>
    <w:rsid w:val="00742281"/>
    <w:rsid w:val="00742413"/>
    <w:rsid w:val="0074241F"/>
    <w:rsid w:val="007424C8"/>
    <w:rsid w:val="007424ED"/>
    <w:rsid w:val="00742529"/>
    <w:rsid w:val="007425AF"/>
    <w:rsid w:val="00742605"/>
    <w:rsid w:val="00742776"/>
    <w:rsid w:val="007427BF"/>
    <w:rsid w:val="0074286F"/>
    <w:rsid w:val="00742882"/>
    <w:rsid w:val="00742B57"/>
    <w:rsid w:val="00742CA6"/>
    <w:rsid w:val="00742D21"/>
    <w:rsid w:val="00742D94"/>
    <w:rsid w:val="00742E53"/>
    <w:rsid w:val="00742E6E"/>
    <w:rsid w:val="00742E7E"/>
    <w:rsid w:val="00742E9D"/>
    <w:rsid w:val="00742EDF"/>
    <w:rsid w:val="00743011"/>
    <w:rsid w:val="0074304E"/>
    <w:rsid w:val="007430A0"/>
    <w:rsid w:val="007434E2"/>
    <w:rsid w:val="0074365E"/>
    <w:rsid w:val="007436A5"/>
    <w:rsid w:val="007436FD"/>
    <w:rsid w:val="00743734"/>
    <w:rsid w:val="00743835"/>
    <w:rsid w:val="00743921"/>
    <w:rsid w:val="00743934"/>
    <w:rsid w:val="00743B0A"/>
    <w:rsid w:val="00743BF6"/>
    <w:rsid w:val="00743FE4"/>
    <w:rsid w:val="00744078"/>
    <w:rsid w:val="00744266"/>
    <w:rsid w:val="0074437B"/>
    <w:rsid w:val="00744423"/>
    <w:rsid w:val="007444E9"/>
    <w:rsid w:val="00744518"/>
    <w:rsid w:val="00744BF1"/>
    <w:rsid w:val="00744D4B"/>
    <w:rsid w:val="00744F77"/>
    <w:rsid w:val="00744FE3"/>
    <w:rsid w:val="007451AE"/>
    <w:rsid w:val="007453A2"/>
    <w:rsid w:val="00745572"/>
    <w:rsid w:val="00745658"/>
    <w:rsid w:val="00745708"/>
    <w:rsid w:val="00745765"/>
    <w:rsid w:val="00745898"/>
    <w:rsid w:val="00745977"/>
    <w:rsid w:val="00745992"/>
    <w:rsid w:val="00745A24"/>
    <w:rsid w:val="00745AB7"/>
    <w:rsid w:val="00745B7B"/>
    <w:rsid w:val="00745BED"/>
    <w:rsid w:val="00745C04"/>
    <w:rsid w:val="00745C40"/>
    <w:rsid w:val="00745D14"/>
    <w:rsid w:val="00745E77"/>
    <w:rsid w:val="00745E88"/>
    <w:rsid w:val="00746303"/>
    <w:rsid w:val="00746313"/>
    <w:rsid w:val="0074640F"/>
    <w:rsid w:val="0074641E"/>
    <w:rsid w:val="007464F7"/>
    <w:rsid w:val="00746518"/>
    <w:rsid w:val="007466EF"/>
    <w:rsid w:val="0074673D"/>
    <w:rsid w:val="00746BB7"/>
    <w:rsid w:val="00746C1B"/>
    <w:rsid w:val="00746C25"/>
    <w:rsid w:val="0074709E"/>
    <w:rsid w:val="007471B5"/>
    <w:rsid w:val="0074732E"/>
    <w:rsid w:val="007474E8"/>
    <w:rsid w:val="0074752C"/>
    <w:rsid w:val="00747707"/>
    <w:rsid w:val="007479D6"/>
    <w:rsid w:val="00747B02"/>
    <w:rsid w:val="00747B8D"/>
    <w:rsid w:val="00747BE1"/>
    <w:rsid w:val="00747C40"/>
    <w:rsid w:val="007500DE"/>
    <w:rsid w:val="00750223"/>
    <w:rsid w:val="0075038C"/>
    <w:rsid w:val="0075039C"/>
    <w:rsid w:val="007503D2"/>
    <w:rsid w:val="00750442"/>
    <w:rsid w:val="0075072D"/>
    <w:rsid w:val="00750870"/>
    <w:rsid w:val="00750903"/>
    <w:rsid w:val="00750A74"/>
    <w:rsid w:val="00750B48"/>
    <w:rsid w:val="00750B5D"/>
    <w:rsid w:val="00750B98"/>
    <w:rsid w:val="00750EB3"/>
    <w:rsid w:val="00750F94"/>
    <w:rsid w:val="00750FA1"/>
    <w:rsid w:val="007512B2"/>
    <w:rsid w:val="007512BF"/>
    <w:rsid w:val="0075134B"/>
    <w:rsid w:val="00751386"/>
    <w:rsid w:val="007513F2"/>
    <w:rsid w:val="00751472"/>
    <w:rsid w:val="00751862"/>
    <w:rsid w:val="007518D8"/>
    <w:rsid w:val="007518ED"/>
    <w:rsid w:val="0075191D"/>
    <w:rsid w:val="0075191F"/>
    <w:rsid w:val="007519E0"/>
    <w:rsid w:val="00751BA2"/>
    <w:rsid w:val="00751BD6"/>
    <w:rsid w:val="00751F6F"/>
    <w:rsid w:val="00751FB2"/>
    <w:rsid w:val="007520B9"/>
    <w:rsid w:val="0075228A"/>
    <w:rsid w:val="00752333"/>
    <w:rsid w:val="00752528"/>
    <w:rsid w:val="00752547"/>
    <w:rsid w:val="0075277E"/>
    <w:rsid w:val="00752896"/>
    <w:rsid w:val="007529B1"/>
    <w:rsid w:val="00752A0A"/>
    <w:rsid w:val="00752A61"/>
    <w:rsid w:val="00752F78"/>
    <w:rsid w:val="00753220"/>
    <w:rsid w:val="0075329F"/>
    <w:rsid w:val="00753351"/>
    <w:rsid w:val="007533D3"/>
    <w:rsid w:val="00753477"/>
    <w:rsid w:val="0075356D"/>
    <w:rsid w:val="00753585"/>
    <w:rsid w:val="00753620"/>
    <w:rsid w:val="0075372B"/>
    <w:rsid w:val="00753743"/>
    <w:rsid w:val="007538A1"/>
    <w:rsid w:val="0075399C"/>
    <w:rsid w:val="007539BC"/>
    <w:rsid w:val="007539C6"/>
    <w:rsid w:val="00753A86"/>
    <w:rsid w:val="00753A88"/>
    <w:rsid w:val="00753B6E"/>
    <w:rsid w:val="00753BA3"/>
    <w:rsid w:val="00753D73"/>
    <w:rsid w:val="00753E06"/>
    <w:rsid w:val="00753E9F"/>
    <w:rsid w:val="00753EC7"/>
    <w:rsid w:val="00754005"/>
    <w:rsid w:val="007540F5"/>
    <w:rsid w:val="007541CC"/>
    <w:rsid w:val="00754234"/>
    <w:rsid w:val="00754350"/>
    <w:rsid w:val="00754491"/>
    <w:rsid w:val="00754587"/>
    <w:rsid w:val="00754593"/>
    <w:rsid w:val="0075470E"/>
    <w:rsid w:val="0075476F"/>
    <w:rsid w:val="00754983"/>
    <w:rsid w:val="00754A11"/>
    <w:rsid w:val="00754D59"/>
    <w:rsid w:val="00754D85"/>
    <w:rsid w:val="00754DC4"/>
    <w:rsid w:val="00754FA3"/>
    <w:rsid w:val="00754FC7"/>
    <w:rsid w:val="007550DF"/>
    <w:rsid w:val="00755421"/>
    <w:rsid w:val="007554AB"/>
    <w:rsid w:val="007554ED"/>
    <w:rsid w:val="00755617"/>
    <w:rsid w:val="00755B04"/>
    <w:rsid w:val="00755B1C"/>
    <w:rsid w:val="00755C04"/>
    <w:rsid w:val="00755D3B"/>
    <w:rsid w:val="00755ECF"/>
    <w:rsid w:val="00755FC0"/>
    <w:rsid w:val="007561ED"/>
    <w:rsid w:val="007562C5"/>
    <w:rsid w:val="007562D0"/>
    <w:rsid w:val="007563DE"/>
    <w:rsid w:val="0075642C"/>
    <w:rsid w:val="0075645F"/>
    <w:rsid w:val="00756516"/>
    <w:rsid w:val="0075672B"/>
    <w:rsid w:val="00756822"/>
    <w:rsid w:val="00756A07"/>
    <w:rsid w:val="00756A1F"/>
    <w:rsid w:val="00756A2C"/>
    <w:rsid w:val="00756A44"/>
    <w:rsid w:val="00756CED"/>
    <w:rsid w:val="00756D87"/>
    <w:rsid w:val="00756EE0"/>
    <w:rsid w:val="00757161"/>
    <w:rsid w:val="007573BE"/>
    <w:rsid w:val="0075765D"/>
    <w:rsid w:val="0075779B"/>
    <w:rsid w:val="007577A3"/>
    <w:rsid w:val="00757833"/>
    <w:rsid w:val="00757879"/>
    <w:rsid w:val="00757A3C"/>
    <w:rsid w:val="00757AAA"/>
    <w:rsid w:val="00757AD7"/>
    <w:rsid w:val="00757B7A"/>
    <w:rsid w:val="00757D0C"/>
    <w:rsid w:val="00757F95"/>
    <w:rsid w:val="00757FC1"/>
    <w:rsid w:val="0076010B"/>
    <w:rsid w:val="007601CA"/>
    <w:rsid w:val="007602A1"/>
    <w:rsid w:val="007602E0"/>
    <w:rsid w:val="00760365"/>
    <w:rsid w:val="0076047B"/>
    <w:rsid w:val="0076052B"/>
    <w:rsid w:val="00760A49"/>
    <w:rsid w:val="00760B3B"/>
    <w:rsid w:val="00760E17"/>
    <w:rsid w:val="00760EC0"/>
    <w:rsid w:val="00760EC6"/>
    <w:rsid w:val="00760F1C"/>
    <w:rsid w:val="00760FF7"/>
    <w:rsid w:val="00761038"/>
    <w:rsid w:val="007610A0"/>
    <w:rsid w:val="007612FF"/>
    <w:rsid w:val="007613C4"/>
    <w:rsid w:val="007614BB"/>
    <w:rsid w:val="0076154C"/>
    <w:rsid w:val="00761579"/>
    <w:rsid w:val="0076185D"/>
    <w:rsid w:val="00761918"/>
    <w:rsid w:val="00761D1F"/>
    <w:rsid w:val="00761D87"/>
    <w:rsid w:val="00761EDA"/>
    <w:rsid w:val="00761F38"/>
    <w:rsid w:val="00761F51"/>
    <w:rsid w:val="00761FE8"/>
    <w:rsid w:val="007620A9"/>
    <w:rsid w:val="007620EB"/>
    <w:rsid w:val="00762137"/>
    <w:rsid w:val="007622C0"/>
    <w:rsid w:val="00762376"/>
    <w:rsid w:val="007624E5"/>
    <w:rsid w:val="00762667"/>
    <w:rsid w:val="00762819"/>
    <w:rsid w:val="007629B6"/>
    <w:rsid w:val="00762A82"/>
    <w:rsid w:val="00762BB2"/>
    <w:rsid w:val="00762D34"/>
    <w:rsid w:val="00762DF8"/>
    <w:rsid w:val="00762E5F"/>
    <w:rsid w:val="00762E7A"/>
    <w:rsid w:val="00762EC9"/>
    <w:rsid w:val="00763027"/>
    <w:rsid w:val="00763079"/>
    <w:rsid w:val="00763098"/>
    <w:rsid w:val="00763194"/>
    <w:rsid w:val="007632F5"/>
    <w:rsid w:val="007633CF"/>
    <w:rsid w:val="007633DF"/>
    <w:rsid w:val="0076371B"/>
    <w:rsid w:val="00763A4B"/>
    <w:rsid w:val="00763BDF"/>
    <w:rsid w:val="00763C10"/>
    <w:rsid w:val="00763F8E"/>
    <w:rsid w:val="0076409E"/>
    <w:rsid w:val="00764209"/>
    <w:rsid w:val="00764233"/>
    <w:rsid w:val="00764389"/>
    <w:rsid w:val="007644B8"/>
    <w:rsid w:val="007644D2"/>
    <w:rsid w:val="007644FE"/>
    <w:rsid w:val="007645CD"/>
    <w:rsid w:val="0076487C"/>
    <w:rsid w:val="007649B5"/>
    <w:rsid w:val="007649C4"/>
    <w:rsid w:val="00764A3E"/>
    <w:rsid w:val="00764B7C"/>
    <w:rsid w:val="00764D1F"/>
    <w:rsid w:val="00764D4E"/>
    <w:rsid w:val="00764EC7"/>
    <w:rsid w:val="00765088"/>
    <w:rsid w:val="00765159"/>
    <w:rsid w:val="007653F3"/>
    <w:rsid w:val="00765646"/>
    <w:rsid w:val="00765774"/>
    <w:rsid w:val="007657EF"/>
    <w:rsid w:val="007658A0"/>
    <w:rsid w:val="007658C1"/>
    <w:rsid w:val="00765B54"/>
    <w:rsid w:val="00765BD1"/>
    <w:rsid w:val="00765D37"/>
    <w:rsid w:val="007660EA"/>
    <w:rsid w:val="0076633A"/>
    <w:rsid w:val="007663CE"/>
    <w:rsid w:val="007664EB"/>
    <w:rsid w:val="007666D8"/>
    <w:rsid w:val="00766718"/>
    <w:rsid w:val="007669A8"/>
    <w:rsid w:val="007669BD"/>
    <w:rsid w:val="00766C3E"/>
    <w:rsid w:val="00766CA4"/>
    <w:rsid w:val="00766D17"/>
    <w:rsid w:val="00766D3D"/>
    <w:rsid w:val="00766D9F"/>
    <w:rsid w:val="00766E84"/>
    <w:rsid w:val="007671EF"/>
    <w:rsid w:val="00767238"/>
    <w:rsid w:val="00767266"/>
    <w:rsid w:val="00767301"/>
    <w:rsid w:val="007673D7"/>
    <w:rsid w:val="007676B0"/>
    <w:rsid w:val="0076780F"/>
    <w:rsid w:val="00767886"/>
    <w:rsid w:val="007678E0"/>
    <w:rsid w:val="00767979"/>
    <w:rsid w:val="00767CC1"/>
    <w:rsid w:val="00767D3C"/>
    <w:rsid w:val="00767EE4"/>
    <w:rsid w:val="00767FBA"/>
    <w:rsid w:val="00767FF6"/>
    <w:rsid w:val="007702AB"/>
    <w:rsid w:val="007705F4"/>
    <w:rsid w:val="007706E0"/>
    <w:rsid w:val="00770743"/>
    <w:rsid w:val="007709FB"/>
    <w:rsid w:val="007709FC"/>
    <w:rsid w:val="00770AB8"/>
    <w:rsid w:val="00770CD5"/>
    <w:rsid w:val="00770D1D"/>
    <w:rsid w:val="00770FD3"/>
    <w:rsid w:val="007710C7"/>
    <w:rsid w:val="00771104"/>
    <w:rsid w:val="00771146"/>
    <w:rsid w:val="00771408"/>
    <w:rsid w:val="0077142E"/>
    <w:rsid w:val="0077159D"/>
    <w:rsid w:val="00771691"/>
    <w:rsid w:val="0077183B"/>
    <w:rsid w:val="00771C36"/>
    <w:rsid w:val="00771C82"/>
    <w:rsid w:val="00771DFE"/>
    <w:rsid w:val="00771EA7"/>
    <w:rsid w:val="00771F76"/>
    <w:rsid w:val="00771FB7"/>
    <w:rsid w:val="00771FCF"/>
    <w:rsid w:val="00772009"/>
    <w:rsid w:val="00772054"/>
    <w:rsid w:val="00772345"/>
    <w:rsid w:val="007724DD"/>
    <w:rsid w:val="007725E6"/>
    <w:rsid w:val="00772741"/>
    <w:rsid w:val="00772BF0"/>
    <w:rsid w:val="00772BF4"/>
    <w:rsid w:val="00772F99"/>
    <w:rsid w:val="00773116"/>
    <w:rsid w:val="007732BA"/>
    <w:rsid w:val="0077330C"/>
    <w:rsid w:val="007733B7"/>
    <w:rsid w:val="007734EF"/>
    <w:rsid w:val="00773585"/>
    <w:rsid w:val="007735CA"/>
    <w:rsid w:val="007735FC"/>
    <w:rsid w:val="00773705"/>
    <w:rsid w:val="00773734"/>
    <w:rsid w:val="0077392A"/>
    <w:rsid w:val="0077395B"/>
    <w:rsid w:val="00773A06"/>
    <w:rsid w:val="00773BBA"/>
    <w:rsid w:val="00773C94"/>
    <w:rsid w:val="00773CA0"/>
    <w:rsid w:val="00773E27"/>
    <w:rsid w:val="00773E99"/>
    <w:rsid w:val="0077408B"/>
    <w:rsid w:val="007742A9"/>
    <w:rsid w:val="007742FD"/>
    <w:rsid w:val="0077433D"/>
    <w:rsid w:val="00774373"/>
    <w:rsid w:val="00774396"/>
    <w:rsid w:val="007743F6"/>
    <w:rsid w:val="007744C5"/>
    <w:rsid w:val="00774751"/>
    <w:rsid w:val="00774783"/>
    <w:rsid w:val="00774938"/>
    <w:rsid w:val="0077496B"/>
    <w:rsid w:val="0077496E"/>
    <w:rsid w:val="00774AAE"/>
    <w:rsid w:val="00774AE3"/>
    <w:rsid w:val="00774DC0"/>
    <w:rsid w:val="00774E33"/>
    <w:rsid w:val="00774ED4"/>
    <w:rsid w:val="00774F3D"/>
    <w:rsid w:val="0077504C"/>
    <w:rsid w:val="00775192"/>
    <w:rsid w:val="0077538E"/>
    <w:rsid w:val="007753B8"/>
    <w:rsid w:val="0077560C"/>
    <w:rsid w:val="0077589D"/>
    <w:rsid w:val="007758E9"/>
    <w:rsid w:val="0077594E"/>
    <w:rsid w:val="007759C5"/>
    <w:rsid w:val="007759D1"/>
    <w:rsid w:val="00775A43"/>
    <w:rsid w:val="00775D23"/>
    <w:rsid w:val="00775E91"/>
    <w:rsid w:val="0077611E"/>
    <w:rsid w:val="0077613F"/>
    <w:rsid w:val="00776183"/>
    <w:rsid w:val="0077637C"/>
    <w:rsid w:val="007766AF"/>
    <w:rsid w:val="007766D6"/>
    <w:rsid w:val="007767AF"/>
    <w:rsid w:val="007767BD"/>
    <w:rsid w:val="007767C3"/>
    <w:rsid w:val="007767C8"/>
    <w:rsid w:val="00776875"/>
    <w:rsid w:val="00776928"/>
    <w:rsid w:val="00776AA8"/>
    <w:rsid w:val="00776B83"/>
    <w:rsid w:val="00776C75"/>
    <w:rsid w:val="0077721F"/>
    <w:rsid w:val="00777273"/>
    <w:rsid w:val="007773CA"/>
    <w:rsid w:val="007777CC"/>
    <w:rsid w:val="00777A52"/>
    <w:rsid w:val="00777A54"/>
    <w:rsid w:val="00777FBC"/>
    <w:rsid w:val="007800E0"/>
    <w:rsid w:val="007801CE"/>
    <w:rsid w:val="00780277"/>
    <w:rsid w:val="00780335"/>
    <w:rsid w:val="007803FD"/>
    <w:rsid w:val="00780679"/>
    <w:rsid w:val="007808EA"/>
    <w:rsid w:val="00780918"/>
    <w:rsid w:val="00780925"/>
    <w:rsid w:val="00780986"/>
    <w:rsid w:val="00780B30"/>
    <w:rsid w:val="00780DA7"/>
    <w:rsid w:val="00780F80"/>
    <w:rsid w:val="00780FDF"/>
    <w:rsid w:val="00781004"/>
    <w:rsid w:val="00781113"/>
    <w:rsid w:val="00781204"/>
    <w:rsid w:val="0078147E"/>
    <w:rsid w:val="00781602"/>
    <w:rsid w:val="007816C2"/>
    <w:rsid w:val="007816C5"/>
    <w:rsid w:val="007817AC"/>
    <w:rsid w:val="007818C0"/>
    <w:rsid w:val="00781956"/>
    <w:rsid w:val="00781BA1"/>
    <w:rsid w:val="00781BF6"/>
    <w:rsid w:val="00781E3B"/>
    <w:rsid w:val="0078238A"/>
    <w:rsid w:val="0078239B"/>
    <w:rsid w:val="007825B8"/>
    <w:rsid w:val="00782613"/>
    <w:rsid w:val="007826E7"/>
    <w:rsid w:val="0078273D"/>
    <w:rsid w:val="007827B9"/>
    <w:rsid w:val="00782A6D"/>
    <w:rsid w:val="00782A7F"/>
    <w:rsid w:val="00782B46"/>
    <w:rsid w:val="00782B5B"/>
    <w:rsid w:val="00782BD6"/>
    <w:rsid w:val="00782D71"/>
    <w:rsid w:val="00782EFF"/>
    <w:rsid w:val="00782F2A"/>
    <w:rsid w:val="00783080"/>
    <w:rsid w:val="0078320F"/>
    <w:rsid w:val="0078356A"/>
    <w:rsid w:val="0078359F"/>
    <w:rsid w:val="00783614"/>
    <w:rsid w:val="007837A3"/>
    <w:rsid w:val="00783845"/>
    <w:rsid w:val="00783885"/>
    <w:rsid w:val="0078396D"/>
    <w:rsid w:val="007839B9"/>
    <w:rsid w:val="00783C20"/>
    <w:rsid w:val="00783D19"/>
    <w:rsid w:val="00783D1D"/>
    <w:rsid w:val="00783E97"/>
    <w:rsid w:val="00783ED8"/>
    <w:rsid w:val="00783FB7"/>
    <w:rsid w:val="00783FB9"/>
    <w:rsid w:val="00783FF2"/>
    <w:rsid w:val="00784205"/>
    <w:rsid w:val="00784287"/>
    <w:rsid w:val="0078438F"/>
    <w:rsid w:val="007845D0"/>
    <w:rsid w:val="00784641"/>
    <w:rsid w:val="00784684"/>
    <w:rsid w:val="007847B8"/>
    <w:rsid w:val="007847F4"/>
    <w:rsid w:val="0078480D"/>
    <w:rsid w:val="00784B2B"/>
    <w:rsid w:val="00784BA4"/>
    <w:rsid w:val="00784BC1"/>
    <w:rsid w:val="00784C2F"/>
    <w:rsid w:val="00784CF2"/>
    <w:rsid w:val="00784D2A"/>
    <w:rsid w:val="00784E95"/>
    <w:rsid w:val="00784F9E"/>
    <w:rsid w:val="00785048"/>
    <w:rsid w:val="007851AC"/>
    <w:rsid w:val="007851CC"/>
    <w:rsid w:val="00785218"/>
    <w:rsid w:val="00785261"/>
    <w:rsid w:val="007853BE"/>
    <w:rsid w:val="0078548F"/>
    <w:rsid w:val="007854DA"/>
    <w:rsid w:val="0078557D"/>
    <w:rsid w:val="0078562B"/>
    <w:rsid w:val="007858CB"/>
    <w:rsid w:val="00785B38"/>
    <w:rsid w:val="00785C29"/>
    <w:rsid w:val="00785C5A"/>
    <w:rsid w:val="00785D53"/>
    <w:rsid w:val="00785EC1"/>
    <w:rsid w:val="007860B4"/>
    <w:rsid w:val="00786128"/>
    <w:rsid w:val="00786267"/>
    <w:rsid w:val="00786289"/>
    <w:rsid w:val="00786365"/>
    <w:rsid w:val="00786492"/>
    <w:rsid w:val="007864B1"/>
    <w:rsid w:val="007864C4"/>
    <w:rsid w:val="007864CD"/>
    <w:rsid w:val="007865D0"/>
    <w:rsid w:val="0078677F"/>
    <w:rsid w:val="0078683E"/>
    <w:rsid w:val="007868F8"/>
    <w:rsid w:val="007869C2"/>
    <w:rsid w:val="00786D38"/>
    <w:rsid w:val="00787075"/>
    <w:rsid w:val="007870B3"/>
    <w:rsid w:val="007871E1"/>
    <w:rsid w:val="00787294"/>
    <w:rsid w:val="00787317"/>
    <w:rsid w:val="00787455"/>
    <w:rsid w:val="00787603"/>
    <w:rsid w:val="00787701"/>
    <w:rsid w:val="00787738"/>
    <w:rsid w:val="007878FB"/>
    <w:rsid w:val="00787947"/>
    <w:rsid w:val="007879BD"/>
    <w:rsid w:val="00787A5C"/>
    <w:rsid w:val="00787ABB"/>
    <w:rsid w:val="00787AFD"/>
    <w:rsid w:val="00787B2D"/>
    <w:rsid w:val="00787E7B"/>
    <w:rsid w:val="00787E89"/>
    <w:rsid w:val="00790738"/>
    <w:rsid w:val="00790A86"/>
    <w:rsid w:val="00790B5F"/>
    <w:rsid w:val="00790C86"/>
    <w:rsid w:val="00790C87"/>
    <w:rsid w:val="00790CAE"/>
    <w:rsid w:val="00790E8A"/>
    <w:rsid w:val="00791433"/>
    <w:rsid w:val="007914E9"/>
    <w:rsid w:val="00791609"/>
    <w:rsid w:val="0079161C"/>
    <w:rsid w:val="0079164D"/>
    <w:rsid w:val="007917FA"/>
    <w:rsid w:val="007919A9"/>
    <w:rsid w:val="00791A4F"/>
    <w:rsid w:val="00791B12"/>
    <w:rsid w:val="00791B45"/>
    <w:rsid w:val="00791C10"/>
    <w:rsid w:val="00791CFF"/>
    <w:rsid w:val="00791D0F"/>
    <w:rsid w:val="00791D83"/>
    <w:rsid w:val="00791D9F"/>
    <w:rsid w:val="00791DCC"/>
    <w:rsid w:val="00791F82"/>
    <w:rsid w:val="007921D3"/>
    <w:rsid w:val="00792633"/>
    <w:rsid w:val="0079263E"/>
    <w:rsid w:val="0079264C"/>
    <w:rsid w:val="007926EB"/>
    <w:rsid w:val="007928C8"/>
    <w:rsid w:val="007928E9"/>
    <w:rsid w:val="007929E1"/>
    <w:rsid w:val="00792B14"/>
    <w:rsid w:val="00792EC4"/>
    <w:rsid w:val="00793200"/>
    <w:rsid w:val="007933DD"/>
    <w:rsid w:val="007933DE"/>
    <w:rsid w:val="007935DC"/>
    <w:rsid w:val="0079370C"/>
    <w:rsid w:val="0079373E"/>
    <w:rsid w:val="007937C3"/>
    <w:rsid w:val="007937F8"/>
    <w:rsid w:val="00793897"/>
    <w:rsid w:val="007939B5"/>
    <w:rsid w:val="00793B64"/>
    <w:rsid w:val="00793BCE"/>
    <w:rsid w:val="00793C82"/>
    <w:rsid w:val="00793CCC"/>
    <w:rsid w:val="00793D45"/>
    <w:rsid w:val="00794081"/>
    <w:rsid w:val="00794206"/>
    <w:rsid w:val="00794208"/>
    <w:rsid w:val="00794234"/>
    <w:rsid w:val="0079450C"/>
    <w:rsid w:val="00794669"/>
    <w:rsid w:val="00794694"/>
    <w:rsid w:val="007946A3"/>
    <w:rsid w:val="00794A47"/>
    <w:rsid w:val="00794A90"/>
    <w:rsid w:val="00794A91"/>
    <w:rsid w:val="00794C95"/>
    <w:rsid w:val="00794CC1"/>
    <w:rsid w:val="00794CE8"/>
    <w:rsid w:val="00794D3C"/>
    <w:rsid w:val="00794E24"/>
    <w:rsid w:val="00794E63"/>
    <w:rsid w:val="00794EA2"/>
    <w:rsid w:val="00794EDA"/>
    <w:rsid w:val="0079543E"/>
    <w:rsid w:val="00795539"/>
    <w:rsid w:val="0079553C"/>
    <w:rsid w:val="0079555E"/>
    <w:rsid w:val="0079558C"/>
    <w:rsid w:val="00795627"/>
    <w:rsid w:val="0079572C"/>
    <w:rsid w:val="0079581D"/>
    <w:rsid w:val="007958B8"/>
    <w:rsid w:val="00795CC3"/>
    <w:rsid w:val="00795EC6"/>
    <w:rsid w:val="00796072"/>
    <w:rsid w:val="0079633F"/>
    <w:rsid w:val="007963FB"/>
    <w:rsid w:val="0079661D"/>
    <w:rsid w:val="00796748"/>
    <w:rsid w:val="00796776"/>
    <w:rsid w:val="007967AA"/>
    <w:rsid w:val="007967DD"/>
    <w:rsid w:val="00796A9C"/>
    <w:rsid w:val="00796AA7"/>
    <w:rsid w:val="00796B61"/>
    <w:rsid w:val="00796BBF"/>
    <w:rsid w:val="00796C8E"/>
    <w:rsid w:val="00796DF6"/>
    <w:rsid w:val="00796EBE"/>
    <w:rsid w:val="00796EE8"/>
    <w:rsid w:val="0079706D"/>
    <w:rsid w:val="00797143"/>
    <w:rsid w:val="0079715A"/>
    <w:rsid w:val="00797891"/>
    <w:rsid w:val="0079799E"/>
    <w:rsid w:val="007979A5"/>
    <w:rsid w:val="007979D4"/>
    <w:rsid w:val="00797A3C"/>
    <w:rsid w:val="00797C0A"/>
    <w:rsid w:val="00797C24"/>
    <w:rsid w:val="00797CE1"/>
    <w:rsid w:val="00797D09"/>
    <w:rsid w:val="00797DB6"/>
    <w:rsid w:val="00797FBE"/>
    <w:rsid w:val="00797FC0"/>
    <w:rsid w:val="007A0177"/>
    <w:rsid w:val="007A0265"/>
    <w:rsid w:val="007A041D"/>
    <w:rsid w:val="007A0469"/>
    <w:rsid w:val="007A0502"/>
    <w:rsid w:val="007A05C4"/>
    <w:rsid w:val="007A061D"/>
    <w:rsid w:val="007A06B0"/>
    <w:rsid w:val="007A06FF"/>
    <w:rsid w:val="007A0947"/>
    <w:rsid w:val="007A0A4A"/>
    <w:rsid w:val="007A0B7A"/>
    <w:rsid w:val="007A0CA9"/>
    <w:rsid w:val="007A0E5B"/>
    <w:rsid w:val="007A0EA6"/>
    <w:rsid w:val="007A0FD0"/>
    <w:rsid w:val="007A10E5"/>
    <w:rsid w:val="007A11BB"/>
    <w:rsid w:val="007A12BF"/>
    <w:rsid w:val="007A12F2"/>
    <w:rsid w:val="007A13BA"/>
    <w:rsid w:val="007A140D"/>
    <w:rsid w:val="007A145B"/>
    <w:rsid w:val="007A14E5"/>
    <w:rsid w:val="007A15BA"/>
    <w:rsid w:val="007A16F4"/>
    <w:rsid w:val="007A176E"/>
    <w:rsid w:val="007A17F6"/>
    <w:rsid w:val="007A180E"/>
    <w:rsid w:val="007A1A93"/>
    <w:rsid w:val="007A1AB7"/>
    <w:rsid w:val="007A1C9C"/>
    <w:rsid w:val="007A1D46"/>
    <w:rsid w:val="007A1D6A"/>
    <w:rsid w:val="007A1DB2"/>
    <w:rsid w:val="007A1F4F"/>
    <w:rsid w:val="007A20A2"/>
    <w:rsid w:val="007A22B1"/>
    <w:rsid w:val="007A22B7"/>
    <w:rsid w:val="007A243A"/>
    <w:rsid w:val="007A24CC"/>
    <w:rsid w:val="007A26A8"/>
    <w:rsid w:val="007A2767"/>
    <w:rsid w:val="007A28C7"/>
    <w:rsid w:val="007A28D5"/>
    <w:rsid w:val="007A2B0D"/>
    <w:rsid w:val="007A2B90"/>
    <w:rsid w:val="007A2C0A"/>
    <w:rsid w:val="007A2D67"/>
    <w:rsid w:val="007A2F54"/>
    <w:rsid w:val="007A2F5E"/>
    <w:rsid w:val="007A2FBD"/>
    <w:rsid w:val="007A301F"/>
    <w:rsid w:val="007A3137"/>
    <w:rsid w:val="007A31D5"/>
    <w:rsid w:val="007A324C"/>
    <w:rsid w:val="007A3267"/>
    <w:rsid w:val="007A3309"/>
    <w:rsid w:val="007A346D"/>
    <w:rsid w:val="007A3724"/>
    <w:rsid w:val="007A374F"/>
    <w:rsid w:val="007A3A1E"/>
    <w:rsid w:val="007A3A66"/>
    <w:rsid w:val="007A3E07"/>
    <w:rsid w:val="007A3EE8"/>
    <w:rsid w:val="007A3FE0"/>
    <w:rsid w:val="007A4053"/>
    <w:rsid w:val="007A406E"/>
    <w:rsid w:val="007A4178"/>
    <w:rsid w:val="007A417E"/>
    <w:rsid w:val="007A4321"/>
    <w:rsid w:val="007A4328"/>
    <w:rsid w:val="007A449E"/>
    <w:rsid w:val="007A456C"/>
    <w:rsid w:val="007A45C8"/>
    <w:rsid w:val="007A4661"/>
    <w:rsid w:val="007A47B3"/>
    <w:rsid w:val="007A47D4"/>
    <w:rsid w:val="007A47F8"/>
    <w:rsid w:val="007A4888"/>
    <w:rsid w:val="007A494A"/>
    <w:rsid w:val="007A4B48"/>
    <w:rsid w:val="007A4F5C"/>
    <w:rsid w:val="007A4FB8"/>
    <w:rsid w:val="007A5063"/>
    <w:rsid w:val="007A506E"/>
    <w:rsid w:val="007A50D4"/>
    <w:rsid w:val="007A5167"/>
    <w:rsid w:val="007A52AA"/>
    <w:rsid w:val="007A54AB"/>
    <w:rsid w:val="007A55CB"/>
    <w:rsid w:val="007A5622"/>
    <w:rsid w:val="007A59C5"/>
    <w:rsid w:val="007A5BB0"/>
    <w:rsid w:val="007A5E36"/>
    <w:rsid w:val="007A5F75"/>
    <w:rsid w:val="007A5FF1"/>
    <w:rsid w:val="007A5FFB"/>
    <w:rsid w:val="007A600F"/>
    <w:rsid w:val="007A606E"/>
    <w:rsid w:val="007A607E"/>
    <w:rsid w:val="007A61B9"/>
    <w:rsid w:val="007A6213"/>
    <w:rsid w:val="007A6391"/>
    <w:rsid w:val="007A63DF"/>
    <w:rsid w:val="007A6406"/>
    <w:rsid w:val="007A6546"/>
    <w:rsid w:val="007A65DF"/>
    <w:rsid w:val="007A6889"/>
    <w:rsid w:val="007A6AAB"/>
    <w:rsid w:val="007A6AEA"/>
    <w:rsid w:val="007A6B8B"/>
    <w:rsid w:val="007A6BA9"/>
    <w:rsid w:val="007A6C94"/>
    <w:rsid w:val="007A6D62"/>
    <w:rsid w:val="007A7061"/>
    <w:rsid w:val="007A726A"/>
    <w:rsid w:val="007A72FC"/>
    <w:rsid w:val="007A7420"/>
    <w:rsid w:val="007A757D"/>
    <w:rsid w:val="007A79C5"/>
    <w:rsid w:val="007A7BC6"/>
    <w:rsid w:val="007A7DC9"/>
    <w:rsid w:val="007A7E28"/>
    <w:rsid w:val="007A7E9F"/>
    <w:rsid w:val="007A7EDC"/>
    <w:rsid w:val="007B0104"/>
    <w:rsid w:val="007B0256"/>
    <w:rsid w:val="007B02DB"/>
    <w:rsid w:val="007B0380"/>
    <w:rsid w:val="007B0474"/>
    <w:rsid w:val="007B0611"/>
    <w:rsid w:val="007B0690"/>
    <w:rsid w:val="007B069E"/>
    <w:rsid w:val="007B0744"/>
    <w:rsid w:val="007B092D"/>
    <w:rsid w:val="007B095E"/>
    <w:rsid w:val="007B09F1"/>
    <w:rsid w:val="007B0A20"/>
    <w:rsid w:val="007B0A94"/>
    <w:rsid w:val="007B0B56"/>
    <w:rsid w:val="007B0BDD"/>
    <w:rsid w:val="007B0BEF"/>
    <w:rsid w:val="007B0D45"/>
    <w:rsid w:val="007B0DF4"/>
    <w:rsid w:val="007B0F25"/>
    <w:rsid w:val="007B0F5D"/>
    <w:rsid w:val="007B0FF2"/>
    <w:rsid w:val="007B127B"/>
    <w:rsid w:val="007B14D3"/>
    <w:rsid w:val="007B1558"/>
    <w:rsid w:val="007B16C9"/>
    <w:rsid w:val="007B1700"/>
    <w:rsid w:val="007B186F"/>
    <w:rsid w:val="007B1AEC"/>
    <w:rsid w:val="007B1BA0"/>
    <w:rsid w:val="007B1E00"/>
    <w:rsid w:val="007B1ECA"/>
    <w:rsid w:val="007B1F1B"/>
    <w:rsid w:val="007B2019"/>
    <w:rsid w:val="007B2149"/>
    <w:rsid w:val="007B242E"/>
    <w:rsid w:val="007B2436"/>
    <w:rsid w:val="007B258F"/>
    <w:rsid w:val="007B25C3"/>
    <w:rsid w:val="007B283D"/>
    <w:rsid w:val="007B293E"/>
    <w:rsid w:val="007B296A"/>
    <w:rsid w:val="007B29FC"/>
    <w:rsid w:val="007B2C2D"/>
    <w:rsid w:val="007B2DBD"/>
    <w:rsid w:val="007B2E03"/>
    <w:rsid w:val="007B2E12"/>
    <w:rsid w:val="007B2E6B"/>
    <w:rsid w:val="007B2EF8"/>
    <w:rsid w:val="007B2F42"/>
    <w:rsid w:val="007B2F74"/>
    <w:rsid w:val="007B2FB7"/>
    <w:rsid w:val="007B31F0"/>
    <w:rsid w:val="007B32D0"/>
    <w:rsid w:val="007B3301"/>
    <w:rsid w:val="007B3390"/>
    <w:rsid w:val="007B345C"/>
    <w:rsid w:val="007B3519"/>
    <w:rsid w:val="007B36F6"/>
    <w:rsid w:val="007B37D3"/>
    <w:rsid w:val="007B3A39"/>
    <w:rsid w:val="007B3CCA"/>
    <w:rsid w:val="007B3DBC"/>
    <w:rsid w:val="007B3F44"/>
    <w:rsid w:val="007B3FE8"/>
    <w:rsid w:val="007B417E"/>
    <w:rsid w:val="007B4197"/>
    <w:rsid w:val="007B419F"/>
    <w:rsid w:val="007B4347"/>
    <w:rsid w:val="007B4466"/>
    <w:rsid w:val="007B4511"/>
    <w:rsid w:val="007B46D1"/>
    <w:rsid w:val="007B497F"/>
    <w:rsid w:val="007B49E0"/>
    <w:rsid w:val="007B4B44"/>
    <w:rsid w:val="007B4B51"/>
    <w:rsid w:val="007B527C"/>
    <w:rsid w:val="007B52E4"/>
    <w:rsid w:val="007B5313"/>
    <w:rsid w:val="007B532D"/>
    <w:rsid w:val="007B5507"/>
    <w:rsid w:val="007B5723"/>
    <w:rsid w:val="007B576C"/>
    <w:rsid w:val="007B5799"/>
    <w:rsid w:val="007B5839"/>
    <w:rsid w:val="007B5AC2"/>
    <w:rsid w:val="007B5D39"/>
    <w:rsid w:val="007B5E44"/>
    <w:rsid w:val="007B5E87"/>
    <w:rsid w:val="007B5FEE"/>
    <w:rsid w:val="007B6004"/>
    <w:rsid w:val="007B6052"/>
    <w:rsid w:val="007B6256"/>
    <w:rsid w:val="007B6336"/>
    <w:rsid w:val="007B6379"/>
    <w:rsid w:val="007B63CD"/>
    <w:rsid w:val="007B65F6"/>
    <w:rsid w:val="007B67A7"/>
    <w:rsid w:val="007B6931"/>
    <w:rsid w:val="007B6A1D"/>
    <w:rsid w:val="007B6BDA"/>
    <w:rsid w:val="007B7233"/>
    <w:rsid w:val="007B728B"/>
    <w:rsid w:val="007B7351"/>
    <w:rsid w:val="007B7441"/>
    <w:rsid w:val="007B769F"/>
    <w:rsid w:val="007B7710"/>
    <w:rsid w:val="007B7746"/>
    <w:rsid w:val="007B789B"/>
    <w:rsid w:val="007B7C0D"/>
    <w:rsid w:val="007B7D1C"/>
    <w:rsid w:val="007B7D3D"/>
    <w:rsid w:val="007B7D73"/>
    <w:rsid w:val="007B7D99"/>
    <w:rsid w:val="007B7F62"/>
    <w:rsid w:val="007B7FB9"/>
    <w:rsid w:val="007C0080"/>
    <w:rsid w:val="007C00BD"/>
    <w:rsid w:val="007C0113"/>
    <w:rsid w:val="007C0165"/>
    <w:rsid w:val="007C01BC"/>
    <w:rsid w:val="007C03B2"/>
    <w:rsid w:val="007C0441"/>
    <w:rsid w:val="007C04C0"/>
    <w:rsid w:val="007C0618"/>
    <w:rsid w:val="007C074C"/>
    <w:rsid w:val="007C07D4"/>
    <w:rsid w:val="007C0830"/>
    <w:rsid w:val="007C0970"/>
    <w:rsid w:val="007C0FB8"/>
    <w:rsid w:val="007C125B"/>
    <w:rsid w:val="007C132A"/>
    <w:rsid w:val="007C1420"/>
    <w:rsid w:val="007C1477"/>
    <w:rsid w:val="007C1482"/>
    <w:rsid w:val="007C14C6"/>
    <w:rsid w:val="007C14FA"/>
    <w:rsid w:val="007C15D6"/>
    <w:rsid w:val="007C1627"/>
    <w:rsid w:val="007C16D1"/>
    <w:rsid w:val="007C181D"/>
    <w:rsid w:val="007C1985"/>
    <w:rsid w:val="007C19BF"/>
    <w:rsid w:val="007C1CE8"/>
    <w:rsid w:val="007C1E84"/>
    <w:rsid w:val="007C2020"/>
    <w:rsid w:val="007C2139"/>
    <w:rsid w:val="007C21AA"/>
    <w:rsid w:val="007C22F6"/>
    <w:rsid w:val="007C2348"/>
    <w:rsid w:val="007C25C4"/>
    <w:rsid w:val="007C25EF"/>
    <w:rsid w:val="007C260A"/>
    <w:rsid w:val="007C261E"/>
    <w:rsid w:val="007C2963"/>
    <w:rsid w:val="007C2C05"/>
    <w:rsid w:val="007C2C86"/>
    <w:rsid w:val="007C2D59"/>
    <w:rsid w:val="007C306B"/>
    <w:rsid w:val="007C30BF"/>
    <w:rsid w:val="007C3191"/>
    <w:rsid w:val="007C31FD"/>
    <w:rsid w:val="007C357B"/>
    <w:rsid w:val="007C358D"/>
    <w:rsid w:val="007C37C1"/>
    <w:rsid w:val="007C3976"/>
    <w:rsid w:val="007C3C59"/>
    <w:rsid w:val="007C3D14"/>
    <w:rsid w:val="007C3D2A"/>
    <w:rsid w:val="007C3F60"/>
    <w:rsid w:val="007C3FEC"/>
    <w:rsid w:val="007C404C"/>
    <w:rsid w:val="007C4159"/>
    <w:rsid w:val="007C4172"/>
    <w:rsid w:val="007C41B5"/>
    <w:rsid w:val="007C41E3"/>
    <w:rsid w:val="007C4220"/>
    <w:rsid w:val="007C42B4"/>
    <w:rsid w:val="007C434E"/>
    <w:rsid w:val="007C451D"/>
    <w:rsid w:val="007C4595"/>
    <w:rsid w:val="007C45D3"/>
    <w:rsid w:val="007C45FA"/>
    <w:rsid w:val="007C46A9"/>
    <w:rsid w:val="007C477C"/>
    <w:rsid w:val="007C478D"/>
    <w:rsid w:val="007C4820"/>
    <w:rsid w:val="007C49EA"/>
    <w:rsid w:val="007C49F0"/>
    <w:rsid w:val="007C4DB4"/>
    <w:rsid w:val="007C4EE8"/>
    <w:rsid w:val="007C4F21"/>
    <w:rsid w:val="007C50D8"/>
    <w:rsid w:val="007C511D"/>
    <w:rsid w:val="007C524D"/>
    <w:rsid w:val="007C5255"/>
    <w:rsid w:val="007C52DD"/>
    <w:rsid w:val="007C5350"/>
    <w:rsid w:val="007C53D0"/>
    <w:rsid w:val="007C5508"/>
    <w:rsid w:val="007C553D"/>
    <w:rsid w:val="007C5590"/>
    <w:rsid w:val="007C5627"/>
    <w:rsid w:val="007C5689"/>
    <w:rsid w:val="007C5754"/>
    <w:rsid w:val="007C59E0"/>
    <w:rsid w:val="007C5A02"/>
    <w:rsid w:val="007C5C97"/>
    <w:rsid w:val="007C5E0B"/>
    <w:rsid w:val="007C5E70"/>
    <w:rsid w:val="007C6071"/>
    <w:rsid w:val="007C6224"/>
    <w:rsid w:val="007C6258"/>
    <w:rsid w:val="007C62C7"/>
    <w:rsid w:val="007C62D2"/>
    <w:rsid w:val="007C631B"/>
    <w:rsid w:val="007C63B7"/>
    <w:rsid w:val="007C6455"/>
    <w:rsid w:val="007C64D7"/>
    <w:rsid w:val="007C650D"/>
    <w:rsid w:val="007C654D"/>
    <w:rsid w:val="007C65EF"/>
    <w:rsid w:val="007C6637"/>
    <w:rsid w:val="007C6844"/>
    <w:rsid w:val="007C6882"/>
    <w:rsid w:val="007C693A"/>
    <w:rsid w:val="007C6BC9"/>
    <w:rsid w:val="007C6C65"/>
    <w:rsid w:val="007C6CA3"/>
    <w:rsid w:val="007C6F17"/>
    <w:rsid w:val="007C7211"/>
    <w:rsid w:val="007C727E"/>
    <w:rsid w:val="007C72D1"/>
    <w:rsid w:val="007C72F4"/>
    <w:rsid w:val="007C72FB"/>
    <w:rsid w:val="007C73B7"/>
    <w:rsid w:val="007C73F0"/>
    <w:rsid w:val="007C74EC"/>
    <w:rsid w:val="007C7504"/>
    <w:rsid w:val="007C769F"/>
    <w:rsid w:val="007C77D5"/>
    <w:rsid w:val="007C7820"/>
    <w:rsid w:val="007C78D5"/>
    <w:rsid w:val="007C7CA5"/>
    <w:rsid w:val="007C7CEE"/>
    <w:rsid w:val="007C7D6A"/>
    <w:rsid w:val="007D00B1"/>
    <w:rsid w:val="007D0420"/>
    <w:rsid w:val="007D0992"/>
    <w:rsid w:val="007D09DA"/>
    <w:rsid w:val="007D0A6E"/>
    <w:rsid w:val="007D0A71"/>
    <w:rsid w:val="007D0BB1"/>
    <w:rsid w:val="007D0C02"/>
    <w:rsid w:val="007D0C31"/>
    <w:rsid w:val="007D0C47"/>
    <w:rsid w:val="007D0D2D"/>
    <w:rsid w:val="007D1214"/>
    <w:rsid w:val="007D1474"/>
    <w:rsid w:val="007D153A"/>
    <w:rsid w:val="007D166E"/>
    <w:rsid w:val="007D1859"/>
    <w:rsid w:val="007D186F"/>
    <w:rsid w:val="007D1A6C"/>
    <w:rsid w:val="007D1BB8"/>
    <w:rsid w:val="007D1BFF"/>
    <w:rsid w:val="007D1C26"/>
    <w:rsid w:val="007D1C64"/>
    <w:rsid w:val="007D1CCD"/>
    <w:rsid w:val="007D1D57"/>
    <w:rsid w:val="007D1EBC"/>
    <w:rsid w:val="007D1F2F"/>
    <w:rsid w:val="007D1F6F"/>
    <w:rsid w:val="007D20DE"/>
    <w:rsid w:val="007D20E5"/>
    <w:rsid w:val="007D21E8"/>
    <w:rsid w:val="007D23CC"/>
    <w:rsid w:val="007D259C"/>
    <w:rsid w:val="007D2616"/>
    <w:rsid w:val="007D262E"/>
    <w:rsid w:val="007D2687"/>
    <w:rsid w:val="007D271F"/>
    <w:rsid w:val="007D2892"/>
    <w:rsid w:val="007D2A04"/>
    <w:rsid w:val="007D2D97"/>
    <w:rsid w:val="007D2E4C"/>
    <w:rsid w:val="007D2F3D"/>
    <w:rsid w:val="007D30C0"/>
    <w:rsid w:val="007D32DC"/>
    <w:rsid w:val="007D337A"/>
    <w:rsid w:val="007D34E3"/>
    <w:rsid w:val="007D35D8"/>
    <w:rsid w:val="007D3631"/>
    <w:rsid w:val="007D3A7E"/>
    <w:rsid w:val="007D3AE9"/>
    <w:rsid w:val="007D3B6F"/>
    <w:rsid w:val="007D3C27"/>
    <w:rsid w:val="007D3CAC"/>
    <w:rsid w:val="007D3D7B"/>
    <w:rsid w:val="007D3DF3"/>
    <w:rsid w:val="007D40C5"/>
    <w:rsid w:val="007D435C"/>
    <w:rsid w:val="007D43A0"/>
    <w:rsid w:val="007D43F6"/>
    <w:rsid w:val="007D449E"/>
    <w:rsid w:val="007D4796"/>
    <w:rsid w:val="007D48B9"/>
    <w:rsid w:val="007D4AA7"/>
    <w:rsid w:val="007D4B53"/>
    <w:rsid w:val="007D4BEB"/>
    <w:rsid w:val="007D4CB0"/>
    <w:rsid w:val="007D4ED3"/>
    <w:rsid w:val="007D4EE9"/>
    <w:rsid w:val="007D506D"/>
    <w:rsid w:val="007D5085"/>
    <w:rsid w:val="007D5102"/>
    <w:rsid w:val="007D5329"/>
    <w:rsid w:val="007D5340"/>
    <w:rsid w:val="007D53B8"/>
    <w:rsid w:val="007D549E"/>
    <w:rsid w:val="007D5589"/>
    <w:rsid w:val="007D5657"/>
    <w:rsid w:val="007D567D"/>
    <w:rsid w:val="007D582F"/>
    <w:rsid w:val="007D5904"/>
    <w:rsid w:val="007D5921"/>
    <w:rsid w:val="007D5A48"/>
    <w:rsid w:val="007D5A75"/>
    <w:rsid w:val="007D5AA2"/>
    <w:rsid w:val="007D5B91"/>
    <w:rsid w:val="007D5D30"/>
    <w:rsid w:val="007D5F38"/>
    <w:rsid w:val="007D61F4"/>
    <w:rsid w:val="007D622B"/>
    <w:rsid w:val="007D6499"/>
    <w:rsid w:val="007D6723"/>
    <w:rsid w:val="007D6A9A"/>
    <w:rsid w:val="007D6AB7"/>
    <w:rsid w:val="007D6B13"/>
    <w:rsid w:val="007D6BC5"/>
    <w:rsid w:val="007D6BD9"/>
    <w:rsid w:val="007D6D38"/>
    <w:rsid w:val="007D6E00"/>
    <w:rsid w:val="007D7027"/>
    <w:rsid w:val="007D70CA"/>
    <w:rsid w:val="007D73E8"/>
    <w:rsid w:val="007D73EC"/>
    <w:rsid w:val="007D7466"/>
    <w:rsid w:val="007D75F8"/>
    <w:rsid w:val="007D7BA8"/>
    <w:rsid w:val="007D7BBB"/>
    <w:rsid w:val="007D7C37"/>
    <w:rsid w:val="007D7D7F"/>
    <w:rsid w:val="007D7DB0"/>
    <w:rsid w:val="007E00DD"/>
    <w:rsid w:val="007E0126"/>
    <w:rsid w:val="007E013D"/>
    <w:rsid w:val="007E01EA"/>
    <w:rsid w:val="007E02AA"/>
    <w:rsid w:val="007E0431"/>
    <w:rsid w:val="007E05BC"/>
    <w:rsid w:val="007E064A"/>
    <w:rsid w:val="007E074B"/>
    <w:rsid w:val="007E0892"/>
    <w:rsid w:val="007E08EC"/>
    <w:rsid w:val="007E0A68"/>
    <w:rsid w:val="007E0AC8"/>
    <w:rsid w:val="007E0BA8"/>
    <w:rsid w:val="007E0BB8"/>
    <w:rsid w:val="007E0C2E"/>
    <w:rsid w:val="007E0C96"/>
    <w:rsid w:val="007E0CD7"/>
    <w:rsid w:val="007E0DCB"/>
    <w:rsid w:val="007E0E63"/>
    <w:rsid w:val="007E0E72"/>
    <w:rsid w:val="007E10B2"/>
    <w:rsid w:val="007E10B6"/>
    <w:rsid w:val="007E129F"/>
    <w:rsid w:val="007E13B5"/>
    <w:rsid w:val="007E16DB"/>
    <w:rsid w:val="007E1763"/>
    <w:rsid w:val="007E1805"/>
    <w:rsid w:val="007E191A"/>
    <w:rsid w:val="007E1A18"/>
    <w:rsid w:val="007E1A26"/>
    <w:rsid w:val="007E1A6A"/>
    <w:rsid w:val="007E1ED2"/>
    <w:rsid w:val="007E215C"/>
    <w:rsid w:val="007E2411"/>
    <w:rsid w:val="007E2492"/>
    <w:rsid w:val="007E25FF"/>
    <w:rsid w:val="007E26F7"/>
    <w:rsid w:val="007E28C5"/>
    <w:rsid w:val="007E29C1"/>
    <w:rsid w:val="007E2CB1"/>
    <w:rsid w:val="007E2FE0"/>
    <w:rsid w:val="007E2FEF"/>
    <w:rsid w:val="007E3058"/>
    <w:rsid w:val="007E324E"/>
    <w:rsid w:val="007E3318"/>
    <w:rsid w:val="007E34AE"/>
    <w:rsid w:val="007E3557"/>
    <w:rsid w:val="007E3783"/>
    <w:rsid w:val="007E379C"/>
    <w:rsid w:val="007E38CE"/>
    <w:rsid w:val="007E3990"/>
    <w:rsid w:val="007E3ADF"/>
    <w:rsid w:val="007E3CA6"/>
    <w:rsid w:val="007E3E29"/>
    <w:rsid w:val="007E3E6F"/>
    <w:rsid w:val="007E3E9C"/>
    <w:rsid w:val="007E3F08"/>
    <w:rsid w:val="007E3F62"/>
    <w:rsid w:val="007E3F63"/>
    <w:rsid w:val="007E4178"/>
    <w:rsid w:val="007E433B"/>
    <w:rsid w:val="007E4340"/>
    <w:rsid w:val="007E43E5"/>
    <w:rsid w:val="007E471B"/>
    <w:rsid w:val="007E47FC"/>
    <w:rsid w:val="007E4800"/>
    <w:rsid w:val="007E488D"/>
    <w:rsid w:val="007E4AE1"/>
    <w:rsid w:val="007E4B8C"/>
    <w:rsid w:val="007E4C5E"/>
    <w:rsid w:val="007E4CA6"/>
    <w:rsid w:val="007E4D54"/>
    <w:rsid w:val="007E4D6F"/>
    <w:rsid w:val="007E4F38"/>
    <w:rsid w:val="007E4FF3"/>
    <w:rsid w:val="007E50C4"/>
    <w:rsid w:val="007E5187"/>
    <w:rsid w:val="007E526A"/>
    <w:rsid w:val="007E5326"/>
    <w:rsid w:val="007E53C7"/>
    <w:rsid w:val="007E5653"/>
    <w:rsid w:val="007E58C1"/>
    <w:rsid w:val="007E5940"/>
    <w:rsid w:val="007E5A4A"/>
    <w:rsid w:val="007E5E14"/>
    <w:rsid w:val="007E625D"/>
    <w:rsid w:val="007E63F8"/>
    <w:rsid w:val="007E64AD"/>
    <w:rsid w:val="007E6522"/>
    <w:rsid w:val="007E65DD"/>
    <w:rsid w:val="007E669F"/>
    <w:rsid w:val="007E66D9"/>
    <w:rsid w:val="007E67C6"/>
    <w:rsid w:val="007E67E4"/>
    <w:rsid w:val="007E6BE9"/>
    <w:rsid w:val="007E6C06"/>
    <w:rsid w:val="007E6E15"/>
    <w:rsid w:val="007E6EA5"/>
    <w:rsid w:val="007E6F5C"/>
    <w:rsid w:val="007E701C"/>
    <w:rsid w:val="007E72C0"/>
    <w:rsid w:val="007E7324"/>
    <w:rsid w:val="007E732A"/>
    <w:rsid w:val="007E7532"/>
    <w:rsid w:val="007E759E"/>
    <w:rsid w:val="007E7736"/>
    <w:rsid w:val="007E77C7"/>
    <w:rsid w:val="007E7D55"/>
    <w:rsid w:val="007E7DA9"/>
    <w:rsid w:val="007E7F48"/>
    <w:rsid w:val="007F00B0"/>
    <w:rsid w:val="007F0191"/>
    <w:rsid w:val="007F0471"/>
    <w:rsid w:val="007F0757"/>
    <w:rsid w:val="007F0A6F"/>
    <w:rsid w:val="007F0AA2"/>
    <w:rsid w:val="007F0BD0"/>
    <w:rsid w:val="007F0C08"/>
    <w:rsid w:val="007F0C17"/>
    <w:rsid w:val="007F0CE2"/>
    <w:rsid w:val="007F0DA6"/>
    <w:rsid w:val="007F0DD0"/>
    <w:rsid w:val="007F0E37"/>
    <w:rsid w:val="007F10BE"/>
    <w:rsid w:val="007F10FB"/>
    <w:rsid w:val="007F1387"/>
    <w:rsid w:val="007F1402"/>
    <w:rsid w:val="007F14FA"/>
    <w:rsid w:val="007F1559"/>
    <w:rsid w:val="007F15E5"/>
    <w:rsid w:val="007F18C2"/>
    <w:rsid w:val="007F19E5"/>
    <w:rsid w:val="007F1A2F"/>
    <w:rsid w:val="007F1A3B"/>
    <w:rsid w:val="007F1A46"/>
    <w:rsid w:val="007F1A9E"/>
    <w:rsid w:val="007F1B08"/>
    <w:rsid w:val="007F1C25"/>
    <w:rsid w:val="007F1C47"/>
    <w:rsid w:val="007F1D8F"/>
    <w:rsid w:val="007F1DA5"/>
    <w:rsid w:val="007F1DB5"/>
    <w:rsid w:val="007F1DCC"/>
    <w:rsid w:val="007F1F2A"/>
    <w:rsid w:val="007F1F78"/>
    <w:rsid w:val="007F2053"/>
    <w:rsid w:val="007F2083"/>
    <w:rsid w:val="007F20AC"/>
    <w:rsid w:val="007F20F6"/>
    <w:rsid w:val="007F2106"/>
    <w:rsid w:val="007F210C"/>
    <w:rsid w:val="007F233E"/>
    <w:rsid w:val="007F23BC"/>
    <w:rsid w:val="007F24CD"/>
    <w:rsid w:val="007F25B9"/>
    <w:rsid w:val="007F2614"/>
    <w:rsid w:val="007F27F0"/>
    <w:rsid w:val="007F2827"/>
    <w:rsid w:val="007F2B27"/>
    <w:rsid w:val="007F2C25"/>
    <w:rsid w:val="007F2C30"/>
    <w:rsid w:val="007F2D22"/>
    <w:rsid w:val="007F2EEB"/>
    <w:rsid w:val="007F316D"/>
    <w:rsid w:val="007F316F"/>
    <w:rsid w:val="007F31E6"/>
    <w:rsid w:val="007F32C5"/>
    <w:rsid w:val="007F35E5"/>
    <w:rsid w:val="007F371B"/>
    <w:rsid w:val="007F37C1"/>
    <w:rsid w:val="007F3934"/>
    <w:rsid w:val="007F39B8"/>
    <w:rsid w:val="007F3A08"/>
    <w:rsid w:val="007F3B6F"/>
    <w:rsid w:val="007F3C84"/>
    <w:rsid w:val="007F3D8D"/>
    <w:rsid w:val="007F3E7B"/>
    <w:rsid w:val="007F4240"/>
    <w:rsid w:val="007F426E"/>
    <w:rsid w:val="007F43D5"/>
    <w:rsid w:val="007F4505"/>
    <w:rsid w:val="007F4842"/>
    <w:rsid w:val="007F491A"/>
    <w:rsid w:val="007F4A92"/>
    <w:rsid w:val="007F4B05"/>
    <w:rsid w:val="007F4BE3"/>
    <w:rsid w:val="007F4EEA"/>
    <w:rsid w:val="007F4FC9"/>
    <w:rsid w:val="007F5079"/>
    <w:rsid w:val="007F518F"/>
    <w:rsid w:val="007F544A"/>
    <w:rsid w:val="007F55D9"/>
    <w:rsid w:val="007F5989"/>
    <w:rsid w:val="007F6283"/>
    <w:rsid w:val="007F643C"/>
    <w:rsid w:val="007F6476"/>
    <w:rsid w:val="007F6480"/>
    <w:rsid w:val="007F64F3"/>
    <w:rsid w:val="007F65C8"/>
    <w:rsid w:val="007F66BB"/>
    <w:rsid w:val="007F69CC"/>
    <w:rsid w:val="007F6C0B"/>
    <w:rsid w:val="007F6C84"/>
    <w:rsid w:val="007F6CF6"/>
    <w:rsid w:val="007F6D43"/>
    <w:rsid w:val="007F6E8B"/>
    <w:rsid w:val="007F6EF5"/>
    <w:rsid w:val="007F70F9"/>
    <w:rsid w:val="007F71DF"/>
    <w:rsid w:val="007F72D6"/>
    <w:rsid w:val="007F732D"/>
    <w:rsid w:val="007F7661"/>
    <w:rsid w:val="007F78BE"/>
    <w:rsid w:val="007F78EF"/>
    <w:rsid w:val="007F7CD2"/>
    <w:rsid w:val="007F7D3F"/>
    <w:rsid w:val="007F7EA2"/>
    <w:rsid w:val="007F7EC1"/>
    <w:rsid w:val="007F7EF8"/>
    <w:rsid w:val="007F7F2C"/>
    <w:rsid w:val="007F7FB0"/>
    <w:rsid w:val="007F7FE5"/>
    <w:rsid w:val="007F7FE6"/>
    <w:rsid w:val="007F9CDC"/>
    <w:rsid w:val="00800228"/>
    <w:rsid w:val="00800414"/>
    <w:rsid w:val="008005AC"/>
    <w:rsid w:val="0080078C"/>
    <w:rsid w:val="00800799"/>
    <w:rsid w:val="00800825"/>
    <w:rsid w:val="008008AC"/>
    <w:rsid w:val="008009CD"/>
    <w:rsid w:val="00800B14"/>
    <w:rsid w:val="00800C98"/>
    <w:rsid w:val="00800CC0"/>
    <w:rsid w:val="00800DD8"/>
    <w:rsid w:val="00800EAB"/>
    <w:rsid w:val="00801007"/>
    <w:rsid w:val="00801427"/>
    <w:rsid w:val="00801599"/>
    <w:rsid w:val="008015A4"/>
    <w:rsid w:val="008015D4"/>
    <w:rsid w:val="008016A5"/>
    <w:rsid w:val="008016A8"/>
    <w:rsid w:val="00801924"/>
    <w:rsid w:val="0080195C"/>
    <w:rsid w:val="00801962"/>
    <w:rsid w:val="00801A81"/>
    <w:rsid w:val="00801A93"/>
    <w:rsid w:val="00801C64"/>
    <w:rsid w:val="00801C83"/>
    <w:rsid w:val="00801EC6"/>
    <w:rsid w:val="00801EDD"/>
    <w:rsid w:val="00801EE2"/>
    <w:rsid w:val="00801F9E"/>
    <w:rsid w:val="00801FE9"/>
    <w:rsid w:val="0080202B"/>
    <w:rsid w:val="008020CA"/>
    <w:rsid w:val="0080226A"/>
    <w:rsid w:val="008023A6"/>
    <w:rsid w:val="0080242C"/>
    <w:rsid w:val="0080244D"/>
    <w:rsid w:val="008024BD"/>
    <w:rsid w:val="008026AC"/>
    <w:rsid w:val="00802899"/>
    <w:rsid w:val="0080289F"/>
    <w:rsid w:val="00802982"/>
    <w:rsid w:val="008029B2"/>
    <w:rsid w:val="008029F1"/>
    <w:rsid w:val="00802BFB"/>
    <w:rsid w:val="00802D66"/>
    <w:rsid w:val="00802D7C"/>
    <w:rsid w:val="00802ECF"/>
    <w:rsid w:val="008031C5"/>
    <w:rsid w:val="008031D3"/>
    <w:rsid w:val="00803260"/>
    <w:rsid w:val="00803347"/>
    <w:rsid w:val="00803557"/>
    <w:rsid w:val="008035C8"/>
    <w:rsid w:val="008035CC"/>
    <w:rsid w:val="00803807"/>
    <w:rsid w:val="00803AFA"/>
    <w:rsid w:val="00803C03"/>
    <w:rsid w:val="00803E63"/>
    <w:rsid w:val="00803EB8"/>
    <w:rsid w:val="00803EEF"/>
    <w:rsid w:val="0080407F"/>
    <w:rsid w:val="008040DC"/>
    <w:rsid w:val="00804327"/>
    <w:rsid w:val="00804601"/>
    <w:rsid w:val="008046D5"/>
    <w:rsid w:val="008048E3"/>
    <w:rsid w:val="00804957"/>
    <w:rsid w:val="00804BCA"/>
    <w:rsid w:val="00804BF7"/>
    <w:rsid w:val="0080551B"/>
    <w:rsid w:val="00805645"/>
    <w:rsid w:val="0080584A"/>
    <w:rsid w:val="00805AA3"/>
    <w:rsid w:val="00805B81"/>
    <w:rsid w:val="00805D44"/>
    <w:rsid w:val="00805D79"/>
    <w:rsid w:val="00805E61"/>
    <w:rsid w:val="00805F2A"/>
    <w:rsid w:val="00805FFB"/>
    <w:rsid w:val="00806155"/>
    <w:rsid w:val="0080615D"/>
    <w:rsid w:val="00806508"/>
    <w:rsid w:val="00806974"/>
    <w:rsid w:val="00806ADC"/>
    <w:rsid w:val="00806AE3"/>
    <w:rsid w:val="00806B41"/>
    <w:rsid w:val="00806BC7"/>
    <w:rsid w:val="00806C7C"/>
    <w:rsid w:val="00806F33"/>
    <w:rsid w:val="00806F5E"/>
    <w:rsid w:val="00806F69"/>
    <w:rsid w:val="00806FE6"/>
    <w:rsid w:val="008070C6"/>
    <w:rsid w:val="00807185"/>
    <w:rsid w:val="0080732D"/>
    <w:rsid w:val="008073AD"/>
    <w:rsid w:val="00807458"/>
    <w:rsid w:val="00807483"/>
    <w:rsid w:val="0080764F"/>
    <w:rsid w:val="008078A2"/>
    <w:rsid w:val="008078EE"/>
    <w:rsid w:val="00807A2F"/>
    <w:rsid w:val="00807A57"/>
    <w:rsid w:val="00807A5F"/>
    <w:rsid w:val="00807A8E"/>
    <w:rsid w:val="00807DB2"/>
    <w:rsid w:val="00807E8C"/>
    <w:rsid w:val="00810011"/>
    <w:rsid w:val="00810058"/>
    <w:rsid w:val="00810082"/>
    <w:rsid w:val="0081019F"/>
    <w:rsid w:val="0081034D"/>
    <w:rsid w:val="00810742"/>
    <w:rsid w:val="0081079E"/>
    <w:rsid w:val="00810853"/>
    <w:rsid w:val="00810865"/>
    <w:rsid w:val="0081098F"/>
    <w:rsid w:val="008109BC"/>
    <w:rsid w:val="008109F9"/>
    <w:rsid w:val="00810A07"/>
    <w:rsid w:val="00810B33"/>
    <w:rsid w:val="00810B50"/>
    <w:rsid w:val="00810E97"/>
    <w:rsid w:val="0081117E"/>
    <w:rsid w:val="0081119E"/>
    <w:rsid w:val="008112C7"/>
    <w:rsid w:val="0081133A"/>
    <w:rsid w:val="00811366"/>
    <w:rsid w:val="00811443"/>
    <w:rsid w:val="008114E8"/>
    <w:rsid w:val="008116D6"/>
    <w:rsid w:val="0081178F"/>
    <w:rsid w:val="00811924"/>
    <w:rsid w:val="00811939"/>
    <w:rsid w:val="00811B91"/>
    <w:rsid w:val="00811CDF"/>
    <w:rsid w:val="00811E07"/>
    <w:rsid w:val="00811F58"/>
    <w:rsid w:val="00812001"/>
    <w:rsid w:val="00812029"/>
    <w:rsid w:val="008120A7"/>
    <w:rsid w:val="00812173"/>
    <w:rsid w:val="008121FD"/>
    <w:rsid w:val="008122EE"/>
    <w:rsid w:val="00812552"/>
    <w:rsid w:val="0081259A"/>
    <w:rsid w:val="008125CC"/>
    <w:rsid w:val="00812687"/>
    <w:rsid w:val="0081271A"/>
    <w:rsid w:val="008128CE"/>
    <w:rsid w:val="0081298A"/>
    <w:rsid w:val="008129E6"/>
    <w:rsid w:val="00812A7B"/>
    <w:rsid w:val="00812BB2"/>
    <w:rsid w:val="00812E5F"/>
    <w:rsid w:val="00812F90"/>
    <w:rsid w:val="00813083"/>
    <w:rsid w:val="00813107"/>
    <w:rsid w:val="00813217"/>
    <w:rsid w:val="008133CB"/>
    <w:rsid w:val="008138D1"/>
    <w:rsid w:val="00813933"/>
    <w:rsid w:val="00813A12"/>
    <w:rsid w:val="00813BEC"/>
    <w:rsid w:val="00813D5D"/>
    <w:rsid w:val="00813D69"/>
    <w:rsid w:val="00813F43"/>
    <w:rsid w:val="0081407B"/>
    <w:rsid w:val="008141E4"/>
    <w:rsid w:val="008143B7"/>
    <w:rsid w:val="008144C4"/>
    <w:rsid w:val="00814C67"/>
    <w:rsid w:val="00814CC6"/>
    <w:rsid w:val="00815189"/>
    <w:rsid w:val="0081525D"/>
    <w:rsid w:val="00815318"/>
    <w:rsid w:val="00815988"/>
    <w:rsid w:val="00815DE6"/>
    <w:rsid w:val="00815E38"/>
    <w:rsid w:val="00815FA2"/>
    <w:rsid w:val="00816178"/>
    <w:rsid w:val="00816266"/>
    <w:rsid w:val="0081631A"/>
    <w:rsid w:val="008164BD"/>
    <w:rsid w:val="0081651B"/>
    <w:rsid w:val="008165E6"/>
    <w:rsid w:val="00816792"/>
    <w:rsid w:val="00816793"/>
    <w:rsid w:val="00816A70"/>
    <w:rsid w:val="00816ADB"/>
    <w:rsid w:val="00816B20"/>
    <w:rsid w:val="00816D16"/>
    <w:rsid w:val="00816E40"/>
    <w:rsid w:val="00816F17"/>
    <w:rsid w:val="0081712D"/>
    <w:rsid w:val="00817162"/>
    <w:rsid w:val="0081731B"/>
    <w:rsid w:val="0081731F"/>
    <w:rsid w:val="0081744B"/>
    <w:rsid w:val="0081753C"/>
    <w:rsid w:val="008177F3"/>
    <w:rsid w:val="008179F9"/>
    <w:rsid w:val="00817A8C"/>
    <w:rsid w:val="00817B03"/>
    <w:rsid w:val="00817B5F"/>
    <w:rsid w:val="00817D59"/>
    <w:rsid w:val="00817EB8"/>
    <w:rsid w:val="00817FB4"/>
    <w:rsid w:val="008200DE"/>
    <w:rsid w:val="00820172"/>
    <w:rsid w:val="0082024E"/>
    <w:rsid w:val="00820459"/>
    <w:rsid w:val="0082048F"/>
    <w:rsid w:val="008204E2"/>
    <w:rsid w:val="0082055E"/>
    <w:rsid w:val="0082079A"/>
    <w:rsid w:val="00820A0F"/>
    <w:rsid w:val="00820AEF"/>
    <w:rsid w:val="00820C19"/>
    <w:rsid w:val="00820CA3"/>
    <w:rsid w:val="00820DDE"/>
    <w:rsid w:val="00820DEA"/>
    <w:rsid w:val="00820E0F"/>
    <w:rsid w:val="008210F5"/>
    <w:rsid w:val="008211F5"/>
    <w:rsid w:val="008212B6"/>
    <w:rsid w:val="008213CB"/>
    <w:rsid w:val="008214B8"/>
    <w:rsid w:val="0082151F"/>
    <w:rsid w:val="00821565"/>
    <w:rsid w:val="0082156C"/>
    <w:rsid w:val="008215C0"/>
    <w:rsid w:val="008215C2"/>
    <w:rsid w:val="00821725"/>
    <w:rsid w:val="0082178B"/>
    <w:rsid w:val="008217DD"/>
    <w:rsid w:val="00821820"/>
    <w:rsid w:val="00821A0E"/>
    <w:rsid w:val="00821ACE"/>
    <w:rsid w:val="00821B5B"/>
    <w:rsid w:val="00821BBD"/>
    <w:rsid w:val="00821C7B"/>
    <w:rsid w:val="00821C97"/>
    <w:rsid w:val="00821DA3"/>
    <w:rsid w:val="00821F46"/>
    <w:rsid w:val="00821FC4"/>
    <w:rsid w:val="00822034"/>
    <w:rsid w:val="008220E1"/>
    <w:rsid w:val="00822120"/>
    <w:rsid w:val="008221D8"/>
    <w:rsid w:val="008221FA"/>
    <w:rsid w:val="00822361"/>
    <w:rsid w:val="00822370"/>
    <w:rsid w:val="0082248A"/>
    <w:rsid w:val="0082256B"/>
    <w:rsid w:val="0082259C"/>
    <w:rsid w:val="008225FD"/>
    <w:rsid w:val="00822986"/>
    <w:rsid w:val="00822A5F"/>
    <w:rsid w:val="00822B50"/>
    <w:rsid w:val="00822CBD"/>
    <w:rsid w:val="00822D21"/>
    <w:rsid w:val="00822DA8"/>
    <w:rsid w:val="00822E0D"/>
    <w:rsid w:val="00822FB4"/>
    <w:rsid w:val="008232A9"/>
    <w:rsid w:val="008234D6"/>
    <w:rsid w:val="0082394F"/>
    <w:rsid w:val="008239F8"/>
    <w:rsid w:val="00823B82"/>
    <w:rsid w:val="00823DDD"/>
    <w:rsid w:val="00823F44"/>
    <w:rsid w:val="00823F8F"/>
    <w:rsid w:val="008241EE"/>
    <w:rsid w:val="008241F4"/>
    <w:rsid w:val="008242AE"/>
    <w:rsid w:val="008242F0"/>
    <w:rsid w:val="00824324"/>
    <w:rsid w:val="008246E9"/>
    <w:rsid w:val="00824993"/>
    <w:rsid w:val="00824BBF"/>
    <w:rsid w:val="00824BD2"/>
    <w:rsid w:val="008250AE"/>
    <w:rsid w:val="0082513D"/>
    <w:rsid w:val="0082571D"/>
    <w:rsid w:val="008257C9"/>
    <w:rsid w:val="00825864"/>
    <w:rsid w:val="00825984"/>
    <w:rsid w:val="00825E99"/>
    <w:rsid w:val="00825F1A"/>
    <w:rsid w:val="00825F57"/>
    <w:rsid w:val="00825F6B"/>
    <w:rsid w:val="0082601F"/>
    <w:rsid w:val="00826144"/>
    <w:rsid w:val="0082640D"/>
    <w:rsid w:val="00826538"/>
    <w:rsid w:val="008265E7"/>
    <w:rsid w:val="00826751"/>
    <w:rsid w:val="008267DC"/>
    <w:rsid w:val="00826877"/>
    <w:rsid w:val="0082693E"/>
    <w:rsid w:val="00826C7F"/>
    <w:rsid w:val="0082748B"/>
    <w:rsid w:val="00827582"/>
    <w:rsid w:val="008275C5"/>
    <w:rsid w:val="008275E5"/>
    <w:rsid w:val="00827694"/>
    <w:rsid w:val="0082769A"/>
    <w:rsid w:val="008276F1"/>
    <w:rsid w:val="00827753"/>
    <w:rsid w:val="008278A2"/>
    <w:rsid w:val="00827929"/>
    <w:rsid w:val="008279C3"/>
    <w:rsid w:val="00827B3F"/>
    <w:rsid w:val="00827EAA"/>
    <w:rsid w:val="00827F0E"/>
    <w:rsid w:val="00827F4D"/>
    <w:rsid w:val="00827FA8"/>
    <w:rsid w:val="00830092"/>
    <w:rsid w:val="00830128"/>
    <w:rsid w:val="0083020A"/>
    <w:rsid w:val="0083022D"/>
    <w:rsid w:val="008303C4"/>
    <w:rsid w:val="0083074E"/>
    <w:rsid w:val="0083088B"/>
    <w:rsid w:val="0083093C"/>
    <w:rsid w:val="00830A21"/>
    <w:rsid w:val="00830A50"/>
    <w:rsid w:val="00830A6B"/>
    <w:rsid w:val="00830AC6"/>
    <w:rsid w:val="00830AE7"/>
    <w:rsid w:val="00830C1F"/>
    <w:rsid w:val="00830FE3"/>
    <w:rsid w:val="00830FFE"/>
    <w:rsid w:val="0083100E"/>
    <w:rsid w:val="00831067"/>
    <w:rsid w:val="008310FA"/>
    <w:rsid w:val="008312B3"/>
    <w:rsid w:val="0083134C"/>
    <w:rsid w:val="00831424"/>
    <w:rsid w:val="0083160A"/>
    <w:rsid w:val="00831624"/>
    <w:rsid w:val="008318A2"/>
    <w:rsid w:val="00831BE6"/>
    <w:rsid w:val="00831E4D"/>
    <w:rsid w:val="00831FBE"/>
    <w:rsid w:val="00831FC3"/>
    <w:rsid w:val="00832082"/>
    <w:rsid w:val="00832229"/>
    <w:rsid w:val="00832583"/>
    <w:rsid w:val="008325EC"/>
    <w:rsid w:val="00832633"/>
    <w:rsid w:val="0083271E"/>
    <w:rsid w:val="00832824"/>
    <w:rsid w:val="008329F6"/>
    <w:rsid w:val="00832A01"/>
    <w:rsid w:val="00832A23"/>
    <w:rsid w:val="00832AD4"/>
    <w:rsid w:val="00832BAB"/>
    <w:rsid w:val="00832CC9"/>
    <w:rsid w:val="00832E2D"/>
    <w:rsid w:val="00832F04"/>
    <w:rsid w:val="00833182"/>
    <w:rsid w:val="00833184"/>
    <w:rsid w:val="008331A6"/>
    <w:rsid w:val="00833340"/>
    <w:rsid w:val="008333EE"/>
    <w:rsid w:val="008334AE"/>
    <w:rsid w:val="008334CE"/>
    <w:rsid w:val="008334DC"/>
    <w:rsid w:val="0083363A"/>
    <w:rsid w:val="008337CA"/>
    <w:rsid w:val="008338A6"/>
    <w:rsid w:val="00833966"/>
    <w:rsid w:val="008339E2"/>
    <w:rsid w:val="00833A28"/>
    <w:rsid w:val="00833A2D"/>
    <w:rsid w:val="00833A30"/>
    <w:rsid w:val="00833C8E"/>
    <w:rsid w:val="00833D85"/>
    <w:rsid w:val="00833F1E"/>
    <w:rsid w:val="00833F6B"/>
    <w:rsid w:val="00834051"/>
    <w:rsid w:val="00834082"/>
    <w:rsid w:val="00834121"/>
    <w:rsid w:val="0083420B"/>
    <w:rsid w:val="00834266"/>
    <w:rsid w:val="008342FC"/>
    <w:rsid w:val="008344B1"/>
    <w:rsid w:val="00834600"/>
    <w:rsid w:val="0083464B"/>
    <w:rsid w:val="0083477D"/>
    <w:rsid w:val="008349A4"/>
    <w:rsid w:val="008349CF"/>
    <w:rsid w:val="00834CB5"/>
    <w:rsid w:val="00834CED"/>
    <w:rsid w:val="00834E4F"/>
    <w:rsid w:val="0083509E"/>
    <w:rsid w:val="00835236"/>
    <w:rsid w:val="008352BB"/>
    <w:rsid w:val="0083541D"/>
    <w:rsid w:val="0083554D"/>
    <w:rsid w:val="00835613"/>
    <w:rsid w:val="008356A3"/>
    <w:rsid w:val="0083572E"/>
    <w:rsid w:val="00835778"/>
    <w:rsid w:val="008357EA"/>
    <w:rsid w:val="00835967"/>
    <w:rsid w:val="0083597C"/>
    <w:rsid w:val="008359DE"/>
    <w:rsid w:val="00835BD7"/>
    <w:rsid w:val="00835CDA"/>
    <w:rsid w:val="00835DAB"/>
    <w:rsid w:val="00835DF3"/>
    <w:rsid w:val="00835E0E"/>
    <w:rsid w:val="00835EE2"/>
    <w:rsid w:val="00835FEB"/>
    <w:rsid w:val="0083601A"/>
    <w:rsid w:val="00836157"/>
    <w:rsid w:val="008361F8"/>
    <w:rsid w:val="00836232"/>
    <w:rsid w:val="008362E5"/>
    <w:rsid w:val="0083632D"/>
    <w:rsid w:val="0083651A"/>
    <w:rsid w:val="00836649"/>
    <w:rsid w:val="0083669B"/>
    <w:rsid w:val="0083676D"/>
    <w:rsid w:val="008368A1"/>
    <w:rsid w:val="008368D9"/>
    <w:rsid w:val="008368E0"/>
    <w:rsid w:val="0083694A"/>
    <w:rsid w:val="00836BB9"/>
    <w:rsid w:val="00836C1D"/>
    <w:rsid w:val="00836C6D"/>
    <w:rsid w:val="00836CB6"/>
    <w:rsid w:val="00836D12"/>
    <w:rsid w:val="00836EAA"/>
    <w:rsid w:val="0083729C"/>
    <w:rsid w:val="00837518"/>
    <w:rsid w:val="008375E4"/>
    <w:rsid w:val="00837996"/>
    <w:rsid w:val="00837ABD"/>
    <w:rsid w:val="00837AE0"/>
    <w:rsid w:val="00840048"/>
    <w:rsid w:val="008400F1"/>
    <w:rsid w:val="008400F9"/>
    <w:rsid w:val="00840203"/>
    <w:rsid w:val="00840210"/>
    <w:rsid w:val="008402CC"/>
    <w:rsid w:val="008402E9"/>
    <w:rsid w:val="008402FE"/>
    <w:rsid w:val="0084031F"/>
    <w:rsid w:val="00840351"/>
    <w:rsid w:val="0084035F"/>
    <w:rsid w:val="008404D1"/>
    <w:rsid w:val="00840717"/>
    <w:rsid w:val="0084083E"/>
    <w:rsid w:val="00840AA9"/>
    <w:rsid w:val="00840B02"/>
    <w:rsid w:val="00840C2D"/>
    <w:rsid w:val="00840D82"/>
    <w:rsid w:val="00840E59"/>
    <w:rsid w:val="00840FAD"/>
    <w:rsid w:val="00840FC4"/>
    <w:rsid w:val="0084100A"/>
    <w:rsid w:val="0084101E"/>
    <w:rsid w:val="0084125A"/>
    <w:rsid w:val="008412DD"/>
    <w:rsid w:val="0084141A"/>
    <w:rsid w:val="00841624"/>
    <w:rsid w:val="008416BC"/>
    <w:rsid w:val="00841732"/>
    <w:rsid w:val="00841753"/>
    <w:rsid w:val="0084178A"/>
    <w:rsid w:val="008418E3"/>
    <w:rsid w:val="00841946"/>
    <w:rsid w:val="00841B3E"/>
    <w:rsid w:val="00841C58"/>
    <w:rsid w:val="00841F7E"/>
    <w:rsid w:val="00842001"/>
    <w:rsid w:val="008420E5"/>
    <w:rsid w:val="00842226"/>
    <w:rsid w:val="00842573"/>
    <w:rsid w:val="008426D8"/>
    <w:rsid w:val="00842789"/>
    <w:rsid w:val="00842886"/>
    <w:rsid w:val="00842BE3"/>
    <w:rsid w:val="00842D90"/>
    <w:rsid w:val="00842DA3"/>
    <w:rsid w:val="00842E69"/>
    <w:rsid w:val="0084305E"/>
    <w:rsid w:val="008435A9"/>
    <w:rsid w:val="00843665"/>
    <w:rsid w:val="008436E3"/>
    <w:rsid w:val="00843765"/>
    <w:rsid w:val="008437C2"/>
    <w:rsid w:val="00843849"/>
    <w:rsid w:val="00843A48"/>
    <w:rsid w:val="00843BF7"/>
    <w:rsid w:val="00843DA3"/>
    <w:rsid w:val="00843E20"/>
    <w:rsid w:val="00843ED3"/>
    <w:rsid w:val="00843FB6"/>
    <w:rsid w:val="00844058"/>
    <w:rsid w:val="008442EA"/>
    <w:rsid w:val="00844315"/>
    <w:rsid w:val="0084448E"/>
    <w:rsid w:val="0084449A"/>
    <w:rsid w:val="0084451D"/>
    <w:rsid w:val="008445A4"/>
    <w:rsid w:val="00844756"/>
    <w:rsid w:val="008449D4"/>
    <w:rsid w:val="00844A92"/>
    <w:rsid w:val="00844CDA"/>
    <w:rsid w:val="00844DCD"/>
    <w:rsid w:val="00844F1B"/>
    <w:rsid w:val="00844F6E"/>
    <w:rsid w:val="00845004"/>
    <w:rsid w:val="00845289"/>
    <w:rsid w:val="008454BB"/>
    <w:rsid w:val="0084556B"/>
    <w:rsid w:val="00845784"/>
    <w:rsid w:val="008457C8"/>
    <w:rsid w:val="008459DF"/>
    <w:rsid w:val="00845A04"/>
    <w:rsid w:val="00845AFD"/>
    <w:rsid w:val="00845C05"/>
    <w:rsid w:val="00845C78"/>
    <w:rsid w:val="00845CD9"/>
    <w:rsid w:val="00845D66"/>
    <w:rsid w:val="00845E0C"/>
    <w:rsid w:val="00845E68"/>
    <w:rsid w:val="00845E9C"/>
    <w:rsid w:val="00845F53"/>
    <w:rsid w:val="0084604E"/>
    <w:rsid w:val="00846104"/>
    <w:rsid w:val="00846273"/>
    <w:rsid w:val="008462F1"/>
    <w:rsid w:val="008464DE"/>
    <w:rsid w:val="00846665"/>
    <w:rsid w:val="0084666C"/>
    <w:rsid w:val="008467F5"/>
    <w:rsid w:val="00846989"/>
    <w:rsid w:val="00846AAE"/>
    <w:rsid w:val="00846BAB"/>
    <w:rsid w:val="00846C29"/>
    <w:rsid w:val="00846C8C"/>
    <w:rsid w:val="00846D72"/>
    <w:rsid w:val="00846F0F"/>
    <w:rsid w:val="00846F42"/>
    <w:rsid w:val="00847083"/>
    <w:rsid w:val="008471EE"/>
    <w:rsid w:val="008473BA"/>
    <w:rsid w:val="008477AC"/>
    <w:rsid w:val="008479A6"/>
    <w:rsid w:val="00847B3C"/>
    <w:rsid w:val="00847DE1"/>
    <w:rsid w:val="00847E2B"/>
    <w:rsid w:val="00847E35"/>
    <w:rsid w:val="00847ED7"/>
    <w:rsid w:val="00847F51"/>
    <w:rsid w:val="0085007A"/>
    <w:rsid w:val="008500F4"/>
    <w:rsid w:val="008501B0"/>
    <w:rsid w:val="00850572"/>
    <w:rsid w:val="00850579"/>
    <w:rsid w:val="0085058A"/>
    <w:rsid w:val="00850727"/>
    <w:rsid w:val="00850800"/>
    <w:rsid w:val="0085087F"/>
    <w:rsid w:val="00850962"/>
    <w:rsid w:val="00850A51"/>
    <w:rsid w:val="00850CC7"/>
    <w:rsid w:val="00850D4E"/>
    <w:rsid w:val="00850E51"/>
    <w:rsid w:val="00850EE0"/>
    <w:rsid w:val="0085113F"/>
    <w:rsid w:val="008511D9"/>
    <w:rsid w:val="00851218"/>
    <w:rsid w:val="008516CD"/>
    <w:rsid w:val="008517C7"/>
    <w:rsid w:val="00851888"/>
    <w:rsid w:val="00851BE5"/>
    <w:rsid w:val="00851C13"/>
    <w:rsid w:val="00851C6D"/>
    <w:rsid w:val="00851DBD"/>
    <w:rsid w:val="00851E21"/>
    <w:rsid w:val="00851F87"/>
    <w:rsid w:val="0085202F"/>
    <w:rsid w:val="00852059"/>
    <w:rsid w:val="008522D6"/>
    <w:rsid w:val="0085232A"/>
    <w:rsid w:val="00852342"/>
    <w:rsid w:val="00852351"/>
    <w:rsid w:val="0085260E"/>
    <w:rsid w:val="00852625"/>
    <w:rsid w:val="00852740"/>
    <w:rsid w:val="00852836"/>
    <w:rsid w:val="00852876"/>
    <w:rsid w:val="00852990"/>
    <w:rsid w:val="00852D52"/>
    <w:rsid w:val="00852EDD"/>
    <w:rsid w:val="0085313D"/>
    <w:rsid w:val="0085315F"/>
    <w:rsid w:val="008533B3"/>
    <w:rsid w:val="008533EF"/>
    <w:rsid w:val="0085357A"/>
    <w:rsid w:val="008536F6"/>
    <w:rsid w:val="00853A8A"/>
    <w:rsid w:val="00853C4C"/>
    <w:rsid w:val="00853C52"/>
    <w:rsid w:val="00853C7C"/>
    <w:rsid w:val="00853D62"/>
    <w:rsid w:val="00853D85"/>
    <w:rsid w:val="00853F1B"/>
    <w:rsid w:val="00853F30"/>
    <w:rsid w:val="00854050"/>
    <w:rsid w:val="0085408F"/>
    <w:rsid w:val="008541C2"/>
    <w:rsid w:val="00854371"/>
    <w:rsid w:val="00854378"/>
    <w:rsid w:val="008546A5"/>
    <w:rsid w:val="00854747"/>
    <w:rsid w:val="008548A5"/>
    <w:rsid w:val="008548E7"/>
    <w:rsid w:val="008549D9"/>
    <w:rsid w:val="00854ACC"/>
    <w:rsid w:val="00854B7F"/>
    <w:rsid w:val="00854D13"/>
    <w:rsid w:val="00854D75"/>
    <w:rsid w:val="00854F2E"/>
    <w:rsid w:val="0085501F"/>
    <w:rsid w:val="008552AA"/>
    <w:rsid w:val="0085541B"/>
    <w:rsid w:val="00855444"/>
    <w:rsid w:val="008554F8"/>
    <w:rsid w:val="0085564F"/>
    <w:rsid w:val="00855726"/>
    <w:rsid w:val="00855803"/>
    <w:rsid w:val="00855844"/>
    <w:rsid w:val="00855968"/>
    <w:rsid w:val="00855A36"/>
    <w:rsid w:val="00855D53"/>
    <w:rsid w:val="00855DAA"/>
    <w:rsid w:val="00855E09"/>
    <w:rsid w:val="00855EED"/>
    <w:rsid w:val="0085604A"/>
    <w:rsid w:val="00856363"/>
    <w:rsid w:val="008565A5"/>
    <w:rsid w:val="00856714"/>
    <w:rsid w:val="00856810"/>
    <w:rsid w:val="008568EA"/>
    <w:rsid w:val="008569E4"/>
    <w:rsid w:val="008569F2"/>
    <w:rsid w:val="00856AD1"/>
    <w:rsid w:val="00856ADD"/>
    <w:rsid w:val="00856B2A"/>
    <w:rsid w:val="00856C10"/>
    <w:rsid w:val="00856D23"/>
    <w:rsid w:val="00856F13"/>
    <w:rsid w:val="008570AF"/>
    <w:rsid w:val="00857138"/>
    <w:rsid w:val="008571F3"/>
    <w:rsid w:val="00857209"/>
    <w:rsid w:val="0085734C"/>
    <w:rsid w:val="00857461"/>
    <w:rsid w:val="008574FC"/>
    <w:rsid w:val="0085753A"/>
    <w:rsid w:val="008575E1"/>
    <w:rsid w:val="008576B5"/>
    <w:rsid w:val="00857911"/>
    <w:rsid w:val="008579B3"/>
    <w:rsid w:val="00857A98"/>
    <w:rsid w:val="00857C19"/>
    <w:rsid w:val="0086015F"/>
    <w:rsid w:val="00860246"/>
    <w:rsid w:val="00860274"/>
    <w:rsid w:val="00860312"/>
    <w:rsid w:val="0086034F"/>
    <w:rsid w:val="00860362"/>
    <w:rsid w:val="008603BE"/>
    <w:rsid w:val="008605D6"/>
    <w:rsid w:val="0086061C"/>
    <w:rsid w:val="0086069A"/>
    <w:rsid w:val="00860712"/>
    <w:rsid w:val="0086074D"/>
    <w:rsid w:val="008608A6"/>
    <w:rsid w:val="008609F1"/>
    <w:rsid w:val="00860AAF"/>
    <w:rsid w:val="00860CB5"/>
    <w:rsid w:val="00860CB8"/>
    <w:rsid w:val="00860D51"/>
    <w:rsid w:val="00860EAE"/>
    <w:rsid w:val="00860FD8"/>
    <w:rsid w:val="0086100B"/>
    <w:rsid w:val="00861052"/>
    <w:rsid w:val="0086135B"/>
    <w:rsid w:val="008613A3"/>
    <w:rsid w:val="008613AD"/>
    <w:rsid w:val="008613B7"/>
    <w:rsid w:val="00861580"/>
    <w:rsid w:val="008615D0"/>
    <w:rsid w:val="008616A7"/>
    <w:rsid w:val="008616FC"/>
    <w:rsid w:val="00861781"/>
    <w:rsid w:val="008617B3"/>
    <w:rsid w:val="00861C36"/>
    <w:rsid w:val="00861CDC"/>
    <w:rsid w:val="00861E09"/>
    <w:rsid w:val="008620A5"/>
    <w:rsid w:val="008620AF"/>
    <w:rsid w:val="008620C5"/>
    <w:rsid w:val="008620D3"/>
    <w:rsid w:val="00862143"/>
    <w:rsid w:val="00862341"/>
    <w:rsid w:val="008624B2"/>
    <w:rsid w:val="008628E9"/>
    <w:rsid w:val="008629D2"/>
    <w:rsid w:val="00862C21"/>
    <w:rsid w:val="00862E23"/>
    <w:rsid w:val="00863187"/>
    <w:rsid w:val="008631FC"/>
    <w:rsid w:val="008633E5"/>
    <w:rsid w:val="00863535"/>
    <w:rsid w:val="00863536"/>
    <w:rsid w:val="00863554"/>
    <w:rsid w:val="0086375A"/>
    <w:rsid w:val="0086379D"/>
    <w:rsid w:val="00863975"/>
    <w:rsid w:val="0086397A"/>
    <w:rsid w:val="008639A4"/>
    <w:rsid w:val="00863B23"/>
    <w:rsid w:val="00863C35"/>
    <w:rsid w:val="00863C7F"/>
    <w:rsid w:val="00863E66"/>
    <w:rsid w:val="00863EF0"/>
    <w:rsid w:val="008640FC"/>
    <w:rsid w:val="008642A7"/>
    <w:rsid w:val="008642C8"/>
    <w:rsid w:val="00864538"/>
    <w:rsid w:val="00864943"/>
    <w:rsid w:val="00864986"/>
    <w:rsid w:val="00864A9B"/>
    <w:rsid w:val="00864A9F"/>
    <w:rsid w:val="00864BCB"/>
    <w:rsid w:val="00864BEC"/>
    <w:rsid w:val="00864D69"/>
    <w:rsid w:val="00864D7B"/>
    <w:rsid w:val="00864E75"/>
    <w:rsid w:val="00864F3B"/>
    <w:rsid w:val="00864F75"/>
    <w:rsid w:val="0086501B"/>
    <w:rsid w:val="00865100"/>
    <w:rsid w:val="0086520C"/>
    <w:rsid w:val="008652BD"/>
    <w:rsid w:val="00865396"/>
    <w:rsid w:val="0086539F"/>
    <w:rsid w:val="008653B3"/>
    <w:rsid w:val="008653DD"/>
    <w:rsid w:val="008653E8"/>
    <w:rsid w:val="0086540C"/>
    <w:rsid w:val="00865437"/>
    <w:rsid w:val="00865500"/>
    <w:rsid w:val="008656CB"/>
    <w:rsid w:val="00865825"/>
    <w:rsid w:val="008659C2"/>
    <w:rsid w:val="00865A7B"/>
    <w:rsid w:val="00865BB0"/>
    <w:rsid w:val="00865D42"/>
    <w:rsid w:val="00865EE9"/>
    <w:rsid w:val="00865FE8"/>
    <w:rsid w:val="00866114"/>
    <w:rsid w:val="0086612E"/>
    <w:rsid w:val="00866155"/>
    <w:rsid w:val="008662D2"/>
    <w:rsid w:val="00866362"/>
    <w:rsid w:val="00866805"/>
    <w:rsid w:val="00866AEB"/>
    <w:rsid w:val="00866DB2"/>
    <w:rsid w:val="00867041"/>
    <w:rsid w:val="0086757E"/>
    <w:rsid w:val="008675E4"/>
    <w:rsid w:val="0086774E"/>
    <w:rsid w:val="008677CE"/>
    <w:rsid w:val="008678BD"/>
    <w:rsid w:val="00867C1A"/>
    <w:rsid w:val="00867D8C"/>
    <w:rsid w:val="00867DB2"/>
    <w:rsid w:val="00867E9C"/>
    <w:rsid w:val="00867EDE"/>
    <w:rsid w:val="00867F03"/>
    <w:rsid w:val="00870293"/>
    <w:rsid w:val="0087079E"/>
    <w:rsid w:val="00870903"/>
    <w:rsid w:val="00870CF1"/>
    <w:rsid w:val="00870DC5"/>
    <w:rsid w:val="00870DF9"/>
    <w:rsid w:val="00870E35"/>
    <w:rsid w:val="00870E68"/>
    <w:rsid w:val="00870F3E"/>
    <w:rsid w:val="00870FAC"/>
    <w:rsid w:val="00871098"/>
    <w:rsid w:val="0087109B"/>
    <w:rsid w:val="00871164"/>
    <w:rsid w:val="008711C2"/>
    <w:rsid w:val="00871253"/>
    <w:rsid w:val="00871374"/>
    <w:rsid w:val="008713B3"/>
    <w:rsid w:val="00871647"/>
    <w:rsid w:val="0087166D"/>
    <w:rsid w:val="008716D6"/>
    <w:rsid w:val="00871802"/>
    <w:rsid w:val="00871809"/>
    <w:rsid w:val="00871895"/>
    <w:rsid w:val="00871DBC"/>
    <w:rsid w:val="00871E03"/>
    <w:rsid w:val="00871F18"/>
    <w:rsid w:val="00872050"/>
    <w:rsid w:val="00872093"/>
    <w:rsid w:val="00872203"/>
    <w:rsid w:val="0087229B"/>
    <w:rsid w:val="00872378"/>
    <w:rsid w:val="0087246B"/>
    <w:rsid w:val="0087258C"/>
    <w:rsid w:val="0087269D"/>
    <w:rsid w:val="008726D1"/>
    <w:rsid w:val="00872701"/>
    <w:rsid w:val="0087289E"/>
    <w:rsid w:val="008728FB"/>
    <w:rsid w:val="00872C21"/>
    <w:rsid w:val="00872C36"/>
    <w:rsid w:val="00872C41"/>
    <w:rsid w:val="00872CDB"/>
    <w:rsid w:val="00872D1B"/>
    <w:rsid w:val="00872D49"/>
    <w:rsid w:val="00872DAE"/>
    <w:rsid w:val="00872EF9"/>
    <w:rsid w:val="008731D9"/>
    <w:rsid w:val="00873208"/>
    <w:rsid w:val="008732C3"/>
    <w:rsid w:val="008733D7"/>
    <w:rsid w:val="008734A1"/>
    <w:rsid w:val="008734C0"/>
    <w:rsid w:val="0087352B"/>
    <w:rsid w:val="0087354D"/>
    <w:rsid w:val="00873664"/>
    <w:rsid w:val="0087367B"/>
    <w:rsid w:val="008739E3"/>
    <w:rsid w:val="00873A7B"/>
    <w:rsid w:val="00873D2A"/>
    <w:rsid w:val="0087401E"/>
    <w:rsid w:val="008741F1"/>
    <w:rsid w:val="00874218"/>
    <w:rsid w:val="008743A8"/>
    <w:rsid w:val="00874508"/>
    <w:rsid w:val="0087459F"/>
    <w:rsid w:val="008745B8"/>
    <w:rsid w:val="00874648"/>
    <w:rsid w:val="00874666"/>
    <w:rsid w:val="008748DF"/>
    <w:rsid w:val="00874BBA"/>
    <w:rsid w:val="00874C7F"/>
    <w:rsid w:val="00874D6F"/>
    <w:rsid w:val="00874EA5"/>
    <w:rsid w:val="00874EFB"/>
    <w:rsid w:val="00874FC2"/>
    <w:rsid w:val="00875010"/>
    <w:rsid w:val="008750B4"/>
    <w:rsid w:val="008752B2"/>
    <w:rsid w:val="00875354"/>
    <w:rsid w:val="008753B4"/>
    <w:rsid w:val="008754D2"/>
    <w:rsid w:val="008754E9"/>
    <w:rsid w:val="0087553B"/>
    <w:rsid w:val="0087590B"/>
    <w:rsid w:val="00875998"/>
    <w:rsid w:val="00875A98"/>
    <w:rsid w:val="00875B23"/>
    <w:rsid w:val="00875C23"/>
    <w:rsid w:val="00875CDD"/>
    <w:rsid w:val="00875D0B"/>
    <w:rsid w:val="00875D46"/>
    <w:rsid w:val="00875D9C"/>
    <w:rsid w:val="00875DEC"/>
    <w:rsid w:val="00875F12"/>
    <w:rsid w:val="00875F5E"/>
    <w:rsid w:val="00875F6A"/>
    <w:rsid w:val="00875F99"/>
    <w:rsid w:val="00875FB2"/>
    <w:rsid w:val="0087603F"/>
    <w:rsid w:val="0087618B"/>
    <w:rsid w:val="008762A3"/>
    <w:rsid w:val="008762A9"/>
    <w:rsid w:val="00876465"/>
    <w:rsid w:val="00876B9F"/>
    <w:rsid w:val="00876D31"/>
    <w:rsid w:val="00876E25"/>
    <w:rsid w:val="00876F99"/>
    <w:rsid w:val="00876FAB"/>
    <w:rsid w:val="00877021"/>
    <w:rsid w:val="0087710C"/>
    <w:rsid w:val="00877216"/>
    <w:rsid w:val="008773F7"/>
    <w:rsid w:val="00877426"/>
    <w:rsid w:val="008775CC"/>
    <w:rsid w:val="008777A8"/>
    <w:rsid w:val="00877827"/>
    <w:rsid w:val="0087792D"/>
    <w:rsid w:val="00877AF7"/>
    <w:rsid w:val="00877B68"/>
    <w:rsid w:val="00877C3B"/>
    <w:rsid w:val="00877F87"/>
    <w:rsid w:val="00879BF6"/>
    <w:rsid w:val="008806FF"/>
    <w:rsid w:val="0088082D"/>
    <w:rsid w:val="00880925"/>
    <w:rsid w:val="00880970"/>
    <w:rsid w:val="00880A93"/>
    <w:rsid w:val="00880B94"/>
    <w:rsid w:val="00880BDF"/>
    <w:rsid w:val="00880C81"/>
    <w:rsid w:val="00880F22"/>
    <w:rsid w:val="00881011"/>
    <w:rsid w:val="00881220"/>
    <w:rsid w:val="0088127B"/>
    <w:rsid w:val="00881311"/>
    <w:rsid w:val="0088133F"/>
    <w:rsid w:val="0088145F"/>
    <w:rsid w:val="00881938"/>
    <w:rsid w:val="008819E7"/>
    <w:rsid w:val="008819F3"/>
    <w:rsid w:val="00881A1E"/>
    <w:rsid w:val="00881A21"/>
    <w:rsid w:val="00881B61"/>
    <w:rsid w:val="00881BA8"/>
    <w:rsid w:val="00881BD8"/>
    <w:rsid w:val="00881CEC"/>
    <w:rsid w:val="00881E71"/>
    <w:rsid w:val="00881E8C"/>
    <w:rsid w:val="00881EAF"/>
    <w:rsid w:val="00881F15"/>
    <w:rsid w:val="00881F4E"/>
    <w:rsid w:val="00882319"/>
    <w:rsid w:val="0088238E"/>
    <w:rsid w:val="00882467"/>
    <w:rsid w:val="00882513"/>
    <w:rsid w:val="0088256D"/>
    <w:rsid w:val="00882585"/>
    <w:rsid w:val="0088260C"/>
    <w:rsid w:val="00882613"/>
    <w:rsid w:val="00882BB7"/>
    <w:rsid w:val="00882F24"/>
    <w:rsid w:val="008830BB"/>
    <w:rsid w:val="00883430"/>
    <w:rsid w:val="008834D6"/>
    <w:rsid w:val="0088354B"/>
    <w:rsid w:val="008835A0"/>
    <w:rsid w:val="008835D1"/>
    <w:rsid w:val="00883875"/>
    <w:rsid w:val="00883ABD"/>
    <w:rsid w:val="00883B57"/>
    <w:rsid w:val="00883BD2"/>
    <w:rsid w:val="00883BD4"/>
    <w:rsid w:val="00883D6B"/>
    <w:rsid w:val="00883DE0"/>
    <w:rsid w:val="00883FB3"/>
    <w:rsid w:val="0088449E"/>
    <w:rsid w:val="008849D9"/>
    <w:rsid w:val="00884D6D"/>
    <w:rsid w:val="00884D6E"/>
    <w:rsid w:val="00884D80"/>
    <w:rsid w:val="00884DCD"/>
    <w:rsid w:val="00884E78"/>
    <w:rsid w:val="00884F3F"/>
    <w:rsid w:val="00884F78"/>
    <w:rsid w:val="008854C7"/>
    <w:rsid w:val="00885692"/>
    <w:rsid w:val="00885716"/>
    <w:rsid w:val="00885918"/>
    <w:rsid w:val="00885BBD"/>
    <w:rsid w:val="00885E3E"/>
    <w:rsid w:val="00885E40"/>
    <w:rsid w:val="008861FE"/>
    <w:rsid w:val="0088626A"/>
    <w:rsid w:val="0088643E"/>
    <w:rsid w:val="008866A5"/>
    <w:rsid w:val="008866EC"/>
    <w:rsid w:val="00886835"/>
    <w:rsid w:val="0088696A"/>
    <w:rsid w:val="00886DE8"/>
    <w:rsid w:val="00886F53"/>
    <w:rsid w:val="008870E1"/>
    <w:rsid w:val="00887103"/>
    <w:rsid w:val="008871AC"/>
    <w:rsid w:val="008874A8"/>
    <w:rsid w:val="0088763F"/>
    <w:rsid w:val="00887672"/>
    <w:rsid w:val="008877F7"/>
    <w:rsid w:val="00887865"/>
    <w:rsid w:val="00887867"/>
    <w:rsid w:val="00887C6C"/>
    <w:rsid w:val="00887CFA"/>
    <w:rsid w:val="00887E67"/>
    <w:rsid w:val="00887ECD"/>
    <w:rsid w:val="0089011A"/>
    <w:rsid w:val="008901C9"/>
    <w:rsid w:val="00890208"/>
    <w:rsid w:val="0089020D"/>
    <w:rsid w:val="0089033F"/>
    <w:rsid w:val="00890354"/>
    <w:rsid w:val="008903F4"/>
    <w:rsid w:val="00890539"/>
    <w:rsid w:val="0089054E"/>
    <w:rsid w:val="0089066D"/>
    <w:rsid w:val="008908B0"/>
    <w:rsid w:val="008908F0"/>
    <w:rsid w:val="00890A27"/>
    <w:rsid w:val="00890AAF"/>
    <w:rsid w:val="00890AC6"/>
    <w:rsid w:val="00890B57"/>
    <w:rsid w:val="00890CC7"/>
    <w:rsid w:val="00891011"/>
    <w:rsid w:val="00891073"/>
    <w:rsid w:val="0089118E"/>
    <w:rsid w:val="00891520"/>
    <w:rsid w:val="008917BA"/>
    <w:rsid w:val="00891A92"/>
    <w:rsid w:val="00891F2C"/>
    <w:rsid w:val="008922F4"/>
    <w:rsid w:val="0089276C"/>
    <w:rsid w:val="0089293F"/>
    <w:rsid w:val="00892A03"/>
    <w:rsid w:val="00892BF7"/>
    <w:rsid w:val="00892C1B"/>
    <w:rsid w:val="00892C34"/>
    <w:rsid w:val="00892C9E"/>
    <w:rsid w:val="00892CCF"/>
    <w:rsid w:val="00892D76"/>
    <w:rsid w:val="00892F08"/>
    <w:rsid w:val="00893164"/>
    <w:rsid w:val="0089330F"/>
    <w:rsid w:val="008934B7"/>
    <w:rsid w:val="008936EA"/>
    <w:rsid w:val="00893766"/>
    <w:rsid w:val="0089380E"/>
    <w:rsid w:val="008938DF"/>
    <w:rsid w:val="008938E4"/>
    <w:rsid w:val="008938F6"/>
    <w:rsid w:val="00893A2A"/>
    <w:rsid w:val="00893A52"/>
    <w:rsid w:val="00893CF8"/>
    <w:rsid w:val="00893FB9"/>
    <w:rsid w:val="00894047"/>
    <w:rsid w:val="008941DC"/>
    <w:rsid w:val="008942C1"/>
    <w:rsid w:val="008943CF"/>
    <w:rsid w:val="00894653"/>
    <w:rsid w:val="00894675"/>
    <w:rsid w:val="00894701"/>
    <w:rsid w:val="00894803"/>
    <w:rsid w:val="00894828"/>
    <w:rsid w:val="00894836"/>
    <w:rsid w:val="008948D2"/>
    <w:rsid w:val="00894B0A"/>
    <w:rsid w:val="00894BE8"/>
    <w:rsid w:val="00894C73"/>
    <w:rsid w:val="00894D45"/>
    <w:rsid w:val="00894ED1"/>
    <w:rsid w:val="00894F61"/>
    <w:rsid w:val="00895098"/>
    <w:rsid w:val="0089524D"/>
    <w:rsid w:val="008953B0"/>
    <w:rsid w:val="008954F3"/>
    <w:rsid w:val="008956DA"/>
    <w:rsid w:val="008956E9"/>
    <w:rsid w:val="00895719"/>
    <w:rsid w:val="0089576F"/>
    <w:rsid w:val="008957FF"/>
    <w:rsid w:val="00895966"/>
    <w:rsid w:val="00895AA7"/>
    <w:rsid w:val="00895AD3"/>
    <w:rsid w:val="00895B0D"/>
    <w:rsid w:val="008960C3"/>
    <w:rsid w:val="008960FD"/>
    <w:rsid w:val="00896297"/>
    <w:rsid w:val="008962EC"/>
    <w:rsid w:val="008963B9"/>
    <w:rsid w:val="008964CA"/>
    <w:rsid w:val="008966CB"/>
    <w:rsid w:val="0089677E"/>
    <w:rsid w:val="0089696A"/>
    <w:rsid w:val="00896970"/>
    <w:rsid w:val="008969CE"/>
    <w:rsid w:val="00896ADF"/>
    <w:rsid w:val="00896C6D"/>
    <w:rsid w:val="00896CB0"/>
    <w:rsid w:val="00896CF2"/>
    <w:rsid w:val="00896D42"/>
    <w:rsid w:val="00896D89"/>
    <w:rsid w:val="00896EFE"/>
    <w:rsid w:val="00897078"/>
    <w:rsid w:val="008971FB"/>
    <w:rsid w:val="008974D8"/>
    <w:rsid w:val="008975B5"/>
    <w:rsid w:val="00897653"/>
    <w:rsid w:val="0089765D"/>
    <w:rsid w:val="008976A8"/>
    <w:rsid w:val="00897855"/>
    <w:rsid w:val="008979CA"/>
    <w:rsid w:val="00897A35"/>
    <w:rsid w:val="00897AF1"/>
    <w:rsid w:val="00897D3C"/>
    <w:rsid w:val="00897EF7"/>
    <w:rsid w:val="008A0362"/>
    <w:rsid w:val="008A0365"/>
    <w:rsid w:val="008A038D"/>
    <w:rsid w:val="008A0483"/>
    <w:rsid w:val="008A04A7"/>
    <w:rsid w:val="008A04C9"/>
    <w:rsid w:val="008A04D4"/>
    <w:rsid w:val="008A07D8"/>
    <w:rsid w:val="008A07DF"/>
    <w:rsid w:val="008A0853"/>
    <w:rsid w:val="008A08DE"/>
    <w:rsid w:val="008A0976"/>
    <w:rsid w:val="008A0C92"/>
    <w:rsid w:val="008A0D76"/>
    <w:rsid w:val="008A0E28"/>
    <w:rsid w:val="008A104C"/>
    <w:rsid w:val="008A10F8"/>
    <w:rsid w:val="008A11CB"/>
    <w:rsid w:val="008A1417"/>
    <w:rsid w:val="008A145D"/>
    <w:rsid w:val="008A1706"/>
    <w:rsid w:val="008A1794"/>
    <w:rsid w:val="008A1A6A"/>
    <w:rsid w:val="008A1A9E"/>
    <w:rsid w:val="008A1B5E"/>
    <w:rsid w:val="008A1CAA"/>
    <w:rsid w:val="008A1F88"/>
    <w:rsid w:val="008A200B"/>
    <w:rsid w:val="008A21CA"/>
    <w:rsid w:val="008A22F5"/>
    <w:rsid w:val="008A2330"/>
    <w:rsid w:val="008A23D8"/>
    <w:rsid w:val="008A2490"/>
    <w:rsid w:val="008A25C1"/>
    <w:rsid w:val="008A26A5"/>
    <w:rsid w:val="008A2886"/>
    <w:rsid w:val="008A2912"/>
    <w:rsid w:val="008A297C"/>
    <w:rsid w:val="008A2B00"/>
    <w:rsid w:val="008A2C3E"/>
    <w:rsid w:val="008A2DDE"/>
    <w:rsid w:val="008A2ECD"/>
    <w:rsid w:val="008A2ED6"/>
    <w:rsid w:val="008A30F1"/>
    <w:rsid w:val="008A31F0"/>
    <w:rsid w:val="008A3806"/>
    <w:rsid w:val="008A390C"/>
    <w:rsid w:val="008A390E"/>
    <w:rsid w:val="008A39F8"/>
    <w:rsid w:val="008A3A1B"/>
    <w:rsid w:val="008A3C98"/>
    <w:rsid w:val="008A41B3"/>
    <w:rsid w:val="008A41D1"/>
    <w:rsid w:val="008A43FE"/>
    <w:rsid w:val="008A4424"/>
    <w:rsid w:val="008A4454"/>
    <w:rsid w:val="008A44B5"/>
    <w:rsid w:val="008A46A2"/>
    <w:rsid w:val="008A48BA"/>
    <w:rsid w:val="008A48F5"/>
    <w:rsid w:val="008A4912"/>
    <w:rsid w:val="008A49D8"/>
    <w:rsid w:val="008A4BA4"/>
    <w:rsid w:val="008A4BE7"/>
    <w:rsid w:val="008A4F72"/>
    <w:rsid w:val="008A4FBB"/>
    <w:rsid w:val="008A50A0"/>
    <w:rsid w:val="008A519D"/>
    <w:rsid w:val="008A5240"/>
    <w:rsid w:val="008A5701"/>
    <w:rsid w:val="008A5A2A"/>
    <w:rsid w:val="008A5AE9"/>
    <w:rsid w:val="008A5DAE"/>
    <w:rsid w:val="008A5DC7"/>
    <w:rsid w:val="008A5E1C"/>
    <w:rsid w:val="008A5FB1"/>
    <w:rsid w:val="008A5FFC"/>
    <w:rsid w:val="008A6333"/>
    <w:rsid w:val="008A6341"/>
    <w:rsid w:val="008A63BA"/>
    <w:rsid w:val="008A642B"/>
    <w:rsid w:val="008A643A"/>
    <w:rsid w:val="008A6482"/>
    <w:rsid w:val="008A64C1"/>
    <w:rsid w:val="008A6688"/>
    <w:rsid w:val="008A6691"/>
    <w:rsid w:val="008A6890"/>
    <w:rsid w:val="008A69DA"/>
    <w:rsid w:val="008A6A57"/>
    <w:rsid w:val="008A6B2C"/>
    <w:rsid w:val="008A6C4F"/>
    <w:rsid w:val="008A6D6D"/>
    <w:rsid w:val="008A6D7D"/>
    <w:rsid w:val="008A7044"/>
    <w:rsid w:val="008A7090"/>
    <w:rsid w:val="008A733F"/>
    <w:rsid w:val="008A73D5"/>
    <w:rsid w:val="008A745A"/>
    <w:rsid w:val="008A750A"/>
    <w:rsid w:val="008A750B"/>
    <w:rsid w:val="008A75DB"/>
    <w:rsid w:val="008A7894"/>
    <w:rsid w:val="008A791B"/>
    <w:rsid w:val="008A79C9"/>
    <w:rsid w:val="008A7A1A"/>
    <w:rsid w:val="008A7B90"/>
    <w:rsid w:val="008A7BFA"/>
    <w:rsid w:val="008A7CB3"/>
    <w:rsid w:val="008A7E00"/>
    <w:rsid w:val="008A7EF3"/>
    <w:rsid w:val="008A7F26"/>
    <w:rsid w:val="008A7F5A"/>
    <w:rsid w:val="008B00BD"/>
    <w:rsid w:val="008B00BF"/>
    <w:rsid w:val="008B019D"/>
    <w:rsid w:val="008B01F6"/>
    <w:rsid w:val="008B034E"/>
    <w:rsid w:val="008B03A7"/>
    <w:rsid w:val="008B03D5"/>
    <w:rsid w:val="008B04E8"/>
    <w:rsid w:val="008B04F1"/>
    <w:rsid w:val="008B05F7"/>
    <w:rsid w:val="008B08C8"/>
    <w:rsid w:val="008B0A5E"/>
    <w:rsid w:val="008B0BFF"/>
    <w:rsid w:val="008B0D50"/>
    <w:rsid w:val="008B0EB1"/>
    <w:rsid w:val="008B10A8"/>
    <w:rsid w:val="008B1164"/>
    <w:rsid w:val="008B1228"/>
    <w:rsid w:val="008B1379"/>
    <w:rsid w:val="008B13B1"/>
    <w:rsid w:val="008B1660"/>
    <w:rsid w:val="008B1746"/>
    <w:rsid w:val="008B18A7"/>
    <w:rsid w:val="008B19B1"/>
    <w:rsid w:val="008B19DD"/>
    <w:rsid w:val="008B1A2E"/>
    <w:rsid w:val="008B1A86"/>
    <w:rsid w:val="008B1B61"/>
    <w:rsid w:val="008B1C26"/>
    <w:rsid w:val="008B1E26"/>
    <w:rsid w:val="008B1E84"/>
    <w:rsid w:val="008B1E99"/>
    <w:rsid w:val="008B2099"/>
    <w:rsid w:val="008B21F6"/>
    <w:rsid w:val="008B2291"/>
    <w:rsid w:val="008B22E3"/>
    <w:rsid w:val="008B23DF"/>
    <w:rsid w:val="008B23F0"/>
    <w:rsid w:val="008B240C"/>
    <w:rsid w:val="008B2545"/>
    <w:rsid w:val="008B25E7"/>
    <w:rsid w:val="008B26CE"/>
    <w:rsid w:val="008B272E"/>
    <w:rsid w:val="008B2760"/>
    <w:rsid w:val="008B2976"/>
    <w:rsid w:val="008B2A45"/>
    <w:rsid w:val="008B2CFE"/>
    <w:rsid w:val="008B2D26"/>
    <w:rsid w:val="008B2E0D"/>
    <w:rsid w:val="008B2E6C"/>
    <w:rsid w:val="008B33C8"/>
    <w:rsid w:val="008B3618"/>
    <w:rsid w:val="008B3682"/>
    <w:rsid w:val="008B3764"/>
    <w:rsid w:val="008B3841"/>
    <w:rsid w:val="008B3977"/>
    <w:rsid w:val="008B39BF"/>
    <w:rsid w:val="008B39DC"/>
    <w:rsid w:val="008B4163"/>
    <w:rsid w:val="008B425C"/>
    <w:rsid w:val="008B44B6"/>
    <w:rsid w:val="008B457A"/>
    <w:rsid w:val="008B4681"/>
    <w:rsid w:val="008B47D5"/>
    <w:rsid w:val="008B4891"/>
    <w:rsid w:val="008B4A01"/>
    <w:rsid w:val="008B4A24"/>
    <w:rsid w:val="008B4AE2"/>
    <w:rsid w:val="008B4B5F"/>
    <w:rsid w:val="008B4BA1"/>
    <w:rsid w:val="008B4CF9"/>
    <w:rsid w:val="008B4E1D"/>
    <w:rsid w:val="008B4F2D"/>
    <w:rsid w:val="008B4FDF"/>
    <w:rsid w:val="008B51DD"/>
    <w:rsid w:val="008B5235"/>
    <w:rsid w:val="008B5581"/>
    <w:rsid w:val="008B5978"/>
    <w:rsid w:val="008B611B"/>
    <w:rsid w:val="008B6452"/>
    <w:rsid w:val="008B65CB"/>
    <w:rsid w:val="008B6989"/>
    <w:rsid w:val="008B698B"/>
    <w:rsid w:val="008B6B0D"/>
    <w:rsid w:val="008B6C73"/>
    <w:rsid w:val="008B6E51"/>
    <w:rsid w:val="008B6E83"/>
    <w:rsid w:val="008B6EB6"/>
    <w:rsid w:val="008B727E"/>
    <w:rsid w:val="008B72DB"/>
    <w:rsid w:val="008B73EC"/>
    <w:rsid w:val="008B74D9"/>
    <w:rsid w:val="008B74E2"/>
    <w:rsid w:val="008B755D"/>
    <w:rsid w:val="008B79D5"/>
    <w:rsid w:val="008B7B67"/>
    <w:rsid w:val="008B7BD2"/>
    <w:rsid w:val="008B7D18"/>
    <w:rsid w:val="008B7DDA"/>
    <w:rsid w:val="008B7EA2"/>
    <w:rsid w:val="008C00F9"/>
    <w:rsid w:val="008C0118"/>
    <w:rsid w:val="008C011B"/>
    <w:rsid w:val="008C0140"/>
    <w:rsid w:val="008C0284"/>
    <w:rsid w:val="008C050F"/>
    <w:rsid w:val="008C06A9"/>
    <w:rsid w:val="008C087F"/>
    <w:rsid w:val="008C08F1"/>
    <w:rsid w:val="008C096E"/>
    <w:rsid w:val="008C0D03"/>
    <w:rsid w:val="008C0DA4"/>
    <w:rsid w:val="008C1051"/>
    <w:rsid w:val="008C111B"/>
    <w:rsid w:val="008C12CE"/>
    <w:rsid w:val="008C132F"/>
    <w:rsid w:val="008C140E"/>
    <w:rsid w:val="008C161E"/>
    <w:rsid w:val="008C163D"/>
    <w:rsid w:val="008C17BC"/>
    <w:rsid w:val="008C17E3"/>
    <w:rsid w:val="008C17E8"/>
    <w:rsid w:val="008C17FE"/>
    <w:rsid w:val="008C18A3"/>
    <w:rsid w:val="008C1935"/>
    <w:rsid w:val="008C1DE6"/>
    <w:rsid w:val="008C2278"/>
    <w:rsid w:val="008C23D3"/>
    <w:rsid w:val="008C2457"/>
    <w:rsid w:val="008C25BD"/>
    <w:rsid w:val="008C29B9"/>
    <w:rsid w:val="008C29E4"/>
    <w:rsid w:val="008C2B6B"/>
    <w:rsid w:val="008C2B74"/>
    <w:rsid w:val="008C2DCA"/>
    <w:rsid w:val="008C2DD0"/>
    <w:rsid w:val="008C2DFC"/>
    <w:rsid w:val="008C2E53"/>
    <w:rsid w:val="008C2F51"/>
    <w:rsid w:val="008C3011"/>
    <w:rsid w:val="008C321E"/>
    <w:rsid w:val="008C33DC"/>
    <w:rsid w:val="008C35F1"/>
    <w:rsid w:val="008C3722"/>
    <w:rsid w:val="008C372F"/>
    <w:rsid w:val="008C3A38"/>
    <w:rsid w:val="008C3CAF"/>
    <w:rsid w:val="008C3DB9"/>
    <w:rsid w:val="008C3DE0"/>
    <w:rsid w:val="008C3F76"/>
    <w:rsid w:val="008C3FCC"/>
    <w:rsid w:val="008C4082"/>
    <w:rsid w:val="008C4257"/>
    <w:rsid w:val="008C4430"/>
    <w:rsid w:val="008C44C3"/>
    <w:rsid w:val="008C454E"/>
    <w:rsid w:val="008C469F"/>
    <w:rsid w:val="008C49FE"/>
    <w:rsid w:val="008C4A07"/>
    <w:rsid w:val="008C4ADA"/>
    <w:rsid w:val="008C4BCC"/>
    <w:rsid w:val="008C4BEE"/>
    <w:rsid w:val="008C4C6C"/>
    <w:rsid w:val="008C4CF1"/>
    <w:rsid w:val="008C4D05"/>
    <w:rsid w:val="008C4D06"/>
    <w:rsid w:val="008C4D86"/>
    <w:rsid w:val="008C4DB5"/>
    <w:rsid w:val="008C4E64"/>
    <w:rsid w:val="008C4F4B"/>
    <w:rsid w:val="008C5409"/>
    <w:rsid w:val="008C5436"/>
    <w:rsid w:val="008C54E6"/>
    <w:rsid w:val="008C554F"/>
    <w:rsid w:val="008C566D"/>
    <w:rsid w:val="008C5695"/>
    <w:rsid w:val="008C5A9C"/>
    <w:rsid w:val="008C613C"/>
    <w:rsid w:val="008C6427"/>
    <w:rsid w:val="008C660B"/>
    <w:rsid w:val="008C69D6"/>
    <w:rsid w:val="008C6C94"/>
    <w:rsid w:val="008C6EE0"/>
    <w:rsid w:val="008C6EF0"/>
    <w:rsid w:val="008C70B6"/>
    <w:rsid w:val="008C726C"/>
    <w:rsid w:val="008C72B3"/>
    <w:rsid w:val="008C73FC"/>
    <w:rsid w:val="008C741F"/>
    <w:rsid w:val="008C7426"/>
    <w:rsid w:val="008C74A4"/>
    <w:rsid w:val="008C74FE"/>
    <w:rsid w:val="008C76BC"/>
    <w:rsid w:val="008C77B9"/>
    <w:rsid w:val="008C780C"/>
    <w:rsid w:val="008C7845"/>
    <w:rsid w:val="008C792C"/>
    <w:rsid w:val="008C793D"/>
    <w:rsid w:val="008C7A7C"/>
    <w:rsid w:val="008C7AE6"/>
    <w:rsid w:val="008C7B03"/>
    <w:rsid w:val="008C7B21"/>
    <w:rsid w:val="008C7B2D"/>
    <w:rsid w:val="008C7BAB"/>
    <w:rsid w:val="008C7BB7"/>
    <w:rsid w:val="008C7CE3"/>
    <w:rsid w:val="008C7D16"/>
    <w:rsid w:val="008C7DD7"/>
    <w:rsid w:val="008C7E73"/>
    <w:rsid w:val="008C7E8B"/>
    <w:rsid w:val="008C7E9B"/>
    <w:rsid w:val="008C7ECC"/>
    <w:rsid w:val="008C7FCD"/>
    <w:rsid w:val="008D010F"/>
    <w:rsid w:val="008D0121"/>
    <w:rsid w:val="008D0164"/>
    <w:rsid w:val="008D0168"/>
    <w:rsid w:val="008D02A6"/>
    <w:rsid w:val="008D0319"/>
    <w:rsid w:val="008D03A1"/>
    <w:rsid w:val="008D044A"/>
    <w:rsid w:val="008D0483"/>
    <w:rsid w:val="008D04DF"/>
    <w:rsid w:val="008D052C"/>
    <w:rsid w:val="008D057A"/>
    <w:rsid w:val="008D057F"/>
    <w:rsid w:val="008D0742"/>
    <w:rsid w:val="008D0905"/>
    <w:rsid w:val="008D0BE2"/>
    <w:rsid w:val="008D0C77"/>
    <w:rsid w:val="008D0FC6"/>
    <w:rsid w:val="008D12AC"/>
    <w:rsid w:val="008D12C9"/>
    <w:rsid w:val="008D12D4"/>
    <w:rsid w:val="008D143C"/>
    <w:rsid w:val="008D1511"/>
    <w:rsid w:val="008D16EE"/>
    <w:rsid w:val="008D176E"/>
    <w:rsid w:val="008D190E"/>
    <w:rsid w:val="008D1918"/>
    <w:rsid w:val="008D1939"/>
    <w:rsid w:val="008D19F5"/>
    <w:rsid w:val="008D1B85"/>
    <w:rsid w:val="008D1C54"/>
    <w:rsid w:val="008D1CAA"/>
    <w:rsid w:val="008D2335"/>
    <w:rsid w:val="008D24E7"/>
    <w:rsid w:val="008D2629"/>
    <w:rsid w:val="008D270E"/>
    <w:rsid w:val="008D2A58"/>
    <w:rsid w:val="008D2BE7"/>
    <w:rsid w:val="008D2CD8"/>
    <w:rsid w:val="008D2D45"/>
    <w:rsid w:val="008D2EDC"/>
    <w:rsid w:val="008D3101"/>
    <w:rsid w:val="008D3281"/>
    <w:rsid w:val="008D32B7"/>
    <w:rsid w:val="008D3338"/>
    <w:rsid w:val="008D33D6"/>
    <w:rsid w:val="008D33EF"/>
    <w:rsid w:val="008D3596"/>
    <w:rsid w:val="008D36BC"/>
    <w:rsid w:val="008D3729"/>
    <w:rsid w:val="008D372F"/>
    <w:rsid w:val="008D38DC"/>
    <w:rsid w:val="008D3980"/>
    <w:rsid w:val="008D3997"/>
    <w:rsid w:val="008D3A26"/>
    <w:rsid w:val="008D3B7C"/>
    <w:rsid w:val="008D3B9E"/>
    <w:rsid w:val="008D3CA6"/>
    <w:rsid w:val="008D3D3D"/>
    <w:rsid w:val="008D3D67"/>
    <w:rsid w:val="008D3F1C"/>
    <w:rsid w:val="008D4019"/>
    <w:rsid w:val="008D41A2"/>
    <w:rsid w:val="008D41F2"/>
    <w:rsid w:val="008D4238"/>
    <w:rsid w:val="008D43D6"/>
    <w:rsid w:val="008D456D"/>
    <w:rsid w:val="008D45F5"/>
    <w:rsid w:val="008D47EB"/>
    <w:rsid w:val="008D4848"/>
    <w:rsid w:val="008D48AD"/>
    <w:rsid w:val="008D48CD"/>
    <w:rsid w:val="008D48DA"/>
    <w:rsid w:val="008D4AB8"/>
    <w:rsid w:val="008D4B76"/>
    <w:rsid w:val="008D4DD2"/>
    <w:rsid w:val="008D513A"/>
    <w:rsid w:val="008D513E"/>
    <w:rsid w:val="008D517B"/>
    <w:rsid w:val="008D54B9"/>
    <w:rsid w:val="008D56A9"/>
    <w:rsid w:val="008D56C0"/>
    <w:rsid w:val="008D5771"/>
    <w:rsid w:val="008D57BC"/>
    <w:rsid w:val="008D5817"/>
    <w:rsid w:val="008D5A49"/>
    <w:rsid w:val="008D5D5D"/>
    <w:rsid w:val="008D5E18"/>
    <w:rsid w:val="008D5F8A"/>
    <w:rsid w:val="008D6136"/>
    <w:rsid w:val="008D6198"/>
    <w:rsid w:val="008D6216"/>
    <w:rsid w:val="008D6347"/>
    <w:rsid w:val="008D6361"/>
    <w:rsid w:val="008D63F5"/>
    <w:rsid w:val="008D6414"/>
    <w:rsid w:val="008D657E"/>
    <w:rsid w:val="008D698B"/>
    <w:rsid w:val="008D6B12"/>
    <w:rsid w:val="008D6BDC"/>
    <w:rsid w:val="008D6E8E"/>
    <w:rsid w:val="008D6F6D"/>
    <w:rsid w:val="008D715C"/>
    <w:rsid w:val="008D729C"/>
    <w:rsid w:val="008D7452"/>
    <w:rsid w:val="008D74BC"/>
    <w:rsid w:val="008D75E1"/>
    <w:rsid w:val="008D78AF"/>
    <w:rsid w:val="008D7A07"/>
    <w:rsid w:val="008D7CAA"/>
    <w:rsid w:val="008D7CE2"/>
    <w:rsid w:val="008E0041"/>
    <w:rsid w:val="008E011A"/>
    <w:rsid w:val="008E0239"/>
    <w:rsid w:val="008E0316"/>
    <w:rsid w:val="008E053E"/>
    <w:rsid w:val="008E062D"/>
    <w:rsid w:val="008E06D5"/>
    <w:rsid w:val="008E09AE"/>
    <w:rsid w:val="008E09DE"/>
    <w:rsid w:val="008E09FE"/>
    <w:rsid w:val="008E0A5C"/>
    <w:rsid w:val="008E0FBF"/>
    <w:rsid w:val="008E122F"/>
    <w:rsid w:val="008E1238"/>
    <w:rsid w:val="008E1288"/>
    <w:rsid w:val="008E144A"/>
    <w:rsid w:val="008E14C0"/>
    <w:rsid w:val="008E1686"/>
    <w:rsid w:val="008E1893"/>
    <w:rsid w:val="008E18B8"/>
    <w:rsid w:val="008E19CE"/>
    <w:rsid w:val="008E1A53"/>
    <w:rsid w:val="008E1C3A"/>
    <w:rsid w:val="008E1D2A"/>
    <w:rsid w:val="008E1D52"/>
    <w:rsid w:val="008E1E30"/>
    <w:rsid w:val="008E2087"/>
    <w:rsid w:val="008E20B7"/>
    <w:rsid w:val="008E24D8"/>
    <w:rsid w:val="008E251D"/>
    <w:rsid w:val="008E2A06"/>
    <w:rsid w:val="008E2EDD"/>
    <w:rsid w:val="008E305B"/>
    <w:rsid w:val="008E31C6"/>
    <w:rsid w:val="008E31DB"/>
    <w:rsid w:val="008E3252"/>
    <w:rsid w:val="008E351A"/>
    <w:rsid w:val="008E354A"/>
    <w:rsid w:val="008E3595"/>
    <w:rsid w:val="008E35FD"/>
    <w:rsid w:val="008E36A8"/>
    <w:rsid w:val="008E385B"/>
    <w:rsid w:val="008E396E"/>
    <w:rsid w:val="008E397D"/>
    <w:rsid w:val="008E3B0A"/>
    <w:rsid w:val="008E3C1B"/>
    <w:rsid w:val="008E3D87"/>
    <w:rsid w:val="008E3E4F"/>
    <w:rsid w:val="008E3EF1"/>
    <w:rsid w:val="008E3FE5"/>
    <w:rsid w:val="008E408E"/>
    <w:rsid w:val="008E4095"/>
    <w:rsid w:val="008E4136"/>
    <w:rsid w:val="008E4150"/>
    <w:rsid w:val="008E4153"/>
    <w:rsid w:val="008E421A"/>
    <w:rsid w:val="008E436F"/>
    <w:rsid w:val="008E4470"/>
    <w:rsid w:val="008E44BF"/>
    <w:rsid w:val="008E44F2"/>
    <w:rsid w:val="008E4509"/>
    <w:rsid w:val="008E47A2"/>
    <w:rsid w:val="008E48DD"/>
    <w:rsid w:val="008E4A9A"/>
    <w:rsid w:val="008E4B3A"/>
    <w:rsid w:val="008E4BD3"/>
    <w:rsid w:val="008E4C43"/>
    <w:rsid w:val="008E4C9E"/>
    <w:rsid w:val="008E4F77"/>
    <w:rsid w:val="008E4FC7"/>
    <w:rsid w:val="008E53EE"/>
    <w:rsid w:val="008E540D"/>
    <w:rsid w:val="008E54ED"/>
    <w:rsid w:val="008E5644"/>
    <w:rsid w:val="008E574B"/>
    <w:rsid w:val="008E5924"/>
    <w:rsid w:val="008E5929"/>
    <w:rsid w:val="008E59DF"/>
    <w:rsid w:val="008E5A66"/>
    <w:rsid w:val="008E5B72"/>
    <w:rsid w:val="008E5B93"/>
    <w:rsid w:val="008E5C63"/>
    <w:rsid w:val="008E5CC1"/>
    <w:rsid w:val="008E5D6C"/>
    <w:rsid w:val="008E5E02"/>
    <w:rsid w:val="008E5E16"/>
    <w:rsid w:val="008E5FA2"/>
    <w:rsid w:val="008E61B7"/>
    <w:rsid w:val="008E6218"/>
    <w:rsid w:val="008E6223"/>
    <w:rsid w:val="008E62CA"/>
    <w:rsid w:val="008E63A6"/>
    <w:rsid w:val="008E63CB"/>
    <w:rsid w:val="008E641E"/>
    <w:rsid w:val="008E66C4"/>
    <w:rsid w:val="008E66DB"/>
    <w:rsid w:val="008E6AB9"/>
    <w:rsid w:val="008E6D3C"/>
    <w:rsid w:val="008E6DE6"/>
    <w:rsid w:val="008E6FB2"/>
    <w:rsid w:val="008E7017"/>
    <w:rsid w:val="008E7089"/>
    <w:rsid w:val="008E7139"/>
    <w:rsid w:val="008E721F"/>
    <w:rsid w:val="008E72D3"/>
    <w:rsid w:val="008E73F2"/>
    <w:rsid w:val="008E7572"/>
    <w:rsid w:val="008E7683"/>
    <w:rsid w:val="008E7B02"/>
    <w:rsid w:val="008E7B20"/>
    <w:rsid w:val="008E7DA5"/>
    <w:rsid w:val="008E7EA3"/>
    <w:rsid w:val="008E7EF4"/>
    <w:rsid w:val="008F00A0"/>
    <w:rsid w:val="008F00F1"/>
    <w:rsid w:val="008F0142"/>
    <w:rsid w:val="008F0145"/>
    <w:rsid w:val="008F03A3"/>
    <w:rsid w:val="008F0418"/>
    <w:rsid w:val="008F04D3"/>
    <w:rsid w:val="008F082E"/>
    <w:rsid w:val="008F0851"/>
    <w:rsid w:val="008F0942"/>
    <w:rsid w:val="008F09E1"/>
    <w:rsid w:val="008F0A7E"/>
    <w:rsid w:val="008F0B77"/>
    <w:rsid w:val="008F0C29"/>
    <w:rsid w:val="008F0F51"/>
    <w:rsid w:val="008F1029"/>
    <w:rsid w:val="008F105D"/>
    <w:rsid w:val="008F116B"/>
    <w:rsid w:val="008F1186"/>
    <w:rsid w:val="008F1219"/>
    <w:rsid w:val="008F13A0"/>
    <w:rsid w:val="008F1417"/>
    <w:rsid w:val="008F14A6"/>
    <w:rsid w:val="008F1603"/>
    <w:rsid w:val="008F199C"/>
    <w:rsid w:val="008F1B0A"/>
    <w:rsid w:val="008F1BBA"/>
    <w:rsid w:val="008F1C99"/>
    <w:rsid w:val="008F1CB4"/>
    <w:rsid w:val="008F1D56"/>
    <w:rsid w:val="008F1E27"/>
    <w:rsid w:val="008F2071"/>
    <w:rsid w:val="008F2180"/>
    <w:rsid w:val="008F2279"/>
    <w:rsid w:val="008F238E"/>
    <w:rsid w:val="008F24E4"/>
    <w:rsid w:val="008F26F1"/>
    <w:rsid w:val="008F27A8"/>
    <w:rsid w:val="008F27D5"/>
    <w:rsid w:val="008F28C8"/>
    <w:rsid w:val="008F298C"/>
    <w:rsid w:val="008F2B4D"/>
    <w:rsid w:val="008F2F68"/>
    <w:rsid w:val="008F3229"/>
    <w:rsid w:val="008F3618"/>
    <w:rsid w:val="008F3735"/>
    <w:rsid w:val="008F379C"/>
    <w:rsid w:val="008F37BF"/>
    <w:rsid w:val="008F38D9"/>
    <w:rsid w:val="008F38FB"/>
    <w:rsid w:val="008F39E9"/>
    <w:rsid w:val="008F3CEC"/>
    <w:rsid w:val="008F3D69"/>
    <w:rsid w:val="008F3F0A"/>
    <w:rsid w:val="008F3F1A"/>
    <w:rsid w:val="008F408A"/>
    <w:rsid w:val="008F41A8"/>
    <w:rsid w:val="008F41D0"/>
    <w:rsid w:val="008F429B"/>
    <w:rsid w:val="008F46B7"/>
    <w:rsid w:val="008F46F6"/>
    <w:rsid w:val="008F479C"/>
    <w:rsid w:val="008F48BD"/>
    <w:rsid w:val="008F4B5E"/>
    <w:rsid w:val="008F4B70"/>
    <w:rsid w:val="008F4C48"/>
    <w:rsid w:val="008F4C6A"/>
    <w:rsid w:val="008F51B4"/>
    <w:rsid w:val="008F523E"/>
    <w:rsid w:val="008F55D5"/>
    <w:rsid w:val="008F56A2"/>
    <w:rsid w:val="008F5862"/>
    <w:rsid w:val="008F5865"/>
    <w:rsid w:val="008F5C4C"/>
    <w:rsid w:val="008F5C99"/>
    <w:rsid w:val="008F5DB5"/>
    <w:rsid w:val="008F5E05"/>
    <w:rsid w:val="008F6274"/>
    <w:rsid w:val="008F6292"/>
    <w:rsid w:val="008F66E2"/>
    <w:rsid w:val="008F673F"/>
    <w:rsid w:val="008F6A31"/>
    <w:rsid w:val="008F6A3C"/>
    <w:rsid w:val="008F6C00"/>
    <w:rsid w:val="008F6CE4"/>
    <w:rsid w:val="008F6D83"/>
    <w:rsid w:val="008F6E86"/>
    <w:rsid w:val="008F6EAA"/>
    <w:rsid w:val="008F7082"/>
    <w:rsid w:val="008F7196"/>
    <w:rsid w:val="008F7548"/>
    <w:rsid w:val="008F761B"/>
    <w:rsid w:val="008F76C4"/>
    <w:rsid w:val="008F79BE"/>
    <w:rsid w:val="008F79DF"/>
    <w:rsid w:val="008F7A25"/>
    <w:rsid w:val="008F7D2B"/>
    <w:rsid w:val="008F7D4A"/>
    <w:rsid w:val="008F7EF4"/>
    <w:rsid w:val="008F7F79"/>
    <w:rsid w:val="0090028B"/>
    <w:rsid w:val="009002CA"/>
    <w:rsid w:val="00900317"/>
    <w:rsid w:val="00900371"/>
    <w:rsid w:val="0090051D"/>
    <w:rsid w:val="009006A5"/>
    <w:rsid w:val="009006F1"/>
    <w:rsid w:val="00900752"/>
    <w:rsid w:val="00900847"/>
    <w:rsid w:val="00900870"/>
    <w:rsid w:val="0090091E"/>
    <w:rsid w:val="0090096F"/>
    <w:rsid w:val="00900A37"/>
    <w:rsid w:val="00900C67"/>
    <w:rsid w:val="00900D72"/>
    <w:rsid w:val="00900DAF"/>
    <w:rsid w:val="00900DB9"/>
    <w:rsid w:val="00900F22"/>
    <w:rsid w:val="00900F51"/>
    <w:rsid w:val="00901028"/>
    <w:rsid w:val="009010A8"/>
    <w:rsid w:val="009010B3"/>
    <w:rsid w:val="009010FF"/>
    <w:rsid w:val="009011FA"/>
    <w:rsid w:val="009012FF"/>
    <w:rsid w:val="0090149A"/>
    <w:rsid w:val="009015EE"/>
    <w:rsid w:val="00901695"/>
    <w:rsid w:val="009016EC"/>
    <w:rsid w:val="0090173F"/>
    <w:rsid w:val="0090177B"/>
    <w:rsid w:val="0090188B"/>
    <w:rsid w:val="00901A36"/>
    <w:rsid w:val="00901AF5"/>
    <w:rsid w:val="00901C0D"/>
    <w:rsid w:val="00901D11"/>
    <w:rsid w:val="00901D6F"/>
    <w:rsid w:val="00901DB3"/>
    <w:rsid w:val="00901EB5"/>
    <w:rsid w:val="00901F4C"/>
    <w:rsid w:val="00901FEE"/>
    <w:rsid w:val="00902155"/>
    <w:rsid w:val="00902305"/>
    <w:rsid w:val="009024F8"/>
    <w:rsid w:val="00902533"/>
    <w:rsid w:val="0090253B"/>
    <w:rsid w:val="009025B8"/>
    <w:rsid w:val="00902731"/>
    <w:rsid w:val="00902A5B"/>
    <w:rsid w:val="00902AE6"/>
    <w:rsid w:val="00902BD5"/>
    <w:rsid w:val="00902C0B"/>
    <w:rsid w:val="00902E3B"/>
    <w:rsid w:val="00903070"/>
    <w:rsid w:val="00903162"/>
    <w:rsid w:val="009032BB"/>
    <w:rsid w:val="0090331E"/>
    <w:rsid w:val="00903384"/>
    <w:rsid w:val="0090339A"/>
    <w:rsid w:val="00903427"/>
    <w:rsid w:val="0090345B"/>
    <w:rsid w:val="00903579"/>
    <w:rsid w:val="009035D6"/>
    <w:rsid w:val="0090361D"/>
    <w:rsid w:val="00903721"/>
    <w:rsid w:val="0090387F"/>
    <w:rsid w:val="00903901"/>
    <w:rsid w:val="00903A7D"/>
    <w:rsid w:val="00903C5C"/>
    <w:rsid w:val="00903CCA"/>
    <w:rsid w:val="00903D51"/>
    <w:rsid w:val="00903DB2"/>
    <w:rsid w:val="00903F65"/>
    <w:rsid w:val="00904096"/>
    <w:rsid w:val="009040E5"/>
    <w:rsid w:val="009042F2"/>
    <w:rsid w:val="00904335"/>
    <w:rsid w:val="00904375"/>
    <w:rsid w:val="00904417"/>
    <w:rsid w:val="0090451A"/>
    <w:rsid w:val="00904982"/>
    <w:rsid w:val="009049F3"/>
    <w:rsid w:val="00904AA8"/>
    <w:rsid w:val="00904C28"/>
    <w:rsid w:val="00904C7D"/>
    <w:rsid w:val="00904DC8"/>
    <w:rsid w:val="00904E85"/>
    <w:rsid w:val="00904E97"/>
    <w:rsid w:val="00905040"/>
    <w:rsid w:val="0090508E"/>
    <w:rsid w:val="009051FC"/>
    <w:rsid w:val="00905205"/>
    <w:rsid w:val="009052B2"/>
    <w:rsid w:val="00905303"/>
    <w:rsid w:val="009054B0"/>
    <w:rsid w:val="009055A6"/>
    <w:rsid w:val="0090565A"/>
    <w:rsid w:val="00905783"/>
    <w:rsid w:val="009057A2"/>
    <w:rsid w:val="009057E4"/>
    <w:rsid w:val="0090590B"/>
    <w:rsid w:val="00905A49"/>
    <w:rsid w:val="00905AB3"/>
    <w:rsid w:val="00905D8A"/>
    <w:rsid w:val="00905D90"/>
    <w:rsid w:val="00905DCC"/>
    <w:rsid w:val="00906238"/>
    <w:rsid w:val="009062D7"/>
    <w:rsid w:val="00906406"/>
    <w:rsid w:val="00906B4E"/>
    <w:rsid w:val="00906B5A"/>
    <w:rsid w:val="009071C8"/>
    <w:rsid w:val="00907223"/>
    <w:rsid w:val="00907255"/>
    <w:rsid w:val="009072EF"/>
    <w:rsid w:val="0090731F"/>
    <w:rsid w:val="009073F4"/>
    <w:rsid w:val="00907529"/>
    <w:rsid w:val="00907868"/>
    <w:rsid w:val="00907908"/>
    <w:rsid w:val="00907986"/>
    <w:rsid w:val="00907A06"/>
    <w:rsid w:val="00907AAC"/>
    <w:rsid w:val="00907ACF"/>
    <w:rsid w:val="00907BE5"/>
    <w:rsid w:val="00907E08"/>
    <w:rsid w:val="00907E6E"/>
    <w:rsid w:val="00910110"/>
    <w:rsid w:val="00910128"/>
    <w:rsid w:val="0091016D"/>
    <w:rsid w:val="0091028A"/>
    <w:rsid w:val="00910463"/>
    <w:rsid w:val="00910465"/>
    <w:rsid w:val="0091049D"/>
    <w:rsid w:val="00910530"/>
    <w:rsid w:val="00910638"/>
    <w:rsid w:val="009106B4"/>
    <w:rsid w:val="009106BB"/>
    <w:rsid w:val="00910B72"/>
    <w:rsid w:val="00910C2C"/>
    <w:rsid w:val="00910C57"/>
    <w:rsid w:val="00910D4C"/>
    <w:rsid w:val="00910F00"/>
    <w:rsid w:val="00910F72"/>
    <w:rsid w:val="0091112D"/>
    <w:rsid w:val="00911144"/>
    <w:rsid w:val="00911234"/>
    <w:rsid w:val="009114FD"/>
    <w:rsid w:val="00911595"/>
    <w:rsid w:val="00911646"/>
    <w:rsid w:val="00911943"/>
    <w:rsid w:val="009119A9"/>
    <w:rsid w:val="00911BEF"/>
    <w:rsid w:val="00911F16"/>
    <w:rsid w:val="00912053"/>
    <w:rsid w:val="009122B7"/>
    <w:rsid w:val="0091243D"/>
    <w:rsid w:val="00912550"/>
    <w:rsid w:val="009125AD"/>
    <w:rsid w:val="009125B0"/>
    <w:rsid w:val="00912638"/>
    <w:rsid w:val="00912710"/>
    <w:rsid w:val="00912820"/>
    <w:rsid w:val="009129B1"/>
    <w:rsid w:val="00912B71"/>
    <w:rsid w:val="00912C05"/>
    <w:rsid w:val="00912DB5"/>
    <w:rsid w:val="00912E40"/>
    <w:rsid w:val="00912F64"/>
    <w:rsid w:val="00913099"/>
    <w:rsid w:val="009130C6"/>
    <w:rsid w:val="0091313E"/>
    <w:rsid w:val="00913207"/>
    <w:rsid w:val="00913250"/>
    <w:rsid w:val="009132AB"/>
    <w:rsid w:val="00913383"/>
    <w:rsid w:val="009133E1"/>
    <w:rsid w:val="0091349B"/>
    <w:rsid w:val="009134A5"/>
    <w:rsid w:val="009134B5"/>
    <w:rsid w:val="00913748"/>
    <w:rsid w:val="0091383F"/>
    <w:rsid w:val="0091387D"/>
    <w:rsid w:val="00913B0B"/>
    <w:rsid w:val="00913B8E"/>
    <w:rsid w:val="00913BE6"/>
    <w:rsid w:val="00913BFD"/>
    <w:rsid w:val="00913EE1"/>
    <w:rsid w:val="00914096"/>
    <w:rsid w:val="009140F8"/>
    <w:rsid w:val="00914171"/>
    <w:rsid w:val="00914230"/>
    <w:rsid w:val="009142CB"/>
    <w:rsid w:val="009143BD"/>
    <w:rsid w:val="009143E6"/>
    <w:rsid w:val="0091441B"/>
    <w:rsid w:val="00914469"/>
    <w:rsid w:val="009144DC"/>
    <w:rsid w:val="009144F6"/>
    <w:rsid w:val="00914559"/>
    <w:rsid w:val="009145A4"/>
    <w:rsid w:val="0091466D"/>
    <w:rsid w:val="0091479C"/>
    <w:rsid w:val="0091483C"/>
    <w:rsid w:val="0091496D"/>
    <w:rsid w:val="00914A40"/>
    <w:rsid w:val="00914BAF"/>
    <w:rsid w:val="00914C3A"/>
    <w:rsid w:val="00914C55"/>
    <w:rsid w:val="00914C6F"/>
    <w:rsid w:val="00914D0B"/>
    <w:rsid w:val="0091511B"/>
    <w:rsid w:val="00915273"/>
    <w:rsid w:val="0091531D"/>
    <w:rsid w:val="0091540F"/>
    <w:rsid w:val="00915413"/>
    <w:rsid w:val="0091547C"/>
    <w:rsid w:val="00915498"/>
    <w:rsid w:val="009154A5"/>
    <w:rsid w:val="009155CB"/>
    <w:rsid w:val="009156A0"/>
    <w:rsid w:val="00915846"/>
    <w:rsid w:val="00915903"/>
    <w:rsid w:val="009159C4"/>
    <w:rsid w:val="00916218"/>
    <w:rsid w:val="009163A7"/>
    <w:rsid w:val="009164F0"/>
    <w:rsid w:val="00916559"/>
    <w:rsid w:val="00916644"/>
    <w:rsid w:val="0091665A"/>
    <w:rsid w:val="00916694"/>
    <w:rsid w:val="009166F4"/>
    <w:rsid w:val="0091674A"/>
    <w:rsid w:val="009167FD"/>
    <w:rsid w:val="00916915"/>
    <w:rsid w:val="0091699C"/>
    <w:rsid w:val="00916ABF"/>
    <w:rsid w:val="00916CA9"/>
    <w:rsid w:val="00916CE4"/>
    <w:rsid w:val="0091710A"/>
    <w:rsid w:val="0091716A"/>
    <w:rsid w:val="00917316"/>
    <w:rsid w:val="00917351"/>
    <w:rsid w:val="0091740F"/>
    <w:rsid w:val="0091742C"/>
    <w:rsid w:val="00917529"/>
    <w:rsid w:val="00917542"/>
    <w:rsid w:val="009176AA"/>
    <w:rsid w:val="00917708"/>
    <w:rsid w:val="00917B77"/>
    <w:rsid w:val="00917CB6"/>
    <w:rsid w:val="00917D59"/>
    <w:rsid w:val="00917F42"/>
    <w:rsid w:val="00920128"/>
    <w:rsid w:val="0092027F"/>
    <w:rsid w:val="009202F4"/>
    <w:rsid w:val="00920553"/>
    <w:rsid w:val="009205E1"/>
    <w:rsid w:val="00920681"/>
    <w:rsid w:val="00920727"/>
    <w:rsid w:val="009208A7"/>
    <w:rsid w:val="00920AC8"/>
    <w:rsid w:val="00920AD6"/>
    <w:rsid w:val="00920CBA"/>
    <w:rsid w:val="00921102"/>
    <w:rsid w:val="00921152"/>
    <w:rsid w:val="00921153"/>
    <w:rsid w:val="00921279"/>
    <w:rsid w:val="00921329"/>
    <w:rsid w:val="00921373"/>
    <w:rsid w:val="00921432"/>
    <w:rsid w:val="0092144F"/>
    <w:rsid w:val="009216B4"/>
    <w:rsid w:val="0092184A"/>
    <w:rsid w:val="009218B1"/>
    <w:rsid w:val="00921917"/>
    <w:rsid w:val="00921975"/>
    <w:rsid w:val="00921977"/>
    <w:rsid w:val="00921ABD"/>
    <w:rsid w:val="009221EF"/>
    <w:rsid w:val="00922263"/>
    <w:rsid w:val="009222A4"/>
    <w:rsid w:val="009222B2"/>
    <w:rsid w:val="009223F8"/>
    <w:rsid w:val="00922496"/>
    <w:rsid w:val="009225F0"/>
    <w:rsid w:val="009226D3"/>
    <w:rsid w:val="00922804"/>
    <w:rsid w:val="0092288F"/>
    <w:rsid w:val="00922993"/>
    <w:rsid w:val="00922A45"/>
    <w:rsid w:val="00922D12"/>
    <w:rsid w:val="00922D28"/>
    <w:rsid w:val="00923016"/>
    <w:rsid w:val="0092301E"/>
    <w:rsid w:val="009232DA"/>
    <w:rsid w:val="00923327"/>
    <w:rsid w:val="009234B2"/>
    <w:rsid w:val="0092353F"/>
    <w:rsid w:val="00923628"/>
    <w:rsid w:val="0092362D"/>
    <w:rsid w:val="009236B0"/>
    <w:rsid w:val="009236BF"/>
    <w:rsid w:val="009236E4"/>
    <w:rsid w:val="00923740"/>
    <w:rsid w:val="0092379E"/>
    <w:rsid w:val="009237C8"/>
    <w:rsid w:val="0092387D"/>
    <w:rsid w:val="0092396B"/>
    <w:rsid w:val="009239D2"/>
    <w:rsid w:val="00923BA2"/>
    <w:rsid w:val="00923ED2"/>
    <w:rsid w:val="0092413F"/>
    <w:rsid w:val="0092446F"/>
    <w:rsid w:val="0092453B"/>
    <w:rsid w:val="00924578"/>
    <w:rsid w:val="00924B2B"/>
    <w:rsid w:val="00924CBF"/>
    <w:rsid w:val="00924EFA"/>
    <w:rsid w:val="00924FB4"/>
    <w:rsid w:val="00925016"/>
    <w:rsid w:val="0092513D"/>
    <w:rsid w:val="0092516A"/>
    <w:rsid w:val="009252CF"/>
    <w:rsid w:val="00925415"/>
    <w:rsid w:val="009254D9"/>
    <w:rsid w:val="00925540"/>
    <w:rsid w:val="009255CA"/>
    <w:rsid w:val="00925645"/>
    <w:rsid w:val="009256A7"/>
    <w:rsid w:val="00925A82"/>
    <w:rsid w:val="00925AC6"/>
    <w:rsid w:val="00926016"/>
    <w:rsid w:val="0092604B"/>
    <w:rsid w:val="00926150"/>
    <w:rsid w:val="0092624F"/>
    <w:rsid w:val="009262B0"/>
    <w:rsid w:val="009263EB"/>
    <w:rsid w:val="0092641B"/>
    <w:rsid w:val="0092648E"/>
    <w:rsid w:val="00926832"/>
    <w:rsid w:val="0092697D"/>
    <w:rsid w:val="00926A04"/>
    <w:rsid w:val="00926B59"/>
    <w:rsid w:val="00926C2E"/>
    <w:rsid w:val="0092719C"/>
    <w:rsid w:val="00927652"/>
    <w:rsid w:val="00927773"/>
    <w:rsid w:val="009278D7"/>
    <w:rsid w:val="00927A9A"/>
    <w:rsid w:val="00927BB5"/>
    <w:rsid w:val="00927E0F"/>
    <w:rsid w:val="00927E18"/>
    <w:rsid w:val="0093008E"/>
    <w:rsid w:val="00930502"/>
    <w:rsid w:val="0093066D"/>
    <w:rsid w:val="00930687"/>
    <w:rsid w:val="009306AD"/>
    <w:rsid w:val="009306B6"/>
    <w:rsid w:val="009307C9"/>
    <w:rsid w:val="009309F2"/>
    <w:rsid w:val="00930AEA"/>
    <w:rsid w:val="00930C2E"/>
    <w:rsid w:val="00930E74"/>
    <w:rsid w:val="00930E7B"/>
    <w:rsid w:val="00930FC9"/>
    <w:rsid w:val="00931030"/>
    <w:rsid w:val="00931081"/>
    <w:rsid w:val="0093129C"/>
    <w:rsid w:val="009312A5"/>
    <w:rsid w:val="009312E0"/>
    <w:rsid w:val="00931385"/>
    <w:rsid w:val="00931389"/>
    <w:rsid w:val="009316D4"/>
    <w:rsid w:val="009317F3"/>
    <w:rsid w:val="00931819"/>
    <w:rsid w:val="0093193A"/>
    <w:rsid w:val="009319FB"/>
    <w:rsid w:val="00931B59"/>
    <w:rsid w:val="00932083"/>
    <w:rsid w:val="00932090"/>
    <w:rsid w:val="0093214E"/>
    <w:rsid w:val="0093220D"/>
    <w:rsid w:val="00932761"/>
    <w:rsid w:val="009328E7"/>
    <w:rsid w:val="00932A92"/>
    <w:rsid w:val="00932B11"/>
    <w:rsid w:val="00932B1E"/>
    <w:rsid w:val="00932E01"/>
    <w:rsid w:val="00932FC6"/>
    <w:rsid w:val="00933082"/>
    <w:rsid w:val="009330B9"/>
    <w:rsid w:val="00933118"/>
    <w:rsid w:val="00933363"/>
    <w:rsid w:val="00933433"/>
    <w:rsid w:val="009334D0"/>
    <w:rsid w:val="0093353D"/>
    <w:rsid w:val="00933687"/>
    <w:rsid w:val="0093384A"/>
    <w:rsid w:val="0093389E"/>
    <w:rsid w:val="00933CC3"/>
    <w:rsid w:val="00933D99"/>
    <w:rsid w:val="00933DBA"/>
    <w:rsid w:val="00933DE1"/>
    <w:rsid w:val="00933E09"/>
    <w:rsid w:val="00933E99"/>
    <w:rsid w:val="00934535"/>
    <w:rsid w:val="009345E5"/>
    <w:rsid w:val="00934722"/>
    <w:rsid w:val="0093492B"/>
    <w:rsid w:val="0093496A"/>
    <w:rsid w:val="009349FA"/>
    <w:rsid w:val="00934C60"/>
    <w:rsid w:val="00934D62"/>
    <w:rsid w:val="00934DB4"/>
    <w:rsid w:val="009350ED"/>
    <w:rsid w:val="00935362"/>
    <w:rsid w:val="00935424"/>
    <w:rsid w:val="00935434"/>
    <w:rsid w:val="00935492"/>
    <w:rsid w:val="00935585"/>
    <w:rsid w:val="009355E4"/>
    <w:rsid w:val="009357F7"/>
    <w:rsid w:val="00935927"/>
    <w:rsid w:val="00935B5D"/>
    <w:rsid w:val="00935C4B"/>
    <w:rsid w:val="00935CAE"/>
    <w:rsid w:val="00936065"/>
    <w:rsid w:val="009360F6"/>
    <w:rsid w:val="0093610A"/>
    <w:rsid w:val="00936148"/>
    <w:rsid w:val="009361D4"/>
    <w:rsid w:val="00936223"/>
    <w:rsid w:val="00936283"/>
    <w:rsid w:val="0093636B"/>
    <w:rsid w:val="00936504"/>
    <w:rsid w:val="009367B9"/>
    <w:rsid w:val="00936C00"/>
    <w:rsid w:val="00936CD5"/>
    <w:rsid w:val="00936D3B"/>
    <w:rsid w:val="00936E01"/>
    <w:rsid w:val="00936E81"/>
    <w:rsid w:val="00936F48"/>
    <w:rsid w:val="00936FF7"/>
    <w:rsid w:val="0093700A"/>
    <w:rsid w:val="0093724A"/>
    <w:rsid w:val="009377BF"/>
    <w:rsid w:val="009378AD"/>
    <w:rsid w:val="009379EF"/>
    <w:rsid w:val="00937D67"/>
    <w:rsid w:val="00937DA7"/>
    <w:rsid w:val="0094000C"/>
    <w:rsid w:val="009400A0"/>
    <w:rsid w:val="00940205"/>
    <w:rsid w:val="00940228"/>
    <w:rsid w:val="009402B9"/>
    <w:rsid w:val="00940330"/>
    <w:rsid w:val="009406B0"/>
    <w:rsid w:val="00940881"/>
    <w:rsid w:val="009409EE"/>
    <w:rsid w:val="00940A13"/>
    <w:rsid w:val="00940AC8"/>
    <w:rsid w:val="00940DB5"/>
    <w:rsid w:val="00940F72"/>
    <w:rsid w:val="0094104B"/>
    <w:rsid w:val="0094117F"/>
    <w:rsid w:val="009412F9"/>
    <w:rsid w:val="00941305"/>
    <w:rsid w:val="00941484"/>
    <w:rsid w:val="009414C7"/>
    <w:rsid w:val="0094163B"/>
    <w:rsid w:val="00941A47"/>
    <w:rsid w:val="00941C3F"/>
    <w:rsid w:val="00941C63"/>
    <w:rsid w:val="009421A0"/>
    <w:rsid w:val="009421B6"/>
    <w:rsid w:val="009421BC"/>
    <w:rsid w:val="00942210"/>
    <w:rsid w:val="009423D0"/>
    <w:rsid w:val="009424DA"/>
    <w:rsid w:val="0094261D"/>
    <w:rsid w:val="0094265E"/>
    <w:rsid w:val="00942666"/>
    <w:rsid w:val="009428B4"/>
    <w:rsid w:val="00942A85"/>
    <w:rsid w:val="00942C08"/>
    <w:rsid w:val="00942D4B"/>
    <w:rsid w:val="00942D9D"/>
    <w:rsid w:val="00942FD8"/>
    <w:rsid w:val="00943000"/>
    <w:rsid w:val="00943015"/>
    <w:rsid w:val="009430B2"/>
    <w:rsid w:val="00943102"/>
    <w:rsid w:val="009432E2"/>
    <w:rsid w:val="0094330E"/>
    <w:rsid w:val="00943373"/>
    <w:rsid w:val="009434B2"/>
    <w:rsid w:val="0094372E"/>
    <w:rsid w:val="00943881"/>
    <w:rsid w:val="00943892"/>
    <w:rsid w:val="009439A8"/>
    <w:rsid w:val="009439F8"/>
    <w:rsid w:val="00943A85"/>
    <w:rsid w:val="00943CDD"/>
    <w:rsid w:val="00943DB7"/>
    <w:rsid w:val="00943F59"/>
    <w:rsid w:val="0094428A"/>
    <w:rsid w:val="0094428E"/>
    <w:rsid w:val="00944609"/>
    <w:rsid w:val="00944820"/>
    <w:rsid w:val="00944843"/>
    <w:rsid w:val="0094493B"/>
    <w:rsid w:val="0094499F"/>
    <w:rsid w:val="009449C0"/>
    <w:rsid w:val="00944D73"/>
    <w:rsid w:val="00945257"/>
    <w:rsid w:val="00945464"/>
    <w:rsid w:val="00945563"/>
    <w:rsid w:val="00945797"/>
    <w:rsid w:val="00945808"/>
    <w:rsid w:val="0094586D"/>
    <w:rsid w:val="00945927"/>
    <w:rsid w:val="0094597B"/>
    <w:rsid w:val="00945A7C"/>
    <w:rsid w:val="00945B01"/>
    <w:rsid w:val="00945C18"/>
    <w:rsid w:val="00945C38"/>
    <w:rsid w:val="00945D04"/>
    <w:rsid w:val="00945D42"/>
    <w:rsid w:val="00945D75"/>
    <w:rsid w:val="00945E53"/>
    <w:rsid w:val="00945F8F"/>
    <w:rsid w:val="00946046"/>
    <w:rsid w:val="00946121"/>
    <w:rsid w:val="009461CF"/>
    <w:rsid w:val="009461E9"/>
    <w:rsid w:val="00946348"/>
    <w:rsid w:val="009463E0"/>
    <w:rsid w:val="00946478"/>
    <w:rsid w:val="0094649D"/>
    <w:rsid w:val="00946534"/>
    <w:rsid w:val="0094658E"/>
    <w:rsid w:val="009467BE"/>
    <w:rsid w:val="00946808"/>
    <w:rsid w:val="00946951"/>
    <w:rsid w:val="009469CA"/>
    <w:rsid w:val="00946C2A"/>
    <w:rsid w:val="00946CEB"/>
    <w:rsid w:val="00946EB8"/>
    <w:rsid w:val="00947174"/>
    <w:rsid w:val="009471FF"/>
    <w:rsid w:val="00947228"/>
    <w:rsid w:val="00947335"/>
    <w:rsid w:val="00947364"/>
    <w:rsid w:val="0094762B"/>
    <w:rsid w:val="009476E2"/>
    <w:rsid w:val="00947890"/>
    <w:rsid w:val="00947952"/>
    <w:rsid w:val="0094798B"/>
    <w:rsid w:val="00947A0E"/>
    <w:rsid w:val="00947AA1"/>
    <w:rsid w:val="00947B9D"/>
    <w:rsid w:val="00947BA1"/>
    <w:rsid w:val="00947C81"/>
    <w:rsid w:val="00947CE6"/>
    <w:rsid w:val="00947CF0"/>
    <w:rsid w:val="00947E16"/>
    <w:rsid w:val="00947EC5"/>
    <w:rsid w:val="00947F8E"/>
    <w:rsid w:val="00950028"/>
    <w:rsid w:val="009503C7"/>
    <w:rsid w:val="00950449"/>
    <w:rsid w:val="0095070D"/>
    <w:rsid w:val="00950A9D"/>
    <w:rsid w:val="00950BB6"/>
    <w:rsid w:val="00950C59"/>
    <w:rsid w:val="00950D4C"/>
    <w:rsid w:val="00950DDD"/>
    <w:rsid w:val="00950F57"/>
    <w:rsid w:val="0095141C"/>
    <w:rsid w:val="0095142F"/>
    <w:rsid w:val="009514FB"/>
    <w:rsid w:val="0095155C"/>
    <w:rsid w:val="00951611"/>
    <w:rsid w:val="0095168C"/>
    <w:rsid w:val="009516DB"/>
    <w:rsid w:val="00951897"/>
    <w:rsid w:val="00951F83"/>
    <w:rsid w:val="00952049"/>
    <w:rsid w:val="0095204F"/>
    <w:rsid w:val="009520E1"/>
    <w:rsid w:val="00952289"/>
    <w:rsid w:val="0095263A"/>
    <w:rsid w:val="00952722"/>
    <w:rsid w:val="0095285C"/>
    <w:rsid w:val="0095292F"/>
    <w:rsid w:val="00952BE4"/>
    <w:rsid w:val="00952C45"/>
    <w:rsid w:val="00952CC0"/>
    <w:rsid w:val="00952ECD"/>
    <w:rsid w:val="00952FAB"/>
    <w:rsid w:val="0095313F"/>
    <w:rsid w:val="0095326F"/>
    <w:rsid w:val="009533B3"/>
    <w:rsid w:val="00953728"/>
    <w:rsid w:val="009537D4"/>
    <w:rsid w:val="00953A6C"/>
    <w:rsid w:val="00953AF5"/>
    <w:rsid w:val="00953B0B"/>
    <w:rsid w:val="00953BF8"/>
    <w:rsid w:val="00953C0E"/>
    <w:rsid w:val="00953C1A"/>
    <w:rsid w:val="00953D91"/>
    <w:rsid w:val="00953E32"/>
    <w:rsid w:val="00953EA4"/>
    <w:rsid w:val="00953EFE"/>
    <w:rsid w:val="00954141"/>
    <w:rsid w:val="0095424B"/>
    <w:rsid w:val="00954305"/>
    <w:rsid w:val="00954328"/>
    <w:rsid w:val="009546DF"/>
    <w:rsid w:val="009546E0"/>
    <w:rsid w:val="009547F7"/>
    <w:rsid w:val="00954845"/>
    <w:rsid w:val="00954A7A"/>
    <w:rsid w:val="00954AEF"/>
    <w:rsid w:val="00954B54"/>
    <w:rsid w:val="00954BC5"/>
    <w:rsid w:val="00954C5D"/>
    <w:rsid w:val="00954D4B"/>
    <w:rsid w:val="00954D9F"/>
    <w:rsid w:val="00954FDE"/>
    <w:rsid w:val="0095503D"/>
    <w:rsid w:val="0095506D"/>
    <w:rsid w:val="009552BA"/>
    <w:rsid w:val="00955308"/>
    <w:rsid w:val="00955421"/>
    <w:rsid w:val="009554FD"/>
    <w:rsid w:val="00955566"/>
    <w:rsid w:val="0095565F"/>
    <w:rsid w:val="009556E7"/>
    <w:rsid w:val="009556EA"/>
    <w:rsid w:val="0095598C"/>
    <w:rsid w:val="009559C8"/>
    <w:rsid w:val="009559EA"/>
    <w:rsid w:val="00955ACD"/>
    <w:rsid w:val="00955BD0"/>
    <w:rsid w:val="00955D0F"/>
    <w:rsid w:val="00955D27"/>
    <w:rsid w:val="00955E1E"/>
    <w:rsid w:val="00955EC9"/>
    <w:rsid w:val="00955FE3"/>
    <w:rsid w:val="009560DF"/>
    <w:rsid w:val="00956247"/>
    <w:rsid w:val="0095636D"/>
    <w:rsid w:val="009563BE"/>
    <w:rsid w:val="00956451"/>
    <w:rsid w:val="0095653C"/>
    <w:rsid w:val="0095658A"/>
    <w:rsid w:val="009566D9"/>
    <w:rsid w:val="009567AB"/>
    <w:rsid w:val="009569E3"/>
    <w:rsid w:val="00956B8B"/>
    <w:rsid w:val="00956D0A"/>
    <w:rsid w:val="00956D29"/>
    <w:rsid w:val="00956D42"/>
    <w:rsid w:val="00956D61"/>
    <w:rsid w:val="00956DC6"/>
    <w:rsid w:val="009570D5"/>
    <w:rsid w:val="00957154"/>
    <w:rsid w:val="009574CD"/>
    <w:rsid w:val="00957876"/>
    <w:rsid w:val="0095796A"/>
    <w:rsid w:val="009579E8"/>
    <w:rsid w:val="00957B17"/>
    <w:rsid w:val="00957B68"/>
    <w:rsid w:val="00957C5A"/>
    <w:rsid w:val="00957C64"/>
    <w:rsid w:val="00957E1D"/>
    <w:rsid w:val="00957F1B"/>
    <w:rsid w:val="00957F4B"/>
    <w:rsid w:val="009600EE"/>
    <w:rsid w:val="00960111"/>
    <w:rsid w:val="00960329"/>
    <w:rsid w:val="009603CF"/>
    <w:rsid w:val="009604F5"/>
    <w:rsid w:val="0096050B"/>
    <w:rsid w:val="0096062F"/>
    <w:rsid w:val="009606A6"/>
    <w:rsid w:val="009606D2"/>
    <w:rsid w:val="00960884"/>
    <w:rsid w:val="009608EA"/>
    <w:rsid w:val="0096090A"/>
    <w:rsid w:val="00960A2A"/>
    <w:rsid w:val="00960C40"/>
    <w:rsid w:val="00960CB9"/>
    <w:rsid w:val="00960F83"/>
    <w:rsid w:val="00960FA5"/>
    <w:rsid w:val="0096107E"/>
    <w:rsid w:val="009611BA"/>
    <w:rsid w:val="00961226"/>
    <w:rsid w:val="009612F5"/>
    <w:rsid w:val="0096154A"/>
    <w:rsid w:val="0096174C"/>
    <w:rsid w:val="009617E7"/>
    <w:rsid w:val="00961843"/>
    <w:rsid w:val="00961863"/>
    <w:rsid w:val="009618C5"/>
    <w:rsid w:val="00961907"/>
    <w:rsid w:val="00961A71"/>
    <w:rsid w:val="00961A93"/>
    <w:rsid w:val="00961B62"/>
    <w:rsid w:val="00961C89"/>
    <w:rsid w:val="00961CC0"/>
    <w:rsid w:val="00961E4F"/>
    <w:rsid w:val="00961FDD"/>
    <w:rsid w:val="0096201D"/>
    <w:rsid w:val="009620C4"/>
    <w:rsid w:val="0096212F"/>
    <w:rsid w:val="00962153"/>
    <w:rsid w:val="009621A1"/>
    <w:rsid w:val="0096229A"/>
    <w:rsid w:val="009622AB"/>
    <w:rsid w:val="009622D0"/>
    <w:rsid w:val="009624B2"/>
    <w:rsid w:val="00962518"/>
    <w:rsid w:val="009625BF"/>
    <w:rsid w:val="009625E4"/>
    <w:rsid w:val="00962603"/>
    <w:rsid w:val="00962615"/>
    <w:rsid w:val="0096284E"/>
    <w:rsid w:val="0096295B"/>
    <w:rsid w:val="00962A86"/>
    <w:rsid w:val="00962AF6"/>
    <w:rsid w:val="00962B6B"/>
    <w:rsid w:val="00962B80"/>
    <w:rsid w:val="00962BD2"/>
    <w:rsid w:val="00962DE5"/>
    <w:rsid w:val="00962DE6"/>
    <w:rsid w:val="00962DEA"/>
    <w:rsid w:val="00962EA7"/>
    <w:rsid w:val="00963186"/>
    <w:rsid w:val="00963211"/>
    <w:rsid w:val="00963233"/>
    <w:rsid w:val="0096328C"/>
    <w:rsid w:val="00963305"/>
    <w:rsid w:val="00963353"/>
    <w:rsid w:val="009635BC"/>
    <w:rsid w:val="00963653"/>
    <w:rsid w:val="00963780"/>
    <w:rsid w:val="0096378A"/>
    <w:rsid w:val="009638D4"/>
    <w:rsid w:val="0096396C"/>
    <w:rsid w:val="009639B7"/>
    <w:rsid w:val="00963A4E"/>
    <w:rsid w:val="00963BB6"/>
    <w:rsid w:val="00963C39"/>
    <w:rsid w:val="00963C6B"/>
    <w:rsid w:val="00963C8A"/>
    <w:rsid w:val="00963CF1"/>
    <w:rsid w:val="00963F50"/>
    <w:rsid w:val="00963F6D"/>
    <w:rsid w:val="00963F8F"/>
    <w:rsid w:val="00964116"/>
    <w:rsid w:val="0096416F"/>
    <w:rsid w:val="0096423F"/>
    <w:rsid w:val="0096458E"/>
    <w:rsid w:val="0096466E"/>
    <w:rsid w:val="009647EC"/>
    <w:rsid w:val="00964C17"/>
    <w:rsid w:val="009650B9"/>
    <w:rsid w:val="009650C9"/>
    <w:rsid w:val="0096514D"/>
    <w:rsid w:val="009651AD"/>
    <w:rsid w:val="00965232"/>
    <w:rsid w:val="00965601"/>
    <w:rsid w:val="0096564B"/>
    <w:rsid w:val="00965679"/>
    <w:rsid w:val="009657CF"/>
    <w:rsid w:val="0096580D"/>
    <w:rsid w:val="0096586E"/>
    <w:rsid w:val="009658E0"/>
    <w:rsid w:val="00965A24"/>
    <w:rsid w:val="00965ADC"/>
    <w:rsid w:val="00965CF3"/>
    <w:rsid w:val="00965E3C"/>
    <w:rsid w:val="00965E7F"/>
    <w:rsid w:val="00965FF0"/>
    <w:rsid w:val="009661B0"/>
    <w:rsid w:val="009661D2"/>
    <w:rsid w:val="009663B3"/>
    <w:rsid w:val="009664A4"/>
    <w:rsid w:val="0096652C"/>
    <w:rsid w:val="00966831"/>
    <w:rsid w:val="009669DD"/>
    <w:rsid w:val="00966AAA"/>
    <w:rsid w:val="00966C3A"/>
    <w:rsid w:val="00966CBB"/>
    <w:rsid w:val="00966E98"/>
    <w:rsid w:val="00966FC7"/>
    <w:rsid w:val="00967043"/>
    <w:rsid w:val="009671D7"/>
    <w:rsid w:val="009673EA"/>
    <w:rsid w:val="009674D2"/>
    <w:rsid w:val="0096752A"/>
    <w:rsid w:val="0096775A"/>
    <w:rsid w:val="009677B5"/>
    <w:rsid w:val="009677C8"/>
    <w:rsid w:val="0096786A"/>
    <w:rsid w:val="009679F7"/>
    <w:rsid w:val="00967B19"/>
    <w:rsid w:val="00967B59"/>
    <w:rsid w:val="00967C05"/>
    <w:rsid w:val="00967C82"/>
    <w:rsid w:val="00967D18"/>
    <w:rsid w:val="00967D4B"/>
    <w:rsid w:val="00967E74"/>
    <w:rsid w:val="00967F90"/>
    <w:rsid w:val="009700AD"/>
    <w:rsid w:val="009701D7"/>
    <w:rsid w:val="0097021D"/>
    <w:rsid w:val="00970260"/>
    <w:rsid w:val="0097032B"/>
    <w:rsid w:val="00970368"/>
    <w:rsid w:val="00970502"/>
    <w:rsid w:val="0097053E"/>
    <w:rsid w:val="009705C5"/>
    <w:rsid w:val="009705C8"/>
    <w:rsid w:val="0097061B"/>
    <w:rsid w:val="009706B3"/>
    <w:rsid w:val="009706C2"/>
    <w:rsid w:val="0097086F"/>
    <w:rsid w:val="00970957"/>
    <w:rsid w:val="00970A0E"/>
    <w:rsid w:val="00970AB6"/>
    <w:rsid w:val="00970B09"/>
    <w:rsid w:val="00970B87"/>
    <w:rsid w:val="00970CD1"/>
    <w:rsid w:val="00970E92"/>
    <w:rsid w:val="00971056"/>
    <w:rsid w:val="00971179"/>
    <w:rsid w:val="00971502"/>
    <w:rsid w:val="00971529"/>
    <w:rsid w:val="009716AB"/>
    <w:rsid w:val="0097189C"/>
    <w:rsid w:val="009718E6"/>
    <w:rsid w:val="0097190E"/>
    <w:rsid w:val="00971A16"/>
    <w:rsid w:val="00971ABD"/>
    <w:rsid w:val="00971C82"/>
    <w:rsid w:val="00971C94"/>
    <w:rsid w:val="00971DE3"/>
    <w:rsid w:val="00971E09"/>
    <w:rsid w:val="00971EBD"/>
    <w:rsid w:val="00971F1B"/>
    <w:rsid w:val="00971FB7"/>
    <w:rsid w:val="00972107"/>
    <w:rsid w:val="009722D4"/>
    <w:rsid w:val="0097244C"/>
    <w:rsid w:val="009724A2"/>
    <w:rsid w:val="009724FD"/>
    <w:rsid w:val="009725DD"/>
    <w:rsid w:val="009726EF"/>
    <w:rsid w:val="00972803"/>
    <w:rsid w:val="0097281C"/>
    <w:rsid w:val="0097281E"/>
    <w:rsid w:val="0097287B"/>
    <w:rsid w:val="00972895"/>
    <w:rsid w:val="00972977"/>
    <w:rsid w:val="00972AD7"/>
    <w:rsid w:val="00972B3F"/>
    <w:rsid w:val="00972D48"/>
    <w:rsid w:val="009731FF"/>
    <w:rsid w:val="0097329B"/>
    <w:rsid w:val="00973523"/>
    <w:rsid w:val="00973524"/>
    <w:rsid w:val="009737A5"/>
    <w:rsid w:val="00973B12"/>
    <w:rsid w:val="00973BD7"/>
    <w:rsid w:val="00973C5B"/>
    <w:rsid w:val="00973C5D"/>
    <w:rsid w:val="00973D20"/>
    <w:rsid w:val="00973DED"/>
    <w:rsid w:val="00973E3B"/>
    <w:rsid w:val="00974117"/>
    <w:rsid w:val="00974149"/>
    <w:rsid w:val="00974322"/>
    <w:rsid w:val="00974376"/>
    <w:rsid w:val="0097448E"/>
    <w:rsid w:val="009747E9"/>
    <w:rsid w:val="00974878"/>
    <w:rsid w:val="00974A60"/>
    <w:rsid w:val="00974D1E"/>
    <w:rsid w:val="00974D6C"/>
    <w:rsid w:val="00974DBD"/>
    <w:rsid w:val="00974F1C"/>
    <w:rsid w:val="009750ED"/>
    <w:rsid w:val="00975221"/>
    <w:rsid w:val="00975246"/>
    <w:rsid w:val="0097528F"/>
    <w:rsid w:val="0097533A"/>
    <w:rsid w:val="009753C9"/>
    <w:rsid w:val="009754C5"/>
    <w:rsid w:val="00975757"/>
    <w:rsid w:val="009759FD"/>
    <w:rsid w:val="00975A5C"/>
    <w:rsid w:val="00975B19"/>
    <w:rsid w:val="00975C42"/>
    <w:rsid w:val="00975C9A"/>
    <w:rsid w:val="00975E74"/>
    <w:rsid w:val="00975FAC"/>
    <w:rsid w:val="00976370"/>
    <w:rsid w:val="00976689"/>
    <w:rsid w:val="0097688C"/>
    <w:rsid w:val="00976A69"/>
    <w:rsid w:val="00976C11"/>
    <w:rsid w:val="00976D03"/>
    <w:rsid w:val="00976E89"/>
    <w:rsid w:val="00976EF6"/>
    <w:rsid w:val="00976F42"/>
    <w:rsid w:val="00977158"/>
    <w:rsid w:val="009772BD"/>
    <w:rsid w:val="00977362"/>
    <w:rsid w:val="00977579"/>
    <w:rsid w:val="009779A2"/>
    <w:rsid w:val="00977BDA"/>
    <w:rsid w:val="00977CCC"/>
    <w:rsid w:val="00977D71"/>
    <w:rsid w:val="00977F09"/>
    <w:rsid w:val="0098018A"/>
    <w:rsid w:val="0098022D"/>
    <w:rsid w:val="00980276"/>
    <w:rsid w:val="009803E7"/>
    <w:rsid w:val="00980535"/>
    <w:rsid w:val="009808D8"/>
    <w:rsid w:val="0098092B"/>
    <w:rsid w:val="00980ACD"/>
    <w:rsid w:val="00980B30"/>
    <w:rsid w:val="00980BA1"/>
    <w:rsid w:val="00980EE7"/>
    <w:rsid w:val="00980F08"/>
    <w:rsid w:val="00981026"/>
    <w:rsid w:val="00981118"/>
    <w:rsid w:val="00981123"/>
    <w:rsid w:val="00981144"/>
    <w:rsid w:val="0098118B"/>
    <w:rsid w:val="0098123C"/>
    <w:rsid w:val="009812B6"/>
    <w:rsid w:val="0098130F"/>
    <w:rsid w:val="00981332"/>
    <w:rsid w:val="00981400"/>
    <w:rsid w:val="0098141A"/>
    <w:rsid w:val="00981560"/>
    <w:rsid w:val="0098169F"/>
    <w:rsid w:val="0098172B"/>
    <w:rsid w:val="009817C3"/>
    <w:rsid w:val="009817D1"/>
    <w:rsid w:val="009818EF"/>
    <w:rsid w:val="00981949"/>
    <w:rsid w:val="00981A17"/>
    <w:rsid w:val="00981B70"/>
    <w:rsid w:val="00981C5B"/>
    <w:rsid w:val="00981E64"/>
    <w:rsid w:val="009822C7"/>
    <w:rsid w:val="009823E7"/>
    <w:rsid w:val="009823FB"/>
    <w:rsid w:val="009824C7"/>
    <w:rsid w:val="009825AA"/>
    <w:rsid w:val="009826A9"/>
    <w:rsid w:val="00982A43"/>
    <w:rsid w:val="00982A5A"/>
    <w:rsid w:val="00982A6B"/>
    <w:rsid w:val="00982B6B"/>
    <w:rsid w:val="00982F6B"/>
    <w:rsid w:val="00983108"/>
    <w:rsid w:val="00983177"/>
    <w:rsid w:val="0098318E"/>
    <w:rsid w:val="009831F8"/>
    <w:rsid w:val="009834B0"/>
    <w:rsid w:val="00983502"/>
    <w:rsid w:val="00983755"/>
    <w:rsid w:val="0098393F"/>
    <w:rsid w:val="00983BAA"/>
    <w:rsid w:val="0098436A"/>
    <w:rsid w:val="0098446E"/>
    <w:rsid w:val="0098455A"/>
    <w:rsid w:val="0098458E"/>
    <w:rsid w:val="0098475B"/>
    <w:rsid w:val="00984A27"/>
    <w:rsid w:val="00984A2C"/>
    <w:rsid w:val="00984A45"/>
    <w:rsid w:val="00984A5D"/>
    <w:rsid w:val="00984BB8"/>
    <w:rsid w:val="00984BE0"/>
    <w:rsid w:val="00984C3C"/>
    <w:rsid w:val="00984CF7"/>
    <w:rsid w:val="00984D36"/>
    <w:rsid w:val="00984E7F"/>
    <w:rsid w:val="00984E89"/>
    <w:rsid w:val="00984EB4"/>
    <w:rsid w:val="00985006"/>
    <w:rsid w:val="00985128"/>
    <w:rsid w:val="00985216"/>
    <w:rsid w:val="00985246"/>
    <w:rsid w:val="009852B1"/>
    <w:rsid w:val="009852D9"/>
    <w:rsid w:val="0098538A"/>
    <w:rsid w:val="00985508"/>
    <w:rsid w:val="009856A7"/>
    <w:rsid w:val="0098574C"/>
    <w:rsid w:val="009857FB"/>
    <w:rsid w:val="00985922"/>
    <w:rsid w:val="009859D7"/>
    <w:rsid w:val="00985ADE"/>
    <w:rsid w:val="00985AED"/>
    <w:rsid w:val="00985B2E"/>
    <w:rsid w:val="00985C33"/>
    <w:rsid w:val="00985DDD"/>
    <w:rsid w:val="00985DEF"/>
    <w:rsid w:val="00985EE6"/>
    <w:rsid w:val="00985F97"/>
    <w:rsid w:val="00985FEE"/>
    <w:rsid w:val="009862CD"/>
    <w:rsid w:val="00986582"/>
    <w:rsid w:val="00986637"/>
    <w:rsid w:val="009867B3"/>
    <w:rsid w:val="00986835"/>
    <w:rsid w:val="00986887"/>
    <w:rsid w:val="00986991"/>
    <w:rsid w:val="009869AC"/>
    <w:rsid w:val="00986A9F"/>
    <w:rsid w:val="00986C25"/>
    <w:rsid w:val="00986D12"/>
    <w:rsid w:val="00986D77"/>
    <w:rsid w:val="00986FCB"/>
    <w:rsid w:val="00987051"/>
    <w:rsid w:val="0098729B"/>
    <w:rsid w:val="00987479"/>
    <w:rsid w:val="0098747E"/>
    <w:rsid w:val="00987493"/>
    <w:rsid w:val="0098767C"/>
    <w:rsid w:val="009876B2"/>
    <w:rsid w:val="009877A3"/>
    <w:rsid w:val="009877AA"/>
    <w:rsid w:val="00987878"/>
    <w:rsid w:val="009879EB"/>
    <w:rsid w:val="00987A24"/>
    <w:rsid w:val="00987A8A"/>
    <w:rsid w:val="00987AD6"/>
    <w:rsid w:val="00987B3B"/>
    <w:rsid w:val="00987BB0"/>
    <w:rsid w:val="00987BC2"/>
    <w:rsid w:val="00987D69"/>
    <w:rsid w:val="00987D9B"/>
    <w:rsid w:val="00987DA6"/>
    <w:rsid w:val="00987E4F"/>
    <w:rsid w:val="00987E74"/>
    <w:rsid w:val="00987EC9"/>
    <w:rsid w:val="00987F00"/>
    <w:rsid w:val="00987F0B"/>
    <w:rsid w:val="00987F16"/>
    <w:rsid w:val="00987F5F"/>
    <w:rsid w:val="00990024"/>
    <w:rsid w:val="00990195"/>
    <w:rsid w:val="0099031D"/>
    <w:rsid w:val="0099034B"/>
    <w:rsid w:val="00990447"/>
    <w:rsid w:val="009907F8"/>
    <w:rsid w:val="00990856"/>
    <w:rsid w:val="00990B2E"/>
    <w:rsid w:val="00990C06"/>
    <w:rsid w:val="00990C2D"/>
    <w:rsid w:val="00990CA9"/>
    <w:rsid w:val="00990F9A"/>
    <w:rsid w:val="00991010"/>
    <w:rsid w:val="00991117"/>
    <w:rsid w:val="009911F3"/>
    <w:rsid w:val="0099122F"/>
    <w:rsid w:val="00991245"/>
    <w:rsid w:val="009915CE"/>
    <w:rsid w:val="009917E1"/>
    <w:rsid w:val="0099188A"/>
    <w:rsid w:val="00991A5B"/>
    <w:rsid w:val="00991B8C"/>
    <w:rsid w:val="00991C46"/>
    <w:rsid w:val="00991CBD"/>
    <w:rsid w:val="00991D1E"/>
    <w:rsid w:val="00991E6C"/>
    <w:rsid w:val="00991F75"/>
    <w:rsid w:val="00991FD1"/>
    <w:rsid w:val="00991FFA"/>
    <w:rsid w:val="00992167"/>
    <w:rsid w:val="00992168"/>
    <w:rsid w:val="009921DD"/>
    <w:rsid w:val="00992240"/>
    <w:rsid w:val="009922A1"/>
    <w:rsid w:val="0099236E"/>
    <w:rsid w:val="0099240B"/>
    <w:rsid w:val="00992484"/>
    <w:rsid w:val="009924A1"/>
    <w:rsid w:val="00992619"/>
    <w:rsid w:val="0099278E"/>
    <w:rsid w:val="00992814"/>
    <w:rsid w:val="0099290E"/>
    <w:rsid w:val="00992944"/>
    <w:rsid w:val="00992986"/>
    <w:rsid w:val="00992D4F"/>
    <w:rsid w:val="00992D50"/>
    <w:rsid w:val="009931A6"/>
    <w:rsid w:val="009932B5"/>
    <w:rsid w:val="0099352A"/>
    <w:rsid w:val="009935D4"/>
    <w:rsid w:val="00993676"/>
    <w:rsid w:val="0099384C"/>
    <w:rsid w:val="0099387B"/>
    <w:rsid w:val="009938BB"/>
    <w:rsid w:val="009938CA"/>
    <w:rsid w:val="009939A0"/>
    <w:rsid w:val="00993B00"/>
    <w:rsid w:val="00993D09"/>
    <w:rsid w:val="00993F52"/>
    <w:rsid w:val="00993F7F"/>
    <w:rsid w:val="0099407E"/>
    <w:rsid w:val="00994134"/>
    <w:rsid w:val="009941C2"/>
    <w:rsid w:val="009944EC"/>
    <w:rsid w:val="00994530"/>
    <w:rsid w:val="00994899"/>
    <w:rsid w:val="009948BF"/>
    <w:rsid w:val="009948FC"/>
    <w:rsid w:val="00994988"/>
    <w:rsid w:val="00994CA5"/>
    <w:rsid w:val="00994D88"/>
    <w:rsid w:val="00994D8D"/>
    <w:rsid w:val="00994E40"/>
    <w:rsid w:val="00994F62"/>
    <w:rsid w:val="00994F92"/>
    <w:rsid w:val="00995167"/>
    <w:rsid w:val="0099531D"/>
    <w:rsid w:val="00995431"/>
    <w:rsid w:val="00995532"/>
    <w:rsid w:val="00995666"/>
    <w:rsid w:val="009956F6"/>
    <w:rsid w:val="009958A4"/>
    <w:rsid w:val="00995926"/>
    <w:rsid w:val="00995944"/>
    <w:rsid w:val="00995C19"/>
    <w:rsid w:val="009961B7"/>
    <w:rsid w:val="009961C1"/>
    <w:rsid w:val="0099636C"/>
    <w:rsid w:val="00996391"/>
    <w:rsid w:val="0099648B"/>
    <w:rsid w:val="00996646"/>
    <w:rsid w:val="0099668E"/>
    <w:rsid w:val="00996762"/>
    <w:rsid w:val="00996B9D"/>
    <w:rsid w:val="00996BDE"/>
    <w:rsid w:val="00996CC5"/>
    <w:rsid w:val="00996FD9"/>
    <w:rsid w:val="009970A9"/>
    <w:rsid w:val="009974F5"/>
    <w:rsid w:val="009975C2"/>
    <w:rsid w:val="009976FA"/>
    <w:rsid w:val="0099775F"/>
    <w:rsid w:val="0099790B"/>
    <w:rsid w:val="00997917"/>
    <w:rsid w:val="00997AED"/>
    <w:rsid w:val="00997B54"/>
    <w:rsid w:val="00997BC1"/>
    <w:rsid w:val="00997D0B"/>
    <w:rsid w:val="00997DFB"/>
    <w:rsid w:val="00997F4F"/>
    <w:rsid w:val="009A0242"/>
    <w:rsid w:val="009A04A8"/>
    <w:rsid w:val="009A0856"/>
    <w:rsid w:val="009A0910"/>
    <w:rsid w:val="009A09DD"/>
    <w:rsid w:val="009A0A2C"/>
    <w:rsid w:val="009A0B84"/>
    <w:rsid w:val="009A0BFA"/>
    <w:rsid w:val="009A0C23"/>
    <w:rsid w:val="009A0C6B"/>
    <w:rsid w:val="009A0CFE"/>
    <w:rsid w:val="009A105B"/>
    <w:rsid w:val="009A1458"/>
    <w:rsid w:val="009A1549"/>
    <w:rsid w:val="009A16E8"/>
    <w:rsid w:val="009A1737"/>
    <w:rsid w:val="009A1779"/>
    <w:rsid w:val="009A192A"/>
    <w:rsid w:val="009A1A41"/>
    <w:rsid w:val="009A1ABC"/>
    <w:rsid w:val="009A1D88"/>
    <w:rsid w:val="009A1DBB"/>
    <w:rsid w:val="009A1EA0"/>
    <w:rsid w:val="009A1EB3"/>
    <w:rsid w:val="009A1EDC"/>
    <w:rsid w:val="009A1F20"/>
    <w:rsid w:val="009A203B"/>
    <w:rsid w:val="009A2127"/>
    <w:rsid w:val="009A21D5"/>
    <w:rsid w:val="009A21E7"/>
    <w:rsid w:val="009A2237"/>
    <w:rsid w:val="009A2360"/>
    <w:rsid w:val="009A2400"/>
    <w:rsid w:val="009A2479"/>
    <w:rsid w:val="009A2518"/>
    <w:rsid w:val="009A26F0"/>
    <w:rsid w:val="009A27C8"/>
    <w:rsid w:val="009A2C59"/>
    <w:rsid w:val="009A2DA2"/>
    <w:rsid w:val="009A2E62"/>
    <w:rsid w:val="009A2F28"/>
    <w:rsid w:val="009A2F6E"/>
    <w:rsid w:val="009A3014"/>
    <w:rsid w:val="009A3172"/>
    <w:rsid w:val="009A31D8"/>
    <w:rsid w:val="009A320B"/>
    <w:rsid w:val="009A3247"/>
    <w:rsid w:val="009A36A9"/>
    <w:rsid w:val="009A3BBC"/>
    <w:rsid w:val="009A3C7C"/>
    <w:rsid w:val="009A3EAC"/>
    <w:rsid w:val="009A4174"/>
    <w:rsid w:val="009A41BF"/>
    <w:rsid w:val="009A434F"/>
    <w:rsid w:val="009A440E"/>
    <w:rsid w:val="009A442A"/>
    <w:rsid w:val="009A4635"/>
    <w:rsid w:val="009A46C3"/>
    <w:rsid w:val="009A46C8"/>
    <w:rsid w:val="009A47C9"/>
    <w:rsid w:val="009A485E"/>
    <w:rsid w:val="009A492A"/>
    <w:rsid w:val="009A4B6F"/>
    <w:rsid w:val="009A4BB4"/>
    <w:rsid w:val="009A4BB9"/>
    <w:rsid w:val="009A4E09"/>
    <w:rsid w:val="009A4F1D"/>
    <w:rsid w:val="009A5275"/>
    <w:rsid w:val="009A552D"/>
    <w:rsid w:val="009A5653"/>
    <w:rsid w:val="009A578B"/>
    <w:rsid w:val="009A5827"/>
    <w:rsid w:val="009A5D4A"/>
    <w:rsid w:val="009A5E1E"/>
    <w:rsid w:val="009A5FC3"/>
    <w:rsid w:val="009A61A4"/>
    <w:rsid w:val="009A61E0"/>
    <w:rsid w:val="009A62D1"/>
    <w:rsid w:val="009A64B2"/>
    <w:rsid w:val="009A6518"/>
    <w:rsid w:val="009A6580"/>
    <w:rsid w:val="009A6784"/>
    <w:rsid w:val="009A6795"/>
    <w:rsid w:val="009A6A1D"/>
    <w:rsid w:val="009A6B35"/>
    <w:rsid w:val="009A6B4E"/>
    <w:rsid w:val="009A6CDF"/>
    <w:rsid w:val="009A6DE1"/>
    <w:rsid w:val="009A6E87"/>
    <w:rsid w:val="009A6F60"/>
    <w:rsid w:val="009A7023"/>
    <w:rsid w:val="009A7255"/>
    <w:rsid w:val="009A7546"/>
    <w:rsid w:val="009A7572"/>
    <w:rsid w:val="009A768E"/>
    <w:rsid w:val="009A76C0"/>
    <w:rsid w:val="009A7C21"/>
    <w:rsid w:val="009A7C32"/>
    <w:rsid w:val="009A7FF3"/>
    <w:rsid w:val="009B00A2"/>
    <w:rsid w:val="009B00E7"/>
    <w:rsid w:val="009B012B"/>
    <w:rsid w:val="009B0237"/>
    <w:rsid w:val="009B03AE"/>
    <w:rsid w:val="009B0426"/>
    <w:rsid w:val="009B04A6"/>
    <w:rsid w:val="009B061F"/>
    <w:rsid w:val="009B065F"/>
    <w:rsid w:val="009B0752"/>
    <w:rsid w:val="009B079E"/>
    <w:rsid w:val="009B080F"/>
    <w:rsid w:val="009B0861"/>
    <w:rsid w:val="009B091E"/>
    <w:rsid w:val="009B09B8"/>
    <w:rsid w:val="009B09F5"/>
    <w:rsid w:val="009B0A1C"/>
    <w:rsid w:val="009B0A72"/>
    <w:rsid w:val="009B0ADE"/>
    <w:rsid w:val="009B0B5F"/>
    <w:rsid w:val="009B0BC1"/>
    <w:rsid w:val="009B0C73"/>
    <w:rsid w:val="009B0DA8"/>
    <w:rsid w:val="009B0E2D"/>
    <w:rsid w:val="009B0E4D"/>
    <w:rsid w:val="009B0EBE"/>
    <w:rsid w:val="009B0F79"/>
    <w:rsid w:val="009B10AB"/>
    <w:rsid w:val="009B1403"/>
    <w:rsid w:val="009B1424"/>
    <w:rsid w:val="009B177A"/>
    <w:rsid w:val="009B1986"/>
    <w:rsid w:val="009B199E"/>
    <w:rsid w:val="009B19DE"/>
    <w:rsid w:val="009B1C22"/>
    <w:rsid w:val="009B1E2C"/>
    <w:rsid w:val="009B1F40"/>
    <w:rsid w:val="009B1FE4"/>
    <w:rsid w:val="009B23F8"/>
    <w:rsid w:val="009B24B4"/>
    <w:rsid w:val="009B2504"/>
    <w:rsid w:val="009B257F"/>
    <w:rsid w:val="009B26F9"/>
    <w:rsid w:val="009B27F0"/>
    <w:rsid w:val="009B2848"/>
    <w:rsid w:val="009B2BAD"/>
    <w:rsid w:val="009B2E93"/>
    <w:rsid w:val="009B2EEC"/>
    <w:rsid w:val="009B31C7"/>
    <w:rsid w:val="009B347D"/>
    <w:rsid w:val="009B34F2"/>
    <w:rsid w:val="009B3697"/>
    <w:rsid w:val="009B376A"/>
    <w:rsid w:val="009B383C"/>
    <w:rsid w:val="009B388E"/>
    <w:rsid w:val="009B391B"/>
    <w:rsid w:val="009B399C"/>
    <w:rsid w:val="009B3BC7"/>
    <w:rsid w:val="009B3C4E"/>
    <w:rsid w:val="009B3DE9"/>
    <w:rsid w:val="009B3ECE"/>
    <w:rsid w:val="009B3F04"/>
    <w:rsid w:val="009B4095"/>
    <w:rsid w:val="009B40DE"/>
    <w:rsid w:val="009B41B8"/>
    <w:rsid w:val="009B4220"/>
    <w:rsid w:val="009B4225"/>
    <w:rsid w:val="009B439A"/>
    <w:rsid w:val="009B43D4"/>
    <w:rsid w:val="009B454A"/>
    <w:rsid w:val="009B45C4"/>
    <w:rsid w:val="009B4720"/>
    <w:rsid w:val="009B476D"/>
    <w:rsid w:val="009B47F3"/>
    <w:rsid w:val="009B4866"/>
    <w:rsid w:val="009B48B2"/>
    <w:rsid w:val="009B49CE"/>
    <w:rsid w:val="009B4A77"/>
    <w:rsid w:val="009B4B7D"/>
    <w:rsid w:val="009B4BD6"/>
    <w:rsid w:val="009B4CA4"/>
    <w:rsid w:val="009B4D37"/>
    <w:rsid w:val="009B5084"/>
    <w:rsid w:val="009B518C"/>
    <w:rsid w:val="009B531A"/>
    <w:rsid w:val="009B5783"/>
    <w:rsid w:val="009B5C10"/>
    <w:rsid w:val="009B5E69"/>
    <w:rsid w:val="009B5EBC"/>
    <w:rsid w:val="009B5F7E"/>
    <w:rsid w:val="009B601E"/>
    <w:rsid w:val="009B607D"/>
    <w:rsid w:val="009B6227"/>
    <w:rsid w:val="009B62CC"/>
    <w:rsid w:val="009B63B4"/>
    <w:rsid w:val="009B6498"/>
    <w:rsid w:val="009B668D"/>
    <w:rsid w:val="009B6838"/>
    <w:rsid w:val="009B68A2"/>
    <w:rsid w:val="009B6AFD"/>
    <w:rsid w:val="009B6C1A"/>
    <w:rsid w:val="009B6CC8"/>
    <w:rsid w:val="009B6DBB"/>
    <w:rsid w:val="009B6FE2"/>
    <w:rsid w:val="009B70AC"/>
    <w:rsid w:val="009B713F"/>
    <w:rsid w:val="009B714B"/>
    <w:rsid w:val="009B7292"/>
    <w:rsid w:val="009B7356"/>
    <w:rsid w:val="009B7378"/>
    <w:rsid w:val="009B7396"/>
    <w:rsid w:val="009B7479"/>
    <w:rsid w:val="009B7504"/>
    <w:rsid w:val="009B7633"/>
    <w:rsid w:val="009B7719"/>
    <w:rsid w:val="009B77A5"/>
    <w:rsid w:val="009B785F"/>
    <w:rsid w:val="009B7892"/>
    <w:rsid w:val="009B7974"/>
    <w:rsid w:val="009B7A60"/>
    <w:rsid w:val="009B7C8B"/>
    <w:rsid w:val="009B7E52"/>
    <w:rsid w:val="009B7FF2"/>
    <w:rsid w:val="009BF083"/>
    <w:rsid w:val="009C03E4"/>
    <w:rsid w:val="009C05AD"/>
    <w:rsid w:val="009C0798"/>
    <w:rsid w:val="009C088B"/>
    <w:rsid w:val="009C09A9"/>
    <w:rsid w:val="009C0A22"/>
    <w:rsid w:val="009C0A40"/>
    <w:rsid w:val="009C0A8B"/>
    <w:rsid w:val="009C0C75"/>
    <w:rsid w:val="009C0C7A"/>
    <w:rsid w:val="009C0D0C"/>
    <w:rsid w:val="009C0DF8"/>
    <w:rsid w:val="009C0F1D"/>
    <w:rsid w:val="009C0F7B"/>
    <w:rsid w:val="009C0FD1"/>
    <w:rsid w:val="009C11DA"/>
    <w:rsid w:val="009C11FC"/>
    <w:rsid w:val="009C14B0"/>
    <w:rsid w:val="009C14F7"/>
    <w:rsid w:val="009C1553"/>
    <w:rsid w:val="009C15CC"/>
    <w:rsid w:val="009C17C6"/>
    <w:rsid w:val="009C1819"/>
    <w:rsid w:val="009C1A19"/>
    <w:rsid w:val="009C1D99"/>
    <w:rsid w:val="009C1DD6"/>
    <w:rsid w:val="009C1E1F"/>
    <w:rsid w:val="009C1E7D"/>
    <w:rsid w:val="009C1EA6"/>
    <w:rsid w:val="009C2120"/>
    <w:rsid w:val="009C21BF"/>
    <w:rsid w:val="009C21C4"/>
    <w:rsid w:val="009C2215"/>
    <w:rsid w:val="009C2239"/>
    <w:rsid w:val="009C23C0"/>
    <w:rsid w:val="009C2494"/>
    <w:rsid w:val="009C24EA"/>
    <w:rsid w:val="009C256E"/>
    <w:rsid w:val="009C258E"/>
    <w:rsid w:val="009C25AB"/>
    <w:rsid w:val="009C279B"/>
    <w:rsid w:val="009C294A"/>
    <w:rsid w:val="009C2B14"/>
    <w:rsid w:val="009C2B17"/>
    <w:rsid w:val="009C2B4F"/>
    <w:rsid w:val="009C2C75"/>
    <w:rsid w:val="009C2D27"/>
    <w:rsid w:val="009C2E72"/>
    <w:rsid w:val="009C2E9B"/>
    <w:rsid w:val="009C2EC3"/>
    <w:rsid w:val="009C2FB0"/>
    <w:rsid w:val="009C3053"/>
    <w:rsid w:val="009C318C"/>
    <w:rsid w:val="009C3201"/>
    <w:rsid w:val="009C3571"/>
    <w:rsid w:val="009C3615"/>
    <w:rsid w:val="009C36CF"/>
    <w:rsid w:val="009C3784"/>
    <w:rsid w:val="009C3790"/>
    <w:rsid w:val="009C39CE"/>
    <w:rsid w:val="009C3A40"/>
    <w:rsid w:val="009C3A5F"/>
    <w:rsid w:val="009C3A6C"/>
    <w:rsid w:val="009C3AEF"/>
    <w:rsid w:val="009C3BF0"/>
    <w:rsid w:val="009C3C45"/>
    <w:rsid w:val="009C3CB2"/>
    <w:rsid w:val="009C3DF8"/>
    <w:rsid w:val="009C3E99"/>
    <w:rsid w:val="009C4080"/>
    <w:rsid w:val="009C4372"/>
    <w:rsid w:val="009C4415"/>
    <w:rsid w:val="009C44CC"/>
    <w:rsid w:val="009C44E3"/>
    <w:rsid w:val="009C44F6"/>
    <w:rsid w:val="009C4550"/>
    <w:rsid w:val="009C4689"/>
    <w:rsid w:val="009C4975"/>
    <w:rsid w:val="009C4994"/>
    <w:rsid w:val="009C499D"/>
    <w:rsid w:val="009C499E"/>
    <w:rsid w:val="009C49BD"/>
    <w:rsid w:val="009C4ADF"/>
    <w:rsid w:val="009C4B65"/>
    <w:rsid w:val="009C4C2E"/>
    <w:rsid w:val="009C4C56"/>
    <w:rsid w:val="009C4D49"/>
    <w:rsid w:val="009C4FBC"/>
    <w:rsid w:val="009C529D"/>
    <w:rsid w:val="009C54CA"/>
    <w:rsid w:val="009C55B7"/>
    <w:rsid w:val="009C5716"/>
    <w:rsid w:val="009C5753"/>
    <w:rsid w:val="009C58F9"/>
    <w:rsid w:val="009C595B"/>
    <w:rsid w:val="009C5A18"/>
    <w:rsid w:val="009C5A26"/>
    <w:rsid w:val="009C5BAF"/>
    <w:rsid w:val="009C5EEF"/>
    <w:rsid w:val="009C6076"/>
    <w:rsid w:val="009C60E8"/>
    <w:rsid w:val="009C6173"/>
    <w:rsid w:val="009C620D"/>
    <w:rsid w:val="009C629F"/>
    <w:rsid w:val="009C63EA"/>
    <w:rsid w:val="009C648F"/>
    <w:rsid w:val="009C66F8"/>
    <w:rsid w:val="009C67F6"/>
    <w:rsid w:val="009C68C1"/>
    <w:rsid w:val="009C68EA"/>
    <w:rsid w:val="009C6C37"/>
    <w:rsid w:val="009C6CEA"/>
    <w:rsid w:val="009C6F2F"/>
    <w:rsid w:val="009C7116"/>
    <w:rsid w:val="009C720E"/>
    <w:rsid w:val="009C7400"/>
    <w:rsid w:val="009C759B"/>
    <w:rsid w:val="009C759C"/>
    <w:rsid w:val="009C76DC"/>
    <w:rsid w:val="009C7769"/>
    <w:rsid w:val="009C7890"/>
    <w:rsid w:val="009C7920"/>
    <w:rsid w:val="009C7966"/>
    <w:rsid w:val="009C7990"/>
    <w:rsid w:val="009C79F5"/>
    <w:rsid w:val="009C7B5A"/>
    <w:rsid w:val="009C7B7B"/>
    <w:rsid w:val="009C7BA6"/>
    <w:rsid w:val="009C7D52"/>
    <w:rsid w:val="009C93CA"/>
    <w:rsid w:val="009D0200"/>
    <w:rsid w:val="009D0291"/>
    <w:rsid w:val="009D0302"/>
    <w:rsid w:val="009D0421"/>
    <w:rsid w:val="009D059F"/>
    <w:rsid w:val="009D05EC"/>
    <w:rsid w:val="009D0924"/>
    <w:rsid w:val="009D09E0"/>
    <w:rsid w:val="009D1026"/>
    <w:rsid w:val="009D1175"/>
    <w:rsid w:val="009D11ED"/>
    <w:rsid w:val="009D132B"/>
    <w:rsid w:val="009D1435"/>
    <w:rsid w:val="009D143E"/>
    <w:rsid w:val="009D15AC"/>
    <w:rsid w:val="009D1A25"/>
    <w:rsid w:val="009D1ACB"/>
    <w:rsid w:val="009D1C0B"/>
    <w:rsid w:val="009D1C16"/>
    <w:rsid w:val="009D1FDA"/>
    <w:rsid w:val="009D2354"/>
    <w:rsid w:val="009D26C4"/>
    <w:rsid w:val="009D282A"/>
    <w:rsid w:val="009D2844"/>
    <w:rsid w:val="009D298C"/>
    <w:rsid w:val="009D2B30"/>
    <w:rsid w:val="009D2C26"/>
    <w:rsid w:val="009D2DF1"/>
    <w:rsid w:val="009D2E0F"/>
    <w:rsid w:val="009D2E5B"/>
    <w:rsid w:val="009D2EA9"/>
    <w:rsid w:val="009D31CE"/>
    <w:rsid w:val="009D3297"/>
    <w:rsid w:val="009D335E"/>
    <w:rsid w:val="009D33CD"/>
    <w:rsid w:val="009D3478"/>
    <w:rsid w:val="009D34B2"/>
    <w:rsid w:val="009D3797"/>
    <w:rsid w:val="009D3799"/>
    <w:rsid w:val="009D3BEC"/>
    <w:rsid w:val="009D3EE8"/>
    <w:rsid w:val="009D411F"/>
    <w:rsid w:val="009D4198"/>
    <w:rsid w:val="009D4211"/>
    <w:rsid w:val="009D4258"/>
    <w:rsid w:val="009D436D"/>
    <w:rsid w:val="009D43B6"/>
    <w:rsid w:val="009D44F9"/>
    <w:rsid w:val="009D45F2"/>
    <w:rsid w:val="009D46C1"/>
    <w:rsid w:val="009D4DC6"/>
    <w:rsid w:val="009D504C"/>
    <w:rsid w:val="009D513C"/>
    <w:rsid w:val="009D5187"/>
    <w:rsid w:val="009D52EB"/>
    <w:rsid w:val="009D5320"/>
    <w:rsid w:val="009D534B"/>
    <w:rsid w:val="009D5661"/>
    <w:rsid w:val="009D56E9"/>
    <w:rsid w:val="009D590C"/>
    <w:rsid w:val="009D5BB8"/>
    <w:rsid w:val="009D5C37"/>
    <w:rsid w:val="009D5CDB"/>
    <w:rsid w:val="009D5D43"/>
    <w:rsid w:val="009D5E49"/>
    <w:rsid w:val="009D5E5A"/>
    <w:rsid w:val="009D5EAD"/>
    <w:rsid w:val="009D5FE9"/>
    <w:rsid w:val="009D6069"/>
    <w:rsid w:val="009D619E"/>
    <w:rsid w:val="009D63ED"/>
    <w:rsid w:val="009D6403"/>
    <w:rsid w:val="009D645F"/>
    <w:rsid w:val="009D64B0"/>
    <w:rsid w:val="009D651B"/>
    <w:rsid w:val="009D6639"/>
    <w:rsid w:val="009D694E"/>
    <w:rsid w:val="009D6994"/>
    <w:rsid w:val="009D6A29"/>
    <w:rsid w:val="009D6CB6"/>
    <w:rsid w:val="009D6E1A"/>
    <w:rsid w:val="009D7097"/>
    <w:rsid w:val="009D733F"/>
    <w:rsid w:val="009D7397"/>
    <w:rsid w:val="009D73DE"/>
    <w:rsid w:val="009D7409"/>
    <w:rsid w:val="009D7589"/>
    <w:rsid w:val="009D75C3"/>
    <w:rsid w:val="009D76AB"/>
    <w:rsid w:val="009D785C"/>
    <w:rsid w:val="009D7908"/>
    <w:rsid w:val="009D7A6E"/>
    <w:rsid w:val="009D7AA9"/>
    <w:rsid w:val="009D7B72"/>
    <w:rsid w:val="009D7E67"/>
    <w:rsid w:val="009D7EC7"/>
    <w:rsid w:val="009D7ED8"/>
    <w:rsid w:val="009D7F3E"/>
    <w:rsid w:val="009D7F83"/>
    <w:rsid w:val="009E02C6"/>
    <w:rsid w:val="009E03EF"/>
    <w:rsid w:val="009E0578"/>
    <w:rsid w:val="009E05AC"/>
    <w:rsid w:val="009E05EB"/>
    <w:rsid w:val="009E0871"/>
    <w:rsid w:val="009E0874"/>
    <w:rsid w:val="009E0A0A"/>
    <w:rsid w:val="009E0A1F"/>
    <w:rsid w:val="009E0BAE"/>
    <w:rsid w:val="009E0BE3"/>
    <w:rsid w:val="009E0C08"/>
    <w:rsid w:val="009E0C80"/>
    <w:rsid w:val="009E0CE0"/>
    <w:rsid w:val="009E0E92"/>
    <w:rsid w:val="009E10FC"/>
    <w:rsid w:val="009E1228"/>
    <w:rsid w:val="009E1522"/>
    <w:rsid w:val="009E153A"/>
    <w:rsid w:val="009E1541"/>
    <w:rsid w:val="009E167B"/>
    <w:rsid w:val="009E176A"/>
    <w:rsid w:val="009E1C54"/>
    <w:rsid w:val="009E1F9F"/>
    <w:rsid w:val="009E1FF2"/>
    <w:rsid w:val="009E201F"/>
    <w:rsid w:val="009E20A9"/>
    <w:rsid w:val="009E2104"/>
    <w:rsid w:val="009E2144"/>
    <w:rsid w:val="009E21A1"/>
    <w:rsid w:val="009E25F2"/>
    <w:rsid w:val="009E2605"/>
    <w:rsid w:val="009E2677"/>
    <w:rsid w:val="009E26F3"/>
    <w:rsid w:val="009E271F"/>
    <w:rsid w:val="009E2741"/>
    <w:rsid w:val="009E282D"/>
    <w:rsid w:val="009E2846"/>
    <w:rsid w:val="009E2988"/>
    <w:rsid w:val="009E29AC"/>
    <w:rsid w:val="009E2A2F"/>
    <w:rsid w:val="009E2A66"/>
    <w:rsid w:val="009E2A9B"/>
    <w:rsid w:val="009E2C65"/>
    <w:rsid w:val="009E3025"/>
    <w:rsid w:val="009E334B"/>
    <w:rsid w:val="009E3484"/>
    <w:rsid w:val="009E35AA"/>
    <w:rsid w:val="009E35C3"/>
    <w:rsid w:val="009E375B"/>
    <w:rsid w:val="009E37B8"/>
    <w:rsid w:val="009E3859"/>
    <w:rsid w:val="009E3A33"/>
    <w:rsid w:val="009E3CD5"/>
    <w:rsid w:val="009E3CFD"/>
    <w:rsid w:val="009E3DCF"/>
    <w:rsid w:val="009E3E80"/>
    <w:rsid w:val="009E3F9E"/>
    <w:rsid w:val="009E4037"/>
    <w:rsid w:val="009E410C"/>
    <w:rsid w:val="009E415E"/>
    <w:rsid w:val="009E4187"/>
    <w:rsid w:val="009E41DD"/>
    <w:rsid w:val="009E4201"/>
    <w:rsid w:val="009E4225"/>
    <w:rsid w:val="009E422D"/>
    <w:rsid w:val="009E45BA"/>
    <w:rsid w:val="009E4834"/>
    <w:rsid w:val="009E4922"/>
    <w:rsid w:val="009E49E7"/>
    <w:rsid w:val="009E4A7A"/>
    <w:rsid w:val="009E4BE0"/>
    <w:rsid w:val="009E4E5B"/>
    <w:rsid w:val="009E50ED"/>
    <w:rsid w:val="009E54C9"/>
    <w:rsid w:val="009E5512"/>
    <w:rsid w:val="009E56C8"/>
    <w:rsid w:val="009E56CC"/>
    <w:rsid w:val="009E57E9"/>
    <w:rsid w:val="009E5891"/>
    <w:rsid w:val="009E5A1F"/>
    <w:rsid w:val="009E5F00"/>
    <w:rsid w:val="009E5F44"/>
    <w:rsid w:val="009E5FB7"/>
    <w:rsid w:val="009E6081"/>
    <w:rsid w:val="009E6128"/>
    <w:rsid w:val="009E625E"/>
    <w:rsid w:val="009E63BC"/>
    <w:rsid w:val="009E644F"/>
    <w:rsid w:val="009E647B"/>
    <w:rsid w:val="009E65C0"/>
    <w:rsid w:val="009E665D"/>
    <w:rsid w:val="009E671D"/>
    <w:rsid w:val="009E67E9"/>
    <w:rsid w:val="009E68A5"/>
    <w:rsid w:val="009E6A33"/>
    <w:rsid w:val="009E6AB9"/>
    <w:rsid w:val="009E7050"/>
    <w:rsid w:val="009E7060"/>
    <w:rsid w:val="009E70BE"/>
    <w:rsid w:val="009E70CC"/>
    <w:rsid w:val="009E716E"/>
    <w:rsid w:val="009E7219"/>
    <w:rsid w:val="009E7333"/>
    <w:rsid w:val="009E7502"/>
    <w:rsid w:val="009E75CD"/>
    <w:rsid w:val="009E75E3"/>
    <w:rsid w:val="009E7828"/>
    <w:rsid w:val="009E7939"/>
    <w:rsid w:val="009E7AB1"/>
    <w:rsid w:val="009E7AC7"/>
    <w:rsid w:val="009E7B6C"/>
    <w:rsid w:val="009E7C0D"/>
    <w:rsid w:val="009E7CB3"/>
    <w:rsid w:val="009E7E4B"/>
    <w:rsid w:val="009E7E63"/>
    <w:rsid w:val="009F00C7"/>
    <w:rsid w:val="009F00E7"/>
    <w:rsid w:val="009F011A"/>
    <w:rsid w:val="009F01B3"/>
    <w:rsid w:val="009F0235"/>
    <w:rsid w:val="009F0316"/>
    <w:rsid w:val="009F031D"/>
    <w:rsid w:val="009F051B"/>
    <w:rsid w:val="009F059E"/>
    <w:rsid w:val="009F0745"/>
    <w:rsid w:val="009F082E"/>
    <w:rsid w:val="009F088E"/>
    <w:rsid w:val="009F09EC"/>
    <w:rsid w:val="009F09ED"/>
    <w:rsid w:val="009F0A1E"/>
    <w:rsid w:val="009F0BC6"/>
    <w:rsid w:val="009F0C27"/>
    <w:rsid w:val="009F0C7A"/>
    <w:rsid w:val="009F0DB6"/>
    <w:rsid w:val="009F0F0C"/>
    <w:rsid w:val="009F0F6C"/>
    <w:rsid w:val="009F10C5"/>
    <w:rsid w:val="009F1364"/>
    <w:rsid w:val="009F14E9"/>
    <w:rsid w:val="009F15A4"/>
    <w:rsid w:val="009F162A"/>
    <w:rsid w:val="009F1686"/>
    <w:rsid w:val="009F1687"/>
    <w:rsid w:val="009F1744"/>
    <w:rsid w:val="009F17FA"/>
    <w:rsid w:val="009F19A2"/>
    <w:rsid w:val="009F1AC7"/>
    <w:rsid w:val="009F1B25"/>
    <w:rsid w:val="009F1CFC"/>
    <w:rsid w:val="009F1D3E"/>
    <w:rsid w:val="009F1E24"/>
    <w:rsid w:val="009F1E7A"/>
    <w:rsid w:val="009F1EAD"/>
    <w:rsid w:val="009F1EF6"/>
    <w:rsid w:val="009F1F0D"/>
    <w:rsid w:val="009F1F15"/>
    <w:rsid w:val="009F2007"/>
    <w:rsid w:val="009F23C1"/>
    <w:rsid w:val="009F243A"/>
    <w:rsid w:val="009F258C"/>
    <w:rsid w:val="009F2622"/>
    <w:rsid w:val="009F26A2"/>
    <w:rsid w:val="009F285A"/>
    <w:rsid w:val="009F2A46"/>
    <w:rsid w:val="009F2AD6"/>
    <w:rsid w:val="009F2CDF"/>
    <w:rsid w:val="009F2CEF"/>
    <w:rsid w:val="009F2D7B"/>
    <w:rsid w:val="009F2F4B"/>
    <w:rsid w:val="009F3089"/>
    <w:rsid w:val="009F3095"/>
    <w:rsid w:val="009F3176"/>
    <w:rsid w:val="009F332D"/>
    <w:rsid w:val="009F33DE"/>
    <w:rsid w:val="009F33ED"/>
    <w:rsid w:val="009F3542"/>
    <w:rsid w:val="009F366B"/>
    <w:rsid w:val="009F3670"/>
    <w:rsid w:val="009F3708"/>
    <w:rsid w:val="009F373B"/>
    <w:rsid w:val="009F3798"/>
    <w:rsid w:val="009F3904"/>
    <w:rsid w:val="009F39C4"/>
    <w:rsid w:val="009F39CE"/>
    <w:rsid w:val="009F3B18"/>
    <w:rsid w:val="009F3B94"/>
    <w:rsid w:val="009F3BC5"/>
    <w:rsid w:val="009F3BF7"/>
    <w:rsid w:val="009F3C45"/>
    <w:rsid w:val="009F3C5A"/>
    <w:rsid w:val="009F3EDC"/>
    <w:rsid w:val="009F3F54"/>
    <w:rsid w:val="009F3FC7"/>
    <w:rsid w:val="009F405F"/>
    <w:rsid w:val="009F4156"/>
    <w:rsid w:val="009F42BC"/>
    <w:rsid w:val="009F44FD"/>
    <w:rsid w:val="009F479D"/>
    <w:rsid w:val="009F47BF"/>
    <w:rsid w:val="009F4992"/>
    <w:rsid w:val="009F4A6A"/>
    <w:rsid w:val="009F4B37"/>
    <w:rsid w:val="009F4F96"/>
    <w:rsid w:val="009F506D"/>
    <w:rsid w:val="009F51F1"/>
    <w:rsid w:val="009F53A6"/>
    <w:rsid w:val="009F56A6"/>
    <w:rsid w:val="009F58DE"/>
    <w:rsid w:val="009F5990"/>
    <w:rsid w:val="009F5A92"/>
    <w:rsid w:val="009F5B28"/>
    <w:rsid w:val="009F5D4E"/>
    <w:rsid w:val="009F5E50"/>
    <w:rsid w:val="009F5E8B"/>
    <w:rsid w:val="009F5F4E"/>
    <w:rsid w:val="009F600C"/>
    <w:rsid w:val="009F61E1"/>
    <w:rsid w:val="009F6459"/>
    <w:rsid w:val="009F663A"/>
    <w:rsid w:val="009F66CA"/>
    <w:rsid w:val="009F679E"/>
    <w:rsid w:val="009F6C41"/>
    <w:rsid w:val="009F6CC2"/>
    <w:rsid w:val="009F6F1B"/>
    <w:rsid w:val="009F6F32"/>
    <w:rsid w:val="009F70DA"/>
    <w:rsid w:val="009F716B"/>
    <w:rsid w:val="009F722C"/>
    <w:rsid w:val="009F732F"/>
    <w:rsid w:val="009F7362"/>
    <w:rsid w:val="009F78B9"/>
    <w:rsid w:val="009F7917"/>
    <w:rsid w:val="009F7B61"/>
    <w:rsid w:val="009F7BA7"/>
    <w:rsid w:val="009F7D80"/>
    <w:rsid w:val="009F7EB9"/>
    <w:rsid w:val="009F7EC4"/>
    <w:rsid w:val="009F7FD4"/>
    <w:rsid w:val="00A00228"/>
    <w:rsid w:val="00A00260"/>
    <w:rsid w:val="00A0026B"/>
    <w:rsid w:val="00A002B8"/>
    <w:rsid w:val="00A00382"/>
    <w:rsid w:val="00A00444"/>
    <w:rsid w:val="00A004BD"/>
    <w:rsid w:val="00A00635"/>
    <w:rsid w:val="00A00935"/>
    <w:rsid w:val="00A0094D"/>
    <w:rsid w:val="00A00B91"/>
    <w:rsid w:val="00A00C7A"/>
    <w:rsid w:val="00A00E9A"/>
    <w:rsid w:val="00A00F5A"/>
    <w:rsid w:val="00A0131A"/>
    <w:rsid w:val="00A01560"/>
    <w:rsid w:val="00A015CE"/>
    <w:rsid w:val="00A018DF"/>
    <w:rsid w:val="00A01C3B"/>
    <w:rsid w:val="00A01F68"/>
    <w:rsid w:val="00A02158"/>
    <w:rsid w:val="00A0222D"/>
    <w:rsid w:val="00A02299"/>
    <w:rsid w:val="00A02376"/>
    <w:rsid w:val="00A0247E"/>
    <w:rsid w:val="00A027E7"/>
    <w:rsid w:val="00A02880"/>
    <w:rsid w:val="00A02AAE"/>
    <w:rsid w:val="00A02AEF"/>
    <w:rsid w:val="00A02B1C"/>
    <w:rsid w:val="00A02B59"/>
    <w:rsid w:val="00A02B6A"/>
    <w:rsid w:val="00A02C66"/>
    <w:rsid w:val="00A02DD5"/>
    <w:rsid w:val="00A02FF7"/>
    <w:rsid w:val="00A03024"/>
    <w:rsid w:val="00A0302D"/>
    <w:rsid w:val="00A033CE"/>
    <w:rsid w:val="00A033F4"/>
    <w:rsid w:val="00A03403"/>
    <w:rsid w:val="00A0371C"/>
    <w:rsid w:val="00A0380D"/>
    <w:rsid w:val="00A04029"/>
    <w:rsid w:val="00A04031"/>
    <w:rsid w:val="00A04099"/>
    <w:rsid w:val="00A0424F"/>
    <w:rsid w:val="00A04256"/>
    <w:rsid w:val="00A0444C"/>
    <w:rsid w:val="00A0446D"/>
    <w:rsid w:val="00A04482"/>
    <w:rsid w:val="00A046CF"/>
    <w:rsid w:val="00A04878"/>
    <w:rsid w:val="00A0496D"/>
    <w:rsid w:val="00A049EB"/>
    <w:rsid w:val="00A04B8C"/>
    <w:rsid w:val="00A04D14"/>
    <w:rsid w:val="00A04D66"/>
    <w:rsid w:val="00A04FE5"/>
    <w:rsid w:val="00A05113"/>
    <w:rsid w:val="00A052E8"/>
    <w:rsid w:val="00A0537A"/>
    <w:rsid w:val="00A05454"/>
    <w:rsid w:val="00A0545D"/>
    <w:rsid w:val="00A0551F"/>
    <w:rsid w:val="00A056F8"/>
    <w:rsid w:val="00A05734"/>
    <w:rsid w:val="00A058CC"/>
    <w:rsid w:val="00A05A30"/>
    <w:rsid w:val="00A05A8D"/>
    <w:rsid w:val="00A05B08"/>
    <w:rsid w:val="00A05D95"/>
    <w:rsid w:val="00A05EE8"/>
    <w:rsid w:val="00A06077"/>
    <w:rsid w:val="00A06119"/>
    <w:rsid w:val="00A061DE"/>
    <w:rsid w:val="00A06368"/>
    <w:rsid w:val="00A06712"/>
    <w:rsid w:val="00A06753"/>
    <w:rsid w:val="00A0678B"/>
    <w:rsid w:val="00A06E48"/>
    <w:rsid w:val="00A06E4C"/>
    <w:rsid w:val="00A06F4B"/>
    <w:rsid w:val="00A070CF"/>
    <w:rsid w:val="00A0712E"/>
    <w:rsid w:val="00A071AA"/>
    <w:rsid w:val="00A0739C"/>
    <w:rsid w:val="00A073EA"/>
    <w:rsid w:val="00A07431"/>
    <w:rsid w:val="00A074E9"/>
    <w:rsid w:val="00A0753E"/>
    <w:rsid w:val="00A07645"/>
    <w:rsid w:val="00A076AE"/>
    <w:rsid w:val="00A076DA"/>
    <w:rsid w:val="00A076E3"/>
    <w:rsid w:val="00A078E2"/>
    <w:rsid w:val="00A079AC"/>
    <w:rsid w:val="00A07A25"/>
    <w:rsid w:val="00A07A42"/>
    <w:rsid w:val="00A07BF8"/>
    <w:rsid w:val="00A07CF9"/>
    <w:rsid w:val="00A07D92"/>
    <w:rsid w:val="00A07FEC"/>
    <w:rsid w:val="00A10031"/>
    <w:rsid w:val="00A100AD"/>
    <w:rsid w:val="00A1012E"/>
    <w:rsid w:val="00A1018F"/>
    <w:rsid w:val="00A1023A"/>
    <w:rsid w:val="00A1051F"/>
    <w:rsid w:val="00A10694"/>
    <w:rsid w:val="00A106C7"/>
    <w:rsid w:val="00A10837"/>
    <w:rsid w:val="00A108BA"/>
    <w:rsid w:val="00A108F9"/>
    <w:rsid w:val="00A10933"/>
    <w:rsid w:val="00A10B04"/>
    <w:rsid w:val="00A10C53"/>
    <w:rsid w:val="00A10CD3"/>
    <w:rsid w:val="00A10EA1"/>
    <w:rsid w:val="00A1104C"/>
    <w:rsid w:val="00A11091"/>
    <w:rsid w:val="00A11248"/>
    <w:rsid w:val="00A11368"/>
    <w:rsid w:val="00A1149F"/>
    <w:rsid w:val="00A11849"/>
    <w:rsid w:val="00A118EB"/>
    <w:rsid w:val="00A11AB2"/>
    <w:rsid w:val="00A11ACE"/>
    <w:rsid w:val="00A11E21"/>
    <w:rsid w:val="00A11F6E"/>
    <w:rsid w:val="00A1222B"/>
    <w:rsid w:val="00A12311"/>
    <w:rsid w:val="00A12332"/>
    <w:rsid w:val="00A12520"/>
    <w:rsid w:val="00A1253A"/>
    <w:rsid w:val="00A1267E"/>
    <w:rsid w:val="00A12A6D"/>
    <w:rsid w:val="00A12BEB"/>
    <w:rsid w:val="00A12C62"/>
    <w:rsid w:val="00A12DD0"/>
    <w:rsid w:val="00A12E4D"/>
    <w:rsid w:val="00A12E68"/>
    <w:rsid w:val="00A12FF5"/>
    <w:rsid w:val="00A1303F"/>
    <w:rsid w:val="00A13143"/>
    <w:rsid w:val="00A1316F"/>
    <w:rsid w:val="00A1343E"/>
    <w:rsid w:val="00A1378A"/>
    <w:rsid w:val="00A137DB"/>
    <w:rsid w:val="00A138CF"/>
    <w:rsid w:val="00A139D4"/>
    <w:rsid w:val="00A139E4"/>
    <w:rsid w:val="00A13FB3"/>
    <w:rsid w:val="00A1404F"/>
    <w:rsid w:val="00A140CB"/>
    <w:rsid w:val="00A14180"/>
    <w:rsid w:val="00A14199"/>
    <w:rsid w:val="00A14316"/>
    <w:rsid w:val="00A1432E"/>
    <w:rsid w:val="00A143C1"/>
    <w:rsid w:val="00A1444C"/>
    <w:rsid w:val="00A144BA"/>
    <w:rsid w:val="00A146FE"/>
    <w:rsid w:val="00A147C5"/>
    <w:rsid w:val="00A1495D"/>
    <w:rsid w:val="00A14D7D"/>
    <w:rsid w:val="00A14FE5"/>
    <w:rsid w:val="00A14FFD"/>
    <w:rsid w:val="00A15198"/>
    <w:rsid w:val="00A151CE"/>
    <w:rsid w:val="00A1555B"/>
    <w:rsid w:val="00A15708"/>
    <w:rsid w:val="00A1573F"/>
    <w:rsid w:val="00A157FE"/>
    <w:rsid w:val="00A158FA"/>
    <w:rsid w:val="00A15AC6"/>
    <w:rsid w:val="00A15C3E"/>
    <w:rsid w:val="00A15CD5"/>
    <w:rsid w:val="00A15ECD"/>
    <w:rsid w:val="00A15F0A"/>
    <w:rsid w:val="00A15FEB"/>
    <w:rsid w:val="00A161AF"/>
    <w:rsid w:val="00A1632A"/>
    <w:rsid w:val="00A16398"/>
    <w:rsid w:val="00A163B6"/>
    <w:rsid w:val="00A16420"/>
    <w:rsid w:val="00A16588"/>
    <w:rsid w:val="00A16875"/>
    <w:rsid w:val="00A16A78"/>
    <w:rsid w:val="00A16A8A"/>
    <w:rsid w:val="00A16B0F"/>
    <w:rsid w:val="00A16BF8"/>
    <w:rsid w:val="00A16F1B"/>
    <w:rsid w:val="00A16F79"/>
    <w:rsid w:val="00A17011"/>
    <w:rsid w:val="00A170B6"/>
    <w:rsid w:val="00A170F0"/>
    <w:rsid w:val="00A170FD"/>
    <w:rsid w:val="00A17123"/>
    <w:rsid w:val="00A1727C"/>
    <w:rsid w:val="00A1728A"/>
    <w:rsid w:val="00A17397"/>
    <w:rsid w:val="00A173FD"/>
    <w:rsid w:val="00A174F6"/>
    <w:rsid w:val="00A17525"/>
    <w:rsid w:val="00A17568"/>
    <w:rsid w:val="00A17637"/>
    <w:rsid w:val="00A17737"/>
    <w:rsid w:val="00A17755"/>
    <w:rsid w:val="00A177BA"/>
    <w:rsid w:val="00A17800"/>
    <w:rsid w:val="00A17A16"/>
    <w:rsid w:val="00A17BB1"/>
    <w:rsid w:val="00A17EC1"/>
    <w:rsid w:val="00A17EE6"/>
    <w:rsid w:val="00A17F4A"/>
    <w:rsid w:val="00A17FAF"/>
    <w:rsid w:val="00A17FDE"/>
    <w:rsid w:val="00A20164"/>
    <w:rsid w:val="00A203B8"/>
    <w:rsid w:val="00A205CC"/>
    <w:rsid w:val="00A205CD"/>
    <w:rsid w:val="00A20618"/>
    <w:rsid w:val="00A20929"/>
    <w:rsid w:val="00A2098A"/>
    <w:rsid w:val="00A20C93"/>
    <w:rsid w:val="00A212BE"/>
    <w:rsid w:val="00A21351"/>
    <w:rsid w:val="00A21579"/>
    <w:rsid w:val="00A21590"/>
    <w:rsid w:val="00A216DC"/>
    <w:rsid w:val="00A21820"/>
    <w:rsid w:val="00A21822"/>
    <w:rsid w:val="00A218AD"/>
    <w:rsid w:val="00A2190B"/>
    <w:rsid w:val="00A21A27"/>
    <w:rsid w:val="00A21B86"/>
    <w:rsid w:val="00A21C60"/>
    <w:rsid w:val="00A21C88"/>
    <w:rsid w:val="00A21DB2"/>
    <w:rsid w:val="00A21DD1"/>
    <w:rsid w:val="00A21DF5"/>
    <w:rsid w:val="00A21DFE"/>
    <w:rsid w:val="00A21E33"/>
    <w:rsid w:val="00A21E9D"/>
    <w:rsid w:val="00A22024"/>
    <w:rsid w:val="00A220A7"/>
    <w:rsid w:val="00A224BC"/>
    <w:rsid w:val="00A2251A"/>
    <w:rsid w:val="00A2254D"/>
    <w:rsid w:val="00A22701"/>
    <w:rsid w:val="00A227BF"/>
    <w:rsid w:val="00A228B6"/>
    <w:rsid w:val="00A22906"/>
    <w:rsid w:val="00A22988"/>
    <w:rsid w:val="00A229D1"/>
    <w:rsid w:val="00A22ABD"/>
    <w:rsid w:val="00A22AEF"/>
    <w:rsid w:val="00A22B64"/>
    <w:rsid w:val="00A22D63"/>
    <w:rsid w:val="00A22E76"/>
    <w:rsid w:val="00A234F9"/>
    <w:rsid w:val="00A23544"/>
    <w:rsid w:val="00A235B0"/>
    <w:rsid w:val="00A2363A"/>
    <w:rsid w:val="00A236F9"/>
    <w:rsid w:val="00A237A4"/>
    <w:rsid w:val="00A238C6"/>
    <w:rsid w:val="00A238E8"/>
    <w:rsid w:val="00A23A2E"/>
    <w:rsid w:val="00A23B25"/>
    <w:rsid w:val="00A23CEB"/>
    <w:rsid w:val="00A23D1B"/>
    <w:rsid w:val="00A23D8A"/>
    <w:rsid w:val="00A23EC8"/>
    <w:rsid w:val="00A23F04"/>
    <w:rsid w:val="00A24092"/>
    <w:rsid w:val="00A2418F"/>
    <w:rsid w:val="00A241F6"/>
    <w:rsid w:val="00A242DE"/>
    <w:rsid w:val="00A2444E"/>
    <w:rsid w:val="00A24672"/>
    <w:rsid w:val="00A24BB3"/>
    <w:rsid w:val="00A24C16"/>
    <w:rsid w:val="00A24CBB"/>
    <w:rsid w:val="00A24E4F"/>
    <w:rsid w:val="00A24ECC"/>
    <w:rsid w:val="00A2506F"/>
    <w:rsid w:val="00A25112"/>
    <w:rsid w:val="00A251E7"/>
    <w:rsid w:val="00A25340"/>
    <w:rsid w:val="00A25712"/>
    <w:rsid w:val="00A25758"/>
    <w:rsid w:val="00A2597B"/>
    <w:rsid w:val="00A259FA"/>
    <w:rsid w:val="00A25A30"/>
    <w:rsid w:val="00A25C8B"/>
    <w:rsid w:val="00A25D86"/>
    <w:rsid w:val="00A2629F"/>
    <w:rsid w:val="00A26342"/>
    <w:rsid w:val="00A26454"/>
    <w:rsid w:val="00A265D5"/>
    <w:rsid w:val="00A2677F"/>
    <w:rsid w:val="00A267DD"/>
    <w:rsid w:val="00A26804"/>
    <w:rsid w:val="00A268DA"/>
    <w:rsid w:val="00A26981"/>
    <w:rsid w:val="00A26A52"/>
    <w:rsid w:val="00A26CA2"/>
    <w:rsid w:val="00A26E0B"/>
    <w:rsid w:val="00A2713A"/>
    <w:rsid w:val="00A27387"/>
    <w:rsid w:val="00A27394"/>
    <w:rsid w:val="00A27406"/>
    <w:rsid w:val="00A2740C"/>
    <w:rsid w:val="00A275A5"/>
    <w:rsid w:val="00A277C0"/>
    <w:rsid w:val="00A2791B"/>
    <w:rsid w:val="00A27A17"/>
    <w:rsid w:val="00A27A4B"/>
    <w:rsid w:val="00A27B4B"/>
    <w:rsid w:val="00A27C3A"/>
    <w:rsid w:val="00A27D1D"/>
    <w:rsid w:val="00A27D32"/>
    <w:rsid w:val="00A27D9D"/>
    <w:rsid w:val="00A304C4"/>
    <w:rsid w:val="00A30771"/>
    <w:rsid w:val="00A30C11"/>
    <w:rsid w:val="00A30CBF"/>
    <w:rsid w:val="00A30D5E"/>
    <w:rsid w:val="00A30E89"/>
    <w:rsid w:val="00A30EF9"/>
    <w:rsid w:val="00A30F79"/>
    <w:rsid w:val="00A30F9C"/>
    <w:rsid w:val="00A3149D"/>
    <w:rsid w:val="00A315D4"/>
    <w:rsid w:val="00A3165D"/>
    <w:rsid w:val="00A31671"/>
    <w:rsid w:val="00A316F8"/>
    <w:rsid w:val="00A31756"/>
    <w:rsid w:val="00A317E2"/>
    <w:rsid w:val="00A31843"/>
    <w:rsid w:val="00A31846"/>
    <w:rsid w:val="00A3187E"/>
    <w:rsid w:val="00A318EE"/>
    <w:rsid w:val="00A31924"/>
    <w:rsid w:val="00A31AA6"/>
    <w:rsid w:val="00A31C18"/>
    <w:rsid w:val="00A31D81"/>
    <w:rsid w:val="00A31E40"/>
    <w:rsid w:val="00A31EA6"/>
    <w:rsid w:val="00A31F9E"/>
    <w:rsid w:val="00A32089"/>
    <w:rsid w:val="00A3252F"/>
    <w:rsid w:val="00A3256E"/>
    <w:rsid w:val="00A325FA"/>
    <w:rsid w:val="00A32A26"/>
    <w:rsid w:val="00A32BC6"/>
    <w:rsid w:val="00A32C98"/>
    <w:rsid w:val="00A32E54"/>
    <w:rsid w:val="00A32FF5"/>
    <w:rsid w:val="00A3300A"/>
    <w:rsid w:val="00A33162"/>
    <w:rsid w:val="00A33285"/>
    <w:rsid w:val="00A333FB"/>
    <w:rsid w:val="00A3345A"/>
    <w:rsid w:val="00A33755"/>
    <w:rsid w:val="00A33761"/>
    <w:rsid w:val="00A33770"/>
    <w:rsid w:val="00A337FA"/>
    <w:rsid w:val="00A337FF"/>
    <w:rsid w:val="00A33834"/>
    <w:rsid w:val="00A33928"/>
    <w:rsid w:val="00A33944"/>
    <w:rsid w:val="00A33951"/>
    <w:rsid w:val="00A33B29"/>
    <w:rsid w:val="00A33B85"/>
    <w:rsid w:val="00A33C06"/>
    <w:rsid w:val="00A33C85"/>
    <w:rsid w:val="00A33DDC"/>
    <w:rsid w:val="00A33F09"/>
    <w:rsid w:val="00A33FBF"/>
    <w:rsid w:val="00A3414A"/>
    <w:rsid w:val="00A341D4"/>
    <w:rsid w:val="00A343FC"/>
    <w:rsid w:val="00A34551"/>
    <w:rsid w:val="00A345D3"/>
    <w:rsid w:val="00A345E1"/>
    <w:rsid w:val="00A34973"/>
    <w:rsid w:val="00A34C0F"/>
    <w:rsid w:val="00A34DAF"/>
    <w:rsid w:val="00A35005"/>
    <w:rsid w:val="00A35086"/>
    <w:rsid w:val="00A351B1"/>
    <w:rsid w:val="00A351D4"/>
    <w:rsid w:val="00A35395"/>
    <w:rsid w:val="00A353A6"/>
    <w:rsid w:val="00A353B0"/>
    <w:rsid w:val="00A3575C"/>
    <w:rsid w:val="00A357C4"/>
    <w:rsid w:val="00A35970"/>
    <w:rsid w:val="00A35BA6"/>
    <w:rsid w:val="00A35C16"/>
    <w:rsid w:val="00A35CD4"/>
    <w:rsid w:val="00A35DAF"/>
    <w:rsid w:val="00A35E24"/>
    <w:rsid w:val="00A3607B"/>
    <w:rsid w:val="00A360A9"/>
    <w:rsid w:val="00A361C4"/>
    <w:rsid w:val="00A36212"/>
    <w:rsid w:val="00A364B7"/>
    <w:rsid w:val="00A36634"/>
    <w:rsid w:val="00A36676"/>
    <w:rsid w:val="00A369A2"/>
    <w:rsid w:val="00A36A2E"/>
    <w:rsid w:val="00A36A6B"/>
    <w:rsid w:val="00A36C8B"/>
    <w:rsid w:val="00A36CF2"/>
    <w:rsid w:val="00A36D39"/>
    <w:rsid w:val="00A36DB7"/>
    <w:rsid w:val="00A36DBA"/>
    <w:rsid w:val="00A37222"/>
    <w:rsid w:val="00A372C5"/>
    <w:rsid w:val="00A372D7"/>
    <w:rsid w:val="00A375D5"/>
    <w:rsid w:val="00A3766C"/>
    <w:rsid w:val="00A3775E"/>
    <w:rsid w:val="00A37781"/>
    <w:rsid w:val="00A377E3"/>
    <w:rsid w:val="00A378D6"/>
    <w:rsid w:val="00A378F3"/>
    <w:rsid w:val="00A3798D"/>
    <w:rsid w:val="00A37B45"/>
    <w:rsid w:val="00A37B8D"/>
    <w:rsid w:val="00A37BD2"/>
    <w:rsid w:val="00A37C71"/>
    <w:rsid w:val="00A37F08"/>
    <w:rsid w:val="00A37F76"/>
    <w:rsid w:val="00A40099"/>
    <w:rsid w:val="00A400C1"/>
    <w:rsid w:val="00A402C8"/>
    <w:rsid w:val="00A40336"/>
    <w:rsid w:val="00A4038B"/>
    <w:rsid w:val="00A40398"/>
    <w:rsid w:val="00A40434"/>
    <w:rsid w:val="00A404DE"/>
    <w:rsid w:val="00A40595"/>
    <w:rsid w:val="00A406DA"/>
    <w:rsid w:val="00A406F6"/>
    <w:rsid w:val="00A4076E"/>
    <w:rsid w:val="00A40989"/>
    <w:rsid w:val="00A40D25"/>
    <w:rsid w:val="00A40D60"/>
    <w:rsid w:val="00A40E9C"/>
    <w:rsid w:val="00A40F3E"/>
    <w:rsid w:val="00A40FD2"/>
    <w:rsid w:val="00A41050"/>
    <w:rsid w:val="00A41133"/>
    <w:rsid w:val="00A41315"/>
    <w:rsid w:val="00A4134C"/>
    <w:rsid w:val="00A4150A"/>
    <w:rsid w:val="00A41AEE"/>
    <w:rsid w:val="00A41BD7"/>
    <w:rsid w:val="00A41C7D"/>
    <w:rsid w:val="00A41DF4"/>
    <w:rsid w:val="00A420BC"/>
    <w:rsid w:val="00A42248"/>
    <w:rsid w:val="00A426C6"/>
    <w:rsid w:val="00A42915"/>
    <w:rsid w:val="00A42974"/>
    <w:rsid w:val="00A42B20"/>
    <w:rsid w:val="00A42E35"/>
    <w:rsid w:val="00A4328C"/>
    <w:rsid w:val="00A433A1"/>
    <w:rsid w:val="00A434F6"/>
    <w:rsid w:val="00A439AE"/>
    <w:rsid w:val="00A43A56"/>
    <w:rsid w:val="00A43AC7"/>
    <w:rsid w:val="00A43ACF"/>
    <w:rsid w:val="00A43AE1"/>
    <w:rsid w:val="00A43B3B"/>
    <w:rsid w:val="00A43BA2"/>
    <w:rsid w:val="00A43C40"/>
    <w:rsid w:val="00A43E9E"/>
    <w:rsid w:val="00A43FD4"/>
    <w:rsid w:val="00A44038"/>
    <w:rsid w:val="00A440C5"/>
    <w:rsid w:val="00A4432C"/>
    <w:rsid w:val="00A44600"/>
    <w:rsid w:val="00A44958"/>
    <w:rsid w:val="00A44B54"/>
    <w:rsid w:val="00A45066"/>
    <w:rsid w:val="00A4507F"/>
    <w:rsid w:val="00A451C5"/>
    <w:rsid w:val="00A45228"/>
    <w:rsid w:val="00A4537D"/>
    <w:rsid w:val="00A45598"/>
    <w:rsid w:val="00A45691"/>
    <w:rsid w:val="00A456AF"/>
    <w:rsid w:val="00A4590B"/>
    <w:rsid w:val="00A45957"/>
    <w:rsid w:val="00A45976"/>
    <w:rsid w:val="00A459D9"/>
    <w:rsid w:val="00A45A76"/>
    <w:rsid w:val="00A45A93"/>
    <w:rsid w:val="00A45AA7"/>
    <w:rsid w:val="00A45BB5"/>
    <w:rsid w:val="00A45DE7"/>
    <w:rsid w:val="00A45E39"/>
    <w:rsid w:val="00A45F40"/>
    <w:rsid w:val="00A45FA3"/>
    <w:rsid w:val="00A45FA8"/>
    <w:rsid w:val="00A4625D"/>
    <w:rsid w:val="00A46291"/>
    <w:rsid w:val="00A4636E"/>
    <w:rsid w:val="00A46595"/>
    <w:rsid w:val="00A4695E"/>
    <w:rsid w:val="00A46CC3"/>
    <w:rsid w:val="00A46DA3"/>
    <w:rsid w:val="00A46E33"/>
    <w:rsid w:val="00A46F3B"/>
    <w:rsid w:val="00A46FA8"/>
    <w:rsid w:val="00A46FCE"/>
    <w:rsid w:val="00A46FFA"/>
    <w:rsid w:val="00A47174"/>
    <w:rsid w:val="00A471EB"/>
    <w:rsid w:val="00A47267"/>
    <w:rsid w:val="00A47295"/>
    <w:rsid w:val="00A473E7"/>
    <w:rsid w:val="00A477FE"/>
    <w:rsid w:val="00A47A3F"/>
    <w:rsid w:val="00A47B91"/>
    <w:rsid w:val="00A47D1D"/>
    <w:rsid w:val="00A47D2B"/>
    <w:rsid w:val="00A47DE6"/>
    <w:rsid w:val="00A47DEA"/>
    <w:rsid w:val="00A47ED0"/>
    <w:rsid w:val="00A50029"/>
    <w:rsid w:val="00A5011E"/>
    <w:rsid w:val="00A50146"/>
    <w:rsid w:val="00A50189"/>
    <w:rsid w:val="00A50192"/>
    <w:rsid w:val="00A503A5"/>
    <w:rsid w:val="00A5040A"/>
    <w:rsid w:val="00A505CF"/>
    <w:rsid w:val="00A50780"/>
    <w:rsid w:val="00A507B8"/>
    <w:rsid w:val="00A50879"/>
    <w:rsid w:val="00A5088B"/>
    <w:rsid w:val="00A50932"/>
    <w:rsid w:val="00A50A52"/>
    <w:rsid w:val="00A50C75"/>
    <w:rsid w:val="00A50CEF"/>
    <w:rsid w:val="00A50DA2"/>
    <w:rsid w:val="00A50DFA"/>
    <w:rsid w:val="00A50F6C"/>
    <w:rsid w:val="00A511E5"/>
    <w:rsid w:val="00A5147A"/>
    <w:rsid w:val="00A5151B"/>
    <w:rsid w:val="00A51539"/>
    <w:rsid w:val="00A51550"/>
    <w:rsid w:val="00A51572"/>
    <w:rsid w:val="00A5161E"/>
    <w:rsid w:val="00A51819"/>
    <w:rsid w:val="00A51BDD"/>
    <w:rsid w:val="00A51C8C"/>
    <w:rsid w:val="00A51CC1"/>
    <w:rsid w:val="00A51E16"/>
    <w:rsid w:val="00A51EEA"/>
    <w:rsid w:val="00A51F1C"/>
    <w:rsid w:val="00A51FE8"/>
    <w:rsid w:val="00A52192"/>
    <w:rsid w:val="00A52270"/>
    <w:rsid w:val="00A52431"/>
    <w:rsid w:val="00A524F4"/>
    <w:rsid w:val="00A52537"/>
    <w:rsid w:val="00A5258A"/>
    <w:rsid w:val="00A5278D"/>
    <w:rsid w:val="00A5280F"/>
    <w:rsid w:val="00A528F9"/>
    <w:rsid w:val="00A5291C"/>
    <w:rsid w:val="00A52DD9"/>
    <w:rsid w:val="00A52F72"/>
    <w:rsid w:val="00A5307C"/>
    <w:rsid w:val="00A533E8"/>
    <w:rsid w:val="00A534AA"/>
    <w:rsid w:val="00A534CD"/>
    <w:rsid w:val="00A53522"/>
    <w:rsid w:val="00A53599"/>
    <w:rsid w:val="00A5362F"/>
    <w:rsid w:val="00A537A2"/>
    <w:rsid w:val="00A53A91"/>
    <w:rsid w:val="00A53AE3"/>
    <w:rsid w:val="00A53AF9"/>
    <w:rsid w:val="00A53BD8"/>
    <w:rsid w:val="00A53C51"/>
    <w:rsid w:val="00A53CB1"/>
    <w:rsid w:val="00A53CF8"/>
    <w:rsid w:val="00A53D95"/>
    <w:rsid w:val="00A53F00"/>
    <w:rsid w:val="00A540F6"/>
    <w:rsid w:val="00A54153"/>
    <w:rsid w:val="00A541A3"/>
    <w:rsid w:val="00A54581"/>
    <w:rsid w:val="00A54A1B"/>
    <w:rsid w:val="00A55025"/>
    <w:rsid w:val="00A55079"/>
    <w:rsid w:val="00A554E8"/>
    <w:rsid w:val="00A55560"/>
    <w:rsid w:val="00A556AA"/>
    <w:rsid w:val="00A558AE"/>
    <w:rsid w:val="00A559F9"/>
    <w:rsid w:val="00A55D99"/>
    <w:rsid w:val="00A55EA9"/>
    <w:rsid w:val="00A56015"/>
    <w:rsid w:val="00A5620C"/>
    <w:rsid w:val="00A56352"/>
    <w:rsid w:val="00A5644C"/>
    <w:rsid w:val="00A565CA"/>
    <w:rsid w:val="00A565E8"/>
    <w:rsid w:val="00A568C3"/>
    <w:rsid w:val="00A56925"/>
    <w:rsid w:val="00A56B24"/>
    <w:rsid w:val="00A56C7F"/>
    <w:rsid w:val="00A571B3"/>
    <w:rsid w:val="00A57308"/>
    <w:rsid w:val="00A57620"/>
    <w:rsid w:val="00A576CD"/>
    <w:rsid w:val="00A57943"/>
    <w:rsid w:val="00A579D3"/>
    <w:rsid w:val="00A57B3D"/>
    <w:rsid w:val="00A57C0B"/>
    <w:rsid w:val="00A57C77"/>
    <w:rsid w:val="00A57CBA"/>
    <w:rsid w:val="00A57CDF"/>
    <w:rsid w:val="00A57D49"/>
    <w:rsid w:val="00A57DD0"/>
    <w:rsid w:val="00A57E96"/>
    <w:rsid w:val="00A57EBA"/>
    <w:rsid w:val="00A57EF0"/>
    <w:rsid w:val="00A60236"/>
    <w:rsid w:val="00A60268"/>
    <w:rsid w:val="00A6058D"/>
    <w:rsid w:val="00A60596"/>
    <w:rsid w:val="00A605A7"/>
    <w:rsid w:val="00A6074D"/>
    <w:rsid w:val="00A60A5C"/>
    <w:rsid w:val="00A60C16"/>
    <w:rsid w:val="00A60C5C"/>
    <w:rsid w:val="00A60C97"/>
    <w:rsid w:val="00A60DFF"/>
    <w:rsid w:val="00A60E07"/>
    <w:rsid w:val="00A60EBF"/>
    <w:rsid w:val="00A6125C"/>
    <w:rsid w:val="00A612DA"/>
    <w:rsid w:val="00A61475"/>
    <w:rsid w:val="00A6181B"/>
    <w:rsid w:val="00A6183E"/>
    <w:rsid w:val="00A6188E"/>
    <w:rsid w:val="00A61BEE"/>
    <w:rsid w:val="00A61C00"/>
    <w:rsid w:val="00A61D93"/>
    <w:rsid w:val="00A61E89"/>
    <w:rsid w:val="00A61F6E"/>
    <w:rsid w:val="00A620C8"/>
    <w:rsid w:val="00A621B7"/>
    <w:rsid w:val="00A625F3"/>
    <w:rsid w:val="00A62729"/>
    <w:rsid w:val="00A627A6"/>
    <w:rsid w:val="00A62A0A"/>
    <w:rsid w:val="00A62DF3"/>
    <w:rsid w:val="00A62F0E"/>
    <w:rsid w:val="00A6320E"/>
    <w:rsid w:val="00A632A8"/>
    <w:rsid w:val="00A63318"/>
    <w:rsid w:val="00A634F0"/>
    <w:rsid w:val="00A636B0"/>
    <w:rsid w:val="00A636BF"/>
    <w:rsid w:val="00A6393D"/>
    <w:rsid w:val="00A63C5B"/>
    <w:rsid w:val="00A63D12"/>
    <w:rsid w:val="00A64348"/>
    <w:rsid w:val="00A6449F"/>
    <w:rsid w:val="00A644A5"/>
    <w:rsid w:val="00A644C8"/>
    <w:rsid w:val="00A646BB"/>
    <w:rsid w:val="00A64749"/>
    <w:rsid w:val="00A648CB"/>
    <w:rsid w:val="00A64A8D"/>
    <w:rsid w:val="00A64B42"/>
    <w:rsid w:val="00A64C08"/>
    <w:rsid w:val="00A64C58"/>
    <w:rsid w:val="00A64C9F"/>
    <w:rsid w:val="00A64E28"/>
    <w:rsid w:val="00A64F31"/>
    <w:rsid w:val="00A6506C"/>
    <w:rsid w:val="00A65100"/>
    <w:rsid w:val="00A651D1"/>
    <w:rsid w:val="00A65236"/>
    <w:rsid w:val="00A652E1"/>
    <w:rsid w:val="00A65611"/>
    <w:rsid w:val="00A65655"/>
    <w:rsid w:val="00A65790"/>
    <w:rsid w:val="00A657BC"/>
    <w:rsid w:val="00A65A37"/>
    <w:rsid w:val="00A65AA4"/>
    <w:rsid w:val="00A65B94"/>
    <w:rsid w:val="00A65EDA"/>
    <w:rsid w:val="00A660B1"/>
    <w:rsid w:val="00A6613E"/>
    <w:rsid w:val="00A661FE"/>
    <w:rsid w:val="00A66337"/>
    <w:rsid w:val="00A6645B"/>
    <w:rsid w:val="00A665A7"/>
    <w:rsid w:val="00A66713"/>
    <w:rsid w:val="00A668A9"/>
    <w:rsid w:val="00A66A30"/>
    <w:rsid w:val="00A66B4A"/>
    <w:rsid w:val="00A66D2D"/>
    <w:rsid w:val="00A67271"/>
    <w:rsid w:val="00A67327"/>
    <w:rsid w:val="00A67340"/>
    <w:rsid w:val="00A67469"/>
    <w:rsid w:val="00A674A3"/>
    <w:rsid w:val="00A67671"/>
    <w:rsid w:val="00A6769E"/>
    <w:rsid w:val="00A67711"/>
    <w:rsid w:val="00A67720"/>
    <w:rsid w:val="00A6775C"/>
    <w:rsid w:val="00A67853"/>
    <w:rsid w:val="00A67931"/>
    <w:rsid w:val="00A679AF"/>
    <w:rsid w:val="00A67B95"/>
    <w:rsid w:val="00A67D7F"/>
    <w:rsid w:val="00A70326"/>
    <w:rsid w:val="00A70366"/>
    <w:rsid w:val="00A70583"/>
    <w:rsid w:val="00A7066C"/>
    <w:rsid w:val="00A70AD1"/>
    <w:rsid w:val="00A70BEF"/>
    <w:rsid w:val="00A70CDE"/>
    <w:rsid w:val="00A70D16"/>
    <w:rsid w:val="00A70D50"/>
    <w:rsid w:val="00A70DA3"/>
    <w:rsid w:val="00A70EB5"/>
    <w:rsid w:val="00A7103B"/>
    <w:rsid w:val="00A7108A"/>
    <w:rsid w:val="00A71202"/>
    <w:rsid w:val="00A71282"/>
    <w:rsid w:val="00A71313"/>
    <w:rsid w:val="00A713D2"/>
    <w:rsid w:val="00A713FA"/>
    <w:rsid w:val="00A7146F"/>
    <w:rsid w:val="00A716C1"/>
    <w:rsid w:val="00A716D6"/>
    <w:rsid w:val="00A71720"/>
    <w:rsid w:val="00A7172A"/>
    <w:rsid w:val="00A71751"/>
    <w:rsid w:val="00A7177A"/>
    <w:rsid w:val="00A71848"/>
    <w:rsid w:val="00A718D1"/>
    <w:rsid w:val="00A71CB8"/>
    <w:rsid w:val="00A71DD8"/>
    <w:rsid w:val="00A71FAE"/>
    <w:rsid w:val="00A72231"/>
    <w:rsid w:val="00A72423"/>
    <w:rsid w:val="00A72601"/>
    <w:rsid w:val="00A726E7"/>
    <w:rsid w:val="00A729E7"/>
    <w:rsid w:val="00A72B60"/>
    <w:rsid w:val="00A72B78"/>
    <w:rsid w:val="00A72BD2"/>
    <w:rsid w:val="00A72C5B"/>
    <w:rsid w:val="00A72CC8"/>
    <w:rsid w:val="00A72E2D"/>
    <w:rsid w:val="00A72F26"/>
    <w:rsid w:val="00A7306A"/>
    <w:rsid w:val="00A731C0"/>
    <w:rsid w:val="00A731DF"/>
    <w:rsid w:val="00A731F3"/>
    <w:rsid w:val="00A732E0"/>
    <w:rsid w:val="00A73374"/>
    <w:rsid w:val="00A733C9"/>
    <w:rsid w:val="00A7350B"/>
    <w:rsid w:val="00A7388A"/>
    <w:rsid w:val="00A73910"/>
    <w:rsid w:val="00A739CF"/>
    <w:rsid w:val="00A73A8F"/>
    <w:rsid w:val="00A73ACD"/>
    <w:rsid w:val="00A73B3C"/>
    <w:rsid w:val="00A73B60"/>
    <w:rsid w:val="00A73C01"/>
    <w:rsid w:val="00A73C28"/>
    <w:rsid w:val="00A73CAF"/>
    <w:rsid w:val="00A73DAC"/>
    <w:rsid w:val="00A73DE7"/>
    <w:rsid w:val="00A7407D"/>
    <w:rsid w:val="00A7423B"/>
    <w:rsid w:val="00A7435C"/>
    <w:rsid w:val="00A743E0"/>
    <w:rsid w:val="00A74405"/>
    <w:rsid w:val="00A744F2"/>
    <w:rsid w:val="00A745BA"/>
    <w:rsid w:val="00A74718"/>
    <w:rsid w:val="00A7476E"/>
    <w:rsid w:val="00A74789"/>
    <w:rsid w:val="00A748CE"/>
    <w:rsid w:val="00A748D9"/>
    <w:rsid w:val="00A74A29"/>
    <w:rsid w:val="00A74AA3"/>
    <w:rsid w:val="00A74D44"/>
    <w:rsid w:val="00A74E4A"/>
    <w:rsid w:val="00A74EE3"/>
    <w:rsid w:val="00A75191"/>
    <w:rsid w:val="00A75392"/>
    <w:rsid w:val="00A755CE"/>
    <w:rsid w:val="00A75886"/>
    <w:rsid w:val="00A759C4"/>
    <w:rsid w:val="00A75B2D"/>
    <w:rsid w:val="00A75D0E"/>
    <w:rsid w:val="00A75D54"/>
    <w:rsid w:val="00A75E41"/>
    <w:rsid w:val="00A76009"/>
    <w:rsid w:val="00A76178"/>
    <w:rsid w:val="00A76788"/>
    <w:rsid w:val="00A767A2"/>
    <w:rsid w:val="00A76996"/>
    <w:rsid w:val="00A76CAB"/>
    <w:rsid w:val="00A76CCF"/>
    <w:rsid w:val="00A76D3C"/>
    <w:rsid w:val="00A76D5E"/>
    <w:rsid w:val="00A76EEA"/>
    <w:rsid w:val="00A76F02"/>
    <w:rsid w:val="00A77096"/>
    <w:rsid w:val="00A771AE"/>
    <w:rsid w:val="00A7736A"/>
    <w:rsid w:val="00A775C6"/>
    <w:rsid w:val="00A77748"/>
    <w:rsid w:val="00A7777B"/>
    <w:rsid w:val="00A77781"/>
    <w:rsid w:val="00A77919"/>
    <w:rsid w:val="00A779A7"/>
    <w:rsid w:val="00A77A51"/>
    <w:rsid w:val="00A77C5A"/>
    <w:rsid w:val="00A77D20"/>
    <w:rsid w:val="00A80532"/>
    <w:rsid w:val="00A8058E"/>
    <w:rsid w:val="00A8065C"/>
    <w:rsid w:val="00A806E6"/>
    <w:rsid w:val="00A807A1"/>
    <w:rsid w:val="00A80950"/>
    <w:rsid w:val="00A80956"/>
    <w:rsid w:val="00A80B90"/>
    <w:rsid w:val="00A80BB0"/>
    <w:rsid w:val="00A80C23"/>
    <w:rsid w:val="00A80C54"/>
    <w:rsid w:val="00A80D9B"/>
    <w:rsid w:val="00A80EAF"/>
    <w:rsid w:val="00A80F67"/>
    <w:rsid w:val="00A81019"/>
    <w:rsid w:val="00A81025"/>
    <w:rsid w:val="00A81040"/>
    <w:rsid w:val="00A81592"/>
    <w:rsid w:val="00A815C1"/>
    <w:rsid w:val="00A815DC"/>
    <w:rsid w:val="00A815F6"/>
    <w:rsid w:val="00A8166D"/>
    <w:rsid w:val="00A819FF"/>
    <w:rsid w:val="00A81A3E"/>
    <w:rsid w:val="00A81AE4"/>
    <w:rsid w:val="00A81B98"/>
    <w:rsid w:val="00A81D39"/>
    <w:rsid w:val="00A81DD9"/>
    <w:rsid w:val="00A82010"/>
    <w:rsid w:val="00A82080"/>
    <w:rsid w:val="00A820AF"/>
    <w:rsid w:val="00A8216F"/>
    <w:rsid w:val="00A82193"/>
    <w:rsid w:val="00A82194"/>
    <w:rsid w:val="00A8220A"/>
    <w:rsid w:val="00A82384"/>
    <w:rsid w:val="00A82400"/>
    <w:rsid w:val="00A82414"/>
    <w:rsid w:val="00A8271F"/>
    <w:rsid w:val="00A827ED"/>
    <w:rsid w:val="00A828A3"/>
    <w:rsid w:val="00A82953"/>
    <w:rsid w:val="00A82A32"/>
    <w:rsid w:val="00A82B4A"/>
    <w:rsid w:val="00A82BBE"/>
    <w:rsid w:val="00A82D2B"/>
    <w:rsid w:val="00A83026"/>
    <w:rsid w:val="00A83118"/>
    <w:rsid w:val="00A831A1"/>
    <w:rsid w:val="00A83213"/>
    <w:rsid w:val="00A832C2"/>
    <w:rsid w:val="00A833F5"/>
    <w:rsid w:val="00A83446"/>
    <w:rsid w:val="00A83580"/>
    <w:rsid w:val="00A835C1"/>
    <w:rsid w:val="00A836EB"/>
    <w:rsid w:val="00A837D7"/>
    <w:rsid w:val="00A83919"/>
    <w:rsid w:val="00A83B41"/>
    <w:rsid w:val="00A83CC6"/>
    <w:rsid w:val="00A83D56"/>
    <w:rsid w:val="00A83EA0"/>
    <w:rsid w:val="00A83EAD"/>
    <w:rsid w:val="00A83F93"/>
    <w:rsid w:val="00A8420F"/>
    <w:rsid w:val="00A84394"/>
    <w:rsid w:val="00A8443A"/>
    <w:rsid w:val="00A845DF"/>
    <w:rsid w:val="00A845E8"/>
    <w:rsid w:val="00A84832"/>
    <w:rsid w:val="00A848CF"/>
    <w:rsid w:val="00A84983"/>
    <w:rsid w:val="00A84C06"/>
    <w:rsid w:val="00A84C7F"/>
    <w:rsid w:val="00A84CEF"/>
    <w:rsid w:val="00A84E32"/>
    <w:rsid w:val="00A84E5C"/>
    <w:rsid w:val="00A85092"/>
    <w:rsid w:val="00A85185"/>
    <w:rsid w:val="00A851B3"/>
    <w:rsid w:val="00A85386"/>
    <w:rsid w:val="00A853BA"/>
    <w:rsid w:val="00A85577"/>
    <w:rsid w:val="00A8575A"/>
    <w:rsid w:val="00A857E9"/>
    <w:rsid w:val="00A858BD"/>
    <w:rsid w:val="00A85B4B"/>
    <w:rsid w:val="00A85D00"/>
    <w:rsid w:val="00A85DD6"/>
    <w:rsid w:val="00A85DED"/>
    <w:rsid w:val="00A85F01"/>
    <w:rsid w:val="00A86374"/>
    <w:rsid w:val="00A863D5"/>
    <w:rsid w:val="00A86823"/>
    <w:rsid w:val="00A868E6"/>
    <w:rsid w:val="00A86ABA"/>
    <w:rsid w:val="00A87092"/>
    <w:rsid w:val="00A870F9"/>
    <w:rsid w:val="00A8710E"/>
    <w:rsid w:val="00A871A0"/>
    <w:rsid w:val="00A87208"/>
    <w:rsid w:val="00A87665"/>
    <w:rsid w:val="00A877BD"/>
    <w:rsid w:val="00A8790C"/>
    <w:rsid w:val="00A87AA8"/>
    <w:rsid w:val="00A87B0A"/>
    <w:rsid w:val="00A87B3B"/>
    <w:rsid w:val="00A87CAE"/>
    <w:rsid w:val="00A87D49"/>
    <w:rsid w:val="00A902A9"/>
    <w:rsid w:val="00A902E5"/>
    <w:rsid w:val="00A902EA"/>
    <w:rsid w:val="00A902FF"/>
    <w:rsid w:val="00A903A5"/>
    <w:rsid w:val="00A904C2"/>
    <w:rsid w:val="00A904D3"/>
    <w:rsid w:val="00A90594"/>
    <w:rsid w:val="00A906CF"/>
    <w:rsid w:val="00A906E0"/>
    <w:rsid w:val="00A9074D"/>
    <w:rsid w:val="00A909A6"/>
    <w:rsid w:val="00A909FF"/>
    <w:rsid w:val="00A90ACE"/>
    <w:rsid w:val="00A90C80"/>
    <w:rsid w:val="00A90CB5"/>
    <w:rsid w:val="00A90E79"/>
    <w:rsid w:val="00A90F5E"/>
    <w:rsid w:val="00A91110"/>
    <w:rsid w:val="00A9111F"/>
    <w:rsid w:val="00A91311"/>
    <w:rsid w:val="00A91449"/>
    <w:rsid w:val="00A9183F"/>
    <w:rsid w:val="00A918C9"/>
    <w:rsid w:val="00A9192C"/>
    <w:rsid w:val="00A919A7"/>
    <w:rsid w:val="00A919DA"/>
    <w:rsid w:val="00A91A2B"/>
    <w:rsid w:val="00A91AA5"/>
    <w:rsid w:val="00A91ADA"/>
    <w:rsid w:val="00A91FDA"/>
    <w:rsid w:val="00A920DE"/>
    <w:rsid w:val="00A921BE"/>
    <w:rsid w:val="00A9239D"/>
    <w:rsid w:val="00A923A5"/>
    <w:rsid w:val="00A92658"/>
    <w:rsid w:val="00A92874"/>
    <w:rsid w:val="00A9289A"/>
    <w:rsid w:val="00A928CD"/>
    <w:rsid w:val="00A929E3"/>
    <w:rsid w:val="00A92A33"/>
    <w:rsid w:val="00A92AB7"/>
    <w:rsid w:val="00A92CB9"/>
    <w:rsid w:val="00A92D5E"/>
    <w:rsid w:val="00A92D62"/>
    <w:rsid w:val="00A92F5F"/>
    <w:rsid w:val="00A930A9"/>
    <w:rsid w:val="00A930BB"/>
    <w:rsid w:val="00A931AB"/>
    <w:rsid w:val="00A932A6"/>
    <w:rsid w:val="00A932B8"/>
    <w:rsid w:val="00A93387"/>
    <w:rsid w:val="00A935BE"/>
    <w:rsid w:val="00A935E9"/>
    <w:rsid w:val="00A93670"/>
    <w:rsid w:val="00A9373E"/>
    <w:rsid w:val="00A937DA"/>
    <w:rsid w:val="00A937DF"/>
    <w:rsid w:val="00A937E1"/>
    <w:rsid w:val="00A93AA0"/>
    <w:rsid w:val="00A93BEC"/>
    <w:rsid w:val="00A93C43"/>
    <w:rsid w:val="00A93D5A"/>
    <w:rsid w:val="00A940DE"/>
    <w:rsid w:val="00A9414A"/>
    <w:rsid w:val="00A94214"/>
    <w:rsid w:val="00A942BE"/>
    <w:rsid w:val="00A94332"/>
    <w:rsid w:val="00A9434C"/>
    <w:rsid w:val="00A943FF"/>
    <w:rsid w:val="00A94506"/>
    <w:rsid w:val="00A9459F"/>
    <w:rsid w:val="00A946D1"/>
    <w:rsid w:val="00A94713"/>
    <w:rsid w:val="00A94732"/>
    <w:rsid w:val="00A94746"/>
    <w:rsid w:val="00A947AF"/>
    <w:rsid w:val="00A949FF"/>
    <w:rsid w:val="00A94AB2"/>
    <w:rsid w:val="00A94AD6"/>
    <w:rsid w:val="00A94D19"/>
    <w:rsid w:val="00A94D96"/>
    <w:rsid w:val="00A94F10"/>
    <w:rsid w:val="00A94F62"/>
    <w:rsid w:val="00A950A4"/>
    <w:rsid w:val="00A954A9"/>
    <w:rsid w:val="00A95688"/>
    <w:rsid w:val="00A95704"/>
    <w:rsid w:val="00A95754"/>
    <w:rsid w:val="00A95824"/>
    <w:rsid w:val="00A9586F"/>
    <w:rsid w:val="00A95904"/>
    <w:rsid w:val="00A95991"/>
    <w:rsid w:val="00A95A6E"/>
    <w:rsid w:val="00A95A9A"/>
    <w:rsid w:val="00A95AEA"/>
    <w:rsid w:val="00A95DF8"/>
    <w:rsid w:val="00A95E3E"/>
    <w:rsid w:val="00A95F59"/>
    <w:rsid w:val="00A95FA8"/>
    <w:rsid w:val="00A96358"/>
    <w:rsid w:val="00A9647A"/>
    <w:rsid w:val="00A9659D"/>
    <w:rsid w:val="00A966E4"/>
    <w:rsid w:val="00A9674E"/>
    <w:rsid w:val="00A967E0"/>
    <w:rsid w:val="00A96888"/>
    <w:rsid w:val="00A96A08"/>
    <w:rsid w:val="00A96B10"/>
    <w:rsid w:val="00A96B5D"/>
    <w:rsid w:val="00A96D0C"/>
    <w:rsid w:val="00A96D53"/>
    <w:rsid w:val="00A96D61"/>
    <w:rsid w:val="00A96DE9"/>
    <w:rsid w:val="00A96E8B"/>
    <w:rsid w:val="00A96E8F"/>
    <w:rsid w:val="00A970D9"/>
    <w:rsid w:val="00A97172"/>
    <w:rsid w:val="00A972A6"/>
    <w:rsid w:val="00A979D1"/>
    <w:rsid w:val="00A97A75"/>
    <w:rsid w:val="00A97CE9"/>
    <w:rsid w:val="00A97D39"/>
    <w:rsid w:val="00A97EB2"/>
    <w:rsid w:val="00A97F89"/>
    <w:rsid w:val="00A97F96"/>
    <w:rsid w:val="00AA004F"/>
    <w:rsid w:val="00AA0252"/>
    <w:rsid w:val="00AA0299"/>
    <w:rsid w:val="00AA03D8"/>
    <w:rsid w:val="00AA059A"/>
    <w:rsid w:val="00AA05A2"/>
    <w:rsid w:val="00AA067E"/>
    <w:rsid w:val="00AA06CC"/>
    <w:rsid w:val="00AA07CC"/>
    <w:rsid w:val="00AA09A6"/>
    <w:rsid w:val="00AA0E0F"/>
    <w:rsid w:val="00AA0ECE"/>
    <w:rsid w:val="00AA0ED9"/>
    <w:rsid w:val="00AA0F41"/>
    <w:rsid w:val="00AA0FFE"/>
    <w:rsid w:val="00AA1175"/>
    <w:rsid w:val="00AA132E"/>
    <w:rsid w:val="00AA13EA"/>
    <w:rsid w:val="00AA1425"/>
    <w:rsid w:val="00AA150E"/>
    <w:rsid w:val="00AA1518"/>
    <w:rsid w:val="00AA1597"/>
    <w:rsid w:val="00AA19BB"/>
    <w:rsid w:val="00AA1BC1"/>
    <w:rsid w:val="00AA1E2F"/>
    <w:rsid w:val="00AA1F2C"/>
    <w:rsid w:val="00AA1F40"/>
    <w:rsid w:val="00AA1F54"/>
    <w:rsid w:val="00AA2019"/>
    <w:rsid w:val="00AA2076"/>
    <w:rsid w:val="00AA20FC"/>
    <w:rsid w:val="00AA219F"/>
    <w:rsid w:val="00AA2271"/>
    <w:rsid w:val="00AA227B"/>
    <w:rsid w:val="00AA22DB"/>
    <w:rsid w:val="00AA23A2"/>
    <w:rsid w:val="00AA2406"/>
    <w:rsid w:val="00AA2577"/>
    <w:rsid w:val="00AA2644"/>
    <w:rsid w:val="00AA2674"/>
    <w:rsid w:val="00AA26F5"/>
    <w:rsid w:val="00AA2AAE"/>
    <w:rsid w:val="00AA2D48"/>
    <w:rsid w:val="00AA2D9B"/>
    <w:rsid w:val="00AA2FCD"/>
    <w:rsid w:val="00AA306C"/>
    <w:rsid w:val="00AA3134"/>
    <w:rsid w:val="00AA31FF"/>
    <w:rsid w:val="00AA3205"/>
    <w:rsid w:val="00AA32AD"/>
    <w:rsid w:val="00AA3481"/>
    <w:rsid w:val="00AA35A2"/>
    <w:rsid w:val="00AA36AE"/>
    <w:rsid w:val="00AA37C2"/>
    <w:rsid w:val="00AA392E"/>
    <w:rsid w:val="00AA393F"/>
    <w:rsid w:val="00AA3AAC"/>
    <w:rsid w:val="00AA3BE7"/>
    <w:rsid w:val="00AA3D70"/>
    <w:rsid w:val="00AA3D8B"/>
    <w:rsid w:val="00AA3E31"/>
    <w:rsid w:val="00AA4310"/>
    <w:rsid w:val="00AA43EC"/>
    <w:rsid w:val="00AA4413"/>
    <w:rsid w:val="00AA450C"/>
    <w:rsid w:val="00AA488D"/>
    <w:rsid w:val="00AA4CB0"/>
    <w:rsid w:val="00AA4F8D"/>
    <w:rsid w:val="00AA52EF"/>
    <w:rsid w:val="00AA533C"/>
    <w:rsid w:val="00AA5462"/>
    <w:rsid w:val="00AA549F"/>
    <w:rsid w:val="00AA55EB"/>
    <w:rsid w:val="00AA5622"/>
    <w:rsid w:val="00AA563A"/>
    <w:rsid w:val="00AA56D8"/>
    <w:rsid w:val="00AA593E"/>
    <w:rsid w:val="00AA5C08"/>
    <w:rsid w:val="00AA5C5F"/>
    <w:rsid w:val="00AA5D92"/>
    <w:rsid w:val="00AA5E94"/>
    <w:rsid w:val="00AA5EAA"/>
    <w:rsid w:val="00AA5FEE"/>
    <w:rsid w:val="00AA6004"/>
    <w:rsid w:val="00AA6211"/>
    <w:rsid w:val="00AA6271"/>
    <w:rsid w:val="00AA65F3"/>
    <w:rsid w:val="00AA6762"/>
    <w:rsid w:val="00AA6795"/>
    <w:rsid w:val="00AA68E8"/>
    <w:rsid w:val="00AA690D"/>
    <w:rsid w:val="00AA692A"/>
    <w:rsid w:val="00AA6990"/>
    <w:rsid w:val="00AA69BE"/>
    <w:rsid w:val="00AA6BB2"/>
    <w:rsid w:val="00AA6BFB"/>
    <w:rsid w:val="00AA6E6A"/>
    <w:rsid w:val="00AA6F10"/>
    <w:rsid w:val="00AA6F6F"/>
    <w:rsid w:val="00AA708D"/>
    <w:rsid w:val="00AA70F0"/>
    <w:rsid w:val="00AA71A0"/>
    <w:rsid w:val="00AA71D8"/>
    <w:rsid w:val="00AA738A"/>
    <w:rsid w:val="00AA74D3"/>
    <w:rsid w:val="00AA7533"/>
    <w:rsid w:val="00AA754F"/>
    <w:rsid w:val="00AA759D"/>
    <w:rsid w:val="00AA7832"/>
    <w:rsid w:val="00AA789A"/>
    <w:rsid w:val="00AA7969"/>
    <w:rsid w:val="00AA79A1"/>
    <w:rsid w:val="00AA79D5"/>
    <w:rsid w:val="00AA7D90"/>
    <w:rsid w:val="00AA7DE6"/>
    <w:rsid w:val="00AA7FDA"/>
    <w:rsid w:val="00AB0055"/>
    <w:rsid w:val="00AB005A"/>
    <w:rsid w:val="00AB0099"/>
    <w:rsid w:val="00AB0215"/>
    <w:rsid w:val="00AB03CA"/>
    <w:rsid w:val="00AB0580"/>
    <w:rsid w:val="00AB0638"/>
    <w:rsid w:val="00AB0C80"/>
    <w:rsid w:val="00AB0DB9"/>
    <w:rsid w:val="00AB0DFF"/>
    <w:rsid w:val="00AB1451"/>
    <w:rsid w:val="00AB1603"/>
    <w:rsid w:val="00AB1671"/>
    <w:rsid w:val="00AB1679"/>
    <w:rsid w:val="00AB1682"/>
    <w:rsid w:val="00AB1BD0"/>
    <w:rsid w:val="00AB1D23"/>
    <w:rsid w:val="00AB1D70"/>
    <w:rsid w:val="00AB1DB0"/>
    <w:rsid w:val="00AB1E95"/>
    <w:rsid w:val="00AB1F83"/>
    <w:rsid w:val="00AB1FA8"/>
    <w:rsid w:val="00AB1FD8"/>
    <w:rsid w:val="00AB1FED"/>
    <w:rsid w:val="00AB209F"/>
    <w:rsid w:val="00AB2203"/>
    <w:rsid w:val="00AB2267"/>
    <w:rsid w:val="00AB2374"/>
    <w:rsid w:val="00AB2384"/>
    <w:rsid w:val="00AB23B1"/>
    <w:rsid w:val="00AB23B6"/>
    <w:rsid w:val="00AB2673"/>
    <w:rsid w:val="00AB26F4"/>
    <w:rsid w:val="00AB273D"/>
    <w:rsid w:val="00AB27D8"/>
    <w:rsid w:val="00AB2E1A"/>
    <w:rsid w:val="00AB2E8C"/>
    <w:rsid w:val="00AB2FF6"/>
    <w:rsid w:val="00AB31B9"/>
    <w:rsid w:val="00AB31E5"/>
    <w:rsid w:val="00AB3559"/>
    <w:rsid w:val="00AB37B1"/>
    <w:rsid w:val="00AB3809"/>
    <w:rsid w:val="00AB38B8"/>
    <w:rsid w:val="00AB3AA0"/>
    <w:rsid w:val="00AB3AD3"/>
    <w:rsid w:val="00AB3D56"/>
    <w:rsid w:val="00AB3E3A"/>
    <w:rsid w:val="00AB3F24"/>
    <w:rsid w:val="00AB40B8"/>
    <w:rsid w:val="00AB41E6"/>
    <w:rsid w:val="00AB42BC"/>
    <w:rsid w:val="00AB455C"/>
    <w:rsid w:val="00AB4596"/>
    <w:rsid w:val="00AB47F8"/>
    <w:rsid w:val="00AB4861"/>
    <w:rsid w:val="00AB49D9"/>
    <w:rsid w:val="00AB4BB9"/>
    <w:rsid w:val="00AB4C52"/>
    <w:rsid w:val="00AB4C67"/>
    <w:rsid w:val="00AB4D17"/>
    <w:rsid w:val="00AB4DF3"/>
    <w:rsid w:val="00AB4FE6"/>
    <w:rsid w:val="00AB5072"/>
    <w:rsid w:val="00AB5090"/>
    <w:rsid w:val="00AB5097"/>
    <w:rsid w:val="00AB529A"/>
    <w:rsid w:val="00AB549E"/>
    <w:rsid w:val="00AB55B2"/>
    <w:rsid w:val="00AB56B1"/>
    <w:rsid w:val="00AB56BB"/>
    <w:rsid w:val="00AB589A"/>
    <w:rsid w:val="00AB5B4A"/>
    <w:rsid w:val="00AB5B91"/>
    <w:rsid w:val="00AB5CF5"/>
    <w:rsid w:val="00AB5CF9"/>
    <w:rsid w:val="00AB5D47"/>
    <w:rsid w:val="00AB5DE9"/>
    <w:rsid w:val="00AB5E53"/>
    <w:rsid w:val="00AB5F4B"/>
    <w:rsid w:val="00AB5FBF"/>
    <w:rsid w:val="00AB61C3"/>
    <w:rsid w:val="00AB61D3"/>
    <w:rsid w:val="00AB62AD"/>
    <w:rsid w:val="00AB639B"/>
    <w:rsid w:val="00AB6421"/>
    <w:rsid w:val="00AB6549"/>
    <w:rsid w:val="00AB6649"/>
    <w:rsid w:val="00AB668B"/>
    <w:rsid w:val="00AB6AC9"/>
    <w:rsid w:val="00AB6ACD"/>
    <w:rsid w:val="00AB6B01"/>
    <w:rsid w:val="00AB6BDE"/>
    <w:rsid w:val="00AB6D1D"/>
    <w:rsid w:val="00AB6DAA"/>
    <w:rsid w:val="00AB6DAB"/>
    <w:rsid w:val="00AB6E6F"/>
    <w:rsid w:val="00AB6F4A"/>
    <w:rsid w:val="00AB6FD7"/>
    <w:rsid w:val="00AB70FC"/>
    <w:rsid w:val="00AB71CF"/>
    <w:rsid w:val="00AB71D9"/>
    <w:rsid w:val="00AB7472"/>
    <w:rsid w:val="00AB75F2"/>
    <w:rsid w:val="00AB77C6"/>
    <w:rsid w:val="00AB77EB"/>
    <w:rsid w:val="00AB7836"/>
    <w:rsid w:val="00AB789E"/>
    <w:rsid w:val="00AB7A8E"/>
    <w:rsid w:val="00AB7BEE"/>
    <w:rsid w:val="00AB7CE5"/>
    <w:rsid w:val="00AB7D28"/>
    <w:rsid w:val="00AB7D58"/>
    <w:rsid w:val="00AC01AB"/>
    <w:rsid w:val="00AC0333"/>
    <w:rsid w:val="00AC033D"/>
    <w:rsid w:val="00AC0423"/>
    <w:rsid w:val="00AC049D"/>
    <w:rsid w:val="00AC06B9"/>
    <w:rsid w:val="00AC0900"/>
    <w:rsid w:val="00AC0A1A"/>
    <w:rsid w:val="00AC0A2F"/>
    <w:rsid w:val="00AC0CF0"/>
    <w:rsid w:val="00AC0E46"/>
    <w:rsid w:val="00AC0F69"/>
    <w:rsid w:val="00AC165B"/>
    <w:rsid w:val="00AC17B9"/>
    <w:rsid w:val="00AC183C"/>
    <w:rsid w:val="00AC199D"/>
    <w:rsid w:val="00AC1A08"/>
    <w:rsid w:val="00AC204C"/>
    <w:rsid w:val="00AC208C"/>
    <w:rsid w:val="00AC21A3"/>
    <w:rsid w:val="00AC21F0"/>
    <w:rsid w:val="00AC2531"/>
    <w:rsid w:val="00AC287E"/>
    <w:rsid w:val="00AC2A3B"/>
    <w:rsid w:val="00AC2A77"/>
    <w:rsid w:val="00AC2C00"/>
    <w:rsid w:val="00AC2EEE"/>
    <w:rsid w:val="00AC304C"/>
    <w:rsid w:val="00AC3073"/>
    <w:rsid w:val="00AC3105"/>
    <w:rsid w:val="00AC321A"/>
    <w:rsid w:val="00AC3223"/>
    <w:rsid w:val="00AC3531"/>
    <w:rsid w:val="00AC3557"/>
    <w:rsid w:val="00AC3670"/>
    <w:rsid w:val="00AC3679"/>
    <w:rsid w:val="00AC36ED"/>
    <w:rsid w:val="00AC3965"/>
    <w:rsid w:val="00AC39DC"/>
    <w:rsid w:val="00AC3C6F"/>
    <w:rsid w:val="00AC3D0E"/>
    <w:rsid w:val="00AC3D91"/>
    <w:rsid w:val="00AC3F88"/>
    <w:rsid w:val="00AC41C4"/>
    <w:rsid w:val="00AC4320"/>
    <w:rsid w:val="00AC447E"/>
    <w:rsid w:val="00AC4499"/>
    <w:rsid w:val="00AC4625"/>
    <w:rsid w:val="00AC4660"/>
    <w:rsid w:val="00AC4745"/>
    <w:rsid w:val="00AC48FB"/>
    <w:rsid w:val="00AC4943"/>
    <w:rsid w:val="00AC49AE"/>
    <w:rsid w:val="00AC4A11"/>
    <w:rsid w:val="00AC4AC4"/>
    <w:rsid w:val="00AC4B1C"/>
    <w:rsid w:val="00AC4BFB"/>
    <w:rsid w:val="00AC4CB7"/>
    <w:rsid w:val="00AC4CEA"/>
    <w:rsid w:val="00AC4F4A"/>
    <w:rsid w:val="00AC501F"/>
    <w:rsid w:val="00AC5105"/>
    <w:rsid w:val="00AC51C3"/>
    <w:rsid w:val="00AC5213"/>
    <w:rsid w:val="00AC5228"/>
    <w:rsid w:val="00AC53AF"/>
    <w:rsid w:val="00AC542D"/>
    <w:rsid w:val="00AC5728"/>
    <w:rsid w:val="00AC57AE"/>
    <w:rsid w:val="00AC5878"/>
    <w:rsid w:val="00AC598B"/>
    <w:rsid w:val="00AC598F"/>
    <w:rsid w:val="00AC5B77"/>
    <w:rsid w:val="00AC5D7F"/>
    <w:rsid w:val="00AC5F9C"/>
    <w:rsid w:val="00AC60DD"/>
    <w:rsid w:val="00AC6142"/>
    <w:rsid w:val="00AC61ED"/>
    <w:rsid w:val="00AC6233"/>
    <w:rsid w:val="00AC666C"/>
    <w:rsid w:val="00AC69FE"/>
    <w:rsid w:val="00AC6B1F"/>
    <w:rsid w:val="00AC6B7F"/>
    <w:rsid w:val="00AC6BFB"/>
    <w:rsid w:val="00AC6D0C"/>
    <w:rsid w:val="00AC6D6E"/>
    <w:rsid w:val="00AC6E76"/>
    <w:rsid w:val="00AC6F1B"/>
    <w:rsid w:val="00AC714E"/>
    <w:rsid w:val="00AC724E"/>
    <w:rsid w:val="00AC72CA"/>
    <w:rsid w:val="00AC7346"/>
    <w:rsid w:val="00AC7579"/>
    <w:rsid w:val="00AC785C"/>
    <w:rsid w:val="00AC78C8"/>
    <w:rsid w:val="00AC7B39"/>
    <w:rsid w:val="00AC7B72"/>
    <w:rsid w:val="00AC7BCD"/>
    <w:rsid w:val="00AC7C8E"/>
    <w:rsid w:val="00AC7CBA"/>
    <w:rsid w:val="00AC7CF6"/>
    <w:rsid w:val="00AC7D10"/>
    <w:rsid w:val="00AD001C"/>
    <w:rsid w:val="00AD0084"/>
    <w:rsid w:val="00AD01C3"/>
    <w:rsid w:val="00AD04F7"/>
    <w:rsid w:val="00AD085E"/>
    <w:rsid w:val="00AD09CF"/>
    <w:rsid w:val="00AD0CA9"/>
    <w:rsid w:val="00AD0D32"/>
    <w:rsid w:val="00AD0DA0"/>
    <w:rsid w:val="00AD0F7D"/>
    <w:rsid w:val="00AD0FBA"/>
    <w:rsid w:val="00AD11C9"/>
    <w:rsid w:val="00AD126B"/>
    <w:rsid w:val="00AD1364"/>
    <w:rsid w:val="00AD13DA"/>
    <w:rsid w:val="00AD1613"/>
    <w:rsid w:val="00AD1696"/>
    <w:rsid w:val="00AD188B"/>
    <w:rsid w:val="00AD18DB"/>
    <w:rsid w:val="00AD1960"/>
    <w:rsid w:val="00AD19B9"/>
    <w:rsid w:val="00AD1B00"/>
    <w:rsid w:val="00AD1C6C"/>
    <w:rsid w:val="00AD1D8C"/>
    <w:rsid w:val="00AD1E82"/>
    <w:rsid w:val="00AD1FE9"/>
    <w:rsid w:val="00AD2081"/>
    <w:rsid w:val="00AD2195"/>
    <w:rsid w:val="00AD22C1"/>
    <w:rsid w:val="00AD22F0"/>
    <w:rsid w:val="00AD2404"/>
    <w:rsid w:val="00AD2463"/>
    <w:rsid w:val="00AD2475"/>
    <w:rsid w:val="00AD25C2"/>
    <w:rsid w:val="00AD264C"/>
    <w:rsid w:val="00AD266B"/>
    <w:rsid w:val="00AD27E7"/>
    <w:rsid w:val="00AD281B"/>
    <w:rsid w:val="00AD2892"/>
    <w:rsid w:val="00AD2917"/>
    <w:rsid w:val="00AD2A15"/>
    <w:rsid w:val="00AD2BDC"/>
    <w:rsid w:val="00AD2C52"/>
    <w:rsid w:val="00AD2D3D"/>
    <w:rsid w:val="00AD2EFA"/>
    <w:rsid w:val="00AD2F5F"/>
    <w:rsid w:val="00AD30BC"/>
    <w:rsid w:val="00AD33D3"/>
    <w:rsid w:val="00AD3592"/>
    <w:rsid w:val="00AD3673"/>
    <w:rsid w:val="00AD36DE"/>
    <w:rsid w:val="00AD3798"/>
    <w:rsid w:val="00AD3A5A"/>
    <w:rsid w:val="00AD3B56"/>
    <w:rsid w:val="00AD3B9A"/>
    <w:rsid w:val="00AD3CA1"/>
    <w:rsid w:val="00AD3EDA"/>
    <w:rsid w:val="00AD3F6F"/>
    <w:rsid w:val="00AD3FD8"/>
    <w:rsid w:val="00AD403F"/>
    <w:rsid w:val="00AD42AE"/>
    <w:rsid w:val="00AD42CF"/>
    <w:rsid w:val="00AD4304"/>
    <w:rsid w:val="00AD4318"/>
    <w:rsid w:val="00AD4393"/>
    <w:rsid w:val="00AD44A0"/>
    <w:rsid w:val="00AD466E"/>
    <w:rsid w:val="00AD4702"/>
    <w:rsid w:val="00AD4823"/>
    <w:rsid w:val="00AD4A5A"/>
    <w:rsid w:val="00AD4AEB"/>
    <w:rsid w:val="00AD4CC1"/>
    <w:rsid w:val="00AD4D70"/>
    <w:rsid w:val="00AD4E88"/>
    <w:rsid w:val="00AD50B5"/>
    <w:rsid w:val="00AD5212"/>
    <w:rsid w:val="00AD5409"/>
    <w:rsid w:val="00AD571D"/>
    <w:rsid w:val="00AD5766"/>
    <w:rsid w:val="00AD57C1"/>
    <w:rsid w:val="00AD5C29"/>
    <w:rsid w:val="00AD5EBA"/>
    <w:rsid w:val="00AD5FE0"/>
    <w:rsid w:val="00AD604F"/>
    <w:rsid w:val="00AD62C7"/>
    <w:rsid w:val="00AD62CB"/>
    <w:rsid w:val="00AD65A0"/>
    <w:rsid w:val="00AD65A3"/>
    <w:rsid w:val="00AD663A"/>
    <w:rsid w:val="00AD664F"/>
    <w:rsid w:val="00AD670A"/>
    <w:rsid w:val="00AD6773"/>
    <w:rsid w:val="00AD6879"/>
    <w:rsid w:val="00AD6C03"/>
    <w:rsid w:val="00AD6D40"/>
    <w:rsid w:val="00AD6EDC"/>
    <w:rsid w:val="00AD6F4B"/>
    <w:rsid w:val="00AD71CF"/>
    <w:rsid w:val="00AD75EB"/>
    <w:rsid w:val="00AD77A6"/>
    <w:rsid w:val="00AD77C8"/>
    <w:rsid w:val="00AD7A20"/>
    <w:rsid w:val="00AD7D49"/>
    <w:rsid w:val="00AD7E65"/>
    <w:rsid w:val="00AD7EBC"/>
    <w:rsid w:val="00AE01DE"/>
    <w:rsid w:val="00AE06BE"/>
    <w:rsid w:val="00AE0843"/>
    <w:rsid w:val="00AE095E"/>
    <w:rsid w:val="00AE0CE6"/>
    <w:rsid w:val="00AE0D1C"/>
    <w:rsid w:val="00AE0E1D"/>
    <w:rsid w:val="00AE0E2B"/>
    <w:rsid w:val="00AE0F2C"/>
    <w:rsid w:val="00AE0FC5"/>
    <w:rsid w:val="00AE115A"/>
    <w:rsid w:val="00AE11BB"/>
    <w:rsid w:val="00AE1276"/>
    <w:rsid w:val="00AE1719"/>
    <w:rsid w:val="00AE17F6"/>
    <w:rsid w:val="00AE197E"/>
    <w:rsid w:val="00AE19ED"/>
    <w:rsid w:val="00AE1A2E"/>
    <w:rsid w:val="00AE1D14"/>
    <w:rsid w:val="00AE230F"/>
    <w:rsid w:val="00AE24CC"/>
    <w:rsid w:val="00AE266E"/>
    <w:rsid w:val="00AE2719"/>
    <w:rsid w:val="00AE274A"/>
    <w:rsid w:val="00AE278C"/>
    <w:rsid w:val="00AE2AB7"/>
    <w:rsid w:val="00AE2EDD"/>
    <w:rsid w:val="00AE2EF6"/>
    <w:rsid w:val="00AE2FD9"/>
    <w:rsid w:val="00AE30BF"/>
    <w:rsid w:val="00AE30FB"/>
    <w:rsid w:val="00AE3163"/>
    <w:rsid w:val="00AE3204"/>
    <w:rsid w:val="00AE324C"/>
    <w:rsid w:val="00AE359D"/>
    <w:rsid w:val="00AE35FF"/>
    <w:rsid w:val="00AE39A8"/>
    <w:rsid w:val="00AE3AEB"/>
    <w:rsid w:val="00AE3B04"/>
    <w:rsid w:val="00AE3B8E"/>
    <w:rsid w:val="00AE3BFD"/>
    <w:rsid w:val="00AE3C45"/>
    <w:rsid w:val="00AE3DE8"/>
    <w:rsid w:val="00AE40C4"/>
    <w:rsid w:val="00AE4105"/>
    <w:rsid w:val="00AE4522"/>
    <w:rsid w:val="00AE484D"/>
    <w:rsid w:val="00AE48D6"/>
    <w:rsid w:val="00AE495E"/>
    <w:rsid w:val="00AE4982"/>
    <w:rsid w:val="00AE4A12"/>
    <w:rsid w:val="00AE4A2D"/>
    <w:rsid w:val="00AE4A90"/>
    <w:rsid w:val="00AE4ADE"/>
    <w:rsid w:val="00AE4BD3"/>
    <w:rsid w:val="00AE4BF5"/>
    <w:rsid w:val="00AE4C8B"/>
    <w:rsid w:val="00AE4DBD"/>
    <w:rsid w:val="00AE4EED"/>
    <w:rsid w:val="00AE5143"/>
    <w:rsid w:val="00AE5197"/>
    <w:rsid w:val="00AE538A"/>
    <w:rsid w:val="00AE54C9"/>
    <w:rsid w:val="00AE5501"/>
    <w:rsid w:val="00AE5630"/>
    <w:rsid w:val="00AE56A7"/>
    <w:rsid w:val="00AE56BC"/>
    <w:rsid w:val="00AE5715"/>
    <w:rsid w:val="00AE571F"/>
    <w:rsid w:val="00AE57DE"/>
    <w:rsid w:val="00AE5878"/>
    <w:rsid w:val="00AE5C5A"/>
    <w:rsid w:val="00AE5E04"/>
    <w:rsid w:val="00AE5E64"/>
    <w:rsid w:val="00AE5E84"/>
    <w:rsid w:val="00AE5EDB"/>
    <w:rsid w:val="00AE60CB"/>
    <w:rsid w:val="00AE6163"/>
    <w:rsid w:val="00AE616A"/>
    <w:rsid w:val="00AE61E7"/>
    <w:rsid w:val="00AE6231"/>
    <w:rsid w:val="00AE6381"/>
    <w:rsid w:val="00AE641D"/>
    <w:rsid w:val="00AE64B6"/>
    <w:rsid w:val="00AE66D5"/>
    <w:rsid w:val="00AE68A4"/>
    <w:rsid w:val="00AE6AA7"/>
    <w:rsid w:val="00AE6C28"/>
    <w:rsid w:val="00AE6C79"/>
    <w:rsid w:val="00AE6C98"/>
    <w:rsid w:val="00AE6D9F"/>
    <w:rsid w:val="00AE6F30"/>
    <w:rsid w:val="00AE6FC7"/>
    <w:rsid w:val="00AE7032"/>
    <w:rsid w:val="00AE714D"/>
    <w:rsid w:val="00AE7168"/>
    <w:rsid w:val="00AE727B"/>
    <w:rsid w:val="00AE739D"/>
    <w:rsid w:val="00AE7504"/>
    <w:rsid w:val="00AE767E"/>
    <w:rsid w:val="00AE79D3"/>
    <w:rsid w:val="00AE79E5"/>
    <w:rsid w:val="00AE7D8C"/>
    <w:rsid w:val="00AE7E8C"/>
    <w:rsid w:val="00AE7F09"/>
    <w:rsid w:val="00AF000B"/>
    <w:rsid w:val="00AF007A"/>
    <w:rsid w:val="00AF010F"/>
    <w:rsid w:val="00AF012E"/>
    <w:rsid w:val="00AF014D"/>
    <w:rsid w:val="00AF0276"/>
    <w:rsid w:val="00AF045A"/>
    <w:rsid w:val="00AF073D"/>
    <w:rsid w:val="00AF077C"/>
    <w:rsid w:val="00AF0801"/>
    <w:rsid w:val="00AF085D"/>
    <w:rsid w:val="00AF09C8"/>
    <w:rsid w:val="00AF0C91"/>
    <w:rsid w:val="00AF0CA4"/>
    <w:rsid w:val="00AF0CD9"/>
    <w:rsid w:val="00AF0D72"/>
    <w:rsid w:val="00AF0E0A"/>
    <w:rsid w:val="00AF11B1"/>
    <w:rsid w:val="00AF12D7"/>
    <w:rsid w:val="00AF13DB"/>
    <w:rsid w:val="00AF14DF"/>
    <w:rsid w:val="00AF14FC"/>
    <w:rsid w:val="00AF1873"/>
    <w:rsid w:val="00AF1C42"/>
    <w:rsid w:val="00AF1C57"/>
    <w:rsid w:val="00AF1E11"/>
    <w:rsid w:val="00AF204F"/>
    <w:rsid w:val="00AF2068"/>
    <w:rsid w:val="00AF20DB"/>
    <w:rsid w:val="00AF25C5"/>
    <w:rsid w:val="00AF2745"/>
    <w:rsid w:val="00AF27ED"/>
    <w:rsid w:val="00AF290C"/>
    <w:rsid w:val="00AF2926"/>
    <w:rsid w:val="00AF29C3"/>
    <w:rsid w:val="00AF2A3E"/>
    <w:rsid w:val="00AF2A40"/>
    <w:rsid w:val="00AF2CF1"/>
    <w:rsid w:val="00AF2D64"/>
    <w:rsid w:val="00AF2E92"/>
    <w:rsid w:val="00AF2F4A"/>
    <w:rsid w:val="00AF2F9D"/>
    <w:rsid w:val="00AF3256"/>
    <w:rsid w:val="00AF326C"/>
    <w:rsid w:val="00AF32E2"/>
    <w:rsid w:val="00AF34F8"/>
    <w:rsid w:val="00AF3616"/>
    <w:rsid w:val="00AF36DB"/>
    <w:rsid w:val="00AF3702"/>
    <w:rsid w:val="00AF3934"/>
    <w:rsid w:val="00AF3A9B"/>
    <w:rsid w:val="00AF3DC8"/>
    <w:rsid w:val="00AF3E56"/>
    <w:rsid w:val="00AF3EF0"/>
    <w:rsid w:val="00AF40BA"/>
    <w:rsid w:val="00AF414A"/>
    <w:rsid w:val="00AF41BD"/>
    <w:rsid w:val="00AF42C3"/>
    <w:rsid w:val="00AF42D5"/>
    <w:rsid w:val="00AF42E9"/>
    <w:rsid w:val="00AF43C8"/>
    <w:rsid w:val="00AF43F4"/>
    <w:rsid w:val="00AF4630"/>
    <w:rsid w:val="00AF46A1"/>
    <w:rsid w:val="00AF46F3"/>
    <w:rsid w:val="00AF4764"/>
    <w:rsid w:val="00AF48C5"/>
    <w:rsid w:val="00AF498E"/>
    <w:rsid w:val="00AF4A07"/>
    <w:rsid w:val="00AF4A3B"/>
    <w:rsid w:val="00AF4BD2"/>
    <w:rsid w:val="00AF4C06"/>
    <w:rsid w:val="00AF4C61"/>
    <w:rsid w:val="00AF4D5E"/>
    <w:rsid w:val="00AF4E15"/>
    <w:rsid w:val="00AF4E5A"/>
    <w:rsid w:val="00AF5025"/>
    <w:rsid w:val="00AF5085"/>
    <w:rsid w:val="00AF51A9"/>
    <w:rsid w:val="00AF51C3"/>
    <w:rsid w:val="00AF5388"/>
    <w:rsid w:val="00AF53DB"/>
    <w:rsid w:val="00AF5442"/>
    <w:rsid w:val="00AF5527"/>
    <w:rsid w:val="00AF552E"/>
    <w:rsid w:val="00AF5820"/>
    <w:rsid w:val="00AF585F"/>
    <w:rsid w:val="00AF586E"/>
    <w:rsid w:val="00AF5ABC"/>
    <w:rsid w:val="00AF5B05"/>
    <w:rsid w:val="00AF5C6E"/>
    <w:rsid w:val="00AF5CFF"/>
    <w:rsid w:val="00AF5D6C"/>
    <w:rsid w:val="00AF5D7A"/>
    <w:rsid w:val="00AF604D"/>
    <w:rsid w:val="00AF651C"/>
    <w:rsid w:val="00AF6649"/>
    <w:rsid w:val="00AF6754"/>
    <w:rsid w:val="00AF69BB"/>
    <w:rsid w:val="00AF6CC4"/>
    <w:rsid w:val="00AF6DDC"/>
    <w:rsid w:val="00AF6E90"/>
    <w:rsid w:val="00AF6FC3"/>
    <w:rsid w:val="00AF7376"/>
    <w:rsid w:val="00AF740B"/>
    <w:rsid w:val="00AF76FE"/>
    <w:rsid w:val="00AF7743"/>
    <w:rsid w:val="00AF77DC"/>
    <w:rsid w:val="00AF77F7"/>
    <w:rsid w:val="00AF7805"/>
    <w:rsid w:val="00AF7812"/>
    <w:rsid w:val="00AF79C0"/>
    <w:rsid w:val="00AF7A30"/>
    <w:rsid w:val="00AF7B41"/>
    <w:rsid w:val="00AF7B69"/>
    <w:rsid w:val="00AF7B8E"/>
    <w:rsid w:val="00AF7CA3"/>
    <w:rsid w:val="00AF7CAD"/>
    <w:rsid w:val="00AF7D53"/>
    <w:rsid w:val="00AF7F45"/>
    <w:rsid w:val="00B000BD"/>
    <w:rsid w:val="00B0025D"/>
    <w:rsid w:val="00B00310"/>
    <w:rsid w:val="00B00383"/>
    <w:rsid w:val="00B005F0"/>
    <w:rsid w:val="00B006CB"/>
    <w:rsid w:val="00B006F6"/>
    <w:rsid w:val="00B00777"/>
    <w:rsid w:val="00B00819"/>
    <w:rsid w:val="00B0091D"/>
    <w:rsid w:val="00B00A19"/>
    <w:rsid w:val="00B00CD4"/>
    <w:rsid w:val="00B00D66"/>
    <w:rsid w:val="00B00D90"/>
    <w:rsid w:val="00B00DCF"/>
    <w:rsid w:val="00B00DFB"/>
    <w:rsid w:val="00B00EC1"/>
    <w:rsid w:val="00B00EC5"/>
    <w:rsid w:val="00B00FAD"/>
    <w:rsid w:val="00B00FE0"/>
    <w:rsid w:val="00B0135B"/>
    <w:rsid w:val="00B013C6"/>
    <w:rsid w:val="00B01449"/>
    <w:rsid w:val="00B014F7"/>
    <w:rsid w:val="00B014FB"/>
    <w:rsid w:val="00B0156E"/>
    <w:rsid w:val="00B0162E"/>
    <w:rsid w:val="00B01824"/>
    <w:rsid w:val="00B0187E"/>
    <w:rsid w:val="00B018FE"/>
    <w:rsid w:val="00B0190B"/>
    <w:rsid w:val="00B01B1B"/>
    <w:rsid w:val="00B01B50"/>
    <w:rsid w:val="00B01B5A"/>
    <w:rsid w:val="00B01BB3"/>
    <w:rsid w:val="00B01BDD"/>
    <w:rsid w:val="00B01BF3"/>
    <w:rsid w:val="00B01DC8"/>
    <w:rsid w:val="00B01DE3"/>
    <w:rsid w:val="00B01E00"/>
    <w:rsid w:val="00B01E1A"/>
    <w:rsid w:val="00B01E55"/>
    <w:rsid w:val="00B02080"/>
    <w:rsid w:val="00B020B2"/>
    <w:rsid w:val="00B0213B"/>
    <w:rsid w:val="00B0224B"/>
    <w:rsid w:val="00B024EF"/>
    <w:rsid w:val="00B025DC"/>
    <w:rsid w:val="00B027B5"/>
    <w:rsid w:val="00B02842"/>
    <w:rsid w:val="00B0285B"/>
    <w:rsid w:val="00B02E97"/>
    <w:rsid w:val="00B02ECF"/>
    <w:rsid w:val="00B0322C"/>
    <w:rsid w:val="00B0332E"/>
    <w:rsid w:val="00B034DE"/>
    <w:rsid w:val="00B036F5"/>
    <w:rsid w:val="00B03776"/>
    <w:rsid w:val="00B038E7"/>
    <w:rsid w:val="00B039C7"/>
    <w:rsid w:val="00B03B59"/>
    <w:rsid w:val="00B03B72"/>
    <w:rsid w:val="00B03C70"/>
    <w:rsid w:val="00B03C79"/>
    <w:rsid w:val="00B041D4"/>
    <w:rsid w:val="00B0427D"/>
    <w:rsid w:val="00B0444E"/>
    <w:rsid w:val="00B04502"/>
    <w:rsid w:val="00B0455D"/>
    <w:rsid w:val="00B048C1"/>
    <w:rsid w:val="00B048D2"/>
    <w:rsid w:val="00B04927"/>
    <w:rsid w:val="00B04B9D"/>
    <w:rsid w:val="00B04BD0"/>
    <w:rsid w:val="00B04C2A"/>
    <w:rsid w:val="00B04CCC"/>
    <w:rsid w:val="00B05005"/>
    <w:rsid w:val="00B05007"/>
    <w:rsid w:val="00B05103"/>
    <w:rsid w:val="00B0517D"/>
    <w:rsid w:val="00B05193"/>
    <w:rsid w:val="00B054FA"/>
    <w:rsid w:val="00B05540"/>
    <w:rsid w:val="00B05545"/>
    <w:rsid w:val="00B05828"/>
    <w:rsid w:val="00B05A8A"/>
    <w:rsid w:val="00B05B5A"/>
    <w:rsid w:val="00B05BCA"/>
    <w:rsid w:val="00B05C9B"/>
    <w:rsid w:val="00B05DBF"/>
    <w:rsid w:val="00B06074"/>
    <w:rsid w:val="00B065D1"/>
    <w:rsid w:val="00B06798"/>
    <w:rsid w:val="00B06806"/>
    <w:rsid w:val="00B068EC"/>
    <w:rsid w:val="00B068F6"/>
    <w:rsid w:val="00B06B11"/>
    <w:rsid w:val="00B06C85"/>
    <w:rsid w:val="00B06DA5"/>
    <w:rsid w:val="00B07129"/>
    <w:rsid w:val="00B071A1"/>
    <w:rsid w:val="00B0731F"/>
    <w:rsid w:val="00B0732B"/>
    <w:rsid w:val="00B0760D"/>
    <w:rsid w:val="00B0771C"/>
    <w:rsid w:val="00B077B4"/>
    <w:rsid w:val="00B078E1"/>
    <w:rsid w:val="00B07A4D"/>
    <w:rsid w:val="00B07AF6"/>
    <w:rsid w:val="00B07C16"/>
    <w:rsid w:val="00B07D41"/>
    <w:rsid w:val="00B07F05"/>
    <w:rsid w:val="00B1001D"/>
    <w:rsid w:val="00B1012B"/>
    <w:rsid w:val="00B101C1"/>
    <w:rsid w:val="00B10499"/>
    <w:rsid w:val="00B107CB"/>
    <w:rsid w:val="00B1088B"/>
    <w:rsid w:val="00B10896"/>
    <w:rsid w:val="00B1098E"/>
    <w:rsid w:val="00B10A9F"/>
    <w:rsid w:val="00B10AD9"/>
    <w:rsid w:val="00B10D31"/>
    <w:rsid w:val="00B111A2"/>
    <w:rsid w:val="00B113D0"/>
    <w:rsid w:val="00B11416"/>
    <w:rsid w:val="00B114A2"/>
    <w:rsid w:val="00B1156D"/>
    <w:rsid w:val="00B1181E"/>
    <w:rsid w:val="00B119C6"/>
    <w:rsid w:val="00B11B1D"/>
    <w:rsid w:val="00B11B23"/>
    <w:rsid w:val="00B11C25"/>
    <w:rsid w:val="00B11F19"/>
    <w:rsid w:val="00B12119"/>
    <w:rsid w:val="00B1213C"/>
    <w:rsid w:val="00B123CD"/>
    <w:rsid w:val="00B12493"/>
    <w:rsid w:val="00B125F2"/>
    <w:rsid w:val="00B125F3"/>
    <w:rsid w:val="00B12634"/>
    <w:rsid w:val="00B126EE"/>
    <w:rsid w:val="00B127A3"/>
    <w:rsid w:val="00B12888"/>
    <w:rsid w:val="00B1295A"/>
    <w:rsid w:val="00B12C84"/>
    <w:rsid w:val="00B12E03"/>
    <w:rsid w:val="00B12E60"/>
    <w:rsid w:val="00B131B0"/>
    <w:rsid w:val="00B131D3"/>
    <w:rsid w:val="00B1325B"/>
    <w:rsid w:val="00B132AC"/>
    <w:rsid w:val="00B132F4"/>
    <w:rsid w:val="00B13441"/>
    <w:rsid w:val="00B1359B"/>
    <w:rsid w:val="00B13998"/>
    <w:rsid w:val="00B13B6A"/>
    <w:rsid w:val="00B13F0A"/>
    <w:rsid w:val="00B13F77"/>
    <w:rsid w:val="00B140BA"/>
    <w:rsid w:val="00B140BF"/>
    <w:rsid w:val="00B14405"/>
    <w:rsid w:val="00B145F8"/>
    <w:rsid w:val="00B1469F"/>
    <w:rsid w:val="00B146C9"/>
    <w:rsid w:val="00B148AD"/>
    <w:rsid w:val="00B14B97"/>
    <w:rsid w:val="00B14C1A"/>
    <w:rsid w:val="00B15079"/>
    <w:rsid w:val="00B15225"/>
    <w:rsid w:val="00B152F3"/>
    <w:rsid w:val="00B154D8"/>
    <w:rsid w:val="00B1556A"/>
    <w:rsid w:val="00B1558C"/>
    <w:rsid w:val="00B1564F"/>
    <w:rsid w:val="00B156E8"/>
    <w:rsid w:val="00B1573A"/>
    <w:rsid w:val="00B1577D"/>
    <w:rsid w:val="00B157F8"/>
    <w:rsid w:val="00B15857"/>
    <w:rsid w:val="00B15AB6"/>
    <w:rsid w:val="00B15B62"/>
    <w:rsid w:val="00B15CDA"/>
    <w:rsid w:val="00B15DFC"/>
    <w:rsid w:val="00B1634C"/>
    <w:rsid w:val="00B164B2"/>
    <w:rsid w:val="00B166D4"/>
    <w:rsid w:val="00B1694D"/>
    <w:rsid w:val="00B16B2B"/>
    <w:rsid w:val="00B16D69"/>
    <w:rsid w:val="00B16F81"/>
    <w:rsid w:val="00B1706B"/>
    <w:rsid w:val="00B171FF"/>
    <w:rsid w:val="00B17273"/>
    <w:rsid w:val="00B17436"/>
    <w:rsid w:val="00B1757A"/>
    <w:rsid w:val="00B175B3"/>
    <w:rsid w:val="00B175FB"/>
    <w:rsid w:val="00B1762D"/>
    <w:rsid w:val="00B176D2"/>
    <w:rsid w:val="00B177C6"/>
    <w:rsid w:val="00B17A10"/>
    <w:rsid w:val="00B17A2C"/>
    <w:rsid w:val="00B17B70"/>
    <w:rsid w:val="00B17C1E"/>
    <w:rsid w:val="00B17C8E"/>
    <w:rsid w:val="00B17D5A"/>
    <w:rsid w:val="00B17E73"/>
    <w:rsid w:val="00B17EC2"/>
    <w:rsid w:val="00B17FA2"/>
    <w:rsid w:val="00B200C0"/>
    <w:rsid w:val="00B20226"/>
    <w:rsid w:val="00B202CE"/>
    <w:rsid w:val="00B20363"/>
    <w:rsid w:val="00B203B9"/>
    <w:rsid w:val="00B206A9"/>
    <w:rsid w:val="00B20D8A"/>
    <w:rsid w:val="00B20DDB"/>
    <w:rsid w:val="00B20E0E"/>
    <w:rsid w:val="00B20E49"/>
    <w:rsid w:val="00B20E61"/>
    <w:rsid w:val="00B20F70"/>
    <w:rsid w:val="00B20FD2"/>
    <w:rsid w:val="00B21025"/>
    <w:rsid w:val="00B21197"/>
    <w:rsid w:val="00B2138C"/>
    <w:rsid w:val="00B213FE"/>
    <w:rsid w:val="00B215D3"/>
    <w:rsid w:val="00B21602"/>
    <w:rsid w:val="00B21641"/>
    <w:rsid w:val="00B216CB"/>
    <w:rsid w:val="00B217D9"/>
    <w:rsid w:val="00B218F8"/>
    <w:rsid w:val="00B21A7A"/>
    <w:rsid w:val="00B21A97"/>
    <w:rsid w:val="00B21AEF"/>
    <w:rsid w:val="00B220CC"/>
    <w:rsid w:val="00B22202"/>
    <w:rsid w:val="00B2224C"/>
    <w:rsid w:val="00B22275"/>
    <w:rsid w:val="00B2232C"/>
    <w:rsid w:val="00B224F4"/>
    <w:rsid w:val="00B22702"/>
    <w:rsid w:val="00B227F8"/>
    <w:rsid w:val="00B2288C"/>
    <w:rsid w:val="00B228E2"/>
    <w:rsid w:val="00B22A33"/>
    <w:rsid w:val="00B22B2D"/>
    <w:rsid w:val="00B22BF7"/>
    <w:rsid w:val="00B22EE0"/>
    <w:rsid w:val="00B23133"/>
    <w:rsid w:val="00B2326B"/>
    <w:rsid w:val="00B233A8"/>
    <w:rsid w:val="00B233C6"/>
    <w:rsid w:val="00B233D6"/>
    <w:rsid w:val="00B23499"/>
    <w:rsid w:val="00B234E8"/>
    <w:rsid w:val="00B23657"/>
    <w:rsid w:val="00B236B4"/>
    <w:rsid w:val="00B238A1"/>
    <w:rsid w:val="00B23946"/>
    <w:rsid w:val="00B23B67"/>
    <w:rsid w:val="00B23B9D"/>
    <w:rsid w:val="00B23CCF"/>
    <w:rsid w:val="00B23D47"/>
    <w:rsid w:val="00B23D83"/>
    <w:rsid w:val="00B23D92"/>
    <w:rsid w:val="00B23F21"/>
    <w:rsid w:val="00B241A2"/>
    <w:rsid w:val="00B2434B"/>
    <w:rsid w:val="00B24422"/>
    <w:rsid w:val="00B245CD"/>
    <w:rsid w:val="00B245FB"/>
    <w:rsid w:val="00B245FC"/>
    <w:rsid w:val="00B2463A"/>
    <w:rsid w:val="00B247EC"/>
    <w:rsid w:val="00B24841"/>
    <w:rsid w:val="00B24929"/>
    <w:rsid w:val="00B24957"/>
    <w:rsid w:val="00B24A74"/>
    <w:rsid w:val="00B24D57"/>
    <w:rsid w:val="00B252A9"/>
    <w:rsid w:val="00B252D8"/>
    <w:rsid w:val="00B253E7"/>
    <w:rsid w:val="00B25426"/>
    <w:rsid w:val="00B256EE"/>
    <w:rsid w:val="00B256FC"/>
    <w:rsid w:val="00B2571C"/>
    <w:rsid w:val="00B25738"/>
    <w:rsid w:val="00B2575F"/>
    <w:rsid w:val="00B257B4"/>
    <w:rsid w:val="00B2588E"/>
    <w:rsid w:val="00B25904"/>
    <w:rsid w:val="00B259A4"/>
    <w:rsid w:val="00B25A44"/>
    <w:rsid w:val="00B25CC7"/>
    <w:rsid w:val="00B25F45"/>
    <w:rsid w:val="00B260E5"/>
    <w:rsid w:val="00B26128"/>
    <w:rsid w:val="00B2612F"/>
    <w:rsid w:val="00B261A1"/>
    <w:rsid w:val="00B261CA"/>
    <w:rsid w:val="00B26226"/>
    <w:rsid w:val="00B26290"/>
    <w:rsid w:val="00B263A3"/>
    <w:rsid w:val="00B264CE"/>
    <w:rsid w:val="00B26692"/>
    <w:rsid w:val="00B267F0"/>
    <w:rsid w:val="00B2685B"/>
    <w:rsid w:val="00B2691F"/>
    <w:rsid w:val="00B26940"/>
    <w:rsid w:val="00B26B59"/>
    <w:rsid w:val="00B26F41"/>
    <w:rsid w:val="00B26FE8"/>
    <w:rsid w:val="00B27072"/>
    <w:rsid w:val="00B274F7"/>
    <w:rsid w:val="00B2756F"/>
    <w:rsid w:val="00B27661"/>
    <w:rsid w:val="00B27787"/>
    <w:rsid w:val="00B279BD"/>
    <w:rsid w:val="00B27BCF"/>
    <w:rsid w:val="00B27C58"/>
    <w:rsid w:val="00B27D48"/>
    <w:rsid w:val="00B27DBF"/>
    <w:rsid w:val="00B27DFA"/>
    <w:rsid w:val="00B27F43"/>
    <w:rsid w:val="00B303FE"/>
    <w:rsid w:val="00B30583"/>
    <w:rsid w:val="00B30612"/>
    <w:rsid w:val="00B30651"/>
    <w:rsid w:val="00B30707"/>
    <w:rsid w:val="00B30909"/>
    <w:rsid w:val="00B309ED"/>
    <w:rsid w:val="00B30A90"/>
    <w:rsid w:val="00B30C5B"/>
    <w:rsid w:val="00B30E46"/>
    <w:rsid w:val="00B30F5F"/>
    <w:rsid w:val="00B30F7E"/>
    <w:rsid w:val="00B31104"/>
    <w:rsid w:val="00B312BE"/>
    <w:rsid w:val="00B31307"/>
    <w:rsid w:val="00B3142A"/>
    <w:rsid w:val="00B315A8"/>
    <w:rsid w:val="00B31608"/>
    <w:rsid w:val="00B3168F"/>
    <w:rsid w:val="00B3169C"/>
    <w:rsid w:val="00B316B0"/>
    <w:rsid w:val="00B3174F"/>
    <w:rsid w:val="00B3186D"/>
    <w:rsid w:val="00B319D2"/>
    <w:rsid w:val="00B31ADD"/>
    <w:rsid w:val="00B31C32"/>
    <w:rsid w:val="00B31C82"/>
    <w:rsid w:val="00B31E9E"/>
    <w:rsid w:val="00B31F3A"/>
    <w:rsid w:val="00B31F7E"/>
    <w:rsid w:val="00B31F89"/>
    <w:rsid w:val="00B31FD2"/>
    <w:rsid w:val="00B31FEF"/>
    <w:rsid w:val="00B322D4"/>
    <w:rsid w:val="00B322E1"/>
    <w:rsid w:val="00B323E3"/>
    <w:rsid w:val="00B32659"/>
    <w:rsid w:val="00B3267B"/>
    <w:rsid w:val="00B3275C"/>
    <w:rsid w:val="00B328B2"/>
    <w:rsid w:val="00B3299A"/>
    <w:rsid w:val="00B32AED"/>
    <w:rsid w:val="00B32F2B"/>
    <w:rsid w:val="00B32FD9"/>
    <w:rsid w:val="00B33051"/>
    <w:rsid w:val="00B3321C"/>
    <w:rsid w:val="00B33303"/>
    <w:rsid w:val="00B33328"/>
    <w:rsid w:val="00B333A8"/>
    <w:rsid w:val="00B33610"/>
    <w:rsid w:val="00B33824"/>
    <w:rsid w:val="00B33879"/>
    <w:rsid w:val="00B33918"/>
    <w:rsid w:val="00B33F3F"/>
    <w:rsid w:val="00B3401D"/>
    <w:rsid w:val="00B34063"/>
    <w:rsid w:val="00B34118"/>
    <w:rsid w:val="00B34194"/>
    <w:rsid w:val="00B3434C"/>
    <w:rsid w:val="00B34459"/>
    <w:rsid w:val="00B344A1"/>
    <w:rsid w:val="00B34648"/>
    <w:rsid w:val="00B346AB"/>
    <w:rsid w:val="00B34900"/>
    <w:rsid w:val="00B3491D"/>
    <w:rsid w:val="00B34ACD"/>
    <w:rsid w:val="00B34ADD"/>
    <w:rsid w:val="00B34C96"/>
    <w:rsid w:val="00B34CF6"/>
    <w:rsid w:val="00B34D60"/>
    <w:rsid w:val="00B34F2A"/>
    <w:rsid w:val="00B34F76"/>
    <w:rsid w:val="00B350A4"/>
    <w:rsid w:val="00B351E8"/>
    <w:rsid w:val="00B35255"/>
    <w:rsid w:val="00B352D8"/>
    <w:rsid w:val="00B35461"/>
    <w:rsid w:val="00B354FE"/>
    <w:rsid w:val="00B355D8"/>
    <w:rsid w:val="00B35869"/>
    <w:rsid w:val="00B35878"/>
    <w:rsid w:val="00B35934"/>
    <w:rsid w:val="00B3598E"/>
    <w:rsid w:val="00B35A8A"/>
    <w:rsid w:val="00B35B4F"/>
    <w:rsid w:val="00B35BCE"/>
    <w:rsid w:val="00B35CC9"/>
    <w:rsid w:val="00B35D78"/>
    <w:rsid w:val="00B36382"/>
    <w:rsid w:val="00B36405"/>
    <w:rsid w:val="00B3667B"/>
    <w:rsid w:val="00B366BA"/>
    <w:rsid w:val="00B366E4"/>
    <w:rsid w:val="00B3680D"/>
    <w:rsid w:val="00B3684D"/>
    <w:rsid w:val="00B36890"/>
    <w:rsid w:val="00B368DD"/>
    <w:rsid w:val="00B36929"/>
    <w:rsid w:val="00B36971"/>
    <w:rsid w:val="00B36B58"/>
    <w:rsid w:val="00B36CC3"/>
    <w:rsid w:val="00B36E09"/>
    <w:rsid w:val="00B36FDA"/>
    <w:rsid w:val="00B3708E"/>
    <w:rsid w:val="00B370DF"/>
    <w:rsid w:val="00B37158"/>
    <w:rsid w:val="00B371FA"/>
    <w:rsid w:val="00B3725C"/>
    <w:rsid w:val="00B3729A"/>
    <w:rsid w:val="00B372E1"/>
    <w:rsid w:val="00B37313"/>
    <w:rsid w:val="00B3770C"/>
    <w:rsid w:val="00B3771C"/>
    <w:rsid w:val="00B378FC"/>
    <w:rsid w:val="00B37AB4"/>
    <w:rsid w:val="00B37BF0"/>
    <w:rsid w:val="00B37C0F"/>
    <w:rsid w:val="00B37D50"/>
    <w:rsid w:val="00B37F3D"/>
    <w:rsid w:val="00B37F6E"/>
    <w:rsid w:val="00B40055"/>
    <w:rsid w:val="00B400B9"/>
    <w:rsid w:val="00B4011B"/>
    <w:rsid w:val="00B402A4"/>
    <w:rsid w:val="00B403E1"/>
    <w:rsid w:val="00B405A4"/>
    <w:rsid w:val="00B40921"/>
    <w:rsid w:val="00B40928"/>
    <w:rsid w:val="00B40A8F"/>
    <w:rsid w:val="00B40AA7"/>
    <w:rsid w:val="00B40EB7"/>
    <w:rsid w:val="00B40F08"/>
    <w:rsid w:val="00B40F95"/>
    <w:rsid w:val="00B412C2"/>
    <w:rsid w:val="00B412F6"/>
    <w:rsid w:val="00B414E4"/>
    <w:rsid w:val="00B4162A"/>
    <w:rsid w:val="00B41656"/>
    <w:rsid w:val="00B418ED"/>
    <w:rsid w:val="00B4195B"/>
    <w:rsid w:val="00B41A6C"/>
    <w:rsid w:val="00B41A6F"/>
    <w:rsid w:val="00B41A9A"/>
    <w:rsid w:val="00B41AE0"/>
    <w:rsid w:val="00B41B3E"/>
    <w:rsid w:val="00B41BC7"/>
    <w:rsid w:val="00B41C93"/>
    <w:rsid w:val="00B41D31"/>
    <w:rsid w:val="00B41DBF"/>
    <w:rsid w:val="00B41E6C"/>
    <w:rsid w:val="00B41F6B"/>
    <w:rsid w:val="00B41F71"/>
    <w:rsid w:val="00B41FCD"/>
    <w:rsid w:val="00B42106"/>
    <w:rsid w:val="00B421BC"/>
    <w:rsid w:val="00B42449"/>
    <w:rsid w:val="00B42697"/>
    <w:rsid w:val="00B426C0"/>
    <w:rsid w:val="00B428F7"/>
    <w:rsid w:val="00B42992"/>
    <w:rsid w:val="00B42DE0"/>
    <w:rsid w:val="00B42E13"/>
    <w:rsid w:val="00B42E6A"/>
    <w:rsid w:val="00B43147"/>
    <w:rsid w:val="00B432F0"/>
    <w:rsid w:val="00B43545"/>
    <w:rsid w:val="00B43608"/>
    <w:rsid w:val="00B43901"/>
    <w:rsid w:val="00B43A1C"/>
    <w:rsid w:val="00B43B26"/>
    <w:rsid w:val="00B43BF2"/>
    <w:rsid w:val="00B43CA8"/>
    <w:rsid w:val="00B43CC4"/>
    <w:rsid w:val="00B43D0C"/>
    <w:rsid w:val="00B43F54"/>
    <w:rsid w:val="00B43F56"/>
    <w:rsid w:val="00B43F83"/>
    <w:rsid w:val="00B44079"/>
    <w:rsid w:val="00B440FF"/>
    <w:rsid w:val="00B44335"/>
    <w:rsid w:val="00B443D2"/>
    <w:rsid w:val="00B443E0"/>
    <w:rsid w:val="00B44471"/>
    <w:rsid w:val="00B44492"/>
    <w:rsid w:val="00B44693"/>
    <w:rsid w:val="00B447ED"/>
    <w:rsid w:val="00B44A21"/>
    <w:rsid w:val="00B44B01"/>
    <w:rsid w:val="00B44CC6"/>
    <w:rsid w:val="00B450B6"/>
    <w:rsid w:val="00B4510F"/>
    <w:rsid w:val="00B45495"/>
    <w:rsid w:val="00B45547"/>
    <w:rsid w:val="00B455D1"/>
    <w:rsid w:val="00B455D7"/>
    <w:rsid w:val="00B45622"/>
    <w:rsid w:val="00B456D6"/>
    <w:rsid w:val="00B45911"/>
    <w:rsid w:val="00B45966"/>
    <w:rsid w:val="00B45971"/>
    <w:rsid w:val="00B45A5F"/>
    <w:rsid w:val="00B45DF5"/>
    <w:rsid w:val="00B45E5E"/>
    <w:rsid w:val="00B46071"/>
    <w:rsid w:val="00B460F2"/>
    <w:rsid w:val="00B4612F"/>
    <w:rsid w:val="00B461C9"/>
    <w:rsid w:val="00B462D5"/>
    <w:rsid w:val="00B46494"/>
    <w:rsid w:val="00B46593"/>
    <w:rsid w:val="00B465FF"/>
    <w:rsid w:val="00B46601"/>
    <w:rsid w:val="00B4672E"/>
    <w:rsid w:val="00B46754"/>
    <w:rsid w:val="00B46814"/>
    <w:rsid w:val="00B4688E"/>
    <w:rsid w:val="00B469D9"/>
    <w:rsid w:val="00B46AE0"/>
    <w:rsid w:val="00B46B84"/>
    <w:rsid w:val="00B46CCF"/>
    <w:rsid w:val="00B46CF0"/>
    <w:rsid w:val="00B46DDF"/>
    <w:rsid w:val="00B46DE7"/>
    <w:rsid w:val="00B46E9E"/>
    <w:rsid w:val="00B4703F"/>
    <w:rsid w:val="00B47051"/>
    <w:rsid w:val="00B4728F"/>
    <w:rsid w:val="00B47346"/>
    <w:rsid w:val="00B4737D"/>
    <w:rsid w:val="00B47480"/>
    <w:rsid w:val="00B474B1"/>
    <w:rsid w:val="00B47532"/>
    <w:rsid w:val="00B475B7"/>
    <w:rsid w:val="00B47744"/>
    <w:rsid w:val="00B47BEB"/>
    <w:rsid w:val="00B47C1C"/>
    <w:rsid w:val="00B47DA3"/>
    <w:rsid w:val="00B47EAF"/>
    <w:rsid w:val="00B47FA7"/>
    <w:rsid w:val="00B50298"/>
    <w:rsid w:val="00B50304"/>
    <w:rsid w:val="00B5036A"/>
    <w:rsid w:val="00B50466"/>
    <w:rsid w:val="00B504F1"/>
    <w:rsid w:val="00B50542"/>
    <w:rsid w:val="00B50DB8"/>
    <w:rsid w:val="00B50E70"/>
    <w:rsid w:val="00B5104D"/>
    <w:rsid w:val="00B51338"/>
    <w:rsid w:val="00B5145D"/>
    <w:rsid w:val="00B51473"/>
    <w:rsid w:val="00B51495"/>
    <w:rsid w:val="00B51525"/>
    <w:rsid w:val="00B51691"/>
    <w:rsid w:val="00B516C9"/>
    <w:rsid w:val="00B51753"/>
    <w:rsid w:val="00B5176F"/>
    <w:rsid w:val="00B51866"/>
    <w:rsid w:val="00B518F0"/>
    <w:rsid w:val="00B519BB"/>
    <w:rsid w:val="00B51DC4"/>
    <w:rsid w:val="00B51F2A"/>
    <w:rsid w:val="00B521BC"/>
    <w:rsid w:val="00B521C7"/>
    <w:rsid w:val="00B5228F"/>
    <w:rsid w:val="00B5243B"/>
    <w:rsid w:val="00B5246D"/>
    <w:rsid w:val="00B52540"/>
    <w:rsid w:val="00B52628"/>
    <w:rsid w:val="00B52807"/>
    <w:rsid w:val="00B5290B"/>
    <w:rsid w:val="00B52AF3"/>
    <w:rsid w:val="00B52BBB"/>
    <w:rsid w:val="00B52C66"/>
    <w:rsid w:val="00B52D9C"/>
    <w:rsid w:val="00B52E1D"/>
    <w:rsid w:val="00B52E74"/>
    <w:rsid w:val="00B52F02"/>
    <w:rsid w:val="00B53036"/>
    <w:rsid w:val="00B53076"/>
    <w:rsid w:val="00B530B2"/>
    <w:rsid w:val="00B531A5"/>
    <w:rsid w:val="00B531FA"/>
    <w:rsid w:val="00B53427"/>
    <w:rsid w:val="00B534E7"/>
    <w:rsid w:val="00B53637"/>
    <w:rsid w:val="00B53926"/>
    <w:rsid w:val="00B53C83"/>
    <w:rsid w:val="00B53E47"/>
    <w:rsid w:val="00B53EA9"/>
    <w:rsid w:val="00B53F26"/>
    <w:rsid w:val="00B53F96"/>
    <w:rsid w:val="00B5405B"/>
    <w:rsid w:val="00B540FD"/>
    <w:rsid w:val="00B54292"/>
    <w:rsid w:val="00B5430F"/>
    <w:rsid w:val="00B54351"/>
    <w:rsid w:val="00B544A1"/>
    <w:rsid w:val="00B546F0"/>
    <w:rsid w:val="00B5488D"/>
    <w:rsid w:val="00B548D8"/>
    <w:rsid w:val="00B549DF"/>
    <w:rsid w:val="00B54E00"/>
    <w:rsid w:val="00B552AE"/>
    <w:rsid w:val="00B555CF"/>
    <w:rsid w:val="00B55643"/>
    <w:rsid w:val="00B55693"/>
    <w:rsid w:val="00B5587E"/>
    <w:rsid w:val="00B559D1"/>
    <w:rsid w:val="00B55AE7"/>
    <w:rsid w:val="00B55B78"/>
    <w:rsid w:val="00B55B8D"/>
    <w:rsid w:val="00B55B8F"/>
    <w:rsid w:val="00B55BCC"/>
    <w:rsid w:val="00B55C16"/>
    <w:rsid w:val="00B55E08"/>
    <w:rsid w:val="00B55E57"/>
    <w:rsid w:val="00B55E7B"/>
    <w:rsid w:val="00B55F0F"/>
    <w:rsid w:val="00B55FC2"/>
    <w:rsid w:val="00B56466"/>
    <w:rsid w:val="00B56499"/>
    <w:rsid w:val="00B5650D"/>
    <w:rsid w:val="00B56733"/>
    <w:rsid w:val="00B567D0"/>
    <w:rsid w:val="00B567ED"/>
    <w:rsid w:val="00B568CA"/>
    <w:rsid w:val="00B56984"/>
    <w:rsid w:val="00B56C69"/>
    <w:rsid w:val="00B56DA3"/>
    <w:rsid w:val="00B56DFE"/>
    <w:rsid w:val="00B57035"/>
    <w:rsid w:val="00B57092"/>
    <w:rsid w:val="00B570BF"/>
    <w:rsid w:val="00B570F6"/>
    <w:rsid w:val="00B571D7"/>
    <w:rsid w:val="00B5729C"/>
    <w:rsid w:val="00B57661"/>
    <w:rsid w:val="00B57787"/>
    <w:rsid w:val="00B577F4"/>
    <w:rsid w:val="00B57A2E"/>
    <w:rsid w:val="00B57B5D"/>
    <w:rsid w:val="00B57BE7"/>
    <w:rsid w:val="00B57BFF"/>
    <w:rsid w:val="00B57CE0"/>
    <w:rsid w:val="00B57D63"/>
    <w:rsid w:val="00B57E35"/>
    <w:rsid w:val="00B57F64"/>
    <w:rsid w:val="00B57FE4"/>
    <w:rsid w:val="00B603C7"/>
    <w:rsid w:val="00B6048D"/>
    <w:rsid w:val="00B605A3"/>
    <w:rsid w:val="00B605C2"/>
    <w:rsid w:val="00B6096F"/>
    <w:rsid w:val="00B60A58"/>
    <w:rsid w:val="00B60A7D"/>
    <w:rsid w:val="00B60AA9"/>
    <w:rsid w:val="00B60B9E"/>
    <w:rsid w:val="00B60C22"/>
    <w:rsid w:val="00B60D86"/>
    <w:rsid w:val="00B60E60"/>
    <w:rsid w:val="00B60F71"/>
    <w:rsid w:val="00B611CE"/>
    <w:rsid w:val="00B6130B"/>
    <w:rsid w:val="00B61453"/>
    <w:rsid w:val="00B61465"/>
    <w:rsid w:val="00B614FC"/>
    <w:rsid w:val="00B61910"/>
    <w:rsid w:val="00B61915"/>
    <w:rsid w:val="00B61958"/>
    <w:rsid w:val="00B619E8"/>
    <w:rsid w:val="00B61A65"/>
    <w:rsid w:val="00B61C37"/>
    <w:rsid w:val="00B61CE3"/>
    <w:rsid w:val="00B61E2E"/>
    <w:rsid w:val="00B61E5A"/>
    <w:rsid w:val="00B61F63"/>
    <w:rsid w:val="00B62089"/>
    <w:rsid w:val="00B62160"/>
    <w:rsid w:val="00B621C7"/>
    <w:rsid w:val="00B62217"/>
    <w:rsid w:val="00B623A9"/>
    <w:rsid w:val="00B624B1"/>
    <w:rsid w:val="00B6268D"/>
    <w:rsid w:val="00B62942"/>
    <w:rsid w:val="00B62BDF"/>
    <w:rsid w:val="00B62C40"/>
    <w:rsid w:val="00B62CD6"/>
    <w:rsid w:val="00B62D3C"/>
    <w:rsid w:val="00B62F22"/>
    <w:rsid w:val="00B62F82"/>
    <w:rsid w:val="00B63073"/>
    <w:rsid w:val="00B630AD"/>
    <w:rsid w:val="00B6310E"/>
    <w:rsid w:val="00B631A9"/>
    <w:rsid w:val="00B631B6"/>
    <w:rsid w:val="00B631F3"/>
    <w:rsid w:val="00B632B3"/>
    <w:rsid w:val="00B63413"/>
    <w:rsid w:val="00B636F6"/>
    <w:rsid w:val="00B637E9"/>
    <w:rsid w:val="00B64079"/>
    <w:rsid w:val="00B642C2"/>
    <w:rsid w:val="00B643C1"/>
    <w:rsid w:val="00B6486F"/>
    <w:rsid w:val="00B64D24"/>
    <w:rsid w:val="00B64D38"/>
    <w:rsid w:val="00B64D9B"/>
    <w:rsid w:val="00B64DD1"/>
    <w:rsid w:val="00B64E41"/>
    <w:rsid w:val="00B64EA2"/>
    <w:rsid w:val="00B64EF6"/>
    <w:rsid w:val="00B64FA5"/>
    <w:rsid w:val="00B65214"/>
    <w:rsid w:val="00B65469"/>
    <w:rsid w:val="00B65635"/>
    <w:rsid w:val="00B65648"/>
    <w:rsid w:val="00B65944"/>
    <w:rsid w:val="00B65A71"/>
    <w:rsid w:val="00B65B5D"/>
    <w:rsid w:val="00B65D29"/>
    <w:rsid w:val="00B65D41"/>
    <w:rsid w:val="00B65D53"/>
    <w:rsid w:val="00B65EC9"/>
    <w:rsid w:val="00B6600A"/>
    <w:rsid w:val="00B6604C"/>
    <w:rsid w:val="00B66086"/>
    <w:rsid w:val="00B660E3"/>
    <w:rsid w:val="00B66255"/>
    <w:rsid w:val="00B66294"/>
    <w:rsid w:val="00B664E5"/>
    <w:rsid w:val="00B66782"/>
    <w:rsid w:val="00B667AB"/>
    <w:rsid w:val="00B667E1"/>
    <w:rsid w:val="00B6687C"/>
    <w:rsid w:val="00B66929"/>
    <w:rsid w:val="00B66F43"/>
    <w:rsid w:val="00B66F93"/>
    <w:rsid w:val="00B6700B"/>
    <w:rsid w:val="00B67630"/>
    <w:rsid w:val="00B67C28"/>
    <w:rsid w:val="00B67D24"/>
    <w:rsid w:val="00B70003"/>
    <w:rsid w:val="00B70076"/>
    <w:rsid w:val="00B701BE"/>
    <w:rsid w:val="00B704B3"/>
    <w:rsid w:val="00B70595"/>
    <w:rsid w:val="00B705DB"/>
    <w:rsid w:val="00B705FB"/>
    <w:rsid w:val="00B70624"/>
    <w:rsid w:val="00B70689"/>
    <w:rsid w:val="00B708CF"/>
    <w:rsid w:val="00B7095B"/>
    <w:rsid w:val="00B709D5"/>
    <w:rsid w:val="00B70AE1"/>
    <w:rsid w:val="00B70AFD"/>
    <w:rsid w:val="00B70B9A"/>
    <w:rsid w:val="00B70BCA"/>
    <w:rsid w:val="00B70C62"/>
    <w:rsid w:val="00B70E7D"/>
    <w:rsid w:val="00B70F7C"/>
    <w:rsid w:val="00B70FA9"/>
    <w:rsid w:val="00B70FAD"/>
    <w:rsid w:val="00B71125"/>
    <w:rsid w:val="00B71685"/>
    <w:rsid w:val="00B71729"/>
    <w:rsid w:val="00B718D5"/>
    <w:rsid w:val="00B71996"/>
    <w:rsid w:val="00B719A4"/>
    <w:rsid w:val="00B719CF"/>
    <w:rsid w:val="00B71A41"/>
    <w:rsid w:val="00B71BD3"/>
    <w:rsid w:val="00B71CCC"/>
    <w:rsid w:val="00B71D69"/>
    <w:rsid w:val="00B7207F"/>
    <w:rsid w:val="00B72136"/>
    <w:rsid w:val="00B7223B"/>
    <w:rsid w:val="00B72480"/>
    <w:rsid w:val="00B725E9"/>
    <w:rsid w:val="00B7269B"/>
    <w:rsid w:val="00B72717"/>
    <w:rsid w:val="00B72A77"/>
    <w:rsid w:val="00B72B52"/>
    <w:rsid w:val="00B72C61"/>
    <w:rsid w:val="00B72DFC"/>
    <w:rsid w:val="00B730AD"/>
    <w:rsid w:val="00B730F2"/>
    <w:rsid w:val="00B73218"/>
    <w:rsid w:val="00B7324C"/>
    <w:rsid w:val="00B7329F"/>
    <w:rsid w:val="00B733BF"/>
    <w:rsid w:val="00B7341D"/>
    <w:rsid w:val="00B73497"/>
    <w:rsid w:val="00B73629"/>
    <w:rsid w:val="00B736D4"/>
    <w:rsid w:val="00B736F2"/>
    <w:rsid w:val="00B7371F"/>
    <w:rsid w:val="00B7374F"/>
    <w:rsid w:val="00B7377C"/>
    <w:rsid w:val="00B73ACF"/>
    <w:rsid w:val="00B73B1E"/>
    <w:rsid w:val="00B73BCB"/>
    <w:rsid w:val="00B73C2A"/>
    <w:rsid w:val="00B73DA2"/>
    <w:rsid w:val="00B73FD6"/>
    <w:rsid w:val="00B741EC"/>
    <w:rsid w:val="00B7420D"/>
    <w:rsid w:val="00B7428E"/>
    <w:rsid w:val="00B74364"/>
    <w:rsid w:val="00B74928"/>
    <w:rsid w:val="00B74BA0"/>
    <w:rsid w:val="00B74C91"/>
    <w:rsid w:val="00B74CCE"/>
    <w:rsid w:val="00B74D27"/>
    <w:rsid w:val="00B74D5E"/>
    <w:rsid w:val="00B74DC9"/>
    <w:rsid w:val="00B7508B"/>
    <w:rsid w:val="00B750FF"/>
    <w:rsid w:val="00B751A6"/>
    <w:rsid w:val="00B75206"/>
    <w:rsid w:val="00B75582"/>
    <w:rsid w:val="00B75A4B"/>
    <w:rsid w:val="00B75AF7"/>
    <w:rsid w:val="00B75B7B"/>
    <w:rsid w:val="00B75C05"/>
    <w:rsid w:val="00B75DFE"/>
    <w:rsid w:val="00B762F4"/>
    <w:rsid w:val="00B763A5"/>
    <w:rsid w:val="00B7661B"/>
    <w:rsid w:val="00B76649"/>
    <w:rsid w:val="00B7690D"/>
    <w:rsid w:val="00B769BE"/>
    <w:rsid w:val="00B769EA"/>
    <w:rsid w:val="00B76D02"/>
    <w:rsid w:val="00B76F2E"/>
    <w:rsid w:val="00B76F3C"/>
    <w:rsid w:val="00B7709E"/>
    <w:rsid w:val="00B77608"/>
    <w:rsid w:val="00B77946"/>
    <w:rsid w:val="00B77967"/>
    <w:rsid w:val="00B779CD"/>
    <w:rsid w:val="00B77A3F"/>
    <w:rsid w:val="00B77D31"/>
    <w:rsid w:val="00B77DFC"/>
    <w:rsid w:val="00B77ED6"/>
    <w:rsid w:val="00B77F63"/>
    <w:rsid w:val="00B77F97"/>
    <w:rsid w:val="00B80085"/>
    <w:rsid w:val="00B80105"/>
    <w:rsid w:val="00B80194"/>
    <w:rsid w:val="00B802A7"/>
    <w:rsid w:val="00B802CD"/>
    <w:rsid w:val="00B803F2"/>
    <w:rsid w:val="00B804CB"/>
    <w:rsid w:val="00B805C6"/>
    <w:rsid w:val="00B8065B"/>
    <w:rsid w:val="00B806E0"/>
    <w:rsid w:val="00B807DB"/>
    <w:rsid w:val="00B80802"/>
    <w:rsid w:val="00B808C0"/>
    <w:rsid w:val="00B80938"/>
    <w:rsid w:val="00B809A9"/>
    <w:rsid w:val="00B809E0"/>
    <w:rsid w:val="00B80C69"/>
    <w:rsid w:val="00B812E8"/>
    <w:rsid w:val="00B81450"/>
    <w:rsid w:val="00B8187C"/>
    <w:rsid w:val="00B8193F"/>
    <w:rsid w:val="00B81A10"/>
    <w:rsid w:val="00B81BD3"/>
    <w:rsid w:val="00B81C9C"/>
    <w:rsid w:val="00B81CE5"/>
    <w:rsid w:val="00B81D37"/>
    <w:rsid w:val="00B81D60"/>
    <w:rsid w:val="00B81E07"/>
    <w:rsid w:val="00B82077"/>
    <w:rsid w:val="00B82099"/>
    <w:rsid w:val="00B820D8"/>
    <w:rsid w:val="00B82211"/>
    <w:rsid w:val="00B822DC"/>
    <w:rsid w:val="00B8231C"/>
    <w:rsid w:val="00B8257C"/>
    <w:rsid w:val="00B82593"/>
    <w:rsid w:val="00B825D5"/>
    <w:rsid w:val="00B8267B"/>
    <w:rsid w:val="00B82802"/>
    <w:rsid w:val="00B828A0"/>
    <w:rsid w:val="00B828D3"/>
    <w:rsid w:val="00B828ED"/>
    <w:rsid w:val="00B8293A"/>
    <w:rsid w:val="00B8296B"/>
    <w:rsid w:val="00B82AE0"/>
    <w:rsid w:val="00B82BCB"/>
    <w:rsid w:val="00B82E2A"/>
    <w:rsid w:val="00B83166"/>
    <w:rsid w:val="00B8317B"/>
    <w:rsid w:val="00B83203"/>
    <w:rsid w:val="00B83358"/>
    <w:rsid w:val="00B83486"/>
    <w:rsid w:val="00B8349F"/>
    <w:rsid w:val="00B834E5"/>
    <w:rsid w:val="00B836EC"/>
    <w:rsid w:val="00B8371A"/>
    <w:rsid w:val="00B83811"/>
    <w:rsid w:val="00B839BA"/>
    <w:rsid w:val="00B83A8A"/>
    <w:rsid w:val="00B83DBD"/>
    <w:rsid w:val="00B83E8D"/>
    <w:rsid w:val="00B83F81"/>
    <w:rsid w:val="00B8426A"/>
    <w:rsid w:val="00B842BD"/>
    <w:rsid w:val="00B84380"/>
    <w:rsid w:val="00B8443B"/>
    <w:rsid w:val="00B84512"/>
    <w:rsid w:val="00B845F4"/>
    <w:rsid w:val="00B846C1"/>
    <w:rsid w:val="00B847A4"/>
    <w:rsid w:val="00B849C7"/>
    <w:rsid w:val="00B84A10"/>
    <w:rsid w:val="00B84AB8"/>
    <w:rsid w:val="00B84B9D"/>
    <w:rsid w:val="00B84BDC"/>
    <w:rsid w:val="00B84DEB"/>
    <w:rsid w:val="00B852A8"/>
    <w:rsid w:val="00B853EC"/>
    <w:rsid w:val="00B85546"/>
    <w:rsid w:val="00B85560"/>
    <w:rsid w:val="00B855A1"/>
    <w:rsid w:val="00B85603"/>
    <w:rsid w:val="00B858AC"/>
    <w:rsid w:val="00B85A69"/>
    <w:rsid w:val="00B85C61"/>
    <w:rsid w:val="00B85EC1"/>
    <w:rsid w:val="00B86065"/>
    <w:rsid w:val="00B860B5"/>
    <w:rsid w:val="00B860DC"/>
    <w:rsid w:val="00B860FC"/>
    <w:rsid w:val="00B861DE"/>
    <w:rsid w:val="00B862E3"/>
    <w:rsid w:val="00B8642A"/>
    <w:rsid w:val="00B865B6"/>
    <w:rsid w:val="00B865DB"/>
    <w:rsid w:val="00B86652"/>
    <w:rsid w:val="00B8685A"/>
    <w:rsid w:val="00B868F3"/>
    <w:rsid w:val="00B869B9"/>
    <w:rsid w:val="00B86A31"/>
    <w:rsid w:val="00B86A70"/>
    <w:rsid w:val="00B86AE4"/>
    <w:rsid w:val="00B86B51"/>
    <w:rsid w:val="00B86C24"/>
    <w:rsid w:val="00B86C3E"/>
    <w:rsid w:val="00B86C51"/>
    <w:rsid w:val="00B86CC1"/>
    <w:rsid w:val="00B86CC3"/>
    <w:rsid w:val="00B86DFE"/>
    <w:rsid w:val="00B86E69"/>
    <w:rsid w:val="00B86E7F"/>
    <w:rsid w:val="00B86ECA"/>
    <w:rsid w:val="00B870CA"/>
    <w:rsid w:val="00B8722D"/>
    <w:rsid w:val="00B873D0"/>
    <w:rsid w:val="00B87444"/>
    <w:rsid w:val="00B874CD"/>
    <w:rsid w:val="00B8750E"/>
    <w:rsid w:val="00B87887"/>
    <w:rsid w:val="00B8798F"/>
    <w:rsid w:val="00B87B27"/>
    <w:rsid w:val="00B87C0C"/>
    <w:rsid w:val="00B87DC5"/>
    <w:rsid w:val="00B87DCC"/>
    <w:rsid w:val="00B87DCE"/>
    <w:rsid w:val="00B87EC8"/>
    <w:rsid w:val="00B9018B"/>
    <w:rsid w:val="00B9037A"/>
    <w:rsid w:val="00B90BA1"/>
    <w:rsid w:val="00B90C3D"/>
    <w:rsid w:val="00B90E6B"/>
    <w:rsid w:val="00B90F8A"/>
    <w:rsid w:val="00B91135"/>
    <w:rsid w:val="00B91136"/>
    <w:rsid w:val="00B912CE"/>
    <w:rsid w:val="00B912F5"/>
    <w:rsid w:val="00B9139E"/>
    <w:rsid w:val="00B9160C"/>
    <w:rsid w:val="00B9165F"/>
    <w:rsid w:val="00B917B4"/>
    <w:rsid w:val="00B917EC"/>
    <w:rsid w:val="00B918A8"/>
    <w:rsid w:val="00B91911"/>
    <w:rsid w:val="00B9195F"/>
    <w:rsid w:val="00B91AA3"/>
    <w:rsid w:val="00B91C5A"/>
    <w:rsid w:val="00B91E73"/>
    <w:rsid w:val="00B91F81"/>
    <w:rsid w:val="00B91FDB"/>
    <w:rsid w:val="00B92105"/>
    <w:rsid w:val="00B921C2"/>
    <w:rsid w:val="00B92298"/>
    <w:rsid w:val="00B9236B"/>
    <w:rsid w:val="00B925CF"/>
    <w:rsid w:val="00B92608"/>
    <w:rsid w:val="00B927AB"/>
    <w:rsid w:val="00B92B74"/>
    <w:rsid w:val="00B92B9A"/>
    <w:rsid w:val="00B92C7A"/>
    <w:rsid w:val="00B92CB1"/>
    <w:rsid w:val="00B92D2B"/>
    <w:rsid w:val="00B92DA0"/>
    <w:rsid w:val="00B92E73"/>
    <w:rsid w:val="00B92EA7"/>
    <w:rsid w:val="00B930AF"/>
    <w:rsid w:val="00B9312B"/>
    <w:rsid w:val="00B932BE"/>
    <w:rsid w:val="00B933E6"/>
    <w:rsid w:val="00B93409"/>
    <w:rsid w:val="00B93501"/>
    <w:rsid w:val="00B935BA"/>
    <w:rsid w:val="00B93759"/>
    <w:rsid w:val="00B9397D"/>
    <w:rsid w:val="00B93B6D"/>
    <w:rsid w:val="00B93C2F"/>
    <w:rsid w:val="00B93DA6"/>
    <w:rsid w:val="00B93EA7"/>
    <w:rsid w:val="00B93F3E"/>
    <w:rsid w:val="00B93F94"/>
    <w:rsid w:val="00B9403A"/>
    <w:rsid w:val="00B9407E"/>
    <w:rsid w:val="00B94130"/>
    <w:rsid w:val="00B9470E"/>
    <w:rsid w:val="00B9475E"/>
    <w:rsid w:val="00B94878"/>
    <w:rsid w:val="00B949CD"/>
    <w:rsid w:val="00B94A01"/>
    <w:rsid w:val="00B94BFC"/>
    <w:rsid w:val="00B94C6D"/>
    <w:rsid w:val="00B94EEE"/>
    <w:rsid w:val="00B94F02"/>
    <w:rsid w:val="00B95083"/>
    <w:rsid w:val="00B950F2"/>
    <w:rsid w:val="00B9516D"/>
    <w:rsid w:val="00B9535A"/>
    <w:rsid w:val="00B954A8"/>
    <w:rsid w:val="00B956F8"/>
    <w:rsid w:val="00B9575C"/>
    <w:rsid w:val="00B95790"/>
    <w:rsid w:val="00B957D3"/>
    <w:rsid w:val="00B9580E"/>
    <w:rsid w:val="00B95825"/>
    <w:rsid w:val="00B958D3"/>
    <w:rsid w:val="00B95B28"/>
    <w:rsid w:val="00B95B29"/>
    <w:rsid w:val="00B95C64"/>
    <w:rsid w:val="00B95CF7"/>
    <w:rsid w:val="00B95D16"/>
    <w:rsid w:val="00B95E99"/>
    <w:rsid w:val="00B95F89"/>
    <w:rsid w:val="00B96065"/>
    <w:rsid w:val="00B96152"/>
    <w:rsid w:val="00B9618A"/>
    <w:rsid w:val="00B96269"/>
    <w:rsid w:val="00B963F0"/>
    <w:rsid w:val="00B967BB"/>
    <w:rsid w:val="00B968D0"/>
    <w:rsid w:val="00B96A4D"/>
    <w:rsid w:val="00B96AF9"/>
    <w:rsid w:val="00B96B18"/>
    <w:rsid w:val="00B96B23"/>
    <w:rsid w:val="00B96B4F"/>
    <w:rsid w:val="00B97131"/>
    <w:rsid w:val="00B97218"/>
    <w:rsid w:val="00B974D2"/>
    <w:rsid w:val="00B974F8"/>
    <w:rsid w:val="00B976B9"/>
    <w:rsid w:val="00B976EF"/>
    <w:rsid w:val="00B977B2"/>
    <w:rsid w:val="00B97812"/>
    <w:rsid w:val="00B9789E"/>
    <w:rsid w:val="00B978C7"/>
    <w:rsid w:val="00B97A26"/>
    <w:rsid w:val="00B97B13"/>
    <w:rsid w:val="00B97B15"/>
    <w:rsid w:val="00B97B95"/>
    <w:rsid w:val="00B97B96"/>
    <w:rsid w:val="00B97D9A"/>
    <w:rsid w:val="00B97DAC"/>
    <w:rsid w:val="00B97E44"/>
    <w:rsid w:val="00B9E886"/>
    <w:rsid w:val="00BA031C"/>
    <w:rsid w:val="00BA03A9"/>
    <w:rsid w:val="00BA03FE"/>
    <w:rsid w:val="00BA0566"/>
    <w:rsid w:val="00BA05DF"/>
    <w:rsid w:val="00BA0617"/>
    <w:rsid w:val="00BA096D"/>
    <w:rsid w:val="00BA0989"/>
    <w:rsid w:val="00BA0A36"/>
    <w:rsid w:val="00BA0A3B"/>
    <w:rsid w:val="00BA0B3B"/>
    <w:rsid w:val="00BA0BF8"/>
    <w:rsid w:val="00BA0C0D"/>
    <w:rsid w:val="00BA0E03"/>
    <w:rsid w:val="00BA0F5A"/>
    <w:rsid w:val="00BA1060"/>
    <w:rsid w:val="00BA10D5"/>
    <w:rsid w:val="00BA110B"/>
    <w:rsid w:val="00BA113E"/>
    <w:rsid w:val="00BA1342"/>
    <w:rsid w:val="00BA15C0"/>
    <w:rsid w:val="00BA1785"/>
    <w:rsid w:val="00BA1797"/>
    <w:rsid w:val="00BA1836"/>
    <w:rsid w:val="00BA1D91"/>
    <w:rsid w:val="00BA1E65"/>
    <w:rsid w:val="00BA1F92"/>
    <w:rsid w:val="00BA200F"/>
    <w:rsid w:val="00BA20DA"/>
    <w:rsid w:val="00BA212E"/>
    <w:rsid w:val="00BA22CC"/>
    <w:rsid w:val="00BA2363"/>
    <w:rsid w:val="00BA2460"/>
    <w:rsid w:val="00BA24A4"/>
    <w:rsid w:val="00BA288F"/>
    <w:rsid w:val="00BA29FD"/>
    <w:rsid w:val="00BA2A36"/>
    <w:rsid w:val="00BA2AA3"/>
    <w:rsid w:val="00BA2C0F"/>
    <w:rsid w:val="00BA2C94"/>
    <w:rsid w:val="00BA2DB9"/>
    <w:rsid w:val="00BA309E"/>
    <w:rsid w:val="00BA3154"/>
    <w:rsid w:val="00BA333E"/>
    <w:rsid w:val="00BA3385"/>
    <w:rsid w:val="00BA3404"/>
    <w:rsid w:val="00BA3592"/>
    <w:rsid w:val="00BA35BA"/>
    <w:rsid w:val="00BA363D"/>
    <w:rsid w:val="00BA36A0"/>
    <w:rsid w:val="00BA398F"/>
    <w:rsid w:val="00BA3CEB"/>
    <w:rsid w:val="00BA3CEF"/>
    <w:rsid w:val="00BA3D90"/>
    <w:rsid w:val="00BA3DFE"/>
    <w:rsid w:val="00BA3E9C"/>
    <w:rsid w:val="00BA40B1"/>
    <w:rsid w:val="00BA410F"/>
    <w:rsid w:val="00BA41B0"/>
    <w:rsid w:val="00BA4200"/>
    <w:rsid w:val="00BA4244"/>
    <w:rsid w:val="00BA42E9"/>
    <w:rsid w:val="00BA482D"/>
    <w:rsid w:val="00BA4894"/>
    <w:rsid w:val="00BA4CA8"/>
    <w:rsid w:val="00BA4CBE"/>
    <w:rsid w:val="00BA4DCE"/>
    <w:rsid w:val="00BA50B4"/>
    <w:rsid w:val="00BA5280"/>
    <w:rsid w:val="00BA52A9"/>
    <w:rsid w:val="00BA53C0"/>
    <w:rsid w:val="00BA54F8"/>
    <w:rsid w:val="00BA5602"/>
    <w:rsid w:val="00BA560A"/>
    <w:rsid w:val="00BA5615"/>
    <w:rsid w:val="00BA5762"/>
    <w:rsid w:val="00BA592A"/>
    <w:rsid w:val="00BA5A05"/>
    <w:rsid w:val="00BA5B8F"/>
    <w:rsid w:val="00BA5E11"/>
    <w:rsid w:val="00BA5E4F"/>
    <w:rsid w:val="00BA6064"/>
    <w:rsid w:val="00BA61D6"/>
    <w:rsid w:val="00BA630E"/>
    <w:rsid w:val="00BA66AF"/>
    <w:rsid w:val="00BA6736"/>
    <w:rsid w:val="00BA68B4"/>
    <w:rsid w:val="00BA69F0"/>
    <w:rsid w:val="00BA6AA7"/>
    <w:rsid w:val="00BA6B02"/>
    <w:rsid w:val="00BA6BC2"/>
    <w:rsid w:val="00BA6C15"/>
    <w:rsid w:val="00BA6CE3"/>
    <w:rsid w:val="00BA6DB5"/>
    <w:rsid w:val="00BA6F52"/>
    <w:rsid w:val="00BA71E4"/>
    <w:rsid w:val="00BA7217"/>
    <w:rsid w:val="00BA7440"/>
    <w:rsid w:val="00BA74B7"/>
    <w:rsid w:val="00BA764A"/>
    <w:rsid w:val="00BA782E"/>
    <w:rsid w:val="00BA78D1"/>
    <w:rsid w:val="00BA7EBB"/>
    <w:rsid w:val="00BB0067"/>
    <w:rsid w:val="00BB01BF"/>
    <w:rsid w:val="00BB020C"/>
    <w:rsid w:val="00BB02B3"/>
    <w:rsid w:val="00BB033C"/>
    <w:rsid w:val="00BB04E3"/>
    <w:rsid w:val="00BB0518"/>
    <w:rsid w:val="00BB05C2"/>
    <w:rsid w:val="00BB0680"/>
    <w:rsid w:val="00BB07A3"/>
    <w:rsid w:val="00BB0859"/>
    <w:rsid w:val="00BB0890"/>
    <w:rsid w:val="00BB09A2"/>
    <w:rsid w:val="00BB0C57"/>
    <w:rsid w:val="00BB0C83"/>
    <w:rsid w:val="00BB0D6D"/>
    <w:rsid w:val="00BB0E42"/>
    <w:rsid w:val="00BB0E91"/>
    <w:rsid w:val="00BB0F88"/>
    <w:rsid w:val="00BB10F7"/>
    <w:rsid w:val="00BB1209"/>
    <w:rsid w:val="00BB157F"/>
    <w:rsid w:val="00BB175C"/>
    <w:rsid w:val="00BB1A5B"/>
    <w:rsid w:val="00BB1C4F"/>
    <w:rsid w:val="00BB1C86"/>
    <w:rsid w:val="00BB1D1F"/>
    <w:rsid w:val="00BB1EB5"/>
    <w:rsid w:val="00BB1F1E"/>
    <w:rsid w:val="00BB2103"/>
    <w:rsid w:val="00BB2281"/>
    <w:rsid w:val="00BB246D"/>
    <w:rsid w:val="00BB2955"/>
    <w:rsid w:val="00BB2A15"/>
    <w:rsid w:val="00BB2A84"/>
    <w:rsid w:val="00BB2DE3"/>
    <w:rsid w:val="00BB2F1A"/>
    <w:rsid w:val="00BB2FC1"/>
    <w:rsid w:val="00BB3113"/>
    <w:rsid w:val="00BB3238"/>
    <w:rsid w:val="00BB3423"/>
    <w:rsid w:val="00BB346F"/>
    <w:rsid w:val="00BB3501"/>
    <w:rsid w:val="00BB3583"/>
    <w:rsid w:val="00BB35E5"/>
    <w:rsid w:val="00BB37E7"/>
    <w:rsid w:val="00BB3809"/>
    <w:rsid w:val="00BB381F"/>
    <w:rsid w:val="00BB387E"/>
    <w:rsid w:val="00BB3883"/>
    <w:rsid w:val="00BB3A21"/>
    <w:rsid w:val="00BB3C24"/>
    <w:rsid w:val="00BB3D9A"/>
    <w:rsid w:val="00BB3DC6"/>
    <w:rsid w:val="00BB3DC9"/>
    <w:rsid w:val="00BB3E19"/>
    <w:rsid w:val="00BB3EFA"/>
    <w:rsid w:val="00BB3FF6"/>
    <w:rsid w:val="00BB405B"/>
    <w:rsid w:val="00BB4194"/>
    <w:rsid w:val="00BB428D"/>
    <w:rsid w:val="00BB44EF"/>
    <w:rsid w:val="00BB4566"/>
    <w:rsid w:val="00BB45F1"/>
    <w:rsid w:val="00BB486A"/>
    <w:rsid w:val="00BB4C6C"/>
    <w:rsid w:val="00BB4C76"/>
    <w:rsid w:val="00BB50F2"/>
    <w:rsid w:val="00BB51F1"/>
    <w:rsid w:val="00BB52A6"/>
    <w:rsid w:val="00BB52C3"/>
    <w:rsid w:val="00BB539A"/>
    <w:rsid w:val="00BB5422"/>
    <w:rsid w:val="00BB574D"/>
    <w:rsid w:val="00BB5774"/>
    <w:rsid w:val="00BB5872"/>
    <w:rsid w:val="00BB58F5"/>
    <w:rsid w:val="00BB5901"/>
    <w:rsid w:val="00BB59BD"/>
    <w:rsid w:val="00BB59D3"/>
    <w:rsid w:val="00BB5ACA"/>
    <w:rsid w:val="00BB5C95"/>
    <w:rsid w:val="00BB5EBD"/>
    <w:rsid w:val="00BB6014"/>
    <w:rsid w:val="00BB6018"/>
    <w:rsid w:val="00BB6046"/>
    <w:rsid w:val="00BB6172"/>
    <w:rsid w:val="00BB6264"/>
    <w:rsid w:val="00BB62E2"/>
    <w:rsid w:val="00BB6334"/>
    <w:rsid w:val="00BB639F"/>
    <w:rsid w:val="00BB65D4"/>
    <w:rsid w:val="00BB671A"/>
    <w:rsid w:val="00BB675F"/>
    <w:rsid w:val="00BB6960"/>
    <w:rsid w:val="00BB6B45"/>
    <w:rsid w:val="00BB6B4C"/>
    <w:rsid w:val="00BB6C30"/>
    <w:rsid w:val="00BB6D29"/>
    <w:rsid w:val="00BB6D60"/>
    <w:rsid w:val="00BB6E98"/>
    <w:rsid w:val="00BB705A"/>
    <w:rsid w:val="00BB7064"/>
    <w:rsid w:val="00BB70EC"/>
    <w:rsid w:val="00BB7193"/>
    <w:rsid w:val="00BB7197"/>
    <w:rsid w:val="00BB72E7"/>
    <w:rsid w:val="00BB7345"/>
    <w:rsid w:val="00BB7499"/>
    <w:rsid w:val="00BB758E"/>
    <w:rsid w:val="00BB7687"/>
    <w:rsid w:val="00BB768B"/>
    <w:rsid w:val="00BB7898"/>
    <w:rsid w:val="00BB7A7B"/>
    <w:rsid w:val="00BB7A8D"/>
    <w:rsid w:val="00BB7D18"/>
    <w:rsid w:val="00BB7E55"/>
    <w:rsid w:val="00BB7E9B"/>
    <w:rsid w:val="00BB7F90"/>
    <w:rsid w:val="00BC027E"/>
    <w:rsid w:val="00BC04C6"/>
    <w:rsid w:val="00BC054F"/>
    <w:rsid w:val="00BC0683"/>
    <w:rsid w:val="00BC07D0"/>
    <w:rsid w:val="00BC0892"/>
    <w:rsid w:val="00BC0A3A"/>
    <w:rsid w:val="00BC0A46"/>
    <w:rsid w:val="00BC0E22"/>
    <w:rsid w:val="00BC0F41"/>
    <w:rsid w:val="00BC0F87"/>
    <w:rsid w:val="00BC1020"/>
    <w:rsid w:val="00BC14AE"/>
    <w:rsid w:val="00BC1510"/>
    <w:rsid w:val="00BC151E"/>
    <w:rsid w:val="00BC18C7"/>
    <w:rsid w:val="00BC1A55"/>
    <w:rsid w:val="00BC1B47"/>
    <w:rsid w:val="00BC1BAF"/>
    <w:rsid w:val="00BC1C99"/>
    <w:rsid w:val="00BC1FB8"/>
    <w:rsid w:val="00BC2144"/>
    <w:rsid w:val="00BC25A4"/>
    <w:rsid w:val="00BC260B"/>
    <w:rsid w:val="00BC2731"/>
    <w:rsid w:val="00BC27AE"/>
    <w:rsid w:val="00BC27D7"/>
    <w:rsid w:val="00BC2873"/>
    <w:rsid w:val="00BC2882"/>
    <w:rsid w:val="00BC288A"/>
    <w:rsid w:val="00BC290E"/>
    <w:rsid w:val="00BC29B7"/>
    <w:rsid w:val="00BC2BA2"/>
    <w:rsid w:val="00BC2CD1"/>
    <w:rsid w:val="00BC2CD7"/>
    <w:rsid w:val="00BC2DDC"/>
    <w:rsid w:val="00BC3046"/>
    <w:rsid w:val="00BC304E"/>
    <w:rsid w:val="00BC308B"/>
    <w:rsid w:val="00BC30A2"/>
    <w:rsid w:val="00BC322B"/>
    <w:rsid w:val="00BC337B"/>
    <w:rsid w:val="00BC33C8"/>
    <w:rsid w:val="00BC3515"/>
    <w:rsid w:val="00BC3655"/>
    <w:rsid w:val="00BC36DE"/>
    <w:rsid w:val="00BC3793"/>
    <w:rsid w:val="00BC37DD"/>
    <w:rsid w:val="00BC3A00"/>
    <w:rsid w:val="00BC3BD9"/>
    <w:rsid w:val="00BC3BE9"/>
    <w:rsid w:val="00BC3D8F"/>
    <w:rsid w:val="00BC3DC1"/>
    <w:rsid w:val="00BC40B5"/>
    <w:rsid w:val="00BC4123"/>
    <w:rsid w:val="00BC4147"/>
    <w:rsid w:val="00BC4170"/>
    <w:rsid w:val="00BC4186"/>
    <w:rsid w:val="00BC4262"/>
    <w:rsid w:val="00BC4643"/>
    <w:rsid w:val="00BC4663"/>
    <w:rsid w:val="00BC46A5"/>
    <w:rsid w:val="00BC4753"/>
    <w:rsid w:val="00BC4818"/>
    <w:rsid w:val="00BC484F"/>
    <w:rsid w:val="00BC4890"/>
    <w:rsid w:val="00BC490F"/>
    <w:rsid w:val="00BC49E3"/>
    <w:rsid w:val="00BC4BAC"/>
    <w:rsid w:val="00BC4C4A"/>
    <w:rsid w:val="00BC4C5C"/>
    <w:rsid w:val="00BC4DDA"/>
    <w:rsid w:val="00BC4EF1"/>
    <w:rsid w:val="00BC4F23"/>
    <w:rsid w:val="00BC4F98"/>
    <w:rsid w:val="00BC4FE1"/>
    <w:rsid w:val="00BC5013"/>
    <w:rsid w:val="00BC505C"/>
    <w:rsid w:val="00BC5071"/>
    <w:rsid w:val="00BC5679"/>
    <w:rsid w:val="00BC5751"/>
    <w:rsid w:val="00BC57A9"/>
    <w:rsid w:val="00BC57B8"/>
    <w:rsid w:val="00BC580E"/>
    <w:rsid w:val="00BC5899"/>
    <w:rsid w:val="00BC5935"/>
    <w:rsid w:val="00BC5981"/>
    <w:rsid w:val="00BC5993"/>
    <w:rsid w:val="00BC5BBC"/>
    <w:rsid w:val="00BC5C89"/>
    <w:rsid w:val="00BC5D13"/>
    <w:rsid w:val="00BC5DDE"/>
    <w:rsid w:val="00BC6169"/>
    <w:rsid w:val="00BC61DE"/>
    <w:rsid w:val="00BC6219"/>
    <w:rsid w:val="00BC6368"/>
    <w:rsid w:val="00BC63A8"/>
    <w:rsid w:val="00BC63AA"/>
    <w:rsid w:val="00BC63C4"/>
    <w:rsid w:val="00BC645C"/>
    <w:rsid w:val="00BC6545"/>
    <w:rsid w:val="00BC6589"/>
    <w:rsid w:val="00BC6691"/>
    <w:rsid w:val="00BC6773"/>
    <w:rsid w:val="00BC6827"/>
    <w:rsid w:val="00BC6AFD"/>
    <w:rsid w:val="00BC6BC6"/>
    <w:rsid w:val="00BC6C3A"/>
    <w:rsid w:val="00BC6CD7"/>
    <w:rsid w:val="00BC6CE3"/>
    <w:rsid w:val="00BC6D4E"/>
    <w:rsid w:val="00BC6E6B"/>
    <w:rsid w:val="00BC6E75"/>
    <w:rsid w:val="00BC6E9B"/>
    <w:rsid w:val="00BC6FCE"/>
    <w:rsid w:val="00BC6FE8"/>
    <w:rsid w:val="00BC70FA"/>
    <w:rsid w:val="00BC72C1"/>
    <w:rsid w:val="00BC740E"/>
    <w:rsid w:val="00BC7629"/>
    <w:rsid w:val="00BC780C"/>
    <w:rsid w:val="00BC794A"/>
    <w:rsid w:val="00BC7A86"/>
    <w:rsid w:val="00BC7C0A"/>
    <w:rsid w:val="00BD000F"/>
    <w:rsid w:val="00BD001C"/>
    <w:rsid w:val="00BD005F"/>
    <w:rsid w:val="00BD00A9"/>
    <w:rsid w:val="00BD00D9"/>
    <w:rsid w:val="00BD0392"/>
    <w:rsid w:val="00BD0457"/>
    <w:rsid w:val="00BD04BF"/>
    <w:rsid w:val="00BD04E4"/>
    <w:rsid w:val="00BD055C"/>
    <w:rsid w:val="00BD0794"/>
    <w:rsid w:val="00BD095C"/>
    <w:rsid w:val="00BD0970"/>
    <w:rsid w:val="00BD09A8"/>
    <w:rsid w:val="00BD0A76"/>
    <w:rsid w:val="00BD0B5A"/>
    <w:rsid w:val="00BD0CBF"/>
    <w:rsid w:val="00BD0D00"/>
    <w:rsid w:val="00BD108D"/>
    <w:rsid w:val="00BD10AE"/>
    <w:rsid w:val="00BD11FB"/>
    <w:rsid w:val="00BD12E8"/>
    <w:rsid w:val="00BD13D7"/>
    <w:rsid w:val="00BD157D"/>
    <w:rsid w:val="00BD1745"/>
    <w:rsid w:val="00BD1763"/>
    <w:rsid w:val="00BD197D"/>
    <w:rsid w:val="00BD1C41"/>
    <w:rsid w:val="00BD1EE4"/>
    <w:rsid w:val="00BD2193"/>
    <w:rsid w:val="00BD236C"/>
    <w:rsid w:val="00BD2697"/>
    <w:rsid w:val="00BD28D2"/>
    <w:rsid w:val="00BD2A24"/>
    <w:rsid w:val="00BD2DCB"/>
    <w:rsid w:val="00BD2E8C"/>
    <w:rsid w:val="00BD2EB5"/>
    <w:rsid w:val="00BD32DC"/>
    <w:rsid w:val="00BD334C"/>
    <w:rsid w:val="00BD3680"/>
    <w:rsid w:val="00BD3967"/>
    <w:rsid w:val="00BD39DB"/>
    <w:rsid w:val="00BD39EE"/>
    <w:rsid w:val="00BD3A34"/>
    <w:rsid w:val="00BD3A4C"/>
    <w:rsid w:val="00BD3B27"/>
    <w:rsid w:val="00BD3C3A"/>
    <w:rsid w:val="00BD3CF4"/>
    <w:rsid w:val="00BD3DA1"/>
    <w:rsid w:val="00BD3F22"/>
    <w:rsid w:val="00BD3F40"/>
    <w:rsid w:val="00BD44D3"/>
    <w:rsid w:val="00BD4531"/>
    <w:rsid w:val="00BD472A"/>
    <w:rsid w:val="00BD474A"/>
    <w:rsid w:val="00BD4860"/>
    <w:rsid w:val="00BD4901"/>
    <w:rsid w:val="00BD4929"/>
    <w:rsid w:val="00BD4949"/>
    <w:rsid w:val="00BD4AE6"/>
    <w:rsid w:val="00BD4BF9"/>
    <w:rsid w:val="00BD4E4D"/>
    <w:rsid w:val="00BD5210"/>
    <w:rsid w:val="00BD5235"/>
    <w:rsid w:val="00BD5302"/>
    <w:rsid w:val="00BD56AB"/>
    <w:rsid w:val="00BD5A57"/>
    <w:rsid w:val="00BD5A80"/>
    <w:rsid w:val="00BD5AC1"/>
    <w:rsid w:val="00BD5B1C"/>
    <w:rsid w:val="00BD5B81"/>
    <w:rsid w:val="00BD5DBB"/>
    <w:rsid w:val="00BD5E7F"/>
    <w:rsid w:val="00BD5EAA"/>
    <w:rsid w:val="00BD5FAD"/>
    <w:rsid w:val="00BD601B"/>
    <w:rsid w:val="00BD641A"/>
    <w:rsid w:val="00BD641D"/>
    <w:rsid w:val="00BD64C3"/>
    <w:rsid w:val="00BD654A"/>
    <w:rsid w:val="00BD6694"/>
    <w:rsid w:val="00BD674B"/>
    <w:rsid w:val="00BD682A"/>
    <w:rsid w:val="00BD694C"/>
    <w:rsid w:val="00BD69B7"/>
    <w:rsid w:val="00BD6A1E"/>
    <w:rsid w:val="00BD6A82"/>
    <w:rsid w:val="00BD6B0E"/>
    <w:rsid w:val="00BD6CF0"/>
    <w:rsid w:val="00BD6E26"/>
    <w:rsid w:val="00BD6F53"/>
    <w:rsid w:val="00BD7091"/>
    <w:rsid w:val="00BD72B4"/>
    <w:rsid w:val="00BD7314"/>
    <w:rsid w:val="00BD7528"/>
    <w:rsid w:val="00BD769D"/>
    <w:rsid w:val="00BD76EB"/>
    <w:rsid w:val="00BD7701"/>
    <w:rsid w:val="00BD772C"/>
    <w:rsid w:val="00BD784C"/>
    <w:rsid w:val="00BD785F"/>
    <w:rsid w:val="00BD786E"/>
    <w:rsid w:val="00BD7968"/>
    <w:rsid w:val="00BD79E3"/>
    <w:rsid w:val="00BD7A9F"/>
    <w:rsid w:val="00BD7B84"/>
    <w:rsid w:val="00BD7C5E"/>
    <w:rsid w:val="00BD7C9D"/>
    <w:rsid w:val="00BD7CB5"/>
    <w:rsid w:val="00BD7DCE"/>
    <w:rsid w:val="00BD7FE8"/>
    <w:rsid w:val="00BE0024"/>
    <w:rsid w:val="00BE013D"/>
    <w:rsid w:val="00BE01B7"/>
    <w:rsid w:val="00BE022D"/>
    <w:rsid w:val="00BE03A8"/>
    <w:rsid w:val="00BE07FA"/>
    <w:rsid w:val="00BE0907"/>
    <w:rsid w:val="00BE0AA3"/>
    <w:rsid w:val="00BE0AF9"/>
    <w:rsid w:val="00BE0B6D"/>
    <w:rsid w:val="00BE0B7F"/>
    <w:rsid w:val="00BE0BB1"/>
    <w:rsid w:val="00BE0F0B"/>
    <w:rsid w:val="00BE0F18"/>
    <w:rsid w:val="00BE0FED"/>
    <w:rsid w:val="00BE10E9"/>
    <w:rsid w:val="00BE116C"/>
    <w:rsid w:val="00BE11F7"/>
    <w:rsid w:val="00BE12D4"/>
    <w:rsid w:val="00BE1357"/>
    <w:rsid w:val="00BE176E"/>
    <w:rsid w:val="00BE1811"/>
    <w:rsid w:val="00BE18A8"/>
    <w:rsid w:val="00BE1D14"/>
    <w:rsid w:val="00BE1D38"/>
    <w:rsid w:val="00BE1D59"/>
    <w:rsid w:val="00BE1D9F"/>
    <w:rsid w:val="00BE1E70"/>
    <w:rsid w:val="00BE1F8B"/>
    <w:rsid w:val="00BE1FA4"/>
    <w:rsid w:val="00BE1FB7"/>
    <w:rsid w:val="00BE1FD0"/>
    <w:rsid w:val="00BE2049"/>
    <w:rsid w:val="00BE25B5"/>
    <w:rsid w:val="00BE2869"/>
    <w:rsid w:val="00BE2A79"/>
    <w:rsid w:val="00BE2A98"/>
    <w:rsid w:val="00BE2B76"/>
    <w:rsid w:val="00BE2DA7"/>
    <w:rsid w:val="00BE2DF1"/>
    <w:rsid w:val="00BE2E16"/>
    <w:rsid w:val="00BE2FFD"/>
    <w:rsid w:val="00BE3048"/>
    <w:rsid w:val="00BE3144"/>
    <w:rsid w:val="00BE35C2"/>
    <w:rsid w:val="00BE375A"/>
    <w:rsid w:val="00BE376C"/>
    <w:rsid w:val="00BE37B1"/>
    <w:rsid w:val="00BE37E7"/>
    <w:rsid w:val="00BE3AC6"/>
    <w:rsid w:val="00BE3BF9"/>
    <w:rsid w:val="00BE3E44"/>
    <w:rsid w:val="00BE3F44"/>
    <w:rsid w:val="00BE3FA8"/>
    <w:rsid w:val="00BE3FEA"/>
    <w:rsid w:val="00BE4187"/>
    <w:rsid w:val="00BE4236"/>
    <w:rsid w:val="00BE4359"/>
    <w:rsid w:val="00BE4526"/>
    <w:rsid w:val="00BE4615"/>
    <w:rsid w:val="00BE46EE"/>
    <w:rsid w:val="00BE48FD"/>
    <w:rsid w:val="00BE4B10"/>
    <w:rsid w:val="00BE505A"/>
    <w:rsid w:val="00BE52AD"/>
    <w:rsid w:val="00BE53B6"/>
    <w:rsid w:val="00BE56B9"/>
    <w:rsid w:val="00BE5728"/>
    <w:rsid w:val="00BE587A"/>
    <w:rsid w:val="00BE5A0C"/>
    <w:rsid w:val="00BE5AFA"/>
    <w:rsid w:val="00BE5BCD"/>
    <w:rsid w:val="00BE5BCF"/>
    <w:rsid w:val="00BE5E6C"/>
    <w:rsid w:val="00BE5F54"/>
    <w:rsid w:val="00BE5F8F"/>
    <w:rsid w:val="00BE602D"/>
    <w:rsid w:val="00BE611E"/>
    <w:rsid w:val="00BE619F"/>
    <w:rsid w:val="00BE61B1"/>
    <w:rsid w:val="00BE62D7"/>
    <w:rsid w:val="00BE632A"/>
    <w:rsid w:val="00BE632C"/>
    <w:rsid w:val="00BE63C7"/>
    <w:rsid w:val="00BE64B5"/>
    <w:rsid w:val="00BE64D7"/>
    <w:rsid w:val="00BE64DA"/>
    <w:rsid w:val="00BE6535"/>
    <w:rsid w:val="00BE6537"/>
    <w:rsid w:val="00BE6586"/>
    <w:rsid w:val="00BE6C2D"/>
    <w:rsid w:val="00BE6D23"/>
    <w:rsid w:val="00BE6DE1"/>
    <w:rsid w:val="00BE701E"/>
    <w:rsid w:val="00BE7035"/>
    <w:rsid w:val="00BE7148"/>
    <w:rsid w:val="00BE7441"/>
    <w:rsid w:val="00BE75E2"/>
    <w:rsid w:val="00BE7726"/>
    <w:rsid w:val="00BE77A6"/>
    <w:rsid w:val="00BE7813"/>
    <w:rsid w:val="00BE78B4"/>
    <w:rsid w:val="00BE79E7"/>
    <w:rsid w:val="00BE7AB5"/>
    <w:rsid w:val="00BE7CEA"/>
    <w:rsid w:val="00BF0124"/>
    <w:rsid w:val="00BF0331"/>
    <w:rsid w:val="00BF06DB"/>
    <w:rsid w:val="00BF083B"/>
    <w:rsid w:val="00BF083E"/>
    <w:rsid w:val="00BF087E"/>
    <w:rsid w:val="00BF08AC"/>
    <w:rsid w:val="00BF0936"/>
    <w:rsid w:val="00BF0C2A"/>
    <w:rsid w:val="00BF0DA9"/>
    <w:rsid w:val="00BF0F10"/>
    <w:rsid w:val="00BF10BA"/>
    <w:rsid w:val="00BF127F"/>
    <w:rsid w:val="00BF1294"/>
    <w:rsid w:val="00BF12CF"/>
    <w:rsid w:val="00BF132D"/>
    <w:rsid w:val="00BF1481"/>
    <w:rsid w:val="00BF1519"/>
    <w:rsid w:val="00BF1570"/>
    <w:rsid w:val="00BF1574"/>
    <w:rsid w:val="00BF1585"/>
    <w:rsid w:val="00BF15EE"/>
    <w:rsid w:val="00BF1661"/>
    <w:rsid w:val="00BF170E"/>
    <w:rsid w:val="00BF1739"/>
    <w:rsid w:val="00BF17EF"/>
    <w:rsid w:val="00BF1895"/>
    <w:rsid w:val="00BF18D6"/>
    <w:rsid w:val="00BF18ED"/>
    <w:rsid w:val="00BF1953"/>
    <w:rsid w:val="00BF1AAA"/>
    <w:rsid w:val="00BF1BBB"/>
    <w:rsid w:val="00BF1C44"/>
    <w:rsid w:val="00BF1D37"/>
    <w:rsid w:val="00BF1F50"/>
    <w:rsid w:val="00BF20E6"/>
    <w:rsid w:val="00BF2105"/>
    <w:rsid w:val="00BF2295"/>
    <w:rsid w:val="00BF22E6"/>
    <w:rsid w:val="00BF2320"/>
    <w:rsid w:val="00BF248D"/>
    <w:rsid w:val="00BF2589"/>
    <w:rsid w:val="00BF25CE"/>
    <w:rsid w:val="00BF264F"/>
    <w:rsid w:val="00BF27DE"/>
    <w:rsid w:val="00BF29E8"/>
    <w:rsid w:val="00BF2A5E"/>
    <w:rsid w:val="00BF2A8D"/>
    <w:rsid w:val="00BF2AD8"/>
    <w:rsid w:val="00BF2B80"/>
    <w:rsid w:val="00BF2DE5"/>
    <w:rsid w:val="00BF2E37"/>
    <w:rsid w:val="00BF3369"/>
    <w:rsid w:val="00BF3428"/>
    <w:rsid w:val="00BF34E7"/>
    <w:rsid w:val="00BF3770"/>
    <w:rsid w:val="00BF37AB"/>
    <w:rsid w:val="00BF3A7E"/>
    <w:rsid w:val="00BF3BDF"/>
    <w:rsid w:val="00BF3C8C"/>
    <w:rsid w:val="00BF3CA6"/>
    <w:rsid w:val="00BF4043"/>
    <w:rsid w:val="00BF40F4"/>
    <w:rsid w:val="00BF41C5"/>
    <w:rsid w:val="00BF42E4"/>
    <w:rsid w:val="00BF42FD"/>
    <w:rsid w:val="00BF454F"/>
    <w:rsid w:val="00BF459F"/>
    <w:rsid w:val="00BF46AC"/>
    <w:rsid w:val="00BF477F"/>
    <w:rsid w:val="00BF4ACA"/>
    <w:rsid w:val="00BF4B73"/>
    <w:rsid w:val="00BF4B9F"/>
    <w:rsid w:val="00BF4C8D"/>
    <w:rsid w:val="00BF4EE1"/>
    <w:rsid w:val="00BF4F34"/>
    <w:rsid w:val="00BF4FC2"/>
    <w:rsid w:val="00BF54C7"/>
    <w:rsid w:val="00BF5547"/>
    <w:rsid w:val="00BF56F7"/>
    <w:rsid w:val="00BF58DE"/>
    <w:rsid w:val="00BF59AB"/>
    <w:rsid w:val="00BF5AB5"/>
    <w:rsid w:val="00BF5E39"/>
    <w:rsid w:val="00BF5F96"/>
    <w:rsid w:val="00BF5F9D"/>
    <w:rsid w:val="00BF6152"/>
    <w:rsid w:val="00BF61F1"/>
    <w:rsid w:val="00BF62F8"/>
    <w:rsid w:val="00BF630C"/>
    <w:rsid w:val="00BF649B"/>
    <w:rsid w:val="00BF64E1"/>
    <w:rsid w:val="00BF6627"/>
    <w:rsid w:val="00BF6726"/>
    <w:rsid w:val="00BF687E"/>
    <w:rsid w:val="00BF68B7"/>
    <w:rsid w:val="00BF6A91"/>
    <w:rsid w:val="00BF6BA0"/>
    <w:rsid w:val="00BF6C0C"/>
    <w:rsid w:val="00BF6C16"/>
    <w:rsid w:val="00BF6C61"/>
    <w:rsid w:val="00BF6C9E"/>
    <w:rsid w:val="00BF6DD9"/>
    <w:rsid w:val="00BF6DF7"/>
    <w:rsid w:val="00BF6FFC"/>
    <w:rsid w:val="00BF7254"/>
    <w:rsid w:val="00BF76F8"/>
    <w:rsid w:val="00BF7820"/>
    <w:rsid w:val="00BF7890"/>
    <w:rsid w:val="00BF79CC"/>
    <w:rsid w:val="00BF7AE8"/>
    <w:rsid w:val="00BF7BE3"/>
    <w:rsid w:val="00BF7DCA"/>
    <w:rsid w:val="00BF7DD9"/>
    <w:rsid w:val="00BF7E0A"/>
    <w:rsid w:val="00BF7EFC"/>
    <w:rsid w:val="00C00025"/>
    <w:rsid w:val="00C00060"/>
    <w:rsid w:val="00C00152"/>
    <w:rsid w:val="00C00373"/>
    <w:rsid w:val="00C0043A"/>
    <w:rsid w:val="00C005F1"/>
    <w:rsid w:val="00C006F4"/>
    <w:rsid w:val="00C0070B"/>
    <w:rsid w:val="00C007EC"/>
    <w:rsid w:val="00C008A3"/>
    <w:rsid w:val="00C00C20"/>
    <w:rsid w:val="00C00CD3"/>
    <w:rsid w:val="00C00E88"/>
    <w:rsid w:val="00C00F60"/>
    <w:rsid w:val="00C00FA8"/>
    <w:rsid w:val="00C010D4"/>
    <w:rsid w:val="00C011D0"/>
    <w:rsid w:val="00C01230"/>
    <w:rsid w:val="00C0128E"/>
    <w:rsid w:val="00C01431"/>
    <w:rsid w:val="00C01438"/>
    <w:rsid w:val="00C014B2"/>
    <w:rsid w:val="00C015D9"/>
    <w:rsid w:val="00C016D9"/>
    <w:rsid w:val="00C01964"/>
    <w:rsid w:val="00C01ACC"/>
    <w:rsid w:val="00C02015"/>
    <w:rsid w:val="00C02090"/>
    <w:rsid w:val="00C02294"/>
    <w:rsid w:val="00C02360"/>
    <w:rsid w:val="00C025FE"/>
    <w:rsid w:val="00C0269F"/>
    <w:rsid w:val="00C02707"/>
    <w:rsid w:val="00C02796"/>
    <w:rsid w:val="00C027CE"/>
    <w:rsid w:val="00C0285A"/>
    <w:rsid w:val="00C029C1"/>
    <w:rsid w:val="00C029D7"/>
    <w:rsid w:val="00C029E5"/>
    <w:rsid w:val="00C02A80"/>
    <w:rsid w:val="00C02AFB"/>
    <w:rsid w:val="00C02B2B"/>
    <w:rsid w:val="00C02C64"/>
    <w:rsid w:val="00C02E60"/>
    <w:rsid w:val="00C02E9E"/>
    <w:rsid w:val="00C02EDA"/>
    <w:rsid w:val="00C02F54"/>
    <w:rsid w:val="00C033A8"/>
    <w:rsid w:val="00C0377D"/>
    <w:rsid w:val="00C03857"/>
    <w:rsid w:val="00C038C8"/>
    <w:rsid w:val="00C03B44"/>
    <w:rsid w:val="00C03BAB"/>
    <w:rsid w:val="00C03CAB"/>
    <w:rsid w:val="00C03CF9"/>
    <w:rsid w:val="00C03E0E"/>
    <w:rsid w:val="00C03F14"/>
    <w:rsid w:val="00C04081"/>
    <w:rsid w:val="00C04138"/>
    <w:rsid w:val="00C041B3"/>
    <w:rsid w:val="00C041B4"/>
    <w:rsid w:val="00C041D1"/>
    <w:rsid w:val="00C0423D"/>
    <w:rsid w:val="00C04307"/>
    <w:rsid w:val="00C04371"/>
    <w:rsid w:val="00C0440A"/>
    <w:rsid w:val="00C04455"/>
    <w:rsid w:val="00C0459C"/>
    <w:rsid w:val="00C045C9"/>
    <w:rsid w:val="00C0489E"/>
    <w:rsid w:val="00C049FD"/>
    <w:rsid w:val="00C04BA7"/>
    <w:rsid w:val="00C04C79"/>
    <w:rsid w:val="00C04F2A"/>
    <w:rsid w:val="00C04FB4"/>
    <w:rsid w:val="00C05104"/>
    <w:rsid w:val="00C05158"/>
    <w:rsid w:val="00C05167"/>
    <w:rsid w:val="00C0523C"/>
    <w:rsid w:val="00C05267"/>
    <w:rsid w:val="00C053FC"/>
    <w:rsid w:val="00C054D5"/>
    <w:rsid w:val="00C05551"/>
    <w:rsid w:val="00C05801"/>
    <w:rsid w:val="00C05CEB"/>
    <w:rsid w:val="00C05D37"/>
    <w:rsid w:val="00C05D68"/>
    <w:rsid w:val="00C05D94"/>
    <w:rsid w:val="00C05E00"/>
    <w:rsid w:val="00C05F49"/>
    <w:rsid w:val="00C05FD1"/>
    <w:rsid w:val="00C06013"/>
    <w:rsid w:val="00C0605C"/>
    <w:rsid w:val="00C060C7"/>
    <w:rsid w:val="00C063F5"/>
    <w:rsid w:val="00C06413"/>
    <w:rsid w:val="00C06541"/>
    <w:rsid w:val="00C065BD"/>
    <w:rsid w:val="00C06817"/>
    <w:rsid w:val="00C0681F"/>
    <w:rsid w:val="00C06822"/>
    <w:rsid w:val="00C06E69"/>
    <w:rsid w:val="00C06F2E"/>
    <w:rsid w:val="00C06F57"/>
    <w:rsid w:val="00C06FCA"/>
    <w:rsid w:val="00C06FCD"/>
    <w:rsid w:val="00C06FD1"/>
    <w:rsid w:val="00C06FE8"/>
    <w:rsid w:val="00C0719F"/>
    <w:rsid w:val="00C07397"/>
    <w:rsid w:val="00C073D1"/>
    <w:rsid w:val="00C07545"/>
    <w:rsid w:val="00C07651"/>
    <w:rsid w:val="00C076FF"/>
    <w:rsid w:val="00C07733"/>
    <w:rsid w:val="00C0776A"/>
    <w:rsid w:val="00C0779F"/>
    <w:rsid w:val="00C07853"/>
    <w:rsid w:val="00C07A3C"/>
    <w:rsid w:val="00C07BC1"/>
    <w:rsid w:val="00C07C8C"/>
    <w:rsid w:val="00C07CDB"/>
    <w:rsid w:val="00C07D63"/>
    <w:rsid w:val="00C1037C"/>
    <w:rsid w:val="00C105D2"/>
    <w:rsid w:val="00C105ED"/>
    <w:rsid w:val="00C106AF"/>
    <w:rsid w:val="00C1072C"/>
    <w:rsid w:val="00C10740"/>
    <w:rsid w:val="00C107E1"/>
    <w:rsid w:val="00C1087C"/>
    <w:rsid w:val="00C10965"/>
    <w:rsid w:val="00C10B3C"/>
    <w:rsid w:val="00C10C12"/>
    <w:rsid w:val="00C10D42"/>
    <w:rsid w:val="00C10ECD"/>
    <w:rsid w:val="00C111EB"/>
    <w:rsid w:val="00C1133E"/>
    <w:rsid w:val="00C113A9"/>
    <w:rsid w:val="00C11443"/>
    <w:rsid w:val="00C11602"/>
    <w:rsid w:val="00C11702"/>
    <w:rsid w:val="00C11819"/>
    <w:rsid w:val="00C11929"/>
    <w:rsid w:val="00C1196F"/>
    <w:rsid w:val="00C11CCA"/>
    <w:rsid w:val="00C11DC0"/>
    <w:rsid w:val="00C11E7A"/>
    <w:rsid w:val="00C11FB3"/>
    <w:rsid w:val="00C12077"/>
    <w:rsid w:val="00C1236D"/>
    <w:rsid w:val="00C12388"/>
    <w:rsid w:val="00C123DA"/>
    <w:rsid w:val="00C12479"/>
    <w:rsid w:val="00C1249D"/>
    <w:rsid w:val="00C126CB"/>
    <w:rsid w:val="00C126D3"/>
    <w:rsid w:val="00C12821"/>
    <w:rsid w:val="00C129DD"/>
    <w:rsid w:val="00C12A5E"/>
    <w:rsid w:val="00C12BC8"/>
    <w:rsid w:val="00C12D63"/>
    <w:rsid w:val="00C130AA"/>
    <w:rsid w:val="00C130CD"/>
    <w:rsid w:val="00C133FC"/>
    <w:rsid w:val="00C13903"/>
    <w:rsid w:val="00C139AE"/>
    <w:rsid w:val="00C13AE0"/>
    <w:rsid w:val="00C13B7B"/>
    <w:rsid w:val="00C13E6E"/>
    <w:rsid w:val="00C13E7A"/>
    <w:rsid w:val="00C13F89"/>
    <w:rsid w:val="00C14138"/>
    <w:rsid w:val="00C1418E"/>
    <w:rsid w:val="00C1419D"/>
    <w:rsid w:val="00C1421D"/>
    <w:rsid w:val="00C1423F"/>
    <w:rsid w:val="00C14277"/>
    <w:rsid w:val="00C142B7"/>
    <w:rsid w:val="00C14596"/>
    <w:rsid w:val="00C146B5"/>
    <w:rsid w:val="00C146C0"/>
    <w:rsid w:val="00C147F0"/>
    <w:rsid w:val="00C148BB"/>
    <w:rsid w:val="00C1491A"/>
    <w:rsid w:val="00C14A61"/>
    <w:rsid w:val="00C14AAA"/>
    <w:rsid w:val="00C14EE6"/>
    <w:rsid w:val="00C15225"/>
    <w:rsid w:val="00C15441"/>
    <w:rsid w:val="00C158C3"/>
    <w:rsid w:val="00C15A8A"/>
    <w:rsid w:val="00C15FF1"/>
    <w:rsid w:val="00C16189"/>
    <w:rsid w:val="00C1622E"/>
    <w:rsid w:val="00C16249"/>
    <w:rsid w:val="00C1631D"/>
    <w:rsid w:val="00C16705"/>
    <w:rsid w:val="00C16764"/>
    <w:rsid w:val="00C169E7"/>
    <w:rsid w:val="00C16A92"/>
    <w:rsid w:val="00C16D98"/>
    <w:rsid w:val="00C16F90"/>
    <w:rsid w:val="00C17200"/>
    <w:rsid w:val="00C172FA"/>
    <w:rsid w:val="00C172FE"/>
    <w:rsid w:val="00C1737D"/>
    <w:rsid w:val="00C1744F"/>
    <w:rsid w:val="00C17574"/>
    <w:rsid w:val="00C176A9"/>
    <w:rsid w:val="00C17791"/>
    <w:rsid w:val="00C177E9"/>
    <w:rsid w:val="00C178FF"/>
    <w:rsid w:val="00C17A61"/>
    <w:rsid w:val="00C17CAB"/>
    <w:rsid w:val="00C20014"/>
    <w:rsid w:val="00C2008F"/>
    <w:rsid w:val="00C2011A"/>
    <w:rsid w:val="00C20201"/>
    <w:rsid w:val="00C20249"/>
    <w:rsid w:val="00C202DB"/>
    <w:rsid w:val="00C2034C"/>
    <w:rsid w:val="00C20416"/>
    <w:rsid w:val="00C2041F"/>
    <w:rsid w:val="00C20468"/>
    <w:rsid w:val="00C2075C"/>
    <w:rsid w:val="00C20822"/>
    <w:rsid w:val="00C20873"/>
    <w:rsid w:val="00C208C9"/>
    <w:rsid w:val="00C20AE3"/>
    <w:rsid w:val="00C20B9E"/>
    <w:rsid w:val="00C20D94"/>
    <w:rsid w:val="00C21087"/>
    <w:rsid w:val="00C21124"/>
    <w:rsid w:val="00C21139"/>
    <w:rsid w:val="00C2125A"/>
    <w:rsid w:val="00C21369"/>
    <w:rsid w:val="00C214AD"/>
    <w:rsid w:val="00C214F6"/>
    <w:rsid w:val="00C2172C"/>
    <w:rsid w:val="00C2185E"/>
    <w:rsid w:val="00C21985"/>
    <w:rsid w:val="00C2198D"/>
    <w:rsid w:val="00C219EC"/>
    <w:rsid w:val="00C21A24"/>
    <w:rsid w:val="00C21A8C"/>
    <w:rsid w:val="00C21B7F"/>
    <w:rsid w:val="00C21C5C"/>
    <w:rsid w:val="00C21C66"/>
    <w:rsid w:val="00C21C9F"/>
    <w:rsid w:val="00C21F2F"/>
    <w:rsid w:val="00C22035"/>
    <w:rsid w:val="00C22136"/>
    <w:rsid w:val="00C2221D"/>
    <w:rsid w:val="00C22303"/>
    <w:rsid w:val="00C22474"/>
    <w:rsid w:val="00C2272B"/>
    <w:rsid w:val="00C22746"/>
    <w:rsid w:val="00C22874"/>
    <w:rsid w:val="00C22C9A"/>
    <w:rsid w:val="00C22DB2"/>
    <w:rsid w:val="00C22FD2"/>
    <w:rsid w:val="00C23017"/>
    <w:rsid w:val="00C2306A"/>
    <w:rsid w:val="00C23148"/>
    <w:rsid w:val="00C23226"/>
    <w:rsid w:val="00C23259"/>
    <w:rsid w:val="00C23446"/>
    <w:rsid w:val="00C234BC"/>
    <w:rsid w:val="00C23572"/>
    <w:rsid w:val="00C235FF"/>
    <w:rsid w:val="00C23647"/>
    <w:rsid w:val="00C2366E"/>
    <w:rsid w:val="00C237EC"/>
    <w:rsid w:val="00C237EF"/>
    <w:rsid w:val="00C23AE0"/>
    <w:rsid w:val="00C23CD2"/>
    <w:rsid w:val="00C23EA1"/>
    <w:rsid w:val="00C23F1C"/>
    <w:rsid w:val="00C241D0"/>
    <w:rsid w:val="00C241EE"/>
    <w:rsid w:val="00C242EB"/>
    <w:rsid w:val="00C24378"/>
    <w:rsid w:val="00C2445B"/>
    <w:rsid w:val="00C2454B"/>
    <w:rsid w:val="00C24799"/>
    <w:rsid w:val="00C247E0"/>
    <w:rsid w:val="00C24888"/>
    <w:rsid w:val="00C24A93"/>
    <w:rsid w:val="00C24C6B"/>
    <w:rsid w:val="00C24D27"/>
    <w:rsid w:val="00C24DAE"/>
    <w:rsid w:val="00C24DBC"/>
    <w:rsid w:val="00C24DD2"/>
    <w:rsid w:val="00C24E44"/>
    <w:rsid w:val="00C24E4D"/>
    <w:rsid w:val="00C24ECA"/>
    <w:rsid w:val="00C24F72"/>
    <w:rsid w:val="00C25465"/>
    <w:rsid w:val="00C25498"/>
    <w:rsid w:val="00C25523"/>
    <w:rsid w:val="00C25558"/>
    <w:rsid w:val="00C25B62"/>
    <w:rsid w:val="00C25D70"/>
    <w:rsid w:val="00C25DB3"/>
    <w:rsid w:val="00C25FEB"/>
    <w:rsid w:val="00C260AA"/>
    <w:rsid w:val="00C26172"/>
    <w:rsid w:val="00C26276"/>
    <w:rsid w:val="00C2632C"/>
    <w:rsid w:val="00C26437"/>
    <w:rsid w:val="00C2653C"/>
    <w:rsid w:val="00C265B4"/>
    <w:rsid w:val="00C265DA"/>
    <w:rsid w:val="00C2664B"/>
    <w:rsid w:val="00C2668A"/>
    <w:rsid w:val="00C26866"/>
    <w:rsid w:val="00C26877"/>
    <w:rsid w:val="00C26914"/>
    <w:rsid w:val="00C26A29"/>
    <w:rsid w:val="00C26C89"/>
    <w:rsid w:val="00C26C95"/>
    <w:rsid w:val="00C26F44"/>
    <w:rsid w:val="00C27423"/>
    <w:rsid w:val="00C274B2"/>
    <w:rsid w:val="00C274EF"/>
    <w:rsid w:val="00C27634"/>
    <w:rsid w:val="00C2767D"/>
    <w:rsid w:val="00C27827"/>
    <w:rsid w:val="00C279DA"/>
    <w:rsid w:val="00C27C14"/>
    <w:rsid w:val="00C27D98"/>
    <w:rsid w:val="00C27DAC"/>
    <w:rsid w:val="00C27DC7"/>
    <w:rsid w:val="00C27E1C"/>
    <w:rsid w:val="00C27EE3"/>
    <w:rsid w:val="00C27FD1"/>
    <w:rsid w:val="00C30405"/>
    <w:rsid w:val="00C30528"/>
    <w:rsid w:val="00C305D0"/>
    <w:rsid w:val="00C30681"/>
    <w:rsid w:val="00C306DE"/>
    <w:rsid w:val="00C30728"/>
    <w:rsid w:val="00C30980"/>
    <w:rsid w:val="00C30A77"/>
    <w:rsid w:val="00C30ACE"/>
    <w:rsid w:val="00C30AFA"/>
    <w:rsid w:val="00C30B46"/>
    <w:rsid w:val="00C30BFF"/>
    <w:rsid w:val="00C30EF4"/>
    <w:rsid w:val="00C30EFE"/>
    <w:rsid w:val="00C30F28"/>
    <w:rsid w:val="00C30FF4"/>
    <w:rsid w:val="00C31103"/>
    <w:rsid w:val="00C312C5"/>
    <w:rsid w:val="00C3134C"/>
    <w:rsid w:val="00C313E6"/>
    <w:rsid w:val="00C31629"/>
    <w:rsid w:val="00C31640"/>
    <w:rsid w:val="00C316FA"/>
    <w:rsid w:val="00C31783"/>
    <w:rsid w:val="00C31B0C"/>
    <w:rsid w:val="00C31B19"/>
    <w:rsid w:val="00C31D29"/>
    <w:rsid w:val="00C31DA9"/>
    <w:rsid w:val="00C31EF6"/>
    <w:rsid w:val="00C31FA2"/>
    <w:rsid w:val="00C31FF4"/>
    <w:rsid w:val="00C32104"/>
    <w:rsid w:val="00C3219F"/>
    <w:rsid w:val="00C32470"/>
    <w:rsid w:val="00C324EC"/>
    <w:rsid w:val="00C326F6"/>
    <w:rsid w:val="00C327B1"/>
    <w:rsid w:val="00C329A0"/>
    <w:rsid w:val="00C32AA8"/>
    <w:rsid w:val="00C32C13"/>
    <w:rsid w:val="00C32D10"/>
    <w:rsid w:val="00C32EB3"/>
    <w:rsid w:val="00C32FD1"/>
    <w:rsid w:val="00C3306D"/>
    <w:rsid w:val="00C330E7"/>
    <w:rsid w:val="00C33166"/>
    <w:rsid w:val="00C33467"/>
    <w:rsid w:val="00C33475"/>
    <w:rsid w:val="00C33570"/>
    <w:rsid w:val="00C33615"/>
    <w:rsid w:val="00C336A3"/>
    <w:rsid w:val="00C33703"/>
    <w:rsid w:val="00C3377C"/>
    <w:rsid w:val="00C3377E"/>
    <w:rsid w:val="00C33788"/>
    <w:rsid w:val="00C337AD"/>
    <w:rsid w:val="00C33823"/>
    <w:rsid w:val="00C33BD3"/>
    <w:rsid w:val="00C33C13"/>
    <w:rsid w:val="00C33CB5"/>
    <w:rsid w:val="00C33D15"/>
    <w:rsid w:val="00C33E3E"/>
    <w:rsid w:val="00C33F2F"/>
    <w:rsid w:val="00C341BE"/>
    <w:rsid w:val="00C342AF"/>
    <w:rsid w:val="00C343C5"/>
    <w:rsid w:val="00C343D0"/>
    <w:rsid w:val="00C343D2"/>
    <w:rsid w:val="00C34680"/>
    <w:rsid w:val="00C3471F"/>
    <w:rsid w:val="00C34748"/>
    <w:rsid w:val="00C347CC"/>
    <w:rsid w:val="00C34842"/>
    <w:rsid w:val="00C34AD8"/>
    <w:rsid w:val="00C34B26"/>
    <w:rsid w:val="00C34E56"/>
    <w:rsid w:val="00C35001"/>
    <w:rsid w:val="00C3509E"/>
    <w:rsid w:val="00C3523B"/>
    <w:rsid w:val="00C35475"/>
    <w:rsid w:val="00C355C8"/>
    <w:rsid w:val="00C35707"/>
    <w:rsid w:val="00C357A4"/>
    <w:rsid w:val="00C35852"/>
    <w:rsid w:val="00C3593F"/>
    <w:rsid w:val="00C3597F"/>
    <w:rsid w:val="00C35B46"/>
    <w:rsid w:val="00C35B88"/>
    <w:rsid w:val="00C35C02"/>
    <w:rsid w:val="00C36013"/>
    <w:rsid w:val="00C36246"/>
    <w:rsid w:val="00C36478"/>
    <w:rsid w:val="00C3648F"/>
    <w:rsid w:val="00C36892"/>
    <w:rsid w:val="00C36A8C"/>
    <w:rsid w:val="00C36BFA"/>
    <w:rsid w:val="00C36C62"/>
    <w:rsid w:val="00C36CE3"/>
    <w:rsid w:val="00C36D12"/>
    <w:rsid w:val="00C36D50"/>
    <w:rsid w:val="00C36E4C"/>
    <w:rsid w:val="00C36E9B"/>
    <w:rsid w:val="00C36EAC"/>
    <w:rsid w:val="00C36EB3"/>
    <w:rsid w:val="00C36ECA"/>
    <w:rsid w:val="00C36F1C"/>
    <w:rsid w:val="00C3709C"/>
    <w:rsid w:val="00C370F3"/>
    <w:rsid w:val="00C37258"/>
    <w:rsid w:val="00C373A5"/>
    <w:rsid w:val="00C37499"/>
    <w:rsid w:val="00C37525"/>
    <w:rsid w:val="00C37589"/>
    <w:rsid w:val="00C375F4"/>
    <w:rsid w:val="00C37988"/>
    <w:rsid w:val="00C37BD0"/>
    <w:rsid w:val="00C37F84"/>
    <w:rsid w:val="00C40023"/>
    <w:rsid w:val="00C40042"/>
    <w:rsid w:val="00C403B8"/>
    <w:rsid w:val="00C40523"/>
    <w:rsid w:val="00C40828"/>
    <w:rsid w:val="00C40B3D"/>
    <w:rsid w:val="00C40C56"/>
    <w:rsid w:val="00C40F1A"/>
    <w:rsid w:val="00C40FE9"/>
    <w:rsid w:val="00C41099"/>
    <w:rsid w:val="00C410B1"/>
    <w:rsid w:val="00C41213"/>
    <w:rsid w:val="00C412BA"/>
    <w:rsid w:val="00C41380"/>
    <w:rsid w:val="00C4141F"/>
    <w:rsid w:val="00C414AA"/>
    <w:rsid w:val="00C414C2"/>
    <w:rsid w:val="00C41526"/>
    <w:rsid w:val="00C41566"/>
    <w:rsid w:val="00C4156F"/>
    <w:rsid w:val="00C417E2"/>
    <w:rsid w:val="00C41807"/>
    <w:rsid w:val="00C4180F"/>
    <w:rsid w:val="00C418B6"/>
    <w:rsid w:val="00C4194A"/>
    <w:rsid w:val="00C41A0D"/>
    <w:rsid w:val="00C41AD7"/>
    <w:rsid w:val="00C41B20"/>
    <w:rsid w:val="00C41D38"/>
    <w:rsid w:val="00C41D39"/>
    <w:rsid w:val="00C41D9A"/>
    <w:rsid w:val="00C41E5C"/>
    <w:rsid w:val="00C41E9C"/>
    <w:rsid w:val="00C41EB8"/>
    <w:rsid w:val="00C4207A"/>
    <w:rsid w:val="00C4214A"/>
    <w:rsid w:val="00C422A4"/>
    <w:rsid w:val="00C422E1"/>
    <w:rsid w:val="00C4230D"/>
    <w:rsid w:val="00C42515"/>
    <w:rsid w:val="00C4257B"/>
    <w:rsid w:val="00C42687"/>
    <w:rsid w:val="00C426EB"/>
    <w:rsid w:val="00C42800"/>
    <w:rsid w:val="00C42AE2"/>
    <w:rsid w:val="00C42D4C"/>
    <w:rsid w:val="00C43081"/>
    <w:rsid w:val="00C4346E"/>
    <w:rsid w:val="00C434BB"/>
    <w:rsid w:val="00C4354E"/>
    <w:rsid w:val="00C435B0"/>
    <w:rsid w:val="00C435B4"/>
    <w:rsid w:val="00C435CE"/>
    <w:rsid w:val="00C438AC"/>
    <w:rsid w:val="00C43FBD"/>
    <w:rsid w:val="00C43FE1"/>
    <w:rsid w:val="00C4400D"/>
    <w:rsid w:val="00C44041"/>
    <w:rsid w:val="00C44082"/>
    <w:rsid w:val="00C441C5"/>
    <w:rsid w:val="00C442AC"/>
    <w:rsid w:val="00C442FD"/>
    <w:rsid w:val="00C4431A"/>
    <w:rsid w:val="00C444B2"/>
    <w:rsid w:val="00C444FC"/>
    <w:rsid w:val="00C4451C"/>
    <w:rsid w:val="00C445A0"/>
    <w:rsid w:val="00C445D5"/>
    <w:rsid w:val="00C44845"/>
    <w:rsid w:val="00C44AA1"/>
    <w:rsid w:val="00C44AC3"/>
    <w:rsid w:val="00C44ACE"/>
    <w:rsid w:val="00C44ADA"/>
    <w:rsid w:val="00C44AEC"/>
    <w:rsid w:val="00C44BF2"/>
    <w:rsid w:val="00C44E47"/>
    <w:rsid w:val="00C45043"/>
    <w:rsid w:val="00C45052"/>
    <w:rsid w:val="00C4507B"/>
    <w:rsid w:val="00C451D8"/>
    <w:rsid w:val="00C45310"/>
    <w:rsid w:val="00C45649"/>
    <w:rsid w:val="00C457A4"/>
    <w:rsid w:val="00C458CB"/>
    <w:rsid w:val="00C45B8C"/>
    <w:rsid w:val="00C45E08"/>
    <w:rsid w:val="00C460B5"/>
    <w:rsid w:val="00C461E2"/>
    <w:rsid w:val="00C46339"/>
    <w:rsid w:val="00C463E7"/>
    <w:rsid w:val="00C46433"/>
    <w:rsid w:val="00C46675"/>
    <w:rsid w:val="00C46938"/>
    <w:rsid w:val="00C46A12"/>
    <w:rsid w:val="00C46AAB"/>
    <w:rsid w:val="00C46AF1"/>
    <w:rsid w:val="00C46B9A"/>
    <w:rsid w:val="00C46BF3"/>
    <w:rsid w:val="00C46D74"/>
    <w:rsid w:val="00C46E64"/>
    <w:rsid w:val="00C47082"/>
    <w:rsid w:val="00C4708C"/>
    <w:rsid w:val="00C470B9"/>
    <w:rsid w:val="00C4712B"/>
    <w:rsid w:val="00C47481"/>
    <w:rsid w:val="00C47513"/>
    <w:rsid w:val="00C47682"/>
    <w:rsid w:val="00C477BB"/>
    <w:rsid w:val="00C477CB"/>
    <w:rsid w:val="00C47B1B"/>
    <w:rsid w:val="00C47D22"/>
    <w:rsid w:val="00C47E3C"/>
    <w:rsid w:val="00C47EB8"/>
    <w:rsid w:val="00C501C8"/>
    <w:rsid w:val="00C5034E"/>
    <w:rsid w:val="00C50520"/>
    <w:rsid w:val="00C506B0"/>
    <w:rsid w:val="00C50C7B"/>
    <w:rsid w:val="00C50CA7"/>
    <w:rsid w:val="00C50DF5"/>
    <w:rsid w:val="00C50E13"/>
    <w:rsid w:val="00C5108D"/>
    <w:rsid w:val="00C5116D"/>
    <w:rsid w:val="00C512CD"/>
    <w:rsid w:val="00C5144C"/>
    <w:rsid w:val="00C51657"/>
    <w:rsid w:val="00C51AB9"/>
    <w:rsid w:val="00C51B6E"/>
    <w:rsid w:val="00C51C15"/>
    <w:rsid w:val="00C51C8D"/>
    <w:rsid w:val="00C51EC3"/>
    <w:rsid w:val="00C5224F"/>
    <w:rsid w:val="00C522DE"/>
    <w:rsid w:val="00C52309"/>
    <w:rsid w:val="00C5238C"/>
    <w:rsid w:val="00C523DB"/>
    <w:rsid w:val="00C52415"/>
    <w:rsid w:val="00C525EF"/>
    <w:rsid w:val="00C52662"/>
    <w:rsid w:val="00C52670"/>
    <w:rsid w:val="00C5279D"/>
    <w:rsid w:val="00C52937"/>
    <w:rsid w:val="00C52A20"/>
    <w:rsid w:val="00C52BB4"/>
    <w:rsid w:val="00C52BF2"/>
    <w:rsid w:val="00C52C14"/>
    <w:rsid w:val="00C52CDF"/>
    <w:rsid w:val="00C52E42"/>
    <w:rsid w:val="00C52FA5"/>
    <w:rsid w:val="00C530D1"/>
    <w:rsid w:val="00C530F9"/>
    <w:rsid w:val="00C53192"/>
    <w:rsid w:val="00C531A7"/>
    <w:rsid w:val="00C532DD"/>
    <w:rsid w:val="00C533A1"/>
    <w:rsid w:val="00C538D3"/>
    <w:rsid w:val="00C53998"/>
    <w:rsid w:val="00C53BC9"/>
    <w:rsid w:val="00C53CA1"/>
    <w:rsid w:val="00C53CE3"/>
    <w:rsid w:val="00C53D33"/>
    <w:rsid w:val="00C53DA0"/>
    <w:rsid w:val="00C53ED2"/>
    <w:rsid w:val="00C53F28"/>
    <w:rsid w:val="00C5440D"/>
    <w:rsid w:val="00C545E5"/>
    <w:rsid w:val="00C54663"/>
    <w:rsid w:val="00C54746"/>
    <w:rsid w:val="00C54835"/>
    <w:rsid w:val="00C548D4"/>
    <w:rsid w:val="00C549A6"/>
    <w:rsid w:val="00C54B10"/>
    <w:rsid w:val="00C54B33"/>
    <w:rsid w:val="00C54C10"/>
    <w:rsid w:val="00C54C24"/>
    <w:rsid w:val="00C54DA1"/>
    <w:rsid w:val="00C54F1D"/>
    <w:rsid w:val="00C54F4F"/>
    <w:rsid w:val="00C54F68"/>
    <w:rsid w:val="00C550C7"/>
    <w:rsid w:val="00C5519B"/>
    <w:rsid w:val="00C551F8"/>
    <w:rsid w:val="00C55278"/>
    <w:rsid w:val="00C55290"/>
    <w:rsid w:val="00C552D0"/>
    <w:rsid w:val="00C55484"/>
    <w:rsid w:val="00C55554"/>
    <w:rsid w:val="00C555C1"/>
    <w:rsid w:val="00C5564B"/>
    <w:rsid w:val="00C55695"/>
    <w:rsid w:val="00C55855"/>
    <w:rsid w:val="00C55949"/>
    <w:rsid w:val="00C559A6"/>
    <w:rsid w:val="00C55A14"/>
    <w:rsid w:val="00C55AF5"/>
    <w:rsid w:val="00C55B08"/>
    <w:rsid w:val="00C55BA7"/>
    <w:rsid w:val="00C55DF8"/>
    <w:rsid w:val="00C5623B"/>
    <w:rsid w:val="00C56349"/>
    <w:rsid w:val="00C563CC"/>
    <w:rsid w:val="00C5645D"/>
    <w:rsid w:val="00C56538"/>
    <w:rsid w:val="00C565FE"/>
    <w:rsid w:val="00C56757"/>
    <w:rsid w:val="00C567EA"/>
    <w:rsid w:val="00C569B0"/>
    <w:rsid w:val="00C56B32"/>
    <w:rsid w:val="00C56DD4"/>
    <w:rsid w:val="00C56FA8"/>
    <w:rsid w:val="00C57069"/>
    <w:rsid w:val="00C57144"/>
    <w:rsid w:val="00C572C1"/>
    <w:rsid w:val="00C5733C"/>
    <w:rsid w:val="00C57410"/>
    <w:rsid w:val="00C5747A"/>
    <w:rsid w:val="00C5750B"/>
    <w:rsid w:val="00C576A2"/>
    <w:rsid w:val="00C5770C"/>
    <w:rsid w:val="00C57A4F"/>
    <w:rsid w:val="00C57AAF"/>
    <w:rsid w:val="00C57B4B"/>
    <w:rsid w:val="00C57C91"/>
    <w:rsid w:val="00C57D2C"/>
    <w:rsid w:val="00C57D6B"/>
    <w:rsid w:val="00C57DEC"/>
    <w:rsid w:val="00C57EFA"/>
    <w:rsid w:val="00C57F03"/>
    <w:rsid w:val="00C57F3D"/>
    <w:rsid w:val="00C6015A"/>
    <w:rsid w:val="00C601CD"/>
    <w:rsid w:val="00C6048E"/>
    <w:rsid w:val="00C605FE"/>
    <w:rsid w:val="00C606FD"/>
    <w:rsid w:val="00C6077F"/>
    <w:rsid w:val="00C607C5"/>
    <w:rsid w:val="00C60846"/>
    <w:rsid w:val="00C60CC0"/>
    <w:rsid w:val="00C6122B"/>
    <w:rsid w:val="00C61283"/>
    <w:rsid w:val="00C61541"/>
    <w:rsid w:val="00C6158F"/>
    <w:rsid w:val="00C61646"/>
    <w:rsid w:val="00C61727"/>
    <w:rsid w:val="00C6192E"/>
    <w:rsid w:val="00C619E9"/>
    <w:rsid w:val="00C61D37"/>
    <w:rsid w:val="00C61D95"/>
    <w:rsid w:val="00C61E3F"/>
    <w:rsid w:val="00C6225B"/>
    <w:rsid w:val="00C622B8"/>
    <w:rsid w:val="00C62625"/>
    <w:rsid w:val="00C6265F"/>
    <w:rsid w:val="00C62737"/>
    <w:rsid w:val="00C62753"/>
    <w:rsid w:val="00C62793"/>
    <w:rsid w:val="00C627FE"/>
    <w:rsid w:val="00C62956"/>
    <w:rsid w:val="00C62A56"/>
    <w:rsid w:val="00C62ABE"/>
    <w:rsid w:val="00C62C0C"/>
    <w:rsid w:val="00C62F25"/>
    <w:rsid w:val="00C62F77"/>
    <w:rsid w:val="00C631D2"/>
    <w:rsid w:val="00C63244"/>
    <w:rsid w:val="00C6335A"/>
    <w:rsid w:val="00C634F8"/>
    <w:rsid w:val="00C6350B"/>
    <w:rsid w:val="00C636B3"/>
    <w:rsid w:val="00C6392E"/>
    <w:rsid w:val="00C63B81"/>
    <w:rsid w:val="00C63CB2"/>
    <w:rsid w:val="00C63CC0"/>
    <w:rsid w:val="00C63ECA"/>
    <w:rsid w:val="00C63ECB"/>
    <w:rsid w:val="00C63F5D"/>
    <w:rsid w:val="00C63F93"/>
    <w:rsid w:val="00C640A1"/>
    <w:rsid w:val="00C641E6"/>
    <w:rsid w:val="00C6447E"/>
    <w:rsid w:val="00C647AB"/>
    <w:rsid w:val="00C647CC"/>
    <w:rsid w:val="00C6485D"/>
    <w:rsid w:val="00C64C94"/>
    <w:rsid w:val="00C64D50"/>
    <w:rsid w:val="00C64E88"/>
    <w:rsid w:val="00C64EF5"/>
    <w:rsid w:val="00C65317"/>
    <w:rsid w:val="00C653F8"/>
    <w:rsid w:val="00C654A3"/>
    <w:rsid w:val="00C65534"/>
    <w:rsid w:val="00C65628"/>
    <w:rsid w:val="00C656B9"/>
    <w:rsid w:val="00C657F7"/>
    <w:rsid w:val="00C658CD"/>
    <w:rsid w:val="00C658FC"/>
    <w:rsid w:val="00C6597B"/>
    <w:rsid w:val="00C65BEA"/>
    <w:rsid w:val="00C65C03"/>
    <w:rsid w:val="00C65C17"/>
    <w:rsid w:val="00C65FCF"/>
    <w:rsid w:val="00C660E6"/>
    <w:rsid w:val="00C66146"/>
    <w:rsid w:val="00C661A8"/>
    <w:rsid w:val="00C66506"/>
    <w:rsid w:val="00C6670E"/>
    <w:rsid w:val="00C66C76"/>
    <w:rsid w:val="00C66D87"/>
    <w:rsid w:val="00C66DAE"/>
    <w:rsid w:val="00C66E99"/>
    <w:rsid w:val="00C66F44"/>
    <w:rsid w:val="00C6715B"/>
    <w:rsid w:val="00C67280"/>
    <w:rsid w:val="00C675FD"/>
    <w:rsid w:val="00C6782A"/>
    <w:rsid w:val="00C67904"/>
    <w:rsid w:val="00C67AAA"/>
    <w:rsid w:val="00C67C39"/>
    <w:rsid w:val="00C67DDA"/>
    <w:rsid w:val="00C67F53"/>
    <w:rsid w:val="00C67FD3"/>
    <w:rsid w:val="00C6B985"/>
    <w:rsid w:val="00C70117"/>
    <w:rsid w:val="00C7016A"/>
    <w:rsid w:val="00C7042C"/>
    <w:rsid w:val="00C70687"/>
    <w:rsid w:val="00C70951"/>
    <w:rsid w:val="00C70AE8"/>
    <w:rsid w:val="00C70B86"/>
    <w:rsid w:val="00C70C7C"/>
    <w:rsid w:val="00C70C91"/>
    <w:rsid w:val="00C70ED1"/>
    <w:rsid w:val="00C70F25"/>
    <w:rsid w:val="00C70FDF"/>
    <w:rsid w:val="00C7114B"/>
    <w:rsid w:val="00C712AB"/>
    <w:rsid w:val="00C71379"/>
    <w:rsid w:val="00C71626"/>
    <w:rsid w:val="00C7176E"/>
    <w:rsid w:val="00C71870"/>
    <w:rsid w:val="00C71892"/>
    <w:rsid w:val="00C71A91"/>
    <w:rsid w:val="00C71CD9"/>
    <w:rsid w:val="00C71E14"/>
    <w:rsid w:val="00C71FA5"/>
    <w:rsid w:val="00C721D7"/>
    <w:rsid w:val="00C721D9"/>
    <w:rsid w:val="00C722B9"/>
    <w:rsid w:val="00C722E3"/>
    <w:rsid w:val="00C72335"/>
    <w:rsid w:val="00C723A8"/>
    <w:rsid w:val="00C72927"/>
    <w:rsid w:val="00C72B36"/>
    <w:rsid w:val="00C72B89"/>
    <w:rsid w:val="00C72B92"/>
    <w:rsid w:val="00C72C6A"/>
    <w:rsid w:val="00C72CC2"/>
    <w:rsid w:val="00C72E57"/>
    <w:rsid w:val="00C72FA4"/>
    <w:rsid w:val="00C7309E"/>
    <w:rsid w:val="00C730EE"/>
    <w:rsid w:val="00C731BB"/>
    <w:rsid w:val="00C732FA"/>
    <w:rsid w:val="00C73348"/>
    <w:rsid w:val="00C73508"/>
    <w:rsid w:val="00C73693"/>
    <w:rsid w:val="00C73730"/>
    <w:rsid w:val="00C737A8"/>
    <w:rsid w:val="00C73849"/>
    <w:rsid w:val="00C73873"/>
    <w:rsid w:val="00C739B8"/>
    <w:rsid w:val="00C73C1F"/>
    <w:rsid w:val="00C73C6A"/>
    <w:rsid w:val="00C73CFB"/>
    <w:rsid w:val="00C73D5B"/>
    <w:rsid w:val="00C74053"/>
    <w:rsid w:val="00C7409B"/>
    <w:rsid w:val="00C7415F"/>
    <w:rsid w:val="00C7421D"/>
    <w:rsid w:val="00C743E9"/>
    <w:rsid w:val="00C74883"/>
    <w:rsid w:val="00C748FD"/>
    <w:rsid w:val="00C7496D"/>
    <w:rsid w:val="00C74AD7"/>
    <w:rsid w:val="00C74B0D"/>
    <w:rsid w:val="00C74BBB"/>
    <w:rsid w:val="00C74C5C"/>
    <w:rsid w:val="00C74E87"/>
    <w:rsid w:val="00C74ECB"/>
    <w:rsid w:val="00C75102"/>
    <w:rsid w:val="00C7517B"/>
    <w:rsid w:val="00C75727"/>
    <w:rsid w:val="00C7577A"/>
    <w:rsid w:val="00C75865"/>
    <w:rsid w:val="00C7591B"/>
    <w:rsid w:val="00C75989"/>
    <w:rsid w:val="00C75996"/>
    <w:rsid w:val="00C75B0E"/>
    <w:rsid w:val="00C75B20"/>
    <w:rsid w:val="00C75B60"/>
    <w:rsid w:val="00C75BDF"/>
    <w:rsid w:val="00C75D1B"/>
    <w:rsid w:val="00C75D86"/>
    <w:rsid w:val="00C75F6A"/>
    <w:rsid w:val="00C76103"/>
    <w:rsid w:val="00C76123"/>
    <w:rsid w:val="00C7644C"/>
    <w:rsid w:val="00C764C5"/>
    <w:rsid w:val="00C76546"/>
    <w:rsid w:val="00C76600"/>
    <w:rsid w:val="00C766DB"/>
    <w:rsid w:val="00C7670D"/>
    <w:rsid w:val="00C76991"/>
    <w:rsid w:val="00C76B49"/>
    <w:rsid w:val="00C76D7A"/>
    <w:rsid w:val="00C76DF7"/>
    <w:rsid w:val="00C770C1"/>
    <w:rsid w:val="00C7715C"/>
    <w:rsid w:val="00C772BB"/>
    <w:rsid w:val="00C7739B"/>
    <w:rsid w:val="00C7754D"/>
    <w:rsid w:val="00C7756C"/>
    <w:rsid w:val="00C77671"/>
    <w:rsid w:val="00C77700"/>
    <w:rsid w:val="00C77A39"/>
    <w:rsid w:val="00C77BFB"/>
    <w:rsid w:val="00C77D26"/>
    <w:rsid w:val="00C77D54"/>
    <w:rsid w:val="00C7AC04"/>
    <w:rsid w:val="00C80058"/>
    <w:rsid w:val="00C80063"/>
    <w:rsid w:val="00C800B2"/>
    <w:rsid w:val="00C800D4"/>
    <w:rsid w:val="00C801A2"/>
    <w:rsid w:val="00C80229"/>
    <w:rsid w:val="00C8023F"/>
    <w:rsid w:val="00C8051D"/>
    <w:rsid w:val="00C80598"/>
    <w:rsid w:val="00C8063E"/>
    <w:rsid w:val="00C806B0"/>
    <w:rsid w:val="00C8082A"/>
    <w:rsid w:val="00C809D8"/>
    <w:rsid w:val="00C80E70"/>
    <w:rsid w:val="00C80E94"/>
    <w:rsid w:val="00C80F65"/>
    <w:rsid w:val="00C81036"/>
    <w:rsid w:val="00C81080"/>
    <w:rsid w:val="00C81259"/>
    <w:rsid w:val="00C81269"/>
    <w:rsid w:val="00C8147F"/>
    <w:rsid w:val="00C814AC"/>
    <w:rsid w:val="00C81739"/>
    <w:rsid w:val="00C817CA"/>
    <w:rsid w:val="00C8192D"/>
    <w:rsid w:val="00C81B72"/>
    <w:rsid w:val="00C81D1C"/>
    <w:rsid w:val="00C81D43"/>
    <w:rsid w:val="00C81E85"/>
    <w:rsid w:val="00C81F14"/>
    <w:rsid w:val="00C82000"/>
    <w:rsid w:val="00C82090"/>
    <w:rsid w:val="00C8224F"/>
    <w:rsid w:val="00C82554"/>
    <w:rsid w:val="00C82604"/>
    <w:rsid w:val="00C826FC"/>
    <w:rsid w:val="00C82705"/>
    <w:rsid w:val="00C82744"/>
    <w:rsid w:val="00C8279C"/>
    <w:rsid w:val="00C827D5"/>
    <w:rsid w:val="00C82899"/>
    <w:rsid w:val="00C828A1"/>
    <w:rsid w:val="00C82C21"/>
    <w:rsid w:val="00C82DF0"/>
    <w:rsid w:val="00C82EA2"/>
    <w:rsid w:val="00C82EF3"/>
    <w:rsid w:val="00C83033"/>
    <w:rsid w:val="00C8303B"/>
    <w:rsid w:val="00C83246"/>
    <w:rsid w:val="00C833B1"/>
    <w:rsid w:val="00C833FD"/>
    <w:rsid w:val="00C83412"/>
    <w:rsid w:val="00C8342F"/>
    <w:rsid w:val="00C8363F"/>
    <w:rsid w:val="00C836DC"/>
    <w:rsid w:val="00C83746"/>
    <w:rsid w:val="00C83983"/>
    <w:rsid w:val="00C83A33"/>
    <w:rsid w:val="00C83B6D"/>
    <w:rsid w:val="00C83ECF"/>
    <w:rsid w:val="00C83ED8"/>
    <w:rsid w:val="00C8437F"/>
    <w:rsid w:val="00C843A1"/>
    <w:rsid w:val="00C84530"/>
    <w:rsid w:val="00C845A5"/>
    <w:rsid w:val="00C84607"/>
    <w:rsid w:val="00C84703"/>
    <w:rsid w:val="00C84862"/>
    <w:rsid w:val="00C84959"/>
    <w:rsid w:val="00C84A3F"/>
    <w:rsid w:val="00C84A58"/>
    <w:rsid w:val="00C84A7E"/>
    <w:rsid w:val="00C84A94"/>
    <w:rsid w:val="00C84C8C"/>
    <w:rsid w:val="00C84CD5"/>
    <w:rsid w:val="00C84DB9"/>
    <w:rsid w:val="00C84E1F"/>
    <w:rsid w:val="00C84E3D"/>
    <w:rsid w:val="00C84E6D"/>
    <w:rsid w:val="00C85053"/>
    <w:rsid w:val="00C8508B"/>
    <w:rsid w:val="00C850D1"/>
    <w:rsid w:val="00C8510F"/>
    <w:rsid w:val="00C85185"/>
    <w:rsid w:val="00C85342"/>
    <w:rsid w:val="00C8548E"/>
    <w:rsid w:val="00C85709"/>
    <w:rsid w:val="00C85792"/>
    <w:rsid w:val="00C858E7"/>
    <w:rsid w:val="00C85A4B"/>
    <w:rsid w:val="00C85EAE"/>
    <w:rsid w:val="00C8607F"/>
    <w:rsid w:val="00C8613C"/>
    <w:rsid w:val="00C862E9"/>
    <w:rsid w:val="00C8631C"/>
    <w:rsid w:val="00C863BF"/>
    <w:rsid w:val="00C86459"/>
    <w:rsid w:val="00C86871"/>
    <w:rsid w:val="00C86B6B"/>
    <w:rsid w:val="00C86BCE"/>
    <w:rsid w:val="00C86D45"/>
    <w:rsid w:val="00C86D82"/>
    <w:rsid w:val="00C871F9"/>
    <w:rsid w:val="00C87313"/>
    <w:rsid w:val="00C87427"/>
    <w:rsid w:val="00C87586"/>
    <w:rsid w:val="00C875C6"/>
    <w:rsid w:val="00C876A0"/>
    <w:rsid w:val="00C8773C"/>
    <w:rsid w:val="00C8785F"/>
    <w:rsid w:val="00C878E2"/>
    <w:rsid w:val="00C87904"/>
    <w:rsid w:val="00C879B0"/>
    <w:rsid w:val="00C87ACC"/>
    <w:rsid w:val="00C87AD9"/>
    <w:rsid w:val="00C90057"/>
    <w:rsid w:val="00C90131"/>
    <w:rsid w:val="00C90333"/>
    <w:rsid w:val="00C90373"/>
    <w:rsid w:val="00C90560"/>
    <w:rsid w:val="00C90712"/>
    <w:rsid w:val="00C907DE"/>
    <w:rsid w:val="00C909DE"/>
    <w:rsid w:val="00C90BFC"/>
    <w:rsid w:val="00C90C15"/>
    <w:rsid w:val="00C90C60"/>
    <w:rsid w:val="00C90C9E"/>
    <w:rsid w:val="00C90D39"/>
    <w:rsid w:val="00C90E9F"/>
    <w:rsid w:val="00C91119"/>
    <w:rsid w:val="00C91199"/>
    <w:rsid w:val="00C91223"/>
    <w:rsid w:val="00C912AE"/>
    <w:rsid w:val="00C912CA"/>
    <w:rsid w:val="00C91353"/>
    <w:rsid w:val="00C913A3"/>
    <w:rsid w:val="00C9144A"/>
    <w:rsid w:val="00C914CA"/>
    <w:rsid w:val="00C916ED"/>
    <w:rsid w:val="00C91941"/>
    <w:rsid w:val="00C91993"/>
    <w:rsid w:val="00C91BCB"/>
    <w:rsid w:val="00C9222D"/>
    <w:rsid w:val="00C923F0"/>
    <w:rsid w:val="00C92B99"/>
    <w:rsid w:val="00C92BCA"/>
    <w:rsid w:val="00C92CDB"/>
    <w:rsid w:val="00C92E16"/>
    <w:rsid w:val="00C92EA3"/>
    <w:rsid w:val="00C92EA5"/>
    <w:rsid w:val="00C9305F"/>
    <w:rsid w:val="00C93190"/>
    <w:rsid w:val="00C9326D"/>
    <w:rsid w:val="00C933A8"/>
    <w:rsid w:val="00C934BC"/>
    <w:rsid w:val="00C93BC1"/>
    <w:rsid w:val="00C93CBE"/>
    <w:rsid w:val="00C93D80"/>
    <w:rsid w:val="00C93DD8"/>
    <w:rsid w:val="00C94175"/>
    <w:rsid w:val="00C94248"/>
    <w:rsid w:val="00C94290"/>
    <w:rsid w:val="00C9444D"/>
    <w:rsid w:val="00C94451"/>
    <w:rsid w:val="00C94618"/>
    <w:rsid w:val="00C94779"/>
    <w:rsid w:val="00C94949"/>
    <w:rsid w:val="00C94BEB"/>
    <w:rsid w:val="00C94DC6"/>
    <w:rsid w:val="00C94DCB"/>
    <w:rsid w:val="00C94EE6"/>
    <w:rsid w:val="00C94F1E"/>
    <w:rsid w:val="00C94FF4"/>
    <w:rsid w:val="00C95006"/>
    <w:rsid w:val="00C950EE"/>
    <w:rsid w:val="00C95117"/>
    <w:rsid w:val="00C95221"/>
    <w:rsid w:val="00C952F2"/>
    <w:rsid w:val="00C95335"/>
    <w:rsid w:val="00C953AD"/>
    <w:rsid w:val="00C953ED"/>
    <w:rsid w:val="00C95933"/>
    <w:rsid w:val="00C95E76"/>
    <w:rsid w:val="00C95EFC"/>
    <w:rsid w:val="00C95F84"/>
    <w:rsid w:val="00C96147"/>
    <w:rsid w:val="00C96431"/>
    <w:rsid w:val="00C9678E"/>
    <w:rsid w:val="00C96938"/>
    <w:rsid w:val="00C96A18"/>
    <w:rsid w:val="00C96AA9"/>
    <w:rsid w:val="00C96AAF"/>
    <w:rsid w:val="00C96B29"/>
    <w:rsid w:val="00C96B91"/>
    <w:rsid w:val="00C96D50"/>
    <w:rsid w:val="00C96E08"/>
    <w:rsid w:val="00C96ECF"/>
    <w:rsid w:val="00C97233"/>
    <w:rsid w:val="00C976AC"/>
    <w:rsid w:val="00C976C4"/>
    <w:rsid w:val="00C97847"/>
    <w:rsid w:val="00C97924"/>
    <w:rsid w:val="00C97966"/>
    <w:rsid w:val="00C979DE"/>
    <w:rsid w:val="00C97A98"/>
    <w:rsid w:val="00C97AF6"/>
    <w:rsid w:val="00C97B46"/>
    <w:rsid w:val="00C97C44"/>
    <w:rsid w:val="00C97CB1"/>
    <w:rsid w:val="00C97CEB"/>
    <w:rsid w:val="00C97EC2"/>
    <w:rsid w:val="00CA00E3"/>
    <w:rsid w:val="00CA01D5"/>
    <w:rsid w:val="00CA024E"/>
    <w:rsid w:val="00CA02F4"/>
    <w:rsid w:val="00CA02F9"/>
    <w:rsid w:val="00CA0300"/>
    <w:rsid w:val="00CA0466"/>
    <w:rsid w:val="00CA060D"/>
    <w:rsid w:val="00CA0640"/>
    <w:rsid w:val="00CA0743"/>
    <w:rsid w:val="00CA07A1"/>
    <w:rsid w:val="00CA0823"/>
    <w:rsid w:val="00CA0913"/>
    <w:rsid w:val="00CA09E4"/>
    <w:rsid w:val="00CA0AC1"/>
    <w:rsid w:val="00CA0BAF"/>
    <w:rsid w:val="00CA0FA3"/>
    <w:rsid w:val="00CA1000"/>
    <w:rsid w:val="00CA1202"/>
    <w:rsid w:val="00CA121E"/>
    <w:rsid w:val="00CA126B"/>
    <w:rsid w:val="00CA1300"/>
    <w:rsid w:val="00CA13F6"/>
    <w:rsid w:val="00CA14EF"/>
    <w:rsid w:val="00CA15F1"/>
    <w:rsid w:val="00CA16EF"/>
    <w:rsid w:val="00CA175E"/>
    <w:rsid w:val="00CA1763"/>
    <w:rsid w:val="00CA1851"/>
    <w:rsid w:val="00CA1868"/>
    <w:rsid w:val="00CA18A3"/>
    <w:rsid w:val="00CA1972"/>
    <w:rsid w:val="00CA1996"/>
    <w:rsid w:val="00CA1B32"/>
    <w:rsid w:val="00CA1D06"/>
    <w:rsid w:val="00CA1F01"/>
    <w:rsid w:val="00CA2037"/>
    <w:rsid w:val="00CA2228"/>
    <w:rsid w:val="00CA243B"/>
    <w:rsid w:val="00CA24F5"/>
    <w:rsid w:val="00CA2530"/>
    <w:rsid w:val="00CA25DE"/>
    <w:rsid w:val="00CA2661"/>
    <w:rsid w:val="00CA29B9"/>
    <w:rsid w:val="00CA29D2"/>
    <w:rsid w:val="00CA2A5C"/>
    <w:rsid w:val="00CA2BA0"/>
    <w:rsid w:val="00CA3137"/>
    <w:rsid w:val="00CA3210"/>
    <w:rsid w:val="00CA32A3"/>
    <w:rsid w:val="00CA338C"/>
    <w:rsid w:val="00CA3533"/>
    <w:rsid w:val="00CA356C"/>
    <w:rsid w:val="00CA3692"/>
    <w:rsid w:val="00CA3836"/>
    <w:rsid w:val="00CA3860"/>
    <w:rsid w:val="00CA3879"/>
    <w:rsid w:val="00CA39B2"/>
    <w:rsid w:val="00CA3B5F"/>
    <w:rsid w:val="00CA3F76"/>
    <w:rsid w:val="00CA4036"/>
    <w:rsid w:val="00CA4093"/>
    <w:rsid w:val="00CA40B2"/>
    <w:rsid w:val="00CA4303"/>
    <w:rsid w:val="00CA43ED"/>
    <w:rsid w:val="00CA44DD"/>
    <w:rsid w:val="00CA44E2"/>
    <w:rsid w:val="00CA46B7"/>
    <w:rsid w:val="00CA48D2"/>
    <w:rsid w:val="00CA4910"/>
    <w:rsid w:val="00CA4996"/>
    <w:rsid w:val="00CA4C71"/>
    <w:rsid w:val="00CA4DCF"/>
    <w:rsid w:val="00CA4F8A"/>
    <w:rsid w:val="00CA5021"/>
    <w:rsid w:val="00CA50E5"/>
    <w:rsid w:val="00CA514D"/>
    <w:rsid w:val="00CA5246"/>
    <w:rsid w:val="00CA525D"/>
    <w:rsid w:val="00CA52D0"/>
    <w:rsid w:val="00CA5323"/>
    <w:rsid w:val="00CA5392"/>
    <w:rsid w:val="00CA569C"/>
    <w:rsid w:val="00CA5817"/>
    <w:rsid w:val="00CA58C9"/>
    <w:rsid w:val="00CA58FA"/>
    <w:rsid w:val="00CA5DF4"/>
    <w:rsid w:val="00CA5E42"/>
    <w:rsid w:val="00CA5EE2"/>
    <w:rsid w:val="00CA6141"/>
    <w:rsid w:val="00CA616E"/>
    <w:rsid w:val="00CA618C"/>
    <w:rsid w:val="00CA61DF"/>
    <w:rsid w:val="00CA64EA"/>
    <w:rsid w:val="00CA66EF"/>
    <w:rsid w:val="00CA69F8"/>
    <w:rsid w:val="00CA6D08"/>
    <w:rsid w:val="00CA6EF3"/>
    <w:rsid w:val="00CA6F85"/>
    <w:rsid w:val="00CA70DF"/>
    <w:rsid w:val="00CA70F0"/>
    <w:rsid w:val="00CA71B0"/>
    <w:rsid w:val="00CA7348"/>
    <w:rsid w:val="00CA76C9"/>
    <w:rsid w:val="00CA793E"/>
    <w:rsid w:val="00CA7DFC"/>
    <w:rsid w:val="00CA7E1E"/>
    <w:rsid w:val="00CA7E62"/>
    <w:rsid w:val="00CA7ECA"/>
    <w:rsid w:val="00CA7EED"/>
    <w:rsid w:val="00CA7F6C"/>
    <w:rsid w:val="00CB0045"/>
    <w:rsid w:val="00CB005F"/>
    <w:rsid w:val="00CB00A2"/>
    <w:rsid w:val="00CB0153"/>
    <w:rsid w:val="00CB0158"/>
    <w:rsid w:val="00CB015B"/>
    <w:rsid w:val="00CB0187"/>
    <w:rsid w:val="00CB02A1"/>
    <w:rsid w:val="00CB032D"/>
    <w:rsid w:val="00CB0444"/>
    <w:rsid w:val="00CB046E"/>
    <w:rsid w:val="00CB053D"/>
    <w:rsid w:val="00CB0E7A"/>
    <w:rsid w:val="00CB0F07"/>
    <w:rsid w:val="00CB0F09"/>
    <w:rsid w:val="00CB0FE8"/>
    <w:rsid w:val="00CB10E3"/>
    <w:rsid w:val="00CB112C"/>
    <w:rsid w:val="00CB1279"/>
    <w:rsid w:val="00CB138B"/>
    <w:rsid w:val="00CB1578"/>
    <w:rsid w:val="00CB172D"/>
    <w:rsid w:val="00CB1838"/>
    <w:rsid w:val="00CB1F14"/>
    <w:rsid w:val="00CB2050"/>
    <w:rsid w:val="00CB22DC"/>
    <w:rsid w:val="00CB22E1"/>
    <w:rsid w:val="00CB23B8"/>
    <w:rsid w:val="00CB23EE"/>
    <w:rsid w:val="00CB23FD"/>
    <w:rsid w:val="00CB24EF"/>
    <w:rsid w:val="00CB272F"/>
    <w:rsid w:val="00CB2835"/>
    <w:rsid w:val="00CB28B8"/>
    <w:rsid w:val="00CB292B"/>
    <w:rsid w:val="00CB2936"/>
    <w:rsid w:val="00CB2A1A"/>
    <w:rsid w:val="00CB2B3D"/>
    <w:rsid w:val="00CB2B96"/>
    <w:rsid w:val="00CB2C2E"/>
    <w:rsid w:val="00CB2D1B"/>
    <w:rsid w:val="00CB2D36"/>
    <w:rsid w:val="00CB2F31"/>
    <w:rsid w:val="00CB3051"/>
    <w:rsid w:val="00CB317F"/>
    <w:rsid w:val="00CB3225"/>
    <w:rsid w:val="00CB331B"/>
    <w:rsid w:val="00CB3714"/>
    <w:rsid w:val="00CB37C1"/>
    <w:rsid w:val="00CB3949"/>
    <w:rsid w:val="00CB3958"/>
    <w:rsid w:val="00CB3A26"/>
    <w:rsid w:val="00CB3BBC"/>
    <w:rsid w:val="00CB3D30"/>
    <w:rsid w:val="00CB3DC5"/>
    <w:rsid w:val="00CB3E2E"/>
    <w:rsid w:val="00CB3E6A"/>
    <w:rsid w:val="00CB3FCD"/>
    <w:rsid w:val="00CB41C6"/>
    <w:rsid w:val="00CB4271"/>
    <w:rsid w:val="00CB42DE"/>
    <w:rsid w:val="00CB4422"/>
    <w:rsid w:val="00CB44BF"/>
    <w:rsid w:val="00CB4549"/>
    <w:rsid w:val="00CB467F"/>
    <w:rsid w:val="00CB4681"/>
    <w:rsid w:val="00CB4802"/>
    <w:rsid w:val="00CB483B"/>
    <w:rsid w:val="00CB4877"/>
    <w:rsid w:val="00CB4986"/>
    <w:rsid w:val="00CB4AB9"/>
    <w:rsid w:val="00CB4BE1"/>
    <w:rsid w:val="00CB4BF5"/>
    <w:rsid w:val="00CB4CAC"/>
    <w:rsid w:val="00CB4CC5"/>
    <w:rsid w:val="00CB4E0D"/>
    <w:rsid w:val="00CB4E3A"/>
    <w:rsid w:val="00CB4E45"/>
    <w:rsid w:val="00CB4FAB"/>
    <w:rsid w:val="00CB4FDA"/>
    <w:rsid w:val="00CB50E7"/>
    <w:rsid w:val="00CB53AD"/>
    <w:rsid w:val="00CB56E4"/>
    <w:rsid w:val="00CB5842"/>
    <w:rsid w:val="00CB592B"/>
    <w:rsid w:val="00CB5B0D"/>
    <w:rsid w:val="00CB5D62"/>
    <w:rsid w:val="00CB6317"/>
    <w:rsid w:val="00CB640A"/>
    <w:rsid w:val="00CB647E"/>
    <w:rsid w:val="00CB6492"/>
    <w:rsid w:val="00CB64E7"/>
    <w:rsid w:val="00CB6698"/>
    <w:rsid w:val="00CB6A91"/>
    <w:rsid w:val="00CB6CFC"/>
    <w:rsid w:val="00CB6D1D"/>
    <w:rsid w:val="00CB6F01"/>
    <w:rsid w:val="00CB7200"/>
    <w:rsid w:val="00CB7481"/>
    <w:rsid w:val="00CB75B3"/>
    <w:rsid w:val="00CB76E4"/>
    <w:rsid w:val="00CB76F3"/>
    <w:rsid w:val="00CB772E"/>
    <w:rsid w:val="00CB7751"/>
    <w:rsid w:val="00CB781F"/>
    <w:rsid w:val="00CB7842"/>
    <w:rsid w:val="00CB79B8"/>
    <w:rsid w:val="00CB7E2C"/>
    <w:rsid w:val="00CC03C2"/>
    <w:rsid w:val="00CC0665"/>
    <w:rsid w:val="00CC06C9"/>
    <w:rsid w:val="00CC07B3"/>
    <w:rsid w:val="00CC08B1"/>
    <w:rsid w:val="00CC0BD9"/>
    <w:rsid w:val="00CC0C52"/>
    <w:rsid w:val="00CC0DB3"/>
    <w:rsid w:val="00CC0DE1"/>
    <w:rsid w:val="00CC1082"/>
    <w:rsid w:val="00CC10E9"/>
    <w:rsid w:val="00CC1176"/>
    <w:rsid w:val="00CC12A2"/>
    <w:rsid w:val="00CC13FF"/>
    <w:rsid w:val="00CC14EA"/>
    <w:rsid w:val="00CC14F6"/>
    <w:rsid w:val="00CC168E"/>
    <w:rsid w:val="00CC16FF"/>
    <w:rsid w:val="00CC1974"/>
    <w:rsid w:val="00CC1A00"/>
    <w:rsid w:val="00CC1A84"/>
    <w:rsid w:val="00CC1AED"/>
    <w:rsid w:val="00CC1AFD"/>
    <w:rsid w:val="00CC1BE4"/>
    <w:rsid w:val="00CC1BF5"/>
    <w:rsid w:val="00CC1C73"/>
    <w:rsid w:val="00CC2028"/>
    <w:rsid w:val="00CC2104"/>
    <w:rsid w:val="00CC212D"/>
    <w:rsid w:val="00CC2225"/>
    <w:rsid w:val="00CC241C"/>
    <w:rsid w:val="00CC26FE"/>
    <w:rsid w:val="00CC2734"/>
    <w:rsid w:val="00CC2A48"/>
    <w:rsid w:val="00CC2C57"/>
    <w:rsid w:val="00CC2C5D"/>
    <w:rsid w:val="00CC2DE8"/>
    <w:rsid w:val="00CC2EE4"/>
    <w:rsid w:val="00CC2FC0"/>
    <w:rsid w:val="00CC303A"/>
    <w:rsid w:val="00CC30E7"/>
    <w:rsid w:val="00CC30FF"/>
    <w:rsid w:val="00CC3159"/>
    <w:rsid w:val="00CC3198"/>
    <w:rsid w:val="00CC34E2"/>
    <w:rsid w:val="00CC3583"/>
    <w:rsid w:val="00CC3628"/>
    <w:rsid w:val="00CC372B"/>
    <w:rsid w:val="00CC3783"/>
    <w:rsid w:val="00CC3B73"/>
    <w:rsid w:val="00CC3BBD"/>
    <w:rsid w:val="00CC3C5B"/>
    <w:rsid w:val="00CC3CCD"/>
    <w:rsid w:val="00CC3E0C"/>
    <w:rsid w:val="00CC3F41"/>
    <w:rsid w:val="00CC4027"/>
    <w:rsid w:val="00CC40DE"/>
    <w:rsid w:val="00CC4117"/>
    <w:rsid w:val="00CC42F6"/>
    <w:rsid w:val="00CC430C"/>
    <w:rsid w:val="00CC444C"/>
    <w:rsid w:val="00CC4527"/>
    <w:rsid w:val="00CC46FB"/>
    <w:rsid w:val="00CC47AE"/>
    <w:rsid w:val="00CC47D0"/>
    <w:rsid w:val="00CC480F"/>
    <w:rsid w:val="00CC4898"/>
    <w:rsid w:val="00CC48D2"/>
    <w:rsid w:val="00CC48E8"/>
    <w:rsid w:val="00CC4969"/>
    <w:rsid w:val="00CC4AAE"/>
    <w:rsid w:val="00CC4AF8"/>
    <w:rsid w:val="00CC4CB0"/>
    <w:rsid w:val="00CC4DC5"/>
    <w:rsid w:val="00CC506F"/>
    <w:rsid w:val="00CC50B4"/>
    <w:rsid w:val="00CC5144"/>
    <w:rsid w:val="00CC51FE"/>
    <w:rsid w:val="00CC5252"/>
    <w:rsid w:val="00CC54EC"/>
    <w:rsid w:val="00CC56F6"/>
    <w:rsid w:val="00CC570E"/>
    <w:rsid w:val="00CC581F"/>
    <w:rsid w:val="00CC58FD"/>
    <w:rsid w:val="00CC593C"/>
    <w:rsid w:val="00CC5BE3"/>
    <w:rsid w:val="00CC5CBF"/>
    <w:rsid w:val="00CC5E73"/>
    <w:rsid w:val="00CC5ECD"/>
    <w:rsid w:val="00CC5FC2"/>
    <w:rsid w:val="00CC6000"/>
    <w:rsid w:val="00CC60F0"/>
    <w:rsid w:val="00CC62B6"/>
    <w:rsid w:val="00CC6407"/>
    <w:rsid w:val="00CC6420"/>
    <w:rsid w:val="00CC64CF"/>
    <w:rsid w:val="00CC6673"/>
    <w:rsid w:val="00CC6724"/>
    <w:rsid w:val="00CC67EF"/>
    <w:rsid w:val="00CC6838"/>
    <w:rsid w:val="00CC68E1"/>
    <w:rsid w:val="00CC69DB"/>
    <w:rsid w:val="00CC6AF1"/>
    <w:rsid w:val="00CC6D07"/>
    <w:rsid w:val="00CC6E7E"/>
    <w:rsid w:val="00CC6ECA"/>
    <w:rsid w:val="00CC6FD8"/>
    <w:rsid w:val="00CC7011"/>
    <w:rsid w:val="00CC707B"/>
    <w:rsid w:val="00CC7119"/>
    <w:rsid w:val="00CC71E4"/>
    <w:rsid w:val="00CC720E"/>
    <w:rsid w:val="00CC721A"/>
    <w:rsid w:val="00CC740A"/>
    <w:rsid w:val="00CC7418"/>
    <w:rsid w:val="00CC743D"/>
    <w:rsid w:val="00CC74CC"/>
    <w:rsid w:val="00CC7511"/>
    <w:rsid w:val="00CC7513"/>
    <w:rsid w:val="00CC7527"/>
    <w:rsid w:val="00CC759A"/>
    <w:rsid w:val="00CC75CA"/>
    <w:rsid w:val="00CC75E3"/>
    <w:rsid w:val="00CC7783"/>
    <w:rsid w:val="00CC78A2"/>
    <w:rsid w:val="00CC78FC"/>
    <w:rsid w:val="00CC791E"/>
    <w:rsid w:val="00CC79B6"/>
    <w:rsid w:val="00CC7A61"/>
    <w:rsid w:val="00CC7C27"/>
    <w:rsid w:val="00CC7E92"/>
    <w:rsid w:val="00CC7F23"/>
    <w:rsid w:val="00CC7F26"/>
    <w:rsid w:val="00CD013A"/>
    <w:rsid w:val="00CD01AD"/>
    <w:rsid w:val="00CD02C1"/>
    <w:rsid w:val="00CD0599"/>
    <w:rsid w:val="00CD060D"/>
    <w:rsid w:val="00CD06C7"/>
    <w:rsid w:val="00CD07AE"/>
    <w:rsid w:val="00CD0C02"/>
    <w:rsid w:val="00CD0C4A"/>
    <w:rsid w:val="00CD0CCA"/>
    <w:rsid w:val="00CD0E84"/>
    <w:rsid w:val="00CD0FB3"/>
    <w:rsid w:val="00CD13BB"/>
    <w:rsid w:val="00CD140B"/>
    <w:rsid w:val="00CD152A"/>
    <w:rsid w:val="00CD154F"/>
    <w:rsid w:val="00CD171B"/>
    <w:rsid w:val="00CD1869"/>
    <w:rsid w:val="00CD18C2"/>
    <w:rsid w:val="00CD1982"/>
    <w:rsid w:val="00CD1E7F"/>
    <w:rsid w:val="00CD1FA7"/>
    <w:rsid w:val="00CD2145"/>
    <w:rsid w:val="00CD228E"/>
    <w:rsid w:val="00CD25B0"/>
    <w:rsid w:val="00CD267F"/>
    <w:rsid w:val="00CD2684"/>
    <w:rsid w:val="00CD269B"/>
    <w:rsid w:val="00CD2756"/>
    <w:rsid w:val="00CD28D8"/>
    <w:rsid w:val="00CD2951"/>
    <w:rsid w:val="00CD2A89"/>
    <w:rsid w:val="00CD2B2F"/>
    <w:rsid w:val="00CD2BF4"/>
    <w:rsid w:val="00CD2E91"/>
    <w:rsid w:val="00CD3175"/>
    <w:rsid w:val="00CD317F"/>
    <w:rsid w:val="00CD31B3"/>
    <w:rsid w:val="00CD3497"/>
    <w:rsid w:val="00CD34EE"/>
    <w:rsid w:val="00CD3603"/>
    <w:rsid w:val="00CD36F8"/>
    <w:rsid w:val="00CD3717"/>
    <w:rsid w:val="00CD371D"/>
    <w:rsid w:val="00CD38FB"/>
    <w:rsid w:val="00CD3A04"/>
    <w:rsid w:val="00CD3AB6"/>
    <w:rsid w:val="00CD3AE2"/>
    <w:rsid w:val="00CD3B35"/>
    <w:rsid w:val="00CD3BAB"/>
    <w:rsid w:val="00CD3D6B"/>
    <w:rsid w:val="00CD3DF5"/>
    <w:rsid w:val="00CD3E88"/>
    <w:rsid w:val="00CD4061"/>
    <w:rsid w:val="00CD4064"/>
    <w:rsid w:val="00CD4162"/>
    <w:rsid w:val="00CD4312"/>
    <w:rsid w:val="00CD438B"/>
    <w:rsid w:val="00CD44A3"/>
    <w:rsid w:val="00CD44CC"/>
    <w:rsid w:val="00CD4506"/>
    <w:rsid w:val="00CD4582"/>
    <w:rsid w:val="00CD47DE"/>
    <w:rsid w:val="00CD49FB"/>
    <w:rsid w:val="00CD4A4B"/>
    <w:rsid w:val="00CD4BE9"/>
    <w:rsid w:val="00CD4CEC"/>
    <w:rsid w:val="00CD4E07"/>
    <w:rsid w:val="00CD4EB4"/>
    <w:rsid w:val="00CD5010"/>
    <w:rsid w:val="00CD5060"/>
    <w:rsid w:val="00CD50E0"/>
    <w:rsid w:val="00CD5668"/>
    <w:rsid w:val="00CD5687"/>
    <w:rsid w:val="00CD56E0"/>
    <w:rsid w:val="00CD57D4"/>
    <w:rsid w:val="00CD57F4"/>
    <w:rsid w:val="00CD5910"/>
    <w:rsid w:val="00CD599B"/>
    <w:rsid w:val="00CD5A67"/>
    <w:rsid w:val="00CD5B6B"/>
    <w:rsid w:val="00CD5C10"/>
    <w:rsid w:val="00CD5E63"/>
    <w:rsid w:val="00CD5FBE"/>
    <w:rsid w:val="00CD61DA"/>
    <w:rsid w:val="00CD6216"/>
    <w:rsid w:val="00CD63B0"/>
    <w:rsid w:val="00CD63C0"/>
    <w:rsid w:val="00CD65D6"/>
    <w:rsid w:val="00CD6810"/>
    <w:rsid w:val="00CD68D9"/>
    <w:rsid w:val="00CD6927"/>
    <w:rsid w:val="00CD6CC8"/>
    <w:rsid w:val="00CD6DA3"/>
    <w:rsid w:val="00CD716D"/>
    <w:rsid w:val="00CD7341"/>
    <w:rsid w:val="00CD7374"/>
    <w:rsid w:val="00CD76AE"/>
    <w:rsid w:val="00CD776D"/>
    <w:rsid w:val="00CD7796"/>
    <w:rsid w:val="00CD7AD8"/>
    <w:rsid w:val="00CD7BB1"/>
    <w:rsid w:val="00CD7C2E"/>
    <w:rsid w:val="00CD7C95"/>
    <w:rsid w:val="00CD7D11"/>
    <w:rsid w:val="00CD7F8B"/>
    <w:rsid w:val="00CE0018"/>
    <w:rsid w:val="00CE0111"/>
    <w:rsid w:val="00CE0932"/>
    <w:rsid w:val="00CE0A76"/>
    <w:rsid w:val="00CE0CAF"/>
    <w:rsid w:val="00CE0CD1"/>
    <w:rsid w:val="00CE0D09"/>
    <w:rsid w:val="00CE0E1D"/>
    <w:rsid w:val="00CE10D5"/>
    <w:rsid w:val="00CE1243"/>
    <w:rsid w:val="00CE132B"/>
    <w:rsid w:val="00CE1350"/>
    <w:rsid w:val="00CE1503"/>
    <w:rsid w:val="00CE151F"/>
    <w:rsid w:val="00CE1638"/>
    <w:rsid w:val="00CE169E"/>
    <w:rsid w:val="00CE18A7"/>
    <w:rsid w:val="00CE1A80"/>
    <w:rsid w:val="00CE1C1E"/>
    <w:rsid w:val="00CE1C22"/>
    <w:rsid w:val="00CE1CA0"/>
    <w:rsid w:val="00CE1EA9"/>
    <w:rsid w:val="00CE1F18"/>
    <w:rsid w:val="00CE211B"/>
    <w:rsid w:val="00CE228D"/>
    <w:rsid w:val="00CE2364"/>
    <w:rsid w:val="00CE2478"/>
    <w:rsid w:val="00CE24A7"/>
    <w:rsid w:val="00CE254E"/>
    <w:rsid w:val="00CE25DF"/>
    <w:rsid w:val="00CE267A"/>
    <w:rsid w:val="00CE2680"/>
    <w:rsid w:val="00CE26BF"/>
    <w:rsid w:val="00CE2715"/>
    <w:rsid w:val="00CE27D6"/>
    <w:rsid w:val="00CE28DF"/>
    <w:rsid w:val="00CE2913"/>
    <w:rsid w:val="00CE2BB7"/>
    <w:rsid w:val="00CE3142"/>
    <w:rsid w:val="00CE3186"/>
    <w:rsid w:val="00CE324E"/>
    <w:rsid w:val="00CE33A1"/>
    <w:rsid w:val="00CE34AB"/>
    <w:rsid w:val="00CE34E8"/>
    <w:rsid w:val="00CE3803"/>
    <w:rsid w:val="00CE3C07"/>
    <w:rsid w:val="00CE4048"/>
    <w:rsid w:val="00CE40DC"/>
    <w:rsid w:val="00CE40FF"/>
    <w:rsid w:val="00CE440D"/>
    <w:rsid w:val="00CE44CB"/>
    <w:rsid w:val="00CE4819"/>
    <w:rsid w:val="00CE4863"/>
    <w:rsid w:val="00CE48DD"/>
    <w:rsid w:val="00CE4A74"/>
    <w:rsid w:val="00CE4AF3"/>
    <w:rsid w:val="00CE4B53"/>
    <w:rsid w:val="00CE4C85"/>
    <w:rsid w:val="00CE4D9C"/>
    <w:rsid w:val="00CE4E11"/>
    <w:rsid w:val="00CE5042"/>
    <w:rsid w:val="00CE5161"/>
    <w:rsid w:val="00CE52E8"/>
    <w:rsid w:val="00CE5304"/>
    <w:rsid w:val="00CE54EE"/>
    <w:rsid w:val="00CE5507"/>
    <w:rsid w:val="00CE569B"/>
    <w:rsid w:val="00CE58B0"/>
    <w:rsid w:val="00CE59FC"/>
    <w:rsid w:val="00CE5A38"/>
    <w:rsid w:val="00CE5AC4"/>
    <w:rsid w:val="00CE5AD4"/>
    <w:rsid w:val="00CE5B09"/>
    <w:rsid w:val="00CE5B30"/>
    <w:rsid w:val="00CE5BFB"/>
    <w:rsid w:val="00CE5CBD"/>
    <w:rsid w:val="00CE5FB6"/>
    <w:rsid w:val="00CE600E"/>
    <w:rsid w:val="00CE638A"/>
    <w:rsid w:val="00CE63C4"/>
    <w:rsid w:val="00CE648A"/>
    <w:rsid w:val="00CE64AE"/>
    <w:rsid w:val="00CE662F"/>
    <w:rsid w:val="00CE6855"/>
    <w:rsid w:val="00CE6900"/>
    <w:rsid w:val="00CE6AAE"/>
    <w:rsid w:val="00CE6B43"/>
    <w:rsid w:val="00CE6CEE"/>
    <w:rsid w:val="00CE708B"/>
    <w:rsid w:val="00CE71FF"/>
    <w:rsid w:val="00CE720A"/>
    <w:rsid w:val="00CE73F4"/>
    <w:rsid w:val="00CE7445"/>
    <w:rsid w:val="00CE75C0"/>
    <w:rsid w:val="00CE7646"/>
    <w:rsid w:val="00CE7736"/>
    <w:rsid w:val="00CE7774"/>
    <w:rsid w:val="00CE77BA"/>
    <w:rsid w:val="00CE791F"/>
    <w:rsid w:val="00CE79A0"/>
    <w:rsid w:val="00CE7A6B"/>
    <w:rsid w:val="00CE7BFE"/>
    <w:rsid w:val="00CE7D80"/>
    <w:rsid w:val="00CE7D8D"/>
    <w:rsid w:val="00CE7E36"/>
    <w:rsid w:val="00CE7E5C"/>
    <w:rsid w:val="00CE7E9B"/>
    <w:rsid w:val="00CF05A9"/>
    <w:rsid w:val="00CF077E"/>
    <w:rsid w:val="00CF0863"/>
    <w:rsid w:val="00CF0AEE"/>
    <w:rsid w:val="00CF0AF0"/>
    <w:rsid w:val="00CF0E3F"/>
    <w:rsid w:val="00CF0EE1"/>
    <w:rsid w:val="00CF106A"/>
    <w:rsid w:val="00CF11B4"/>
    <w:rsid w:val="00CF1466"/>
    <w:rsid w:val="00CF14E8"/>
    <w:rsid w:val="00CF165D"/>
    <w:rsid w:val="00CF16F8"/>
    <w:rsid w:val="00CF16FE"/>
    <w:rsid w:val="00CF1788"/>
    <w:rsid w:val="00CF18BF"/>
    <w:rsid w:val="00CF1930"/>
    <w:rsid w:val="00CF1A23"/>
    <w:rsid w:val="00CF1C2E"/>
    <w:rsid w:val="00CF1C42"/>
    <w:rsid w:val="00CF1E92"/>
    <w:rsid w:val="00CF1EAF"/>
    <w:rsid w:val="00CF1F13"/>
    <w:rsid w:val="00CF2149"/>
    <w:rsid w:val="00CF217F"/>
    <w:rsid w:val="00CF21FB"/>
    <w:rsid w:val="00CF2249"/>
    <w:rsid w:val="00CF235F"/>
    <w:rsid w:val="00CF28FD"/>
    <w:rsid w:val="00CF2915"/>
    <w:rsid w:val="00CF2BC6"/>
    <w:rsid w:val="00CF2D7A"/>
    <w:rsid w:val="00CF2F9D"/>
    <w:rsid w:val="00CF3108"/>
    <w:rsid w:val="00CF321D"/>
    <w:rsid w:val="00CF3263"/>
    <w:rsid w:val="00CF3294"/>
    <w:rsid w:val="00CF3346"/>
    <w:rsid w:val="00CF33E9"/>
    <w:rsid w:val="00CF3566"/>
    <w:rsid w:val="00CF35BE"/>
    <w:rsid w:val="00CF385B"/>
    <w:rsid w:val="00CF3AC3"/>
    <w:rsid w:val="00CF3B3C"/>
    <w:rsid w:val="00CF4087"/>
    <w:rsid w:val="00CF412C"/>
    <w:rsid w:val="00CF418E"/>
    <w:rsid w:val="00CF4478"/>
    <w:rsid w:val="00CF4520"/>
    <w:rsid w:val="00CF4618"/>
    <w:rsid w:val="00CF46C1"/>
    <w:rsid w:val="00CF4737"/>
    <w:rsid w:val="00CF4797"/>
    <w:rsid w:val="00CF4B66"/>
    <w:rsid w:val="00CF4C36"/>
    <w:rsid w:val="00CF4CAA"/>
    <w:rsid w:val="00CF4DCC"/>
    <w:rsid w:val="00CF4E93"/>
    <w:rsid w:val="00CF4F49"/>
    <w:rsid w:val="00CF50FF"/>
    <w:rsid w:val="00CF524D"/>
    <w:rsid w:val="00CF52F7"/>
    <w:rsid w:val="00CF53C9"/>
    <w:rsid w:val="00CF53DD"/>
    <w:rsid w:val="00CF565D"/>
    <w:rsid w:val="00CF567C"/>
    <w:rsid w:val="00CF56A4"/>
    <w:rsid w:val="00CF5A4E"/>
    <w:rsid w:val="00CF5CD0"/>
    <w:rsid w:val="00CF60D9"/>
    <w:rsid w:val="00CF6268"/>
    <w:rsid w:val="00CF62FC"/>
    <w:rsid w:val="00CF6301"/>
    <w:rsid w:val="00CF64B0"/>
    <w:rsid w:val="00CF6661"/>
    <w:rsid w:val="00CF66C1"/>
    <w:rsid w:val="00CF673C"/>
    <w:rsid w:val="00CF6980"/>
    <w:rsid w:val="00CF69B3"/>
    <w:rsid w:val="00CF6AE9"/>
    <w:rsid w:val="00CF6B83"/>
    <w:rsid w:val="00CF6D2E"/>
    <w:rsid w:val="00CF6D45"/>
    <w:rsid w:val="00CF6DD9"/>
    <w:rsid w:val="00CF6F1D"/>
    <w:rsid w:val="00CF7045"/>
    <w:rsid w:val="00CF72D6"/>
    <w:rsid w:val="00CF72E7"/>
    <w:rsid w:val="00CF7344"/>
    <w:rsid w:val="00CF7385"/>
    <w:rsid w:val="00CF740A"/>
    <w:rsid w:val="00CF7424"/>
    <w:rsid w:val="00CF746E"/>
    <w:rsid w:val="00CF7486"/>
    <w:rsid w:val="00CF74D3"/>
    <w:rsid w:val="00CF777B"/>
    <w:rsid w:val="00CF79E3"/>
    <w:rsid w:val="00CF7AF5"/>
    <w:rsid w:val="00CF7B3A"/>
    <w:rsid w:val="00CF7BF7"/>
    <w:rsid w:val="00CF7C12"/>
    <w:rsid w:val="00CF7C1C"/>
    <w:rsid w:val="00CF7DC1"/>
    <w:rsid w:val="00CF7EA3"/>
    <w:rsid w:val="00CF7F22"/>
    <w:rsid w:val="00CF7F72"/>
    <w:rsid w:val="00CF7F73"/>
    <w:rsid w:val="00D00118"/>
    <w:rsid w:val="00D00288"/>
    <w:rsid w:val="00D00373"/>
    <w:rsid w:val="00D0039B"/>
    <w:rsid w:val="00D003A6"/>
    <w:rsid w:val="00D00498"/>
    <w:rsid w:val="00D00641"/>
    <w:rsid w:val="00D006FB"/>
    <w:rsid w:val="00D0095A"/>
    <w:rsid w:val="00D00963"/>
    <w:rsid w:val="00D00AE5"/>
    <w:rsid w:val="00D00C30"/>
    <w:rsid w:val="00D00D3F"/>
    <w:rsid w:val="00D00D4E"/>
    <w:rsid w:val="00D00EAC"/>
    <w:rsid w:val="00D00EF4"/>
    <w:rsid w:val="00D00F96"/>
    <w:rsid w:val="00D010C9"/>
    <w:rsid w:val="00D01190"/>
    <w:rsid w:val="00D011FF"/>
    <w:rsid w:val="00D01310"/>
    <w:rsid w:val="00D0148F"/>
    <w:rsid w:val="00D0155C"/>
    <w:rsid w:val="00D0155D"/>
    <w:rsid w:val="00D01680"/>
    <w:rsid w:val="00D01741"/>
    <w:rsid w:val="00D01826"/>
    <w:rsid w:val="00D01A3E"/>
    <w:rsid w:val="00D01D5E"/>
    <w:rsid w:val="00D01DD3"/>
    <w:rsid w:val="00D01E99"/>
    <w:rsid w:val="00D01F1B"/>
    <w:rsid w:val="00D01F5D"/>
    <w:rsid w:val="00D0209F"/>
    <w:rsid w:val="00D021B8"/>
    <w:rsid w:val="00D021D1"/>
    <w:rsid w:val="00D02297"/>
    <w:rsid w:val="00D023AC"/>
    <w:rsid w:val="00D024DF"/>
    <w:rsid w:val="00D024F2"/>
    <w:rsid w:val="00D024F4"/>
    <w:rsid w:val="00D02547"/>
    <w:rsid w:val="00D0268D"/>
    <w:rsid w:val="00D0282D"/>
    <w:rsid w:val="00D0289E"/>
    <w:rsid w:val="00D02993"/>
    <w:rsid w:val="00D029E6"/>
    <w:rsid w:val="00D02B32"/>
    <w:rsid w:val="00D02B77"/>
    <w:rsid w:val="00D02BC1"/>
    <w:rsid w:val="00D0300F"/>
    <w:rsid w:val="00D0313A"/>
    <w:rsid w:val="00D031CE"/>
    <w:rsid w:val="00D031E7"/>
    <w:rsid w:val="00D03226"/>
    <w:rsid w:val="00D0323D"/>
    <w:rsid w:val="00D032FF"/>
    <w:rsid w:val="00D03381"/>
    <w:rsid w:val="00D033A1"/>
    <w:rsid w:val="00D0340A"/>
    <w:rsid w:val="00D03515"/>
    <w:rsid w:val="00D037DF"/>
    <w:rsid w:val="00D0386B"/>
    <w:rsid w:val="00D038CF"/>
    <w:rsid w:val="00D03C3D"/>
    <w:rsid w:val="00D03E77"/>
    <w:rsid w:val="00D04047"/>
    <w:rsid w:val="00D0408B"/>
    <w:rsid w:val="00D04179"/>
    <w:rsid w:val="00D04258"/>
    <w:rsid w:val="00D04648"/>
    <w:rsid w:val="00D046C9"/>
    <w:rsid w:val="00D0480E"/>
    <w:rsid w:val="00D0481E"/>
    <w:rsid w:val="00D0499C"/>
    <w:rsid w:val="00D04B01"/>
    <w:rsid w:val="00D04CD6"/>
    <w:rsid w:val="00D04F63"/>
    <w:rsid w:val="00D0511A"/>
    <w:rsid w:val="00D0528F"/>
    <w:rsid w:val="00D05740"/>
    <w:rsid w:val="00D0597F"/>
    <w:rsid w:val="00D059B3"/>
    <w:rsid w:val="00D05B10"/>
    <w:rsid w:val="00D05B65"/>
    <w:rsid w:val="00D05B68"/>
    <w:rsid w:val="00D05BE2"/>
    <w:rsid w:val="00D05C18"/>
    <w:rsid w:val="00D05CDD"/>
    <w:rsid w:val="00D05D02"/>
    <w:rsid w:val="00D05E4B"/>
    <w:rsid w:val="00D05FB1"/>
    <w:rsid w:val="00D060A4"/>
    <w:rsid w:val="00D06413"/>
    <w:rsid w:val="00D06422"/>
    <w:rsid w:val="00D066CA"/>
    <w:rsid w:val="00D066D3"/>
    <w:rsid w:val="00D0670A"/>
    <w:rsid w:val="00D068E1"/>
    <w:rsid w:val="00D06928"/>
    <w:rsid w:val="00D0694B"/>
    <w:rsid w:val="00D069E2"/>
    <w:rsid w:val="00D06D40"/>
    <w:rsid w:val="00D06E2E"/>
    <w:rsid w:val="00D06EF8"/>
    <w:rsid w:val="00D06F4D"/>
    <w:rsid w:val="00D0708E"/>
    <w:rsid w:val="00D070F2"/>
    <w:rsid w:val="00D071B7"/>
    <w:rsid w:val="00D07204"/>
    <w:rsid w:val="00D07217"/>
    <w:rsid w:val="00D07245"/>
    <w:rsid w:val="00D07255"/>
    <w:rsid w:val="00D0736C"/>
    <w:rsid w:val="00D07552"/>
    <w:rsid w:val="00D07B4A"/>
    <w:rsid w:val="00D07BE4"/>
    <w:rsid w:val="00D07EA5"/>
    <w:rsid w:val="00D101BF"/>
    <w:rsid w:val="00D102B8"/>
    <w:rsid w:val="00D10347"/>
    <w:rsid w:val="00D1037C"/>
    <w:rsid w:val="00D1060F"/>
    <w:rsid w:val="00D106FB"/>
    <w:rsid w:val="00D10936"/>
    <w:rsid w:val="00D10B56"/>
    <w:rsid w:val="00D10B80"/>
    <w:rsid w:val="00D10BA4"/>
    <w:rsid w:val="00D10E14"/>
    <w:rsid w:val="00D10E93"/>
    <w:rsid w:val="00D10E9F"/>
    <w:rsid w:val="00D10EA9"/>
    <w:rsid w:val="00D10F14"/>
    <w:rsid w:val="00D10FEA"/>
    <w:rsid w:val="00D11242"/>
    <w:rsid w:val="00D115A4"/>
    <w:rsid w:val="00D1164F"/>
    <w:rsid w:val="00D116FD"/>
    <w:rsid w:val="00D118E8"/>
    <w:rsid w:val="00D11924"/>
    <w:rsid w:val="00D11965"/>
    <w:rsid w:val="00D119C0"/>
    <w:rsid w:val="00D11AEA"/>
    <w:rsid w:val="00D11B0F"/>
    <w:rsid w:val="00D11B62"/>
    <w:rsid w:val="00D11B83"/>
    <w:rsid w:val="00D11BD2"/>
    <w:rsid w:val="00D11C6C"/>
    <w:rsid w:val="00D11C7E"/>
    <w:rsid w:val="00D11DBD"/>
    <w:rsid w:val="00D11DD8"/>
    <w:rsid w:val="00D12042"/>
    <w:rsid w:val="00D120A2"/>
    <w:rsid w:val="00D12136"/>
    <w:rsid w:val="00D12185"/>
    <w:rsid w:val="00D121D2"/>
    <w:rsid w:val="00D121E4"/>
    <w:rsid w:val="00D1240C"/>
    <w:rsid w:val="00D1242D"/>
    <w:rsid w:val="00D124A8"/>
    <w:rsid w:val="00D124F7"/>
    <w:rsid w:val="00D12556"/>
    <w:rsid w:val="00D1262A"/>
    <w:rsid w:val="00D128A4"/>
    <w:rsid w:val="00D128AA"/>
    <w:rsid w:val="00D129A3"/>
    <w:rsid w:val="00D12A6E"/>
    <w:rsid w:val="00D12C27"/>
    <w:rsid w:val="00D12E19"/>
    <w:rsid w:val="00D12E55"/>
    <w:rsid w:val="00D12EA7"/>
    <w:rsid w:val="00D13041"/>
    <w:rsid w:val="00D1306D"/>
    <w:rsid w:val="00D13114"/>
    <w:rsid w:val="00D1325D"/>
    <w:rsid w:val="00D133C7"/>
    <w:rsid w:val="00D134C8"/>
    <w:rsid w:val="00D137ED"/>
    <w:rsid w:val="00D138C3"/>
    <w:rsid w:val="00D1397E"/>
    <w:rsid w:val="00D13A1B"/>
    <w:rsid w:val="00D13DEC"/>
    <w:rsid w:val="00D141DE"/>
    <w:rsid w:val="00D142FC"/>
    <w:rsid w:val="00D1435A"/>
    <w:rsid w:val="00D1456D"/>
    <w:rsid w:val="00D145EA"/>
    <w:rsid w:val="00D147E2"/>
    <w:rsid w:val="00D1487A"/>
    <w:rsid w:val="00D148F5"/>
    <w:rsid w:val="00D14911"/>
    <w:rsid w:val="00D149A7"/>
    <w:rsid w:val="00D14AC0"/>
    <w:rsid w:val="00D14B6A"/>
    <w:rsid w:val="00D14D93"/>
    <w:rsid w:val="00D14D96"/>
    <w:rsid w:val="00D14DD3"/>
    <w:rsid w:val="00D14DE0"/>
    <w:rsid w:val="00D14E3E"/>
    <w:rsid w:val="00D14ECE"/>
    <w:rsid w:val="00D15000"/>
    <w:rsid w:val="00D15022"/>
    <w:rsid w:val="00D15095"/>
    <w:rsid w:val="00D15229"/>
    <w:rsid w:val="00D1526E"/>
    <w:rsid w:val="00D152DC"/>
    <w:rsid w:val="00D152F2"/>
    <w:rsid w:val="00D153B3"/>
    <w:rsid w:val="00D1555A"/>
    <w:rsid w:val="00D155ED"/>
    <w:rsid w:val="00D15761"/>
    <w:rsid w:val="00D15801"/>
    <w:rsid w:val="00D158ED"/>
    <w:rsid w:val="00D1595B"/>
    <w:rsid w:val="00D15E10"/>
    <w:rsid w:val="00D15E52"/>
    <w:rsid w:val="00D15EF5"/>
    <w:rsid w:val="00D15F3A"/>
    <w:rsid w:val="00D1612B"/>
    <w:rsid w:val="00D16155"/>
    <w:rsid w:val="00D16346"/>
    <w:rsid w:val="00D16446"/>
    <w:rsid w:val="00D16509"/>
    <w:rsid w:val="00D16605"/>
    <w:rsid w:val="00D1688E"/>
    <w:rsid w:val="00D1695C"/>
    <w:rsid w:val="00D16A6F"/>
    <w:rsid w:val="00D16C90"/>
    <w:rsid w:val="00D16CB2"/>
    <w:rsid w:val="00D16D2A"/>
    <w:rsid w:val="00D170C0"/>
    <w:rsid w:val="00D17191"/>
    <w:rsid w:val="00D174CD"/>
    <w:rsid w:val="00D174E2"/>
    <w:rsid w:val="00D17584"/>
    <w:rsid w:val="00D17941"/>
    <w:rsid w:val="00D17D0A"/>
    <w:rsid w:val="00D17D91"/>
    <w:rsid w:val="00D17DC6"/>
    <w:rsid w:val="00D17E94"/>
    <w:rsid w:val="00D17EBD"/>
    <w:rsid w:val="00D201A6"/>
    <w:rsid w:val="00D201DB"/>
    <w:rsid w:val="00D2020B"/>
    <w:rsid w:val="00D204B5"/>
    <w:rsid w:val="00D2052C"/>
    <w:rsid w:val="00D207D6"/>
    <w:rsid w:val="00D208E1"/>
    <w:rsid w:val="00D20A02"/>
    <w:rsid w:val="00D20BAA"/>
    <w:rsid w:val="00D20BDF"/>
    <w:rsid w:val="00D20D28"/>
    <w:rsid w:val="00D20FF4"/>
    <w:rsid w:val="00D211B3"/>
    <w:rsid w:val="00D213D6"/>
    <w:rsid w:val="00D214BD"/>
    <w:rsid w:val="00D21692"/>
    <w:rsid w:val="00D21990"/>
    <w:rsid w:val="00D21C37"/>
    <w:rsid w:val="00D22075"/>
    <w:rsid w:val="00D22239"/>
    <w:rsid w:val="00D22408"/>
    <w:rsid w:val="00D2242F"/>
    <w:rsid w:val="00D22540"/>
    <w:rsid w:val="00D22765"/>
    <w:rsid w:val="00D2284E"/>
    <w:rsid w:val="00D228B5"/>
    <w:rsid w:val="00D229B0"/>
    <w:rsid w:val="00D229DD"/>
    <w:rsid w:val="00D229E9"/>
    <w:rsid w:val="00D22AA7"/>
    <w:rsid w:val="00D22C64"/>
    <w:rsid w:val="00D22CED"/>
    <w:rsid w:val="00D22D9F"/>
    <w:rsid w:val="00D22FE0"/>
    <w:rsid w:val="00D23434"/>
    <w:rsid w:val="00D2354C"/>
    <w:rsid w:val="00D235BC"/>
    <w:rsid w:val="00D235CB"/>
    <w:rsid w:val="00D238B5"/>
    <w:rsid w:val="00D23A35"/>
    <w:rsid w:val="00D23ABC"/>
    <w:rsid w:val="00D23E61"/>
    <w:rsid w:val="00D23F9C"/>
    <w:rsid w:val="00D24071"/>
    <w:rsid w:val="00D241EB"/>
    <w:rsid w:val="00D24220"/>
    <w:rsid w:val="00D24224"/>
    <w:rsid w:val="00D24225"/>
    <w:rsid w:val="00D242E4"/>
    <w:rsid w:val="00D24612"/>
    <w:rsid w:val="00D2463E"/>
    <w:rsid w:val="00D24733"/>
    <w:rsid w:val="00D2482A"/>
    <w:rsid w:val="00D248F1"/>
    <w:rsid w:val="00D24965"/>
    <w:rsid w:val="00D249B7"/>
    <w:rsid w:val="00D24A59"/>
    <w:rsid w:val="00D24A9C"/>
    <w:rsid w:val="00D24C5E"/>
    <w:rsid w:val="00D24D84"/>
    <w:rsid w:val="00D2517B"/>
    <w:rsid w:val="00D253A1"/>
    <w:rsid w:val="00D253E6"/>
    <w:rsid w:val="00D25438"/>
    <w:rsid w:val="00D25603"/>
    <w:rsid w:val="00D25919"/>
    <w:rsid w:val="00D25DF0"/>
    <w:rsid w:val="00D25EBC"/>
    <w:rsid w:val="00D25F89"/>
    <w:rsid w:val="00D25FC9"/>
    <w:rsid w:val="00D26033"/>
    <w:rsid w:val="00D26190"/>
    <w:rsid w:val="00D26241"/>
    <w:rsid w:val="00D262D1"/>
    <w:rsid w:val="00D262DA"/>
    <w:rsid w:val="00D2642C"/>
    <w:rsid w:val="00D264CB"/>
    <w:rsid w:val="00D2655D"/>
    <w:rsid w:val="00D2657D"/>
    <w:rsid w:val="00D2658D"/>
    <w:rsid w:val="00D265CB"/>
    <w:rsid w:val="00D26762"/>
    <w:rsid w:val="00D26790"/>
    <w:rsid w:val="00D267AD"/>
    <w:rsid w:val="00D267C9"/>
    <w:rsid w:val="00D268DC"/>
    <w:rsid w:val="00D26A2A"/>
    <w:rsid w:val="00D26A8D"/>
    <w:rsid w:val="00D26ACC"/>
    <w:rsid w:val="00D26B64"/>
    <w:rsid w:val="00D26D15"/>
    <w:rsid w:val="00D26D8B"/>
    <w:rsid w:val="00D26E91"/>
    <w:rsid w:val="00D26F32"/>
    <w:rsid w:val="00D271FF"/>
    <w:rsid w:val="00D2726E"/>
    <w:rsid w:val="00D273BC"/>
    <w:rsid w:val="00D27508"/>
    <w:rsid w:val="00D2753C"/>
    <w:rsid w:val="00D277BA"/>
    <w:rsid w:val="00D27831"/>
    <w:rsid w:val="00D27961"/>
    <w:rsid w:val="00D279CF"/>
    <w:rsid w:val="00D27BA6"/>
    <w:rsid w:val="00D27BDE"/>
    <w:rsid w:val="00D27E39"/>
    <w:rsid w:val="00D27E73"/>
    <w:rsid w:val="00D300EC"/>
    <w:rsid w:val="00D30617"/>
    <w:rsid w:val="00D3089E"/>
    <w:rsid w:val="00D308DE"/>
    <w:rsid w:val="00D309F1"/>
    <w:rsid w:val="00D30A15"/>
    <w:rsid w:val="00D30B06"/>
    <w:rsid w:val="00D30C33"/>
    <w:rsid w:val="00D30CA1"/>
    <w:rsid w:val="00D30D91"/>
    <w:rsid w:val="00D30F7F"/>
    <w:rsid w:val="00D311C6"/>
    <w:rsid w:val="00D313C1"/>
    <w:rsid w:val="00D31428"/>
    <w:rsid w:val="00D31743"/>
    <w:rsid w:val="00D3174B"/>
    <w:rsid w:val="00D31778"/>
    <w:rsid w:val="00D31827"/>
    <w:rsid w:val="00D31883"/>
    <w:rsid w:val="00D319B8"/>
    <w:rsid w:val="00D319D4"/>
    <w:rsid w:val="00D31A45"/>
    <w:rsid w:val="00D31ACB"/>
    <w:rsid w:val="00D31B38"/>
    <w:rsid w:val="00D31BC9"/>
    <w:rsid w:val="00D31DA8"/>
    <w:rsid w:val="00D3200B"/>
    <w:rsid w:val="00D320CD"/>
    <w:rsid w:val="00D320D9"/>
    <w:rsid w:val="00D3230E"/>
    <w:rsid w:val="00D324EE"/>
    <w:rsid w:val="00D32639"/>
    <w:rsid w:val="00D32688"/>
    <w:rsid w:val="00D326DB"/>
    <w:rsid w:val="00D32852"/>
    <w:rsid w:val="00D3288C"/>
    <w:rsid w:val="00D329B2"/>
    <w:rsid w:val="00D32B8D"/>
    <w:rsid w:val="00D32C17"/>
    <w:rsid w:val="00D32CF2"/>
    <w:rsid w:val="00D32D10"/>
    <w:rsid w:val="00D32FDA"/>
    <w:rsid w:val="00D33068"/>
    <w:rsid w:val="00D332C6"/>
    <w:rsid w:val="00D33327"/>
    <w:rsid w:val="00D33678"/>
    <w:rsid w:val="00D33797"/>
    <w:rsid w:val="00D3397E"/>
    <w:rsid w:val="00D339C6"/>
    <w:rsid w:val="00D33B12"/>
    <w:rsid w:val="00D33B79"/>
    <w:rsid w:val="00D33C0D"/>
    <w:rsid w:val="00D33F9D"/>
    <w:rsid w:val="00D33FB6"/>
    <w:rsid w:val="00D33FD2"/>
    <w:rsid w:val="00D33FF7"/>
    <w:rsid w:val="00D34049"/>
    <w:rsid w:val="00D34289"/>
    <w:rsid w:val="00D343AC"/>
    <w:rsid w:val="00D34844"/>
    <w:rsid w:val="00D348D2"/>
    <w:rsid w:val="00D34E30"/>
    <w:rsid w:val="00D34F8F"/>
    <w:rsid w:val="00D35017"/>
    <w:rsid w:val="00D3508E"/>
    <w:rsid w:val="00D3509D"/>
    <w:rsid w:val="00D35142"/>
    <w:rsid w:val="00D35417"/>
    <w:rsid w:val="00D35441"/>
    <w:rsid w:val="00D355DE"/>
    <w:rsid w:val="00D35646"/>
    <w:rsid w:val="00D35969"/>
    <w:rsid w:val="00D35A39"/>
    <w:rsid w:val="00D35A5B"/>
    <w:rsid w:val="00D35B16"/>
    <w:rsid w:val="00D35B94"/>
    <w:rsid w:val="00D35CBA"/>
    <w:rsid w:val="00D35D97"/>
    <w:rsid w:val="00D35DE9"/>
    <w:rsid w:val="00D35E96"/>
    <w:rsid w:val="00D35FBE"/>
    <w:rsid w:val="00D35FF8"/>
    <w:rsid w:val="00D3652F"/>
    <w:rsid w:val="00D36679"/>
    <w:rsid w:val="00D36726"/>
    <w:rsid w:val="00D36930"/>
    <w:rsid w:val="00D36956"/>
    <w:rsid w:val="00D369EA"/>
    <w:rsid w:val="00D36B27"/>
    <w:rsid w:val="00D36CBF"/>
    <w:rsid w:val="00D36D10"/>
    <w:rsid w:val="00D36EFC"/>
    <w:rsid w:val="00D36F88"/>
    <w:rsid w:val="00D3701D"/>
    <w:rsid w:val="00D370E9"/>
    <w:rsid w:val="00D37186"/>
    <w:rsid w:val="00D373E1"/>
    <w:rsid w:val="00D374A3"/>
    <w:rsid w:val="00D374C9"/>
    <w:rsid w:val="00D376BF"/>
    <w:rsid w:val="00D37742"/>
    <w:rsid w:val="00D37877"/>
    <w:rsid w:val="00D37943"/>
    <w:rsid w:val="00D37ED7"/>
    <w:rsid w:val="00D37F92"/>
    <w:rsid w:val="00D40123"/>
    <w:rsid w:val="00D40222"/>
    <w:rsid w:val="00D4025A"/>
    <w:rsid w:val="00D403F5"/>
    <w:rsid w:val="00D4052C"/>
    <w:rsid w:val="00D40541"/>
    <w:rsid w:val="00D40892"/>
    <w:rsid w:val="00D408EF"/>
    <w:rsid w:val="00D40997"/>
    <w:rsid w:val="00D40B0C"/>
    <w:rsid w:val="00D40B77"/>
    <w:rsid w:val="00D40BA1"/>
    <w:rsid w:val="00D40CD8"/>
    <w:rsid w:val="00D40F59"/>
    <w:rsid w:val="00D40FEF"/>
    <w:rsid w:val="00D41359"/>
    <w:rsid w:val="00D41577"/>
    <w:rsid w:val="00D41578"/>
    <w:rsid w:val="00D41588"/>
    <w:rsid w:val="00D416A4"/>
    <w:rsid w:val="00D41850"/>
    <w:rsid w:val="00D419C0"/>
    <w:rsid w:val="00D41A01"/>
    <w:rsid w:val="00D41ABA"/>
    <w:rsid w:val="00D41ADF"/>
    <w:rsid w:val="00D41AE9"/>
    <w:rsid w:val="00D41DBA"/>
    <w:rsid w:val="00D41E24"/>
    <w:rsid w:val="00D41FB8"/>
    <w:rsid w:val="00D42027"/>
    <w:rsid w:val="00D420C9"/>
    <w:rsid w:val="00D420E0"/>
    <w:rsid w:val="00D421FF"/>
    <w:rsid w:val="00D422D6"/>
    <w:rsid w:val="00D42325"/>
    <w:rsid w:val="00D42407"/>
    <w:rsid w:val="00D42460"/>
    <w:rsid w:val="00D42650"/>
    <w:rsid w:val="00D4275B"/>
    <w:rsid w:val="00D4279C"/>
    <w:rsid w:val="00D428F6"/>
    <w:rsid w:val="00D42DDD"/>
    <w:rsid w:val="00D42DED"/>
    <w:rsid w:val="00D4313E"/>
    <w:rsid w:val="00D43186"/>
    <w:rsid w:val="00D43384"/>
    <w:rsid w:val="00D434E6"/>
    <w:rsid w:val="00D435E5"/>
    <w:rsid w:val="00D435FB"/>
    <w:rsid w:val="00D43620"/>
    <w:rsid w:val="00D43715"/>
    <w:rsid w:val="00D43948"/>
    <w:rsid w:val="00D43A03"/>
    <w:rsid w:val="00D43CF9"/>
    <w:rsid w:val="00D43D87"/>
    <w:rsid w:val="00D43D91"/>
    <w:rsid w:val="00D43E0E"/>
    <w:rsid w:val="00D44166"/>
    <w:rsid w:val="00D44293"/>
    <w:rsid w:val="00D4429D"/>
    <w:rsid w:val="00D444E9"/>
    <w:rsid w:val="00D44597"/>
    <w:rsid w:val="00D445B4"/>
    <w:rsid w:val="00D44641"/>
    <w:rsid w:val="00D446FA"/>
    <w:rsid w:val="00D44725"/>
    <w:rsid w:val="00D44814"/>
    <w:rsid w:val="00D448F3"/>
    <w:rsid w:val="00D44A1D"/>
    <w:rsid w:val="00D44AAB"/>
    <w:rsid w:val="00D44E6B"/>
    <w:rsid w:val="00D44E6E"/>
    <w:rsid w:val="00D44EAD"/>
    <w:rsid w:val="00D44F69"/>
    <w:rsid w:val="00D44F7C"/>
    <w:rsid w:val="00D450C5"/>
    <w:rsid w:val="00D45131"/>
    <w:rsid w:val="00D451F5"/>
    <w:rsid w:val="00D4551C"/>
    <w:rsid w:val="00D45550"/>
    <w:rsid w:val="00D45555"/>
    <w:rsid w:val="00D457F1"/>
    <w:rsid w:val="00D459A4"/>
    <w:rsid w:val="00D459CE"/>
    <w:rsid w:val="00D45A56"/>
    <w:rsid w:val="00D45D05"/>
    <w:rsid w:val="00D45D4B"/>
    <w:rsid w:val="00D46086"/>
    <w:rsid w:val="00D4623F"/>
    <w:rsid w:val="00D462D1"/>
    <w:rsid w:val="00D462D5"/>
    <w:rsid w:val="00D4659B"/>
    <w:rsid w:val="00D465AC"/>
    <w:rsid w:val="00D46666"/>
    <w:rsid w:val="00D466D9"/>
    <w:rsid w:val="00D4693D"/>
    <w:rsid w:val="00D46974"/>
    <w:rsid w:val="00D469C8"/>
    <w:rsid w:val="00D46DCE"/>
    <w:rsid w:val="00D46EFF"/>
    <w:rsid w:val="00D46FB6"/>
    <w:rsid w:val="00D471B3"/>
    <w:rsid w:val="00D4720B"/>
    <w:rsid w:val="00D47282"/>
    <w:rsid w:val="00D47292"/>
    <w:rsid w:val="00D472CF"/>
    <w:rsid w:val="00D473B1"/>
    <w:rsid w:val="00D473CA"/>
    <w:rsid w:val="00D473D5"/>
    <w:rsid w:val="00D474BE"/>
    <w:rsid w:val="00D47760"/>
    <w:rsid w:val="00D47960"/>
    <w:rsid w:val="00D47A03"/>
    <w:rsid w:val="00D47BB9"/>
    <w:rsid w:val="00D47C3F"/>
    <w:rsid w:val="00D47CB6"/>
    <w:rsid w:val="00D47D1E"/>
    <w:rsid w:val="00D47D8C"/>
    <w:rsid w:val="00D501B5"/>
    <w:rsid w:val="00D501E6"/>
    <w:rsid w:val="00D50324"/>
    <w:rsid w:val="00D50338"/>
    <w:rsid w:val="00D50455"/>
    <w:rsid w:val="00D507C1"/>
    <w:rsid w:val="00D509A9"/>
    <w:rsid w:val="00D509E2"/>
    <w:rsid w:val="00D50B90"/>
    <w:rsid w:val="00D50BCB"/>
    <w:rsid w:val="00D50BEB"/>
    <w:rsid w:val="00D50C66"/>
    <w:rsid w:val="00D50EBE"/>
    <w:rsid w:val="00D50ED3"/>
    <w:rsid w:val="00D510C1"/>
    <w:rsid w:val="00D5116E"/>
    <w:rsid w:val="00D5124D"/>
    <w:rsid w:val="00D513E2"/>
    <w:rsid w:val="00D51537"/>
    <w:rsid w:val="00D51914"/>
    <w:rsid w:val="00D51B18"/>
    <w:rsid w:val="00D51C66"/>
    <w:rsid w:val="00D51CD8"/>
    <w:rsid w:val="00D51D0F"/>
    <w:rsid w:val="00D51D7B"/>
    <w:rsid w:val="00D51D7F"/>
    <w:rsid w:val="00D51DB5"/>
    <w:rsid w:val="00D51EC9"/>
    <w:rsid w:val="00D521A3"/>
    <w:rsid w:val="00D525BA"/>
    <w:rsid w:val="00D526AB"/>
    <w:rsid w:val="00D526F1"/>
    <w:rsid w:val="00D52744"/>
    <w:rsid w:val="00D527E5"/>
    <w:rsid w:val="00D5283B"/>
    <w:rsid w:val="00D5287B"/>
    <w:rsid w:val="00D5297F"/>
    <w:rsid w:val="00D52A5D"/>
    <w:rsid w:val="00D52B0A"/>
    <w:rsid w:val="00D52BD1"/>
    <w:rsid w:val="00D52DDA"/>
    <w:rsid w:val="00D52EC3"/>
    <w:rsid w:val="00D52FA6"/>
    <w:rsid w:val="00D52FB8"/>
    <w:rsid w:val="00D53136"/>
    <w:rsid w:val="00D532A0"/>
    <w:rsid w:val="00D533C8"/>
    <w:rsid w:val="00D5341E"/>
    <w:rsid w:val="00D5349D"/>
    <w:rsid w:val="00D534B6"/>
    <w:rsid w:val="00D534FF"/>
    <w:rsid w:val="00D53543"/>
    <w:rsid w:val="00D5380F"/>
    <w:rsid w:val="00D53906"/>
    <w:rsid w:val="00D539C6"/>
    <w:rsid w:val="00D53B6C"/>
    <w:rsid w:val="00D53D45"/>
    <w:rsid w:val="00D53E7C"/>
    <w:rsid w:val="00D53EF3"/>
    <w:rsid w:val="00D5403D"/>
    <w:rsid w:val="00D54184"/>
    <w:rsid w:val="00D541D4"/>
    <w:rsid w:val="00D5428C"/>
    <w:rsid w:val="00D5446E"/>
    <w:rsid w:val="00D545DF"/>
    <w:rsid w:val="00D5477A"/>
    <w:rsid w:val="00D547C6"/>
    <w:rsid w:val="00D54B1E"/>
    <w:rsid w:val="00D54D20"/>
    <w:rsid w:val="00D54D7D"/>
    <w:rsid w:val="00D54E34"/>
    <w:rsid w:val="00D54E86"/>
    <w:rsid w:val="00D550A0"/>
    <w:rsid w:val="00D552A0"/>
    <w:rsid w:val="00D5538B"/>
    <w:rsid w:val="00D553AC"/>
    <w:rsid w:val="00D553C2"/>
    <w:rsid w:val="00D555F4"/>
    <w:rsid w:val="00D5565B"/>
    <w:rsid w:val="00D5569A"/>
    <w:rsid w:val="00D5573D"/>
    <w:rsid w:val="00D55864"/>
    <w:rsid w:val="00D558E0"/>
    <w:rsid w:val="00D558F5"/>
    <w:rsid w:val="00D558FA"/>
    <w:rsid w:val="00D559A4"/>
    <w:rsid w:val="00D559AD"/>
    <w:rsid w:val="00D55B53"/>
    <w:rsid w:val="00D55C09"/>
    <w:rsid w:val="00D55EBE"/>
    <w:rsid w:val="00D55F1F"/>
    <w:rsid w:val="00D55F48"/>
    <w:rsid w:val="00D560D9"/>
    <w:rsid w:val="00D56140"/>
    <w:rsid w:val="00D562BF"/>
    <w:rsid w:val="00D567E1"/>
    <w:rsid w:val="00D567F3"/>
    <w:rsid w:val="00D56D6C"/>
    <w:rsid w:val="00D56E9C"/>
    <w:rsid w:val="00D56EBD"/>
    <w:rsid w:val="00D56EE1"/>
    <w:rsid w:val="00D57070"/>
    <w:rsid w:val="00D57179"/>
    <w:rsid w:val="00D57281"/>
    <w:rsid w:val="00D572A5"/>
    <w:rsid w:val="00D57402"/>
    <w:rsid w:val="00D57987"/>
    <w:rsid w:val="00D57989"/>
    <w:rsid w:val="00D57A88"/>
    <w:rsid w:val="00D57A8A"/>
    <w:rsid w:val="00D57A9C"/>
    <w:rsid w:val="00D57AF5"/>
    <w:rsid w:val="00D57B0E"/>
    <w:rsid w:val="00D57BFB"/>
    <w:rsid w:val="00D57C72"/>
    <w:rsid w:val="00D57C7B"/>
    <w:rsid w:val="00D57D9B"/>
    <w:rsid w:val="00D57F1E"/>
    <w:rsid w:val="00D60004"/>
    <w:rsid w:val="00D603A7"/>
    <w:rsid w:val="00D603C5"/>
    <w:rsid w:val="00D604F6"/>
    <w:rsid w:val="00D6077B"/>
    <w:rsid w:val="00D607EB"/>
    <w:rsid w:val="00D60BD8"/>
    <w:rsid w:val="00D60D58"/>
    <w:rsid w:val="00D60E36"/>
    <w:rsid w:val="00D60E98"/>
    <w:rsid w:val="00D610C6"/>
    <w:rsid w:val="00D61122"/>
    <w:rsid w:val="00D61127"/>
    <w:rsid w:val="00D6121D"/>
    <w:rsid w:val="00D61310"/>
    <w:rsid w:val="00D61447"/>
    <w:rsid w:val="00D61481"/>
    <w:rsid w:val="00D61493"/>
    <w:rsid w:val="00D615C8"/>
    <w:rsid w:val="00D61698"/>
    <w:rsid w:val="00D6171F"/>
    <w:rsid w:val="00D617D3"/>
    <w:rsid w:val="00D61865"/>
    <w:rsid w:val="00D61966"/>
    <w:rsid w:val="00D61BA5"/>
    <w:rsid w:val="00D61DCE"/>
    <w:rsid w:val="00D61E02"/>
    <w:rsid w:val="00D62181"/>
    <w:rsid w:val="00D6231E"/>
    <w:rsid w:val="00D624E9"/>
    <w:rsid w:val="00D6259E"/>
    <w:rsid w:val="00D62638"/>
    <w:rsid w:val="00D626F8"/>
    <w:rsid w:val="00D6271C"/>
    <w:rsid w:val="00D6276B"/>
    <w:rsid w:val="00D62841"/>
    <w:rsid w:val="00D629FC"/>
    <w:rsid w:val="00D62A3E"/>
    <w:rsid w:val="00D62B1A"/>
    <w:rsid w:val="00D62C61"/>
    <w:rsid w:val="00D62CBD"/>
    <w:rsid w:val="00D62CBF"/>
    <w:rsid w:val="00D62D61"/>
    <w:rsid w:val="00D62DE7"/>
    <w:rsid w:val="00D62E92"/>
    <w:rsid w:val="00D62F89"/>
    <w:rsid w:val="00D63063"/>
    <w:rsid w:val="00D630F4"/>
    <w:rsid w:val="00D632DA"/>
    <w:rsid w:val="00D6334F"/>
    <w:rsid w:val="00D634C5"/>
    <w:rsid w:val="00D634EE"/>
    <w:rsid w:val="00D635B9"/>
    <w:rsid w:val="00D63688"/>
    <w:rsid w:val="00D636D8"/>
    <w:rsid w:val="00D63761"/>
    <w:rsid w:val="00D6392B"/>
    <w:rsid w:val="00D63A01"/>
    <w:rsid w:val="00D63A31"/>
    <w:rsid w:val="00D63B16"/>
    <w:rsid w:val="00D63B5A"/>
    <w:rsid w:val="00D63BA6"/>
    <w:rsid w:val="00D640CD"/>
    <w:rsid w:val="00D6431A"/>
    <w:rsid w:val="00D6437F"/>
    <w:rsid w:val="00D643B9"/>
    <w:rsid w:val="00D644B4"/>
    <w:rsid w:val="00D64816"/>
    <w:rsid w:val="00D648C8"/>
    <w:rsid w:val="00D649E1"/>
    <w:rsid w:val="00D64A66"/>
    <w:rsid w:val="00D64AF1"/>
    <w:rsid w:val="00D64E0A"/>
    <w:rsid w:val="00D65284"/>
    <w:rsid w:val="00D6534E"/>
    <w:rsid w:val="00D654B6"/>
    <w:rsid w:val="00D656D7"/>
    <w:rsid w:val="00D65AC1"/>
    <w:rsid w:val="00D65E4C"/>
    <w:rsid w:val="00D65E6B"/>
    <w:rsid w:val="00D65F08"/>
    <w:rsid w:val="00D6600F"/>
    <w:rsid w:val="00D660C1"/>
    <w:rsid w:val="00D66230"/>
    <w:rsid w:val="00D664AC"/>
    <w:rsid w:val="00D666C1"/>
    <w:rsid w:val="00D668D1"/>
    <w:rsid w:val="00D66927"/>
    <w:rsid w:val="00D6693D"/>
    <w:rsid w:val="00D669CF"/>
    <w:rsid w:val="00D66A42"/>
    <w:rsid w:val="00D66AE7"/>
    <w:rsid w:val="00D66B5C"/>
    <w:rsid w:val="00D66B8F"/>
    <w:rsid w:val="00D66F3E"/>
    <w:rsid w:val="00D66F80"/>
    <w:rsid w:val="00D67059"/>
    <w:rsid w:val="00D670CD"/>
    <w:rsid w:val="00D670E2"/>
    <w:rsid w:val="00D67149"/>
    <w:rsid w:val="00D6716A"/>
    <w:rsid w:val="00D67223"/>
    <w:rsid w:val="00D67473"/>
    <w:rsid w:val="00D67664"/>
    <w:rsid w:val="00D676BD"/>
    <w:rsid w:val="00D676EF"/>
    <w:rsid w:val="00D67A84"/>
    <w:rsid w:val="00D67BD5"/>
    <w:rsid w:val="00D67E5D"/>
    <w:rsid w:val="00D67E6C"/>
    <w:rsid w:val="00D67F34"/>
    <w:rsid w:val="00D67FB3"/>
    <w:rsid w:val="00D701C6"/>
    <w:rsid w:val="00D7042E"/>
    <w:rsid w:val="00D70486"/>
    <w:rsid w:val="00D705D1"/>
    <w:rsid w:val="00D705FE"/>
    <w:rsid w:val="00D70615"/>
    <w:rsid w:val="00D7063D"/>
    <w:rsid w:val="00D70979"/>
    <w:rsid w:val="00D7099D"/>
    <w:rsid w:val="00D70AC0"/>
    <w:rsid w:val="00D70D4E"/>
    <w:rsid w:val="00D70D7F"/>
    <w:rsid w:val="00D70F58"/>
    <w:rsid w:val="00D710C5"/>
    <w:rsid w:val="00D711CA"/>
    <w:rsid w:val="00D711D5"/>
    <w:rsid w:val="00D7122E"/>
    <w:rsid w:val="00D7163F"/>
    <w:rsid w:val="00D71730"/>
    <w:rsid w:val="00D7178A"/>
    <w:rsid w:val="00D7188C"/>
    <w:rsid w:val="00D7199A"/>
    <w:rsid w:val="00D71B22"/>
    <w:rsid w:val="00D71BBA"/>
    <w:rsid w:val="00D71DAB"/>
    <w:rsid w:val="00D71F49"/>
    <w:rsid w:val="00D71FC5"/>
    <w:rsid w:val="00D71FD1"/>
    <w:rsid w:val="00D71FF9"/>
    <w:rsid w:val="00D72384"/>
    <w:rsid w:val="00D724A0"/>
    <w:rsid w:val="00D7253D"/>
    <w:rsid w:val="00D726D8"/>
    <w:rsid w:val="00D72717"/>
    <w:rsid w:val="00D72758"/>
    <w:rsid w:val="00D7275E"/>
    <w:rsid w:val="00D727FD"/>
    <w:rsid w:val="00D7281D"/>
    <w:rsid w:val="00D72D1F"/>
    <w:rsid w:val="00D72DB4"/>
    <w:rsid w:val="00D72E65"/>
    <w:rsid w:val="00D73133"/>
    <w:rsid w:val="00D73189"/>
    <w:rsid w:val="00D73215"/>
    <w:rsid w:val="00D73507"/>
    <w:rsid w:val="00D7360C"/>
    <w:rsid w:val="00D736A8"/>
    <w:rsid w:val="00D737A0"/>
    <w:rsid w:val="00D73800"/>
    <w:rsid w:val="00D738AF"/>
    <w:rsid w:val="00D7391E"/>
    <w:rsid w:val="00D73BCC"/>
    <w:rsid w:val="00D73C7A"/>
    <w:rsid w:val="00D73CA6"/>
    <w:rsid w:val="00D73D11"/>
    <w:rsid w:val="00D73DE0"/>
    <w:rsid w:val="00D73E23"/>
    <w:rsid w:val="00D73F80"/>
    <w:rsid w:val="00D73F9A"/>
    <w:rsid w:val="00D742E9"/>
    <w:rsid w:val="00D74547"/>
    <w:rsid w:val="00D745FF"/>
    <w:rsid w:val="00D746E2"/>
    <w:rsid w:val="00D7487A"/>
    <w:rsid w:val="00D74899"/>
    <w:rsid w:val="00D748ED"/>
    <w:rsid w:val="00D74A07"/>
    <w:rsid w:val="00D74A4F"/>
    <w:rsid w:val="00D74B3E"/>
    <w:rsid w:val="00D74B6B"/>
    <w:rsid w:val="00D74B88"/>
    <w:rsid w:val="00D74C01"/>
    <w:rsid w:val="00D74CB1"/>
    <w:rsid w:val="00D74D7D"/>
    <w:rsid w:val="00D74DC9"/>
    <w:rsid w:val="00D74E64"/>
    <w:rsid w:val="00D74E7A"/>
    <w:rsid w:val="00D74EDD"/>
    <w:rsid w:val="00D74EF5"/>
    <w:rsid w:val="00D74F7D"/>
    <w:rsid w:val="00D755F7"/>
    <w:rsid w:val="00D756C6"/>
    <w:rsid w:val="00D75881"/>
    <w:rsid w:val="00D75AAE"/>
    <w:rsid w:val="00D75AFD"/>
    <w:rsid w:val="00D75C42"/>
    <w:rsid w:val="00D75C52"/>
    <w:rsid w:val="00D75E39"/>
    <w:rsid w:val="00D760E5"/>
    <w:rsid w:val="00D76118"/>
    <w:rsid w:val="00D7619F"/>
    <w:rsid w:val="00D76262"/>
    <w:rsid w:val="00D762C1"/>
    <w:rsid w:val="00D762C8"/>
    <w:rsid w:val="00D76334"/>
    <w:rsid w:val="00D763A9"/>
    <w:rsid w:val="00D76A16"/>
    <w:rsid w:val="00D76C7F"/>
    <w:rsid w:val="00D76DF3"/>
    <w:rsid w:val="00D76FBC"/>
    <w:rsid w:val="00D7706E"/>
    <w:rsid w:val="00D77207"/>
    <w:rsid w:val="00D772A7"/>
    <w:rsid w:val="00D772B8"/>
    <w:rsid w:val="00D7736B"/>
    <w:rsid w:val="00D77373"/>
    <w:rsid w:val="00D77376"/>
    <w:rsid w:val="00D7740F"/>
    <w:rsid w:val="00D775A0"/>
    <w:rsid w:val="00D77913"/>
    <w:rsid w:val="00D77A19"/>
    <w:rsid w:val="00D77B4A"/>
    <w:rsid w:val="00D77BAF"/>
    <w:rsid w:val="00D77D0E"/>
    <w:rsid w:val="00D77DEF"/>
    <w:rsid w:val="00D77E64"/>
    <w:rsid w:val="00D77F57"/>
    <w:rsid w:val="00D77F9C"/>
    <w:rsid w:val="00D77F9E"/>
    <w:rsid w:val="00D8012E"/>
    <w:rsid w:val="00D801B7"/>
    <w:rsid w:val="00D8021A"/>
    <w:rsid w:val="00D802FC"/>
    <w:rsid w:val="00D803B0"/>
    <w:rsid w:val="00D805AF"/>
    <w:rsid w:val="00D80AAC"/>
    <w:rsid w:val="00D80C57"/>
    <w:rsid w:val="00D80C95"/>
    <w:rsid w:val="00D80CE1"/>
    <w:rsid w:val="00D80D8C"/>
    <w:rsid w:val="00D810F1"/>
    <w:rsid w:val="00D812C7"/>
    <w:rsid w:val="00D813EB"/>
    <w:rsid w:val="00D813F3"/>
    <w:rsid w:val="00D81635"/>
    <w:rsid w:val="00D81751"/>
    <w:rsid w:val="00D818F4"/>
    <w:rsid w:val="00D81B4A"/>
    <w:rsid w:val="00D81B84"/>
    <w:rsid w:val="00D81BAD"/>
    <w:rsid w:val="00D81BBD"/>
    <w:rsid w:val="00D81C22"/>
    <w:rsid w:val="00D81C6C"/>
    <w:rsid w:val="00D81C91"/>
    <w:rsid w:val="00D81CC1"/>
    <w:rsid w:val="00D81D5B"/>
    <w:rsid w:val="00D81FB5"/>
    <w:rsid w:val="00D82002"/>
    <w:rsid w:val="00D820A9"/>
    <w:rsid w:val="00D8224B"/>
    <w:rsid w:val="00D823BD"/>
    <w:rsid w:val="00D823E7"/>
    <w:rsid w:val="00D825D2"/>
    <w:rsid w:val="00D827D6"/>
    <w:rsid w:val="00D82AB4"/>
    <w:rsid w:val="00D82ABB"/>
    <w:rsid w:val="00D82F01"/>
    <w:rsid w:val="00D83052"/>
    <w:rsid w:val="00D8305D"/>
    <w:rsid w:val="00D83218"/>
    <w:rsid w:val="00D83247"/>
    <w:rsid w:val="00D8334E"/>
    <w:rsid w:val="00D837A5"/>
    <w:rsid w:val="00D837D0"/>
    <w:rsid w:val="00D839AC"/>
    <w:rsid w:val="00D83A02"/>
    <w:rsid w:val="00D83B01"/>
    <w:rsid w:val="00D83D71"/>
    <w:rsid w:val="00D83E3A"/>
    <w:rsid w:val="00D83F70"/>
    <w:rsid w:val="00D841BF"/>
    <w:rsid w:val="00D84221"/>
    <w:rsid w:val="00D84269"/>
    <w:rsid w:val="00D842DE"/>
    <w:rsid w:val="00D844D1"/>
    <w:rsid w:val="00D845B1"/>
    <w:rsid w:val="00D8466C"/>
    <w:rsid w:val="00D849E2"/>
    <w:rsid w:val="00D84A1E"/>
    <w:rsid w:val="00D84D2D"/>
    <w:rsid w:val="00D84F07"/>
    <w:rsid w:val="00D857BC"/>
    <w:rsid w:val="00D85840"/>
    <w:rsid w:val="00D858A6"/>
    <w:rsid w:val="00D858AA"/>
    <w:rsid w:val="00D85D77"/>
    <w:rsid w:val="00D85EAC"/>
    <w:rsid w:val="00D85FBA"/>
    <w:rsid w:val="00D86011"/>
    <w:rsid w:val="00D8646D"/>
    <w:rsid w:val="00D8655A"/>
    <w:rsid w:val="00D86641"/>
    <w:rsid w:val="00D866F5"/>
    <w:rsid w:val="00D868E5"/>
    <w:rsid w:val="00D868F1"/>
    <w:rsid w:val="00D8693E"/>
    <w:rsid w:val="00D86B3D"/>
    <w:rsid w:val="00D86B64"/>
    <w:rsid w:val="00D86CA4"/>
    <w:rsid w:val="00D86CAD"/>
    <w:rsid w:val="00D86DC5"/>
    <w:rsid w:val="00D86E33"/>
    <w:rsid w:val="00D86ED3"/>
    <w:rsid w:val="00D87139"/>
    <w:rsid w:val="00D87238"/>
    <w:rsid w:val="00D872DF"/>
    <w:rsid w:val="00D87529"/>
    <w:rsid w:val="00D87641"/>
    <w:rsid w:val="00D8767C"/>
    <w:rsid w:val="00D876DC"/>
    <w:rsid w:val="00D876F5"/>
    <w:rsid w:val="00D87736"/>
    <w:rsid w:val="00D87941"/>
    <w:rsid w:val="00D87A0F"/>
    <w:rsid w:val="00D87C6C"/>
    <w:rsid w:val="00D87EDA"/>
    <w:rsid w:val="00D87FAB"/>
    <w:rsid w:val="00D9017C"/>
    <w:rsid w:val="00D907F2"/>
    <w:rsid w:val="00D90888"/>
    <w:rsid w:val="00D90B12"/>
    <w:rsid w:val="00D90CAD"/>
    <w:rsid w:val="00D90D5B"/>
    <w:rsid w:val="00D91105"/>
    <w:rsid w:val="00D91307"/>
    <w:rsid w:val="00D9132F"/>
    <w:rsid w:val="00D913CE"/>
    <w:rsid w:val="00D91612"/>
    <w:rsid w:val="00D917B2"/>
    <w:rsid w:val="00D91861"/>
    <w:rsid w:val="00D91956"/>
    <w:rsid w:val="00D91CE5"/>
    <w:rsid w:val="00D91D2C"/>
    <w:rsid w:val="00D91E9D"/>
    <w:rsid w:val="00D91FD8"/>
    <w:rsid w:val="00D91FED"/>
    <w:rsid w:val="00D92026"/>
    <w:rsid w:val="00D921BF"/>
    <w:rsid w:val="00D9226D"/>
    <w:rsid w:val="00D92371"/>
    <w:rsid w:val="00D923AE"/>
    <w:rsid w:val="00D92617"/>
    <w:rsid w:val="00D9264B"/>
    <w:rsid w:val="00D926B4"/>
    <w:rsid w:val="00D92713"/>
    <w:rsid w:val="00D928C1"/>
    <w:rsid w:val="00D928D1"/>
    <w:rsid w:val="00D92A12"/>
    <w:rsid w:val="00D92CB3"/>
    <w:rsid w:val="00D92D65"/>
    <w:rsid w:val="00D92E3B"/>
    <w:rsid w:val="00D92EB4"/>
    <w:rsid w:val="00D92F21"/>
    <w:rsid w:val="00D92F88"/>
    <w:rsid w:val="00D93000"/>
    <w:rsid w:val="00D930C3"/>
    <w:rsid w:val="00D9314A"/>
    <w:rsid w:val="00D9316C"/>
    <w:rsid w:val="00D9317D"/>
    <w:rsid w:val="00D9339F"/>
    <w:rsid w:val="00D9358E"/>
    <w:rsid w:val="00D93883"/>
    <w:rsid w:val="00D938A9"/>
    <w:rsid w:val="00D93A1A"/>
    <w:rsid w:val="00D93A86"/>
    <w:rsid w:val="00D93B3D"/>
    <w:rsid w:val="00D93BD7"/>
    <w:rsid w:val="00D93CDA"/>
    <w:rsid w:val="00D93DCF"/>
    <w:rsid w:val="00D93F0E"/>
    <w:rsid w:val="00D93F87"/>
    <w:rsid w:val="00D9430D"/>
    <w:rsid w:val="00D943A2"/>
    <w:rsid w:val="00D943EB"/>
    <w:rsid w:val="00D944DA"/>
    <w:rsid w:val="00D945E2"/>
    <w:rsid w:val="00D946BF"/>
    <w:rsid w:val="00D9477F"/>
    <w:rsid w:val="00D948CE"/>
    <w:rsid w:val="00D949C2"/>
    <w:rsid w:val="00D94AB5"/>
    <w:rsid w:val="00D94D07"/>
    <w:rsid w:val="00D95045"/>
    <w:rsid w:val="00D95276"/>
    <w:rsid w:val="00D9530F"/>
    <w:rsid w:val="00D9545B"/>
    <w:rsid w:val="00D954C2"/>
    <w:rsid w:val="00D954F2"/>
    <w:rsid w:val="00D955D2"/>
    <w:rsid w:val="00D95654"/>
    <w:rsid w:val="00D956B9"/>
    <w:rsid w:val="00D95A00"/>
    <w:rsid w:val="00D95A78"/>
    <w:rsid w:val="00D95B26"/>
    <w:rsid w:val="00D95C89"/>
    <w:rsid w:val="00D95D25"/>
    <w:rsid w:val="00D95DAE"/>
    <w:rsid w:val="00D95F48"/>
    <w:rsid w:val="00D96083"/>
    <w:rsid w:val="00D960F6"/>
    <w:rsid w:val="00D96173"/>
    <w:rsid w:val="00D961D5"/>
    <w:rsid w:val="00D96299"/>
    <w:rsid w:val="00D963D1"/>
    <w:rsid w:val="00D964CA"/>
    <w:rsid w:val="00D9666E"/>
    <w:rsid w:val="00D967FE"/>
    <w:rsid w:val="00D9682D"/>
    <w:rsid w:val="00D96838"/>
    <w:rsid w:val="00D96926"/>
    <w:rsid w:val="00D969AE"/>
    <w:rsid w:val="00D969B8"/>
    <w:rsid w:val="00D96E0D"/>
    <w:rsid w:val="00D96ED2"/>
    <w:rsid w:val="00D96F5E"/>
    <w:rsid w:val="00D971B3"/>
    <w:rsid w:val="00D97223"/>
    <w:rsid w:val="00D97427"/>
    <w:rsid w:val="00D974AB"/>
    <w:rsid w:val="00D97531"/>
    <w:rsid w:val="00D976B1"/>
    <w:rsid w:val="00D978F0"/>
    <w:rsid w:val="00D97A23"/>
    <w:rsid w:val="00D97AB2"/>
    <w:rsid w:val="00D97B91"/>
    <w:rsid w:val="00D97C5E"/>
    <w:rsid w:val="00D97DA5"/>
    <w:rsid w:val="00D97E90"/>
    <w:rsid w:val="00D97EFC"/>
    <w:rsid w:val="00D97F3A"/>
    <w:rsid w:val="00D97FF4"/>
    <w:rsid w:val="00DA0080"/>
    <w:rsid w:val="00DA01C9"/>
    <w:rsid w:val="00DA0243"/>
    <w:rsid w:val="00DA025F"/>
    <w:rsid w:val="00DA0294"/>
    <w:rsid w:val="00DA041F"/>
    <w:rsid w:val="00DA044A"/>
    <w:rsid w:val="00DA0727"/>
    <w:rsid w:val="00DA08F6"/>
    <w:rsid w:val="00DA0D26"/>
    <w:rsid w:val="00DA10AC"/>
    <w:rsid w:val="00DA10E1"/>
    <w:rsid w:val="00DA1169"/>
    <w:rsid w:val="00DA13E8"/>
    <w:rsid w:val="00DA1437"/>
    <w:rsid w:val="00DA14F6"/>
    <w:rsid w:val="00DA154C"/>
    <w:rsid w:val="00DA1618"/>
    <w:rsid w:val="00DA161F"/>
    <w:rsid w:val="00DA1844"/>
    <w:rsid w:val="00DA19BA"/>
    <w:rsid w:val="00DA19EB"/>
    <w:rsid w:val="00DA1A78"/>
    <w:rsid w:val="00DA1B6D"/>
    <w:rsid w:val="00DA1B98"/>
    <w:rsid w:val="00DA1BEE"/>
    <w:rsid w:val="00DA1C16"/>
    <w:rsid w:val="00DA1C95"/>
    <w:rsid w:val="00DA1D53"/>
    <w:rsid w:val="00DA20E5"/>
    <w:rsid w:val="00DA2437"/>
    <w:rsid w:val="00DA259C"/>
    <w:rsid w:val="00DA26A7"/>
    <w:rsid w:val="00DA270A"/>
    <w:rsid w:val="00DA275B"/>
    <w:rsid w:val="00DA2865"/>
    <w:rsid w:val="00DA295C"/>
    <w:rsid w:val="00DA2A07"/>
    <w:rsid w:val="00DA2A3E"/>
    <w:rsid w:val="00DA2A92"/>
    <w:rsid w:val="00DA2AA7"/>
    <w:rsid w:val="00DA2BB3"/>
    <w:rsid w:val="00DA2C9D"/>
    <w:rsid w:val="00DA2D31"/>
    <w:rsid w:val="00DA2D57"/>
    <w:rsid w:val="00DA2E9F"/>
    <w:rsid w:val="00DA2EAB"/>
    <w:rsid w:val="00DA30A2"/>
    <w:rsid w:val="00DA32D9"/>
    <w:rsid w:val="00DA343C"/>
    <w:rsid w:val="00DA3463"/>
    <w:rsid w:val="00DA3552"/>
    <w:rsid w:val="00DA360E"/>
    <w:rsid w:val="00DA37D9"/>
    <w:rsid w:val="00DA3950"/>
    <w:rsid w:val="00DA3AAE"/>
    <w:rsid w:val="00DA3B3C"/>
    <w:rsid w:val="00DA3F48"/>
    <w:rsid w:val="00DA3F6B"/>
    <w:rsid w:val="00DA3F78"/>
    <w:rsid w:val="00DA40B1"/>
    <w:rsid w:val="00DA411A"/>
    <w:rsid w:val="00DA412C"/>
    <w:rsid w:val="00DA426A"/>
    <w:rsid w:val="00DA4330"/>
    <w:rsid w:val="00DA4374"/>
    <w:rsid w:val="00DA43E1"/>
    <w:rsid w:val="00DA453C"/>
    <w:rsid w:val="00DA47F0"/>
    <w:rsid w:val="00DA4984"/>
    <w:rsid w:val="00DA4996"/>
    <w:rsid w:val="00DA499A"/>
    <w:rsid w:val="00DA4C52"/>
    <w:rsid w:val="00DA4E70"/>
    <w:rsid w:val="00DA4F27"/>
    <w:rsid w:val="00DA4F34"/>
    <w:rsid w:val="00DA50DA"/>
    <w:rsid w:val="00DA52B5"/>
    <w:rsid w:val="00DA5472"/>
    <w:rsid w:val="00DA551C"/>
    <w:rsid w:val="00DA5549"/>
    <w:rsid w:val="00DA55B0"/>
    <w:rsid w:val="00DA5856"/>
    <w:rsid w:val="00DA5B55"/>
    <w:rsid w:val="00DA5B56"/>
    <w:rsid w:val="00DA5C68"/>
    <w:rsid w:val="00DA5CF3"/>
    <w:rsid w:val="00DA600F"/>
    <w:rsid w:val="00DA62B6"/>
    <w:rsid w:val="00DA63F9"/>
    <w:rsid w:val="00DA6451"/>
    <w:rsid w:val="00DA64A6"/>
    <w:rsid w:val="00DA65AE"/>
    <w:rsid w:val="00DA6685"/>
    <w:rsid w:val="00DA66E9"/>
    <w:rsid w:val="00DA6724"/>
    <w:rsid w:val="00DA6760"/>
    <w:rsid w:val="00DA67C1"/>
    <w:rsid w:val="00DA6B81"/>
    <w:rsid w:val="00DA6B8A"/>
    <w:rsid w:val="00DA6C78"/>
    <w:rsid w:val="00DA6D43"/>
    <w:rsid w:val="00DA717A"/>
    <w:rsid w:val="00DA718E"/>
    <w:rsid w:val="00DA71E8"/>
    <w:rsid w:val="00DA7212"/>
    <w:rsid w:val="00DA75FA"/>
    <w:rsid w:val="00DA76C6"/>
    <w:rsid w:val="00DA76CC"/>
    <w:rsid w:val="00DA7793"/>
    <w:rsid w:val="00DA78B2"/>
    <w:rsid w:val="00DA78B3"/>
    <w:rsid w:val="00DA78C6"/>
    <w:rsid w:val="00DA7A8F"/>
    <w:rsid w:val="00DA7AD6"/>
    <w:rsid w:val="00DA7B67"/>
    <w:rsid w:val="00DA7C13"/>
    <w:rsid w:val="00DA7CB2"/>
    <w:rsid w:val="00DA7CB9"/>
    <w:rsid w:val="00DA7DAE"/>
    <w:rsid w:val="00DA7E07"/>
    <w:rsid w:val="00DA7EB2"/>
    <w:rsid w:val="00DB02CD"/>
    <w:rsid w:val="00DB03A1"/>
    <w:rsid w:val="00DB03E0"/>
    <w:rsid w:val="00DB07F0"/>
    <w:rsid w:val="00DB0B37"/>
    <w:rsid w:val="00DB0C9C"/>
    <w:rsid w:val="00DB0D1D"/>
    <w:rsid w:val="00DB0EB9"/>
    <w:rsid w:val="00DB101D"/>
    <w:rsid w:val="00DB1091"/>
    <w:rsid w:val="00DB1260"/>
    <w:rsid w:val="00DB12AD"/>
    <w:rsid w:val="00DB15BA"/>
    <w:rsid w:val="00DB16F1"/>
    <w:rsid w:val="00DB1931"/>
    <w:rsid w:val="00DB1A6E"/>
    <w:rsid w:val="00DB1C25"/>
    <w:rsid w:val="00DB1C36"/>
    <w:rsid w:val="00DB1F0F"/>
    <w:rsid w:val="00DB255A"/>
    <w:rsid w:val="00DB25E1"/>
    <w:rsid w:val="00DB276D"/>
    <w:rsid w:val="00DB295F"/>
    <w:rsid w:val="00DB2A59"/>
    <w:rsid w:val="00DB2B3E"/>
    <w:rsid w:val="00DB2B4D"/>
    <w:rsid w:val="00DB2E35"/>
    <w:rsid w:val="00DB2F23"/>
    <w:rsid w:val="00DB30A0"/>
    <w:rsid w:val="00DB3227"/>
    <w:rsid w:val="00DB351D"/>
    <w:rsid w:val="00DB359A"/>
    <w:rsid w:val="00DB35CC"/>
    <w:rsid w:val="00DB3618"/>
    <w:rsid w:val="00DB37B9"/>
    <w:rsid w:val="00DB3855"/>
    <w:rsid w:val="00DB3970"/>
    <w:rsid w:val="00DB3AA4"/>
    <w:rsid w:val="00DB3B57"/>
    <w:rsid w:val="00DB3BC2"/>
    <w:rsid w:val="00DB3C5A"/>
    <w:rsid w:val="00DB3D77"/>
    <w:rsid w:val="00DB3E39"/>
    <w:rsid w:val="00DB3E95"/>
    <w:rsid w:val="00DB41CF"/>
    <w:rsid w:val="00DB4219"/>
    <w:rsid w:val="00DB44A9"/>
    <w:rsid w:val="00DB44C9"/>
    <w:rsid w:val="00DB45FA"/>
    <w:rsid w:val="00DB46DA"/>
    <w:rsid w:val="00DB493B"/>
    <w:rsid w:val="00DB49CD"/>
    <w:rsid w:val="00DB4A45"/>
    <w:rsid w:val="00DB4C3A"/>
    <w:rsid w:val="00DB4CB1"/>
    <w:rsid w:val="00DB4CF9"/>
    <w:rsid w:val="00DB4EB1"/>
    <w:rsid w:val="00DB4EF1"/>
    <w:rsid w:val="00DB4F93"/>
    <w:rsid w:val="00DB51CD"/>
    <w:rsid w:val="00DB555A"/>
    <w:rsid w:val="00DB55EC"/>
    <w:rsid w:val="00DB5769"/>
    <w:rsid w:val="00DB5947"/>
    <w:rsid w:val="00DB5B17"/>
    <w:rsid w:val="00DB5B2C"/>
    <w:rsid w:val="00DB5E29"/>
    <w:rsid w:val="00DB5E5C"/>
    <w:rsid w:val="00DB5F6C"/>
    <w:rsid w:val="00DB6050"/>
    <w:rsid w:val="00DB605D"/>
    <w:rsid w:val="00DB612D"/>
    <w:rsid w:val="00DB61D3"/>
    <w:rsid w:val="00DB624A"/>
    <w:rsid w:val="00DB6474"/>
    <w:rsid w:val="00DB67A5"/>
    <w:rsid w:val="00DB6D6F"/>
    <w:rsid w:val="00DB6DAB"/>
    <w:rsid w:val="00DB6ED5"/>
    <w:rsid w:val="00DB6F22"/>
    <w:rsid w:val="00DB72C9"/>
    <w:rsid w:val="00DB73AC"/>
    <w:rsid w:val="00DB7492"/>
    <w:rsid w:val="00DB776D"/>
    <w:rsid w:val="00DB77E9"/>
    <w:rsid w:val="00DB7851"/>
    <w:rsid w:val="00DB794A"/>
    <w:rsid w:val="00DB7B3E"/>
    <w:rsid w:val="00DB7D80"/>
    <w:rsid w:val="00DB7F0D"/>
    <w:rsid w:val="00DB7F7F"/>
    <w:rsid w:val="00DC028A"/>
    <w:rsid w:val="00DC0423"/>
    <w:rsid w:val="00DC0455"/>
    <w:rsid w:val="00DC04A1"/>
    <w:rsid w:val="00DC06A3"/>
    <w:rsid w:val="00DC06A8"/>
    <w:rsid w:val="00DC0741"/>
    <w:rsid w:val="00DC0789"/>
    <w:rsid w:val="00DC07DD"/>
    <w:rsid w:val="00DC083A"/>
    <w:rsid w:val="00DC0A5A"/>
    <w:rsid w:val="00DC0B04"/>
    <w:rsid w:val="00DC0C21"/>
    <w:rsid w:val="00DC0F78"/>
    <w:rsid w:val="00DC0FE9"/>
    <w:rsid w:val="00DC10B5"/>
    <w:rsid w:val="00DC10F0"/>
    <w:rsid w:val="00DC110C"/>
    <w:rsid w:val="00DC114E"/>
    <w:rsid w:val="00DC1183"/>
    <w:rsid w:val="00DC1323"/>
    <w:rsid w:val="00DC138C"/>
    <w:rsid w:val="00DC13A2"/>
    <w:rsid w:val="00DC1405"/>
    <w:rsid w:val="00DC141C"/>
    <w:rsid w:val="00DC1703"/>
    <w:rsid w:val="00DC1734"/>
    <w:rsid w:val="00DC184B"/>
    <w:rsid w:val="00DC18E4"/>
    <w:rsid w:val="00DC1A8D"/>
    <w:rsid w:val="00DC1AAC"/>
    <w:rsid w:val="00DC1BCD"/>
    <w:rsid w:val="00DC1C10"/>
    <w:rsid w:val="00DC1C57"/>
    <w:rsid w:val="00DC1C59"/>
    <w:rsid w:val="00DC1F16"/>
    <w:rsid w:val="00DC1F5D"/>
    <w:rsid w:val="00DC2118"/>
    <w:rsid w:val="00DC2372"/>
    <w:rsid w:val="00DC2556"/>
    <w:rsid w:val="00DC2629"/>
    <w:rsid w:val="00DC2667"/>
    <w:rsid w:val="00DC26DF"/>
    <w:rsid w:val="00DC298E"/>
    <w:rsid w:val="00DC2A7A"/>
    <w:rsid w:val="00DC2AA5"/>
    <w:rsid w:val="00DC2B22"/>
    <w:rsid w:val="00DC2B40"/>
    <w:rsid w:val="00DC2B9D"/>
    <w:rsid w:val="00DC2C0B"/>
    <w:rsid w:val="00DC2E06"/>
    <w:rsid w:val="00DC30A9"/>
    <w:rsid w:val="00DC315E"/>
    <w:rsid w:val="00DC3546"/>
    <w:rsid w:val="00DC3591"/>
    <w:rsid w:val="00DC360D"/>
    <w:rsid w:val="00DC36BB"/>
    <w:rsid w:val="00DC36D1"/>
    <w:rsid w:val="00DC38AC"/>
    <w:rsid w:val="00DC38ED"/>
    <w:rsid w:val="00DC38F1"/>
    <w:rsid w:val="00DC3930"/>
    <w:rsid w:val="00DC3952"/>
    <w:rsid w:val="00DC3A55"/>
    <w:rsid w:val="00DC3AAA"/>
    <w:rsid w:val="00DC3BBA"/>
    <w:rsid w:val="00DC3C46"/>
    <w:rsid w:val="00DC3CE9"/>
    <w:rsid w:val="00DC3D92"/>
    <w:rsid w:val="00DC3DCF"/>
    <w:rsid w:val="00DC3EB9"/>
    <w:rsid w:val="00DC3EF4"/>
    <w:rsid w:val="00DC3F3B"/>
    <w:rsid w:val="00DC3FBA"/>
    <w:rsid w:val="00DC4105"/>
    <w:rsid w:val="00DC42DB"/>
    <w:rsid w:val="00DC42EF"/>
    <w:rsid w:val="00DC43B3"/>
    <w:rsid w:val="00DC4959"/>
    <w:rsid w:val="00DC4A84"/>
    <w:rsid w:val="00DC4AC2"/>
    <w:rsid w:val="00DC4B10"/>
    <w:rsid w:val="00DC4BBB"/>
    <w:rsid w:val="00DC4C20"/>
    <w:rsid w:val="00DC4C6A"/>
    <w:rsid w:val="00DC4CE5"/>
    <w:rsid w:val="00DC4D97"/>
    <w:rsid w:val="00DC4E39"/>
    <w:rsid w:val="00DC4EB8"/>
    <w:rsid w:val="00DC4F14"/>
    <w:rsid w:val="00DC5080"/>
    <w:rsid w:val="00DC5116"/>
    <w:rsid w:val="00DC512A"/>
    <w:rsid w:val="00DC5162"/>
    <w:rsid w:val="00DC5270"/>
    <w:rsid w:val="00DC52C1"/>
    <w:rsid w:val="00DC52F0"/>
    <w:rsid w:val="00DC52FB"/>
    <w:rsid w:val="00DC5314"/>
    <w:rsid w:val="00DC54C0"/>
    <w:rsid w:val="00DC556A"/>
    <w:rsid w:val="00DC5591"/>
    <w:rsid w:val="00DC56D6"/>
    <w:rsid w:val="00DC570F"/>
    <w:rsid w:val="00DC5835"/>
    <w:rsid w:val="00DC58EE"/>
    <w:rsid w:val="00DC59FE"/>
    <w:rsid w:val="00DC5A72"/>
    <w:rsid w:val="00DC5AAA"/>
    <w:rsid w:val="00DC5C5F"/>
    <w:rsid w:val="00DC5C9A"/>
    <w:rsid w:val="00DC5D41"/>
    <w:rsid w:val="00DC5E9B"/>
    <w:rsid w:val="00DC6281"/>
    <w:rsid w:val="00DC64EE"/>
    <w:rsid w:val="00DC6510"/>
    <w:rsid w:val="00DC651B"/>
    <w:rsid w:val="00DC65AA"/>
    <w:rsid w:val="00DC66B7"/>
    <w:rsid w:val="00DC6728"/>
    <w:rsid w:val="00DC690C"/>
    <w:rsid w:val="00DC696E"/>
    <w:rsid w:val="00DC6A27"/>
    <w:rsid w:val="00DC6C02"/>
    <w:rsid w:val="00DC6D94"/>
    <w:rsid w:val="00DC6EAA"/>
    <w:rsid w:val="00DC7062"/>
    <w:rsid w:val="00DC7220"/>
    <w:rsid w:val="00DC733F"/>
    <w:rsid w:val="00DC7676"/>
    <w:rsid w:val="00DC7688"/>
    <w:rsid w:val="00DC779B"/>
    <w:rsid w:val="00DC7918"/>
    <w:rsid w:val="00DC7BCC"/>
    <w:rsid w:val="00DC7C3A"/>
    <w:rsid w:val="00DC7C5C"/>
    <w:rsid w:val="00DC7CCF"/>
    <w:rsid w:val="00DC7E02"/>
    <w:rsid w:val="00DD000E"/>
    <w:rsid w:val="00DD00D0"/>
    <w:rsid w:val="00DD0194"/>
    <w:rsid w:val="00DD021C"/>
    <w:rsid w:val="00DD02AA"/>
    <w:rsid w:val="00DD03FE"/>
    <w:rsid w:val="00DD040E"/>
    <w:rsid w:val="00DD04E7"/>
    <w:rsid w:val="00DD0520"/>
    <w:rsid w:val="00DD05D1"/>
    <w:rsid w:val="00DD0666"/>
    <w:rsid w:val="00DD068E"/>
    <w:rsid w:val="00DD06F3"/>
    <w:rsid w:val="00DD0889"/>
    <w:rsid w:val="00DD0AED"/>
    <w:rsid w:val="00DD0BAA"/>
    <w:rsid w:val="00DD0D16"/>
    <w:rsid w:val="00DD0DC6"/>
    <w:rsid w:val="00DD0E39"/>
    <w:rsid w:val="00DD0E6C"/>
    <w:rsid w:val="00DD0E7F"/>
    <w:rsid w:val="00DD0EA5"/>
    <w:rsid w:val="00DD127B"/>
    <w:rsid w:val="00DD15D7"/>
    <w:rsid w:val="00DD17A7"/>
    <w:rsid w:val="00DD17BE"/>
    <w:rsid w:val="00DD1928"/>
    <w:rsid w:val="00DD1A39"/>
    <w:rsid w:val="00DD1A4A"/>
    <w:rsid w:val="00DD1C92"/>
    <w:rsid w:val="00DD1CB0"/>
    <w:rsid w:val="00DD1CCF"/>
    <w:rsid w:val="00DD1CFC"/>
    <w:rsid w:val="00DD1D1F"/>
    <w:rsid w:val="00DD1D39"/>
    <w:rsid w:val="00DD1E28"/>
    <w:rsid w:val="00DD1ED6"/>
    <w:rsid w:val="00DD1F87"/>
    <w:rsid w:val="00DD1F9B"/>
    <w:rsid w:val="00DD20EA"/>
    <w:rsid w:val="00DD20EE"/>
    <w:rsid w:val="00DD216B"/>
    <w:rsid w:val="00DD2250"/>
    <w:rsid w:val="00DD2457"/>
    <w:rsid w:val="00DD24EC"/>
    <w:rsid w:val="00DD2507"/>
    <w:rsid w:val="00DD25A0"/>
    <w:rsid w:val="00DD29A8"/>
    <w:rsid w:val="00DD2A62"/>
    <w:rsid w:val="00DD2AC5"/>
    <w:rsid w:val="00DD2B47"/>
    <w:rsid w:val="00DD2D2C"/>
    <w:rsid w:val="00DD2E37"/>
    <w:rsid w:val="00DD2F88"/>
    <w:rsid w:val="00DD318A"/>
    <w:rsid w:val="00DD31DB"/>
    <w:rsid w:val="00DD3461"/>
    <w:rsid w:val="00DD3566"/>
    <w:rsid w:val="00DD35AC"/>
    <w:rsid w:val="00DD365A"/>
    <w:rsid w:val="00DD374C"/>
    <w:rsid w:val="00DD399D"/>
    <w:rsid w:val="00DD39B4"/>
    <w:rsid w:val="00DD3BAA"/>
    <w:rsid w:val="00DD3BD2"/>
    <w:rsid w:val="00DD3C57"/>
    <w:rsid w:val="00DD3D0F"/>
    <w:rsid w:val="00DD3D47"/>
    <w:rsid w:val="00DD3D89"/>
    <w:rsid w:val="00DD3DEF"/>
    <w:rsid w:val="00DD3EAA"/>
    <w:rsid w:val="00DD3EEA"/>
    <w:rsid w:val="00DD3F34"/>
    <w:rsid w:val="00DD3F52"/>
    <w:rsid w:val="00DD3F84"/>
    <w:rsid w:val="00DD40F5"/>
    <w:rsid w:val="00DD4109"/>
    <w:rsid w:val="00DD419B"/>
    <w:rsid w:val="00DD41C4"/>
    <w:rsid w:val="00DD41FC"/>
    <w:rsid w:val="00DD43C9"/>
    <w:rsid w:val="00DD450A"/>
    <w:rsid w:val="00DD4819"/>
    <w:rsid w:val="00DD4844"/>
    <w:rsid w:val="00DD4962"/>
    <w:rsid w:val="00DD4968"/>
    <w:rsid w:val="00DD4AAF"/>
    <w:rsid w:val="00DD4CA4"/>
    <w:rsid w:val="00DD4CBE"/>
    <w:rsid w:val="00DD4D91"/>
    <w:rsid w:val="00DD4E4B"/>
    <w:rsid w:val="00DD4EC9"/>
    <w:rsid w:val="00DD4FE6"/>
    <w:rsid w:val="00DD4FFA"/>
    <w:rsid w:val="00DD526E"/>
    <w:rsid w:val="00DD53D3"/>
    <w:rsid w:val="00DD5445"/>
    <w:rsid w:val="00DD56A9"/>
    <w:rsid w:val="00DD5764"/>
    <w:rsid w:val="00DD57B3"/>
    <w:rsid w:val="00DD5992"/>
    <w:rsid w:val="00DD5A3C"/>
    <w:rsid w:val="00DD5C8B"/>
    <w:rsid w:val="00DD5D12"/>
    <w:rsid w:val="00DD5E3D"/>
    <w:rsid w:val="00DD5F1B"/>
    <w:rsid w:val="00DD619A"/>
    <w:rsid w:val="00DD61F6"/>
    <w:rsid w:val="00DD6265"/>
    <w:rsid w:val="00DD62D5"/>
    <w:rsid w:val="00DD632A"/>
    <w:rsid w:val="00DD6342"/>
    <w:rsid w:val="00DD64C3"/>
    <w:rsid w:val="00DD64D5"/>
    <w:rsid w:val="00DD661A"/>
    <w:rsid w:val="00DD6711"/>
    <w:rsid w:val="00DD699F"/>
    <w:rsid w:val="00DD6A46"/>
    <w:rsid w:val="00DD6BCE"/>
    <w:rsid w:val="00DD6D1A"/>
    <w:rsid w:val="00DD6DE1"/>
    <w:rsid w:val="00DD6E40"/>
    <w:rsid w:val="00DD6E46"/>
    <w:rsid w:val="00DD6EA0"/>
    <w:rsid w:val="00DD70CE"/>
    <w:rsid w:val="00DD7153"/>
    <w:rsid w:val="00DD7194"/>
    <w:rsid w:val="00DD733A"/>
    <w:rsid w:val="00DD7742"/>
    <w:rsid w:val="00DD7A2E"/>
    <w:rsid w:val="00DD7A4A"/>
    <w:rsid w:val="00DD7C18"/>
    <w:rsid w:val="00DD7D1B"/>
    <w:rsid w:val="00DD7DEF"/>
    <w:rsid w:val="00DE01FA"/>
    <w:rsid w:val="00DE020E"/>
    <w:rsid w:val="00DE06C5"/>
    <w:rsid w:val="00DE078A"/>
    <w:rsid w:val="00DE083A"/>
    <w:rsid w:val="00DE0A0C"/>
    <w:rsid w:val="00DE0B68"/>
    <w:rsid w:val="00DE0B7E"/>
    <w:rsid w:val="00DE0E90"/>
    <w:rsid w:val="00DE0F14"/>
    <w:rsid w:val="00DE0F18"/>
    <w:rsid w:val="00DE0F2E"/>
    <w:rsid w:val="00DE10F4"/>
    <w:rsid w:val="00DE1170"/>
    <w:rsid w:val="00DE11C8"/>
    <w:rsid w:val="00DE12E3"/>
    <w:rsid w:val="00DE12EB"/>
    <w:rsid w:val="00DE146C"/>
    <w:rsid w:val="00DE1537"/>
    <w:rsid w:val="00DE17A4"/>
    <w:rsid w:val="00DE19D2"/>
    <w:rsid w:val="00DE19EA"/>
    <w:rsid w:val="00DE1A80"/>
    <w:rsid w:val="00DE1B32"/>
    <w:rsid w:val="00DE1CFC"/>
    <w:rsid w:val="00DE1D7D"/>
    <w:rsid w:val="00DE1D95"/>
    <w:rsid w:val="00DE1F2F"/>
    <w:rsid w:val="00DE20AF"/>
    <w:rsid w:val="00DE229B"/>
    <w:rsid w:val="00DE24BC"/>
    <w:rsid w:val="00DE26B5"/>
    <w:rsid w:val="00DE2701"/>
    <w:rsid w:val="00DE29AD"/>
    <w:rsid w:val="00DE29B8"/>
    <w:rsid w:val="00DE2A87"/>
    <w:rsid w:val="00DE2C48"/>
    <w:rsid w:val="00DE2E6F"/>
    <w:rsid w:val="00DE2EFD"/>
    <w:rsid w:val="00DE2F0B"/>
    <w:rsid w:val="00DE2FCC"/>
    <w:rsid w:val="00DE3117"/>
    <w:rsid w:val="00DE3193"/>
    <w:rsid w:val="00DE323E"/>
    <w:rsid w:val="00DE3458"/>
    <w:rsid w:val="00DE355F"/>
    <w:rsid w:val="00DE3577"/>
    <w:rsid w:val="00DE366E"/>
    <w:rsid w:val="00DE38FC"/>
    <w:rsid w:val="00DE3953"/>
    <w:rsid w:val="00DE3BAF"/>
    <w:rsid w:val="00DE3F2C"/>
    <w:rsid w:val="00DE4094"/>
    <w:rsid w:val="00DE4124"/>
    <w:rsid w:val="00DE444D"/>
    <w:rsid w:val="00DE4486"/>
    <w:rsid w:val="00DE44B0"/>
    <w:rsid w:val="00DE47F4"/>
    <w:rsid w:val="00DE48B3"/>
    <w:rsid w:val="00DE4A40"/>
    <w:rsid w:val="00DE4B7D"/>
    <w:rsid w:val="00DE4D1E"/>
    <w:rsid w:val="00DE4DE7"/>
    <w:rsid w:val="00DE4E27"/>
    <w:rsid w:val="00DE50D7"/>
    <w:rsid w:val="00DE518D"/>
    <w:rsid w:val="00DE5492"/>
    <w:rsid w:val="00DE55D0"/>
    <w:rsid w:val="00DE5765"/>
    <w:rsid w:val="00DE579E"/>
    <w:rsid w:val="00DE5DA8"/>
    <w:rsid w:val="00DE5EDE"/>
    <w:rsid w:val="00DE5F3C"/>
    <w:rsid w:val="00DE61EA"/>
    <w:rsid w:val="00DE6378"/>
    <w:rsid w:val="00DE63BF"/>
    <w:rsid w:val="00DE66A5"/>
    <w:rsid w:val="00DE66F6"/>
    <w:rsid w:val="00DE67E9"/>
    <w:rsid w:val="00DE6879"/>
    <w:rsid w:val="00DE68B9"/>
    <w:rsid w:val="00DE69C0"/>
    <w:rsid w:val="00DE6C18"/>
    <w:rsid w:val="00DE6C85"/>
    <w:rsid w:val="00DE6CBD"/>
    <w:rsid w:val="00DE6CD1"/>
    <w:rsid w:val="00DE6CF5"/>
    <w:rsid w:val="00DE6D60"/>
    <w:rsid w:val="00DE6D88"/>
    <w:rsid w:val="00DE6D90"/>
    <w:rsid w:val="00DE6DED"/>
    <w:rsid w:val="00DE6E29"/>
    <w:rsid w:val="00DE6E31"/>
    <w:rsid w:val="00DE6E32"/>
    <w:rsid w:val="00DE703B"/>
    <w:rsid w:val="00DE7233"/>
    <w:rsid w:val="00DE74EC"/>
    <w:rsid w:val="00DE7553"/>
    <w:rsid w:val="00DE7C53"/>
    <w:rsid w:val="00DE7C69"/>
    <w:rsid w:val="00DE7CEE"/>
    <w:rsid w:val="00DE7DA8"/>
    <w:rsid w:val="00DF0031"/>
    <w:rsid w:val="00DF00C1"/>
    <w:rsid w:val="00DF00D9"/>
    <w:rsid w:val="00DF01C7"/>
    <w:rsid w:val="00DF02B6"/>
    <w:rsid w:val="00DF02BE"/>
    <w:rsid w:val="00DF055B"/>
    <w:rsid w:val="00DF068E"/>
    <w:rsid w:val="00DF0733"/>
    <w:rsid w:val="00DF07D2"/>
    <w:rsid w:val="00DF0B20"/>
    <w:rsid w:val="00DF0BE6"/>
    <w:rsid w:val="00DF0CAA"/>
    <w:rsid w:val="00DF0D2C"/>
    <w:rsid w:val="00DF0EEC"/>
    <w:rsid w:val="00DF0F0C"/>
    <w:rsid w:val="00DF0FC9"/>
    <w:rsid w:val="00DF11E5"/>
    <w:rsid w:val="00DF1259"/>
    <w:rsid w:val="00DF15BE"/>
    <w:rsid w:val="00DF16AC"/>
    <w:rsid w:val="00DF17D8"/>
    <w:rsid w:val="00DF1B5E"/>
    <w:rsid w:val="00DF1CCB"/>
    <w:rsid w:val="00DF1D5E"/>
    <w:rsid w:val="00DF1D7D"/>
    <w:rsid w:val="00DF1DE3"/>
    <w:rsid w:val="00DF1E14"/>
    <w:rsid w:val="00DF1EFA"/>
    <w:rsid w:val="00DF1F5D"/>
    <w:rsid w:val="00DF2434"/>
    <w:rsid w:val="00DF24BA"/>
    <w:rsid w:val="00DF2531"/>
    <w:rsid w:val="00DF2A27"/>
    <w:rsid w:val="00DF2B62"/>
    <w:rsid w:val="00DF2BC3"/>
    <w:rsid w:val="00DF2C51"/>
    <w:rsid w:val="00DF2C7F"/>
    <w:rsid w:val="00DF2CC7"/>
    <w:rsid w:val="00DF2D76"/>
    <w:rsid w:val="00DF31A9"/>
    <w:rsid w:val="00DF33B5"/>
    <w:rsid w:val="00DF34F8"/>
    <w:rsid w:val="00DF3733"/>
    <w:rsid w:val="00DF37CB"/>
    <w:rsid w:val="00DF37FE"/>
    <w:rsid w:val="00DF3813"/>
    <w:rsid w:val="00DF3B3D"/>
    <w:rsid w:val="00DF3F1A"/>
    <w:rsid w:val="00DF3FD1"/>
    <w:rsid w:val="00DF40EB"/>
    <w:rsid w:val="00DF41AB"/>
    <w:rsid w:val="00DF41D9"/>
    <w:rsid w:val="00DF42A5"/>
    <w:rsid w:val="00DF4738"/>
    <w:rsid w:val="00DF4748"/>
    <w:rsid w:val="00DF4AA2"/>
    <w:rsid w:val="00DF4BC4"/>
    <w:rsid w:val="00DF4DD9"/>
    <w:rsid w:val="00DF4E92"/>
    <w:rsid w:val="00DF50A3"/>
    <w:rsid w:val="00DF5177"/>
    <w:rsid w:val="00DF52CC"/>
    <w:rsid w:val="00DF52D8"/>
    <w:rsid w:val="00DF52DC"/>
    <w:rsid w:val="00DF5402"/>
    <w:rsid w:val="00DF5500"/>
    <w:rsid w:val="00DF55F6"/>
    <w:rsid w:val="00DF5635"/>
    <w:rsid w:val="00DF5AB8"/>
    <w:rsid w:val="00DF5BB2"/>
    <w:rsid w:val="00DF5D0F"/>
    <w:rsid w:val="00DF5E1A"/>
    <w:rsid w:val="00DF5E6B"/>
    <w:rsid w:val="00DF5E6E"/>
    <w:rsid w:val="00DF5FCF"/>
    <w:rsid w:val="00DF60AA"/>
    <w:rsid w:val="00DF61F9"/>
    <w:rsid w:val="00DF6284"/>
    <w:rsid w:val="00DF63BD"/>
    <w:rsid w:val="00DF6405"/>
    <w:rsid w:val="00DF646B"/>
    <w:rsid w:val="00DF6658"/>
    <w:rsid w:val="00DF665F"/>
    <w:rsid w:val="00DF67F2"/>
    <w:rsid w:val="00DF6919"/>
    <w:rsid w:val="00DF692C"/>
    <w:rsid w:val="00DF69C4"/>
    <w:rsid w:val="00DF6A8B"/>
    <w:rsid w:val="00DF6AAE"/>
    <w:rsid w:val="00DF6BF3"/>
    <w:rsid w:val="00DF6C1F"/>
    <w:rsid w:val="00DF6DD3"/>
    <w:rsid w:val="00DF6E70"/>
    <w:rsid w:val="00DF6F29"/>
    <w:rsid w:val="00DF6F8C"/>
    <w:rsid w:val="00DF6FF0"/>
    <w:rsid w:val="00DF7035"/>
    <w:rsid w:val="00DF7071"/>
    <w:rsid w:val="00DF71D7"/>
    <w:rsid w:val="00DF72D0"/>
    <w:rsid w:val="00DF7572"/>
    <w:rsid w:val="00DF77A8"/>
    <w:rsid w:val="00DF77FF"/>
    <w:rsid w:val="00DF787B"/>
    <w:rsid w:val="00DF79B9"/>
    <w:rsid w:val="00DF7BAE"/>
    <w:rsid w:val="00DF7D1B"/>
    <w:rsid w:val="00DF7D5A"/>
    <w:rsid w:val="00DF7D85"/>
    <w:rsid w:val="00DF7F01"/>
    <w:rsid w:val="00DF7F19"/>
    <w:rsid w:val="00DF7F98"/>
    <w:rsid w:val="00E000AA"/>
    <w:rsid w:val="00E001CE"/>
    <w:rsid w:val="00E001E9"/>
    <w:rsid w:val="00E0030E"/>
    <w:rsid w:val="00E0044C"/>
    <w:rsid w:val="00E004A5"/>
    <w:rsid w:val="00E00551"/>
    <w:rsid w:val="00E00679"/>
    <w:rsid w:val="00E00847"/>
    <w:rsid w:val="00E00883"/>
    <w:rsid w:val="00E00A0F"/>
    <w:rsid w:val="00E00A17"/>
    <w:rsid w:val="00E00B6E"/>
    <w:rsid w:val="00E00BE2"/>
    <w:rsid w:val="00E00BF3"/>
    <w:rsid w:val="00E00C3E"/>
    <w:rsid w:val="00E00F2A"/>
    <w:rsid w:val="00E00F9C"/>
    <w:rsid w:val="00E01080"/>
    <w:rsid w:val="00E01132"/>
    <w:rsid w:val="00E0116E"/>
    <w:rsid w:val="00E011F4"/>
    <w:rsid w:val="00E01382"/>
    <w:rsid w:val="00E0139C"/>
    <w:rsid w:val="00E01553"/>
    <w:rsid w:val="00E01798"/>
    <w:rsid w:val="00E01927"/>
    <w:rsid w:val="00E01A5E"/>
    <w:rsid w:val="00E01BDB"/>
    <w:rsid w:val="00E01CD6"/>
    <w:rsid w:val="00E01CEF"/>
    <w:rsid w:val="00E01E94"/>
    <w:rsid w:val="00E02A63"/>
    <w:rsid w:val="00E02B68"/>
    <w:rsid w:val="00E02BEA"/>
    <w:rsid w:val="00E02C0F"/>
    <w:rsid w:val="00E02D40"/>
    <w:rsid w:val="00E02FA8"/>
    <w:rsid w:val="00E03040"/>
    <w:rsid w:val="00E03143"/>
    <w:rsid w:val="00E0326E"/>
    <w:rsid w:val="00E034A2"/>
    <w:rsid w:val="00E037C5"/>
    <w:rsid w:val="00E038DF"/>
    <w:rsid w:val="00E03D9B"/>
    <w:rsid w:val="00E03F8D"/>
    <w:rsid w:val="00E03FCF"/>
    <w:rsid w:val="00E040B7"/>
    <w:rsid w:val="00E04206"/>
    <w:rsid w:val="00E0426B"/>
    <w:rsid w:val="00E04290"/>
    <w:rsid w:val="00E04302"/>
    <w:rsid w:val="00E04374"/>
    <w:rsid w:val="00E04497"/>
    <w:rsid w:val="00E044F4"/>
    <w:rsid w:val="00E04534"/>
    <w:rsid w:val="00E0456D"/>
    <w:rsid w:val="00E04575"/>
    <w:rsid w:val="00E04A2E"/>
    <w:rsid w:val="00E04A74"/>
    <w:rsid w:val="00E04B1C"/>
    <w:rsid w:val="00E04C1B"/>
    <w:rsid w:val="00E04E5E"/>
    <w:rsid w:val="00E04EAF"/>
    <w:rsid w:val="00E0501F"/>
    <w:rsid w:val="00E05062"/>
    <w:rsid w:val="00E050F3"/>
    <w:rsid w:val="00E05101"/>
    <w:rsid w:val="00E0530F"/>
    <w:rsid w:val="00E05343"/>
    <w:rsid w:val="00E05592"/>
    <w:rsid w:val="00E0584C"/>
    <w:rsid w:val="00E05871"/>
    <w:rsid w:val="00E05941"/>
    <w:rsid w:val="00E05AA1"/>
    <w:rsid w:val="00E05AE6"/>
    <w:rsid w:val="00E05C0A"/>
    <w:rsid w:val="00E05C53"/>
    <w:rsid w:val="00E05C65"/>
    <w:rsid w:val="00E05C80"/>
    <w:rsid w:val="00E05CE9"/>
    <w:rsid w:val="00E05D11"/>
    <w:rsid w:val="00E05E3A"/>
    <w:rsid w:val="00E05E3C"/>
    <w:rsid w:val="00E060BC"/>
    <w:rsid w:val="00E062D7"/>
    <w:rsid w:val="00E064D2"/>
    <w:rsid w:val="00E0658E"/>
    <w:rsid w:val="00E06642"/>
    <w:rsid w:val="00E0675A"/>
    <w:rsid w:val="00E068E5"/>
    <w:rsid w:val="00E06A3C"/>
    <w:rsid w:val="00E06A60"/>
    <w:rsid w:val="00E06DC3"/>
    <w:rsid w:val="00E06DD4"/>
    <w:rsid w:val="00E06ED3"/>
    <w:rsid w:val="00E070E2"/>
    <w:rsid w:val="00E0712B"/>
    <w:rsid w:val="00E072F8"/>
    <w:rsid w:val="00E0733D"/>
    <w:rsid w:val="00E0736A"/>
    <w:rsid w:val="00E07478"/>
    <w:rsid w:val="00E075FA"/>
    <w:rsid w:val="00E07617"/>
    <w:rsid w:val="00E07693"/>
    <w:rsid w:val="00E077B3"/>
    <w:rsid w:val="00E078D1"/>
    <w:rsid w:val="00E07940"/>
    <w:rsid w:val="00E0796D"/>
    <w:rsid w:val="00E07971"/>
    <w:rsid w:val="00E07AAF"/>
    <w:rsid w:val="00E07BDD"/>
    <w:rsid w:val="00E07D44"/>
    <w:rsid w:val="00E07D5F"/>
    <w:rsid w:val="00E07EF0"/>
    <w:rsid w:val="00E07FF9"/>
    <w:rsid w:val="00E10063"/>
    <w:rsid w:val="00E10192"/>
    <w:rsid w:val="00E1025D"/>
    <w:rsid w:val="00E1029D"/>
    <w:rsid w:val="00E10312"/>
    <w:rsid w:val="00E10367"/>
    <w:rsid w:val="00E104F4"/>
    <w:rsid w:val="00E1060D"/>
    <w:rsid w:val="00E1062F"/>
    <w:rsid w:val="00E106D9"/>
    <w:rsid w:val="00E107FD"/>
    <w:rsid w:val="00E1091B"/>
    <w:rsid w:val="00E10979"/>
    <w:rsid w:val="00E109D9"/>
    <w:rsid w:val="00E10C54"/>
    <w:rsid w:val="00E10F26"/>
    <w:rsid w:val="00E10F2E"/>
    <w:rsid w:val="00E11072"/>
    <w:rsid w:val="00E11134"/>
    <w:rsid w:val="00E1118E"/>
    <w:rsid w:val="00E11298"/>
    <w:rsid w:val="00E112CF"/>
    <w:rsid w:val="00E114FC"/>
    <w:rsid w:val="00E1167D"/>
    <w:rsid w:val="00E1173E"/>
    <w:rsid w:val="00E1175B"/>
    <w:rsid w:val="00E11787"/>
    <w:rsid w:val="00E11837"/>
    <w:rsid w:val="00E11923"/>
    <w:rsid w:val="00E11A01"/>
    <w:rsid w:val="00E11B62"/>
    <w:rsid w:val="00E11C63"/>
    <w:rsid w:val="00E11C67"/>
    <w:rsid w:val="00E12016"/>
    <w:rsid w:val="00E12276"/>
    <w:rsid w:val="00E12370"/>
    <w:rsid w:val="00E1250F"/>
    <w:rsid w:val="00E12648"/>
    <w:rsid w:val="00E12690"/>
    <w:rsid w:val="00E1277E"/>
    <w:rsid w:val="00E12901"/>
    <w:rsid w:val="00E129F3"/>
    <w:rsid w:val="00E12A82"/>
    <w:rsid w:val="00E12B10"/>
    <w:rsid w:val="00E12C21"/>
    <w:rsid w:val="00E12D3E"/>
    <w:rsid w:val="00E1309D"/>
    <w:rsid w:val="00E13104"/>
    <w:rsid w:val="00E132CF"/>
    <w:rsid w:val="00E13363"/>
    <w:rsid w:val="00E135ED"/>
    <w:rsid w:val="00E13691"/>
    <w:rsid w:val="00E136E2"/>
    <w:rsid w:val="00E13732"/>
    <w:rsid w:val="00E13980"/>
    <w:rsid w:val="00E13BEF"/>
    <w:rsid w:val="00E13D48"/>
    <w:rsid w:val="00E13DCE"/>
    <w:rsid w:val="00E13E76"/>
    <w:rsid w:val="00E13EA8"/>
    <w:rsid w:val="00E1416E"/>
    <w:rsid w:val="00E1420B"/>
    <w:rsid w:val="00E143B4"/>
    <w:rsid w:val="00E1448C"/>
    <w:rsid w:val="00E144BD"/>
    <w:rsid w:val="00E1456D"/>
    <w:rsid w:val="00E1459C"/>
    <w:rsid w:val="00E1464B"/>
    <w:rsid w:val="00E14971"/>
    <w:rsid w:val="00E14A30"/>
    <w:rsid w:val="00E14BF4"/>
    <w:rsid w:val="00E14BF5"/>
    <w:rsid w:val="00E14CDB"/>
    <w:rsid w:val="00E14F57"/>
    <w:rsid w:val="00E14FA4"/>
    <w:rsid w:val="00E152CA"/>
    <w:rsid w:val="00E153AD"/>
    <w:rsid w:val="00E15511"/>
    <w:rsid w:val="00E155AE"/>
    <w:rsid w:val="00E15B0E"/>
    <w:rsid w:val="00E15CA3"/>
    <w:rsid w:val="00E15E3A"/>
    <w:rsid w:val="00E15F8B"/>
    <w:rsid w:val="00E16267"/>
    <w:rsid w:val="00E162A3"/>
    <w:rsid w:val="00E1634E"/>
    <w:rsid w:val="00E16410"/>
    <w:rsid w:val="00E16426"/>
    <w:rsid w:val="00E16433"/>
    <w:rsid w:val="00E16470"/>
    <w:rsid w:val="00E16731"/>
    <w:rsid w:val="00E167B7"/>
    <w:rsid w:val="00E168E8"/>
    <w:rsid w:val="00E169D5"/>
    <w:rsid w:val="00E16ABF"/>
    <w:rsid w:val="00E16B26"/>
    <w:rsid w:val="00E16BC7"/>
    <w:rsid w:val="00E16C66"/>
    <w:rsid w:val="00E16C74"/>
    <w:rsid w:val="00E16D53"/>
    <w:rsid w:val="00E16F23"/>
    <w:rsid w:val="00E16FB0"/>
    <w:rsid w:val="00E17151"/>
    <w:rsid w:val="00E17261"/>
    <w:rsid w:val="00E17279"/>
    <w:rsid w:val="00E17345"/>
    <w:rsid w:val="00E175F7"/>
    <w:rsid w:val="00E17684"/>
    <w:rsid w:val="00E177C3"/>
    <w:rsid w:val="00E17839"/>
    <w:rsid w:val="00E1791A"/>
    <w:rsid w:val="00E17A09"/>
    <w:rsid w:val="00E17B10"/>
    <w:rsid w:val="00E17C66"/>
    <w:rsid w:val="00E17DA8"/>
    <w:rsid w:val="00E17E17"/>
    <w:rsid w:val="00E17E9C"/>
    <w:rsid w:val="00E20072"/>
    <w:rsid w:val="00E202C4"/>
    <w:rsid w:val="00E2069E"/>
    <w:rsid w:val="00E2071B"/>
    <w:rsid w:val="00E207AC"/>
    <w:rsid w:val="00E20824"/>
    <w:rsid w:val="00E208B4"/>
    <w:rsid w:val="00E20ABC"/>
    <w:rsid w:val="00E20ADA"/>
    <w:rsid w:val="00E20C3E"/>
    <w:rsid w:val="00E20D4C"/>
    <w:rsid w:val="00E20FA0"/>
    <w:rsid w:val="00E21023"/>
    <w:rsid w:val="00E2113B"/>
    <w:rsid w:val="00E211CD"/>
    <w:rsid w:val="00E2121C"/>
    <w:rsid w:val="00E21336"/>
    <w:rsid w:val="00E21370"/>
    <w:rsid w:val="00E2144F"/>
    <w:rsid w:val="00E214CA"/>
    <w:rsid w:val="00E2159F"/>
    <w:rsid w:val="00E215DC"/>
    <w:rsid w:val="00E216D9"/>
    <w:rsid w:val="00E21791"/>
    <w:rsid w:val="00E2183D"/>
    <w:rsid w:val="00E218F7"/>
    <w:rsid w:val="00E21940"/>
    <w:rsid w:val="00E21A7A"/>
    <w:rsid w:val="00E21CCD"/>
    <w:rsid w:val="00E21CF3"/>
    <w:rsid w:val="00E21D02"/>
    <w:rsid w:val="00E21D2D"/>
    <w:rsid w:val="00E21D8A"/>
    <w:rsid w:val="00E21DEC"/>
    <w:rsid w:val="00E21EBC"/>
    <w:rsid w:val="00E22002"/>
    <w:rsid w:val="00E22207"/>
    <w:rsid w:val="00E2228E"/>
    <w:rsid w:val="00E22385"/>
    <w:rsid w:val="00E226EB"/>
    <w:rsid w:val="00E2285D"/>
    <w:rsid w:val="00E22903"/>
    <w:rsid w:val="00E22A09"/>
    <w:rsid w:val="00E22CE0"/>
    <w:rsid w:val="00E22F34"/>
    <w:rsid w:val="00E23039"/>
    <w:rsid w:val="00E23047"/>
    <w:rsid w:val="00E23125"/>
    <w:rsid w:val="00E23147"/>
    <w:rsid w:val="00E231FC"/>
    <w:rsid w:val="00E232ED"/>
    <w:rsid w:val="00E2336F"/>
    <w:rsid w:val="00E233E5"/>
    <w:rsid w:val="00E235AA"/>
    <w:rsid w:val="00E23673"/>
    <w:rsid w:val="00E236AF"/>
    <w:rsid w:val="00E2370F"/>
    <w:rsid w:val="00E2384E"/>
    <w:rsid w:val="00E23895"/>
    <w:rsid w:val="00E238F7"/>
    <w:rsid w:val="00E23987"/>
    <w:rsid w:val="00E23AE1"/>
    <w:rsid w:val="00E23B4B"/>
    <w:rsid w:val="00E23BDB"/>
    <w:rsid w:val="00E2410F"/>
    <w:rsid w:val="00E24139"/>
    <w:rsid w:val="00E2428C"/>
    <w:rsid w:val="00E24347"/>
    <w:rsid w:val="00E24677"/>
    <w:rsid w:val="00E2467F"/>
    <w:rsid w:val="00E247D6"/>
    <w:rsid w:val="00E24AA5"/>
    <w:rsid w:val="00E24C16"/>
    <w:rsid w:val="00E24FD3"/>
    <w:rsid w:val="00E2508F"/>
    <w:rsid w:val="00E2522F"/>
    <w:rsid w:val="00E25483"/>
    <w:rsid w:val="00E2551B"/>
    <w:rsid w:val="00E256BB"/>
    <w:rsid w:val="00E25712"/>
    <w:rsid w:val="00E25718"/>
    <w:rsid w:val="00E257A4"/>
    <w:rsid w:val="00E259BC"/>
    <w:rsid w:val="00E25C16"/>
    <w:rsid w:val="00E25D36"/>
    <w:rsid w:val="00E25DF0"/>
    <w:rsid w:val="00E25F82"/>
    <w:rsid w:val="00E25FF6"/>
    <w:rsid w:val="00E26029"/>
    <w:rsid w:val="00E260D3"/>
    <w:rsid w:val="00E26540"/>
    <w:rsid w:val="00E26757"/>
    <w:rsid w:val="00E26882"/>
    <w:rsid w:val="00E268FD"/>
    <w:rsid w:val="00E26AE6"/>
    <w:rsid w:val="00E26BF7"/>
    <w:rsid w:val="00E26C01"/>
    <w:rsid w:val="00E26C9B"/>
    <w:rsid w:val="00E27127"/>
    <w:rsid w:val="00E274E4"/>
    <w:rsid w:val="00E27593"/>
    <w:rsid w:val="00E276A1"/>
    <w:rsid w:val="00E27AE9"/>
    <w:rsid w:val="00E27C46"/>
    <w:rsid w:val="00E27DE9"/>
    <w:rsid w:val="00E300C0"/>
    <w:rsid w:val="00E3054C"/>
    <w:rsid w:val="00E30646"/>
    <w:rsid w:val="00E30741"/>
    <w:rsid w:val="00E3078D"/>
    <w:rsid w:val="00E308C6"/>
    <w:rsid w:val="00E30946"/>
    <w:rsid w:val="00E30990"/>
    <w:rsid w:val="00E30A5A"/>
    <w:rsid w:val="00E30C0B"/>
    <w:rsid w:val="00E30D53"/>
    <w:rsid w:val="00E30DDC"/>
    <w:rsid w:val="00E30DF4"/>
    <w:rsid w:val="00E30E64"/>
    <w:rsid w:val="00E30F4B"/>
    <w:rsid w:val="00E30F65"/>
    <w:rsid w:val="00E30FDE"/>
    <w:rsid w:val="00E31035"/>
    <w:rsid w:val="00E31040"/>
    <w:rsid w:val="00E31127"/>
    <w:rsid w:val="00E312FD"/>
    <w:rsid w:val="00E31503"/>
    <w:rsid w:val="00E3184C"/>
    <w:rsid w:val="00E3191C"/>
    <w:rsid w:val="00E3192F"/>
    <w:rsid w:val="00E31948"/>
    <w:rsid w:val="00E319C5"/>
    <w:rsid w:val="00E31C2D"/>
    <w:rsid w:val="00E31F72"/>
    <w:rsid w:val="00E31F8B"/>
    <w:rsid w:val="00E31FDB"/>
    <w:rsid w:val="00E3212B"/>
    <w:rsid w:val="00E322E8"/>
    <w:rsid w:val="00E3249F"/>
    <w:rsid w:val="00E32548"/>
    <w:rsid w:val="00E32649"/>
    <w:rsid w:val="00E3272E"/>
    <w:rsid w:val="00E32785"/>
    <w:rsid w:val="00E327D2"/>
    <w:rsid w:val="00E3282A"/>
    <w:rsid w:val="00E32866"/>
    <w:rsid w:val="00E32BF2"/>
    <w:rsid w:val="00E32D69"/>
    <w:rsid w:val="00E32DE8"/>
    <w:rsid w:val="00E32DF9"/>
    <w:rsid w:val="00E32E76"/>
    <w:rsid w:val="00E3305D"/>
    <w:rsid w:val="00E3344C"/>
    <w:rsid w:val="00E33708"/>
    <w:rsid w:val="00E3375D"/>
    <w:rsid w:val="00E33841"/>
    <w:rsid w:val="00E33D9A"/>
    <w:rsid w:val="00E33F64"/>
    <w:rsid w:val="00E34098"/>
    <w:rsid w:val="00E340B1"/>
    <w:rsid w:val="00E34258"/>
    <w:rsid w:val="00E3444E"/>
    <w:rsid w:val="00E344B1"/>
    <w:rsid w:val="00E34544"/>
    <w:rsid w:val="00E3472C"/>
    <w:rsid w:val="00E34787"/>
    <w:rsid w:val="00E347B1"/>
    <w:rsid w:val="00E34A31"/>
    <w:rsid w:val="00E34A74"/>
    <w:rsid w:val="00E34AAF"/>
    <w:rsid w:val="00E34B29"/>
    <w:rsid w:val="00E34D34"/>
    <w:rsid w:val="00E34D67"/>
    <w:rsid w:val="00E34EE3"/>
    <w:rsid w:val="00E34FDE"/>
    <w:rsid w:val="00E3506B"/>
    <w:rsid w:val="00E3523A"/>
    <w:rsid w:val="00E354EF"/>
    <w:rsid w:val="00E3558F"/>
    <w:rsid w:val="00E357F5"/>
    <w:rsid w:val="00E3587F"/>
    <w:rsid w:val="00E358DE"/>
    <w:rsid w:val="00E35AE5"/>
    <w:rsid w:val="00E35B1F"/>
    <w:rsid w:val="00E35C79"/>
    <w:rsid w:val="00E35DA5"/>
    <w:rsid w:val="00E35E03"/>
    <w:rsid w:val="00E35E4A"/>
    <w:rsid w:val="00E35FB3"/>
    <w:rsid w:val="00E360EB"/>
    <w:rsid w:val="00E36173"/>
    <w:rsid w:val="00E3633A"/>
    <w:rsid w:val="00E36492"/>
    <w:rsid w:val="00E364F8"/>
    <w:rsid w:val="00E366F4"/>
    <w:rsid w:val="00E367B7"/>
    <w:rsid w:val="00E36AFA"/>
    <w:rsid w:val="00E36B38"/>
    <w:rsid w:val="00E36B9C"/>
    <w:rsid w:val="00E36CE4"/>
    <w:rsid w:val="00E36D06"/>
    <w:rsid w:val="00E36D4A"/>
    <w:rsid w:val="00E36DC3"/>
    <w:rsid w:val="00E36F0D"/>
    <w:rsid w:val="00E36F51"/>
    <w:rsid w:val="00E370D2"/>
    <w:rsid w:val="00E3710C"/>
    <w:rsid w:val="00E3740B"/>
    <w:rsid w:val="00E3754E"/>
    <w:rsid w:val="00E375CC"/>
    <w:rsid w:val="00E37628"/>
    <w:rsid w:val="00E37726"/>
    <w:rsid w:val="00E37BBC"/>
    <w:rsid w:val="00E37DA0"/>
    <w:rsid w:val="00E37F01"/>
    <w:rsid w:val="00E37F73"/>
    <w:rsid w:val="00E4041E"/>
    <w:rsid w:val="00E404C6"/>
    <w:rsid w:val="00E405FE"/>
    <w:rsid w:val="00E40620"/>
    <w:rsid w:val="00E40656"/>
    <w:rsid w:val="00E40767"/>
    <w:rsid w:val="00E409B0"/>
    <w:rsid w:val="00E40A4B"/>
    <w:rsid w:val="00E40B34"/>
    <w:rsid w:val="00E40C30"/>
    <w:rsid w:val="00E40E0C"/>
    <w:rsid w:val="00E40E21"/>
    <w:rsid w:val="00E40FB5"/>
    <w:rsid w:val="00E4102A"/>
    <w:rsid w:val="00E41287"/>
    <w:rsid w:val="00E4129F"/>
    <w:rsid w:val="00E41383"/>
    <w:rsid w:val="00E4139F"/>
    <w:rsid w:val="00E413D8"/>
    <w:rsid w:val="00E41602"/>
    <w:rsid w:val="00E41705"/>
    <w:rsid w:val="00E417C4"/>
    <w:rsid w:val="00E41923"/>
    <w:rsid w:val="00E419B8"/>
    <w:rsid w:val="00E41A89"/>
    <w:rsid w:val="00E41F8F"/>
    <w:rsid w:val="00E421CF"/>
    <w:rsid w:val="00E4237C"/>
    <w:rsid w:val="00E427B8"/>
    <w:rsid w:val="00E427DE"/>
    <w:rsid w:val="00E42BED"/>
    <w:rsid w:val="00E42C42"/>
    <w:rsid w:val="00E42F6E"/>
    <w:rsid w:val="00E42FE8"/>
    <w:rsid w:val="00E430A0"/>
    <w:rsid w:val="00E4325B"/>
    <w:rsid w:val="00E4328D"/>
    <w:rsid w:val="00E433B1"/>
    <w:rsid w:val="00E433CC"/>
    <w:rsid w:val="00E433DD"/>
    <w:rsid w:val="00E43565"/>
    <w:rsid w:val="00E43615"/>
    <w:rsid w:val="00E4388A"/>
    <w:rsid w:val="00E4394D"/>
    <w:rsid w:val="00E43AE4"/>
    <w:rsid w:val="00E43C5B"/>
    <w:rsid w:val="00E43DDB"/>
    <w:rsid w:val="00E43E40"/>
    <w:rsid w:val="00E440F8"/>
    <w:rsid w:val="00E4432C"/>
    <w:rsid w:val="00E44584"/>
    <w:rsid w:val="00E446CE"/>
    <w:rsid w:val="00E44776"/>
    <w:rsid w:val="00E44AA4"/>
    <w:rsid w:val="00E44C27"/>
    <w:rsid w:val="00E44CC6"/>
    <w:rsid w:val="00E44D09"/>
    <w:rsid w:val="00E44D31"/>
    <w:rsid w:val="00E44EF9"/>
    <w:rsid w:val="00E45157"/>
    <w:rsid w:val="00E453F0"/>
    <w:rsid w:val="00E45407"/>
    <w:rsid w:val="00E45723"/>
    <w:rsid w:val="00E45730"/>
    <w:rsid w:val="00E45780"/>
    <w:rsid w:val="00E4599F"/>
    <w:rsid w:val="00E459D7"/>
    <w:rsid w:val="00E45A9B"/>
    <w:rsid w:val="00E45B78"/>
    <w:rsid w:val="00E45C28"/>
    <w:rsid w:val="00E45C64"/>
    <w:rsid w:val="00E45CFB"/>
    <w:rsid w:val="00E45DD4"/>
    <w:rsid w:val="00E45DE6"/>
    <w:rsid w:val="00E460A6"/>
    <w:rsid w:val="00E46122"/>
    <w:rsid w:val="00E46167"/>
    <w:rsid w:val="00E461AB"/>
    <w:rsid w:val="00E46223"/>
    <w:rsid w:val="00E46281"/>
    <w:rsid w:val="00E462BC"/>
    <w:rsid w:val="00E463BD"/>
    <w:rsid w:val="00E464C4"/>
    <w:rsid w:val="00E465A9"/>
    <w:rsid w:val="00E465AB"/>
    <w:rsid w:val="00E4666E"/>
    <w:rsid w:val="00E466DB"/>
    <w:rsid w:val="00E46AEF"/>
    <w:rsid w:val="00E46D80"/>
    <w:rsid w:val="00E46F92"/>
    <w:rsid w:val="00E46FF2"/>
    <w:rsid w:val="00E47123"/>
    <w:rsid w:val="00E4725D"/>
    <w:rsid w:val="00E473C5"/>
    <w:rsid w:val="00E4747C"/>
    <w:rsid w:val="00E475B0"/>
    <w:rsid w:val="00E475F9"/>
    <w:rsid w:val="00E47B22"/>
    <w:rsid w:val="00E47D0E"/>
    <w:rsid w:val="00E47E5B"/>
    <w:rsid w:val="00E50071"/>
    <w:rsid w:val="00E50418"/>
    <w:rsid w:val="00E50620"/>
    <w:rsid w:val="00E50677"/>
    <w:rsid w:val="00E50718"/>
    <w:rsid w:val="00E50798"/>
    <w:rsid w:val="00E50875"/>
    <w:rsid w:val="00E50927"/>
    <w:rsid w:val="00E5092E"/>
    <w:rsid w:val="00E50DFE"/>
    <w:rsid w:val="00E50E95"/>
    <w:rsid w:val="00E50F3C"/>
    <w:rsid w:val="00E51081"/>
    <w:rsid w:val="00E513B8"/>
    <w:rsid w:val="00E5153F"/>
    <w:rsid w:val="00E5170D"/>
    <w:rsid w:val="00E517CA"/>
    <w:rsid w:val="00E5181D"/>
    <w:rsid w:val="00E51932"/>
    <w:rsid w:val="00E519EB"/>
    <w:rsid w:val="00E51A64"/>
    <w:rsid w:val="00E51AB3"/>
    <w:rsid w:val="00E51B32"/>
    <w:rsid w:val="00E51CD8"/>
    <w:rsid w:val="00E51D79"/>
    <w:rsid w:val="00E52139"/>
    <w:rsid w:val="00E522D7"/>
    <w:rsid w:val="00E52326"/>
    <w:rsid w:val="00E52848"/>
    <w:rsid w:val="00E52851"/>
    <w:rsid w:val="00E52A2B"/>
    <w:rsid w:val="00E52FC4"/>
    <w:rsid w:val="00E5307C"/>
    <w:rsid w:val="00E5330A"/>
    <w:rsid w:val="00E534AC"/>
    <w:rsid w:val="00E53751"/>
    <w:rsid w:val="00E5389E"/>
    <w:rsid w:val="00E53A4B"/>
    <w:rsid w:val="00E53A81"/>
    <w:rsid w:val="00E53B05"/>
    <w:rsid w:val="00E53B2C"/>
    <w:rsid w:val="00E53B61"/>
    <w:rsid w:val="00E53BB2"/>
    <w:rsid w:val="00E53BE1"/>
    <w:rsid w:val="00E53C87"/>
    <w:rsid w:val="00E53DDF"/>
    <w:rsid w:val="00E53FD0"/>
    <w:rsid w:val="00E53FE9"/>
    <w:rsid w:val="00E540A0"/>
    <w:rsid w:val="00E5421E"/>
    <w:rsid w:val="00E54257"/>
    <w:rsid w:val="00E54320"/>
    <w:rsid w:val="00E54379"/>
    <w:rsid w:val="00E543E7"/>
    <w:rsid w:val="00E54424"/>
    <w:rsid w:val="00E54452"/>
    <w:rsid w:val="00E544F2"/>
    <w:rsid w:val="00E54537"/>
    <w:rsid w:val="00E545CA"/>
    <w:rsid w:val="00E545FF"/>
    <w:rsid w:val="00E54611"/>
    <w:rsid w:val="00E54A49"/>
    <w:rsid w:val="00E54A60"/>
    <w:rsid w:val="00E54C4B"/>
    <w:rsid w:val="00E54D2A"/>
    <w:rsid w:val="00E54D2F"/>
    <w:rsid w:val="00E54DA9"/>
    <w:rsid w:val="00E54E30"/>
    <w:rsid w:val="00E54F19"/>
    <w:rsid w:val="00E54FF9"/>
    <w:rsid w:val="00E5515C"/>
    <w:rsid w:val="00E55176"/>
    <w:rsid w:val="00E5519E"/>
    <w:rsid w:val="00E55204"/>
    <w:rsid w:val="00E552A0"/>
    <w:rsid w:val="00E555A7"/>
    <w:rsid w:val="00E555B3"/>
    <w:rsid w:val="00E555D1"/>
    <w:rsid w:val="00E555F3"/>
    <w:rsid w:val="00E556AA"/>
    <w:rsid w:val="00E55963"/>
    <w:rsid w:val="00E55B72"/>
    <w:rsid w:val="00E55C28"/>
    <w:rsid w:val="00E55CB9"/>
    <w:rsid w:val="00E55D16"/>
    <w:rsid w:val="00E55DD3"/>
    <w:rsid w:val="00E561C3"/>
    <w:rsid w:val="00E561DC"/>
    <w:rsid w:val="00E56364"/>
    <w:rsid w:val="00E563A0"/>
    <w:rsid w:val="00E5656E"/>
    <w:rsid w:val="00E565C4"/>
    <w:rsid w:val="00E56718"/>
    <w:rsid w:val="00E56921"/>
    <w:rsid w:val="00E56B47"/>
    <w:rsid w:val="00E56B67"/>
    <w:rsid w:val="00E56BA1"/>
    <w:rsid w:val="00E56C92"/>
    <w:rsid w:val="00E56F2B"/>
    <w:rsid w:val="00E56FCD"/>
    <w:rsid w:val="00E570C5"/>
    <w:rsid w:val="00E5714D"/>
    <w:rsid w:val="00E573BE"/>
    <w:rsid w:val="00E574D9"/>
    <w:rsid w:val="00E574F0"/>
    <w:rsid w:val="00E5758B"/>
    <w:rsid w:val="00E5760D"/>
    <w:rsid w:val="00E576B7"/>
    <w:rsid w:val="00E578E4"/>
    <w:rsid w:val="00E579FF"/>
    <w:rsid w:val="00E57AE4"/>
    <w:rsid w:val="00E57B68"/>
    <w:rsid w:val="00E57BC1"/>
    <w:rsid w:val="00E57F0F"/>
    <w:rsid w:val="00E600AF"/>
    <w:rsid w:val="00E6032C"/>
    <w:rsid w:val="00E60413"/>
    <w:rsid w:val="00E60449"/>
    <w:rsid w:val="00E604A6"/>
    <w:rsid w:val="00E604DC"/>
    <w:rsid w:val="00E60532"/>
    <w:rsid w:val="00E605F0"/>
    <w:rsid w:val="00E60988"/>
    <w:rsid w:val="00E60A01"/>
    <w:rsid w:val="00E60A95"/>
    <w:rsid w:val="00E60B52"/>
    <w:rsid w:val="00E60B89"/>
    <w:rsid w:val="00E60C35"/>
    <w:rsid w:val="00E60D40"/>
    <w:rsid w:val="00E60EAA"/>
    <w:rsid w:val="00E60F48"/>
    <w:rsid w:val="00E60F62"/>
    <w:rsid w:val="00E611B4"/>
    <w:rsid w:val="00E61212"/>
    <w:rsid w:val="00E6142E"/>
    <w:rsid w:val="00E61490"/>
    <w:rsid w:val="00E614F5"/>
    <w:rsid w:val="00E6152F"/>
    <w:rsid w:val="00E61966"/>
    <w:rsid w:val="00E61A00"/>
    <w:rsid w:val="00E61A91"/>
    <w:rsid w:val="00E61BC0"/>
    <w:rsid w:val="00E61D78"/>
    <w:rsid w:val="00E61D91"/>
    <w:rsid w:val="00E61E08"/>
    <w:rsid w:val="00E61EF8"/>
    <w:rsid w:val="00E62056"/>
    <w:rsid w:val="00E621F1"/>
    <w:rsid w:val="00E62242"/>
    <w:rsid w:val="00E62388"/>
    <w:rsid w:val="00E62671"/>
    <w:rsid w:val="00E62801"/>
    <w:rsid w:val="00E62A70"/>
    <w:rsid w:val="00E62BD6"/>
    <w:rsid w:val="00E62C83"/>
    <w:rsid w:val="00E62DD6"/>
    <w:rsid w:val="00E62E14"/>
    <w:rsid w:val="00E62F53"/>
    <w:rsid w:val="00E6316D"/>
    <w:rsid w:val="00E631B5"/>
    <w:rsid w:val="00E633CD"/>
    <w:rsid w:val="00E6356D"/>
    <w:rsid w:val="00E63867"/>
    <w:rsid w:val="00E639B9"/>
    <w:rsid w:val="00E63B00"/>
    <w:rsid w:val="00E63D67"/>
    <w:rsid w:val="00E63DE5"/>
    <w:rsid w:val="00E63FC3"/>
    <w:rsid w:val="00E6407F"/>
    <w:rsid w:val="00E641F3"/>
    <w:rsid w:val="00E642B6"/>
    <w:rsid w:val="00E642BE"/>
    <w:rsid w:val="00E64338"/>
    <w:rsid w:val="00E643B4"/>
    <w:rsid w:val="00E6468D"/>
    <w:rsid w:val="00E647AF"/>
    <w:rsid w:val="00E648CE"/>
    <w:rsid w:val="00E64AAD"/>
    <w:rsid w:val="00E64B3C"/>
    <w:rsid w:val="00E64BEB"/>
    <w:rsid w:val="00E64C0E"/>
    <w:rsid w:val="00E64C18"/>
    <w:rsid w:val="00E64DB5"/>
    <w:rsid w:val="00E64EAD"/>
    <w:rsid w:val="00E64F3F"/>
    <w:rsid w:val="00E64F4F"/>
    <w:rsid w:val="00E64FA5"/>
    <w:rsid w:val="00E6507B"/>
    <w:rsid w:val="00E650A0"/>
    <w:rsid w:val="00E65441"/>
    <w:rsid w:val="00E65488"/>
    <w:rsid w:val="00E6570C"/>
    <w:rsid w:val="00E658ED"/>
    <w:rsid w:val="00E65939"/>
    <w:rsid w:val="00E65B7A"/>
    <w:rsid w:val="00E65D34"/>
    <w:rsid w:val="00E65D6B"/>
    <w:rsid w:val="00E65DD3"/>
    <w:rsid w:val="00E65DF9"/>
    <w:rsid w:val="00E65F35"/>
    <w:rsid w:val="00E66047"/>
    <w:rsid w:val="00E663F6"/>
    <w:rsid w:val="00E666DB"/>
    <w:rsid w:val="00E669F7"/>
    <w:rsid w:val="00E66B8C"/>
    <w:rsid w:val="00E66BB8"/>
    <w:rsid w:val="00E670BD"/>
    <w:rsid w:val="00E67223"/>
    <w:rsid w:val="00E673C3"/>
    <w:rsid w:val="00E675D7"/>
    <w:rsid w:val="00E676AF"/>
    <w:rsid w:val="00E67737"/>
    <w:rsid w:val="00E67947"/>
    <w:rsid w:val="00E67A18"/>
    <w:rsid w:val="00E67BA8"/>
    <w:rsid w:val="00E67DAD"/>
    <w:rsid w:val="00E67DDD"/>
    <w:rsid w:val="00E67F80"/>
    <w:rsid w:val="00E67FC1"/>
    <w:rsid w:val="00E70083"/>
    <w:rsid w:val="00E70494"/>
    <w:rsid w:val="00E7054A"/>
    <w:rsid w:val="00E70554"/>
    <w:rsid w:val="00E705BC"/>
    <w:rsid w:val="00E705F8"/>
    <w:rsid w:val="00E708A8"/>
    <w:rsid w:val="00E709D0"/>
    <w:rsid w:val="00E70BA1"/>
    <w:rsid w:val="00E70C06"/>
    <w:rsid w:val="00E70D17"/>
    <w:rsid w:val="00E70EA9"/>
    <w:rsid w:val="00E70F3F"/>
    <w:rsid w:val="00E7100C"/>
    <w:rsid w:val="00E71063"/>
    <w:rsid w:val="00E7132E"/>
    <w:rsid w:val="00E713A9"/>
    <w:rsid w:val="00E7158E"/>
    <w:rsid w:val="00E71914"/>
    <w:rsid w:val="00E71965"/>
    <w:rsid w:val="00E71971"/>
    <w:rsid w:val="00E71A61"/>
    <w:rsid w:val="00E71AFB"/>
    <w:rsid w:val="00E71B61"/>
    <w:rsid w:val="00E71B66"/>
    <w:rsid w:val="00E71C0F"/>
    <w:rsid w:val="00E71E37"/>
    <w:rsid w:val="00E71EAF"/>
    <w:rsid w:val="00E71EC6"/>
    <w:rsid w:val="00E72073"/>
    <w:rsid w:val="00E720E1"/>
    <w:rsid w:val="00E721C5"/>
    <w:rsid w:val="00E7235C"/>
    <w:rsid w:val="00E7253E"/>
    <w:rsid w:val="00E72632"/>
    <w:rsid w:val="00E72642"/>
    <w:rsid w:val="00E726EC"/>
    <w:rsid w:val="00E728D1"/>
    <w:rsid w:val="00E7290D"/>
    <w:rsid w:val="00E72987"/>
    <w:rsid w:val="00E72AE3"/>
    <w:rsid w:val="00E72C3F"/>
    <w:rsid w:val="00E72C47"/>
    <w:rsid w:val="00E72D52"/>
    <w:rsid w:val="00E7311D"/>
    <w:rsid w:val="00E7359D"/>
    <w:rsid w:val="00E73650"/>
    <w:rsid w:val="00E7369F"/>
    <w:rsid w:val="00E736C6"/>
    <w:rsid w:val="00E737E0"/>
    <w:rsid w:val="00E737FA"/>
    <w:rsid w:val="00E73A11"/>
    <w:rsid w:val="00E73B26"/>
    <w:rsid w:val="00E73C36"/>
    <w:rsid w:val="00E73D73"/>
    <w:rsid w:val="00E73EAF"/>
    <w:rsid w:val="00E73F26"/>
    <w:rsid w:val="00E74004"/>
    <w:rsid w:val="00E74088"/>
    <w:rsid w:val="00E740A6"/>
    <w:rsid w:val="00E74154"/>
    <w:rsid w:val="00E742E0"/>
    <w:rsid w:val="00E742F0"/>
    <w:rsid w:val="00E744EA"/>
    <w:rsid w:val="00E745C7"/>
    <w:rsid w:val="00E7475D"/>
    <w:rsid w:val="00E74B0E"/>
    <w:rsid w:val="00E74B7E"/>
    <w:rsid w:val="00E74C18"/>
    <w:rsid w:val="00E74CD9"/>
    <w:rsid w:val="00E74E0D"/>
    <w:rsid w:val="00E74EF6"/>
    <w:rsid w:val="00E74F72"/>
    <w:rsid w:val="00E75008"/>
    <w:rsid w:val="00E75043"/>
    <w:rsid w:val="00E7506A"/>
    <w:rsid w:val="00E751D7"/>
    <w:rsid w:val="00E75229"/>
    <w:rsid w:val="00E753A1"/>
    <w:rsid w:val="00E754CC"/>
    <w:rsid w:val="00E75505"/>
    <w:rsid w:val="00E75772"/>
    <w:rsid w:val="00E758CF"/>
    <w:rsid w:val="00E758FF"/>
    <w:rsid w:val="00E75BB7"/>
    <w:rsid w:val="00E75BCE"/>
    <w:rsid w:val="00E75DA3"/>
    <w:rsid w:val="00E75F8E"/>
    <w:rsid w:val="00E763A5"/>
    <w:rsid w:val="00E763C6"/>
    <w:rsid w:val="00E76413"/>
    <w:rsid w:val="00E76760"/>
    <w:rsid w:val="00E7676D"/>
    <w:rsid w:val="00E76785"/>
    <w:rsid w:val="00E767A3"/>
    <w:rsid w:val="00E7680C"/>
    <w:rsid w:val="00E76919"/>
    <w:rsid w:val="00E76A86"/>
    <w:rsid w:val="00E76D5A"/>
    <w:rsid w:val="00E76DCF"/>
    <w:rsid w:val="00E76E82"/>
    <w:rsid w:val="00E76F61"/>
    <w:rsid w:val="00E770A6"/>
    <w:rsid w:val="00E7711D"/>
    <w:rsid w:val="00E7725F"/>
    <w:rsid w:val="00E773F1"/>
    <w:rsid w:val="00E77450"/>
    <w:rsid w:val="00E774EF"/>
    <w:rsid w:val="00E7752F"/>
    <w:rsid w:val="00E776B6"/>
    <w:rsid w:val="00E77725"/>
    <w:rsid w:val="00E779FA"/>
    <w:rsid w:val="00E77ADB"/>
    <w:rsid w:val="00E77B0C"/>
    <w:rsid w:val="00E77B63"/>
    <w:rsid w:val="00E77F7A"/>
    <w:rsid w:val="00E8003A"/>
    <w:rsid w:val="00E8021C"/>
    <w:rsid w:val="00E805F0"/>
    <w:rsid w:val="00E8067A"/>
    <w:rsid w:val="00E80857"/>
    <w:rsid w:val="00E80978"/>
    <w:rsid w:val="00E809AA"/>
    <w:rsid w:val="00E809FD"/>
    <w:rsid w:val="00E80A07"/>
    <w:rsid w:val="00E80B7F"/>
    <w:rsid w:val="00E80C3B"/>
    <w:rsid w:val="00E80C68"/>
    <w:rsid w:val="00E80CB7"/>
    <w:rsid w:val="00E80D0D"/>
    <w:rsid w:val="00E80E4F"/>
    <w:rsid w:val="00E80EED"/>
    <w:rsid w:val="00E812B4"/>
    <w:rsid w:val="00E81316"/>
    <w:rsid w:val="00E81583"/>
    <w:rsid w:val="00E81803"/>
    <w:rsid w:val="00E81945"/>
    <w:rsid w:val="00E8197E"/>
    <w:rsid w:val="00E8199A"/>
    <w:rsid w:val="00E81ABE"/>
    <w:rsid w:val="00E81B56"/>
    <w:rsid w:val="00E81C04"/>
    <w:rsid w:val="00E81C7B"/>
    <w:rsid w:val="00E81F21"/>
    <w:rsid w:val="00E823A9"/>
    <w:rsid w:val="00E823C3"/>
    <w:rsid w:val="00E823D1"/>
    <w:rsid w:val="00E826F0"/>
    <w:rsid w:val="00E826F1"/>
    <w:rsid w:val="00E82818"/>
    <w:rsid w:val="00E828F2"/>
    <w:rsid w:val="00E82AA0"/>
    <w:rsid w:val="00E82ADD"/>
    <w:rsid w:val="00E82B56"/>
    <w:rsid w:val="00E82F19"/>
    <w:rsid w:val="00E83033"/>
    <w:rsid w:val="00E8303D"/>
    <w:rsid w:val="00E8319A"/>
    <w:rsid w:val="00E83317"/>
    <w:rsid w:val="00E834BD"/>
    <w:rsid w:val="00E836A8"/>
    <w:rsid w:val="00E836FE"/>
    <w:rsid w:val="00E8395C"/>
    <w:rsid w:val="00E839AC"/>
    <w:rsid w:val="00E839D8"/>
    <w:rsid w:val="00E83A3B"/>
    <w:rsid w:val="00E83B9E"/>
    <w:rsid w:val="00E83BC1"/>
    <w:rsid w:val="00E83C9D"/>
    <w:rsid w:val="00E83CF7"/>
    <w:rsid w:val="00E83E27"/>
    <w:rsid w:val="00E83F3B"/>
    <w:rsid w:val="00E84063"/>
    <w:rsid w:val="00E840A1"/>
    <w:rsid w:val="00E8422C"/>
    <w:rsid w:val="00E84467"/>
    <w:rsid w:val="00E84535"/>
    <w:rsid w:val="00E8489E"/>
    <w:rsid w:val="00E84950"/>
    <w:rsid w:val="00E849E5"/>
    <w:rsid w:val="00E84ABF"/>
    <w:rsid w:val="00E84DAC"/>
    <w:rsid w:val="00E84E9A"/>
    <w:rsid w:val="00E8504E"/>
    <w:rsid w:val="00E85061"/>
    <w:rsid w:val="00E85147"/>
    <w:rsid w:val="00E85611"/>
    <w:rsid w:val="00E85671"/>
    <w:rsid w:val="00E856FE"/>
    <w:rsid w:val="00E85738"/>
    <w:rsid w:val="00E8577F"/>
    <w:rsid w:val="00E8589E"/>
    <w:rsid w:val="00E85CA1"/>
    <w:rsid w:val="00E85DE2"/>
    <w:rsid w:val="00E85DFD"/>
    <w:rsid w:val="00E86019"/>
    <w:rsid w:val="00E8604E"/>
    <w:rsid w:val="00E86125"/>
    <w:rsid w:val="00E86331"/>
    <w:rsid w:val="00E86439"/>
    <w:rsid w:val="00E86500"/>
    <w:rsid w:val="00E8686B"/>
    <w:rsid w:val="00E86888"/>
    <w:rsid w:val="00E86A36"/>
    <w:rsid w:val="00E86A86"/>
    <w:rsid w:val="00E86B61"/>
    <w:rsid w:val="00E86BAF"/>
    <w:rsid w:val="00E86C76"/>
    <w:rsid w:val="00E86CAA"/>
    <w:rsid w:val="00E86E7F"/>
    <w:rsid w:val="00E86E9C"/>
    <w:rsid w:val="00E86FBB"/>
    <w:rsid w:val="00E87027"/>
    <w:rsid w:val="00E871E5"/>
    <w:rsid w:val="00E87373"/>
    <w:rsid w:val="00E87394"/>
    <w:rsid w:val="00E873B2"/>
    <w:rsid w:val="00E875BB"/>
    <w:rsid w:val="00E8775A"/>
    <w:rsid w:val="00E87809"/>
    <w:rsid w:val="00E8782B"/>
    <w:rsid w:val="00E878BB"/>
    <w:rsid w:val="00E8792C"/>
    <w:rsid w:val="00E87D2C"/>
    <w:rsid w:val="00E87D9F"/>
    <w:rsid w:val="00E87DA9"/>
    <w:rsid w:val="00E87EAE"/>
    <w:rsid w:val="00E87FE6"/>
    <w:rsid w:val="00E8BECC"/>
    <w:rsid w:val="00E90009"/>
    <w:rsid w:val="00E907E0"/>
    <w:rsid w:val="00E908EE"/>
    <w:rsid w:val="00E90ACF"/>
    <w:rsid w:val="00E90B6D"/>
    <w:rsid w:val="00E90BDC"/>
    <w:rsid w:val="00E90E3B"/>
    <w:rsid w:val="00E90E9B"/>
    <w:rsid w:val="00E90EC5"/>
    <w:rsid w:val="00E910ED"/>
    <w:rsid w:val="00E912D5"/>
    <w:rsid w:val="00E913A1"/>
    <w:rsid w:val="00E91534"/>
    <w:rsid w:val="00E91544"/>
    <w:rsid w:val="00E91939"/>
    <w:rsid w:val="00E91A17"/>
    <w:rsid w:val="00E91EEF"/>
    <w:rsid w:val="00E91EF7"/>
    <w:rsid w:val="00E923E1"/>
    <w:rsid w:val="00E9259E"/>
    <w:rsid w:val="00E92666"/>
    <w:rsid w:val="00E926D8"/>
    <w:rsid w:val="00E927B5"/>
    <w:rsid w:val="00E927E6"/>
    <w:rsid w:val="00E92812"/>
    <w:rsid w:val="00E928FF"/>
    <w:rsid w:val="00E92972"/>
    <w:rsid w:val="00E929BE"/>
    <w:rsid w:val="00E92A01"/>
    <w:rsid w:val="00E92BD9"/>
    <w:rsid w:val="00E92D50"/>
    <w:rsid w:val="00E92F5D"/>
    <w:rsid w:val="00E931FE"/>
    <w:rsid w:val="00E932BF"/>
    <w:rsid w:val="00E932DA"/>
    <w:rsid w:val="00E9331A"/>
    <w:rsid w:val="00E934B1"/>
    <w:rsid w:val="00E936BA"/>
    <w:rsid w:val="00E93737"/>
    <w:rsid w:val="00E9389D"/>
    <w:rsid w:val="00E938F2"/>
    <w:rsid w:val="00E93A41"/>
    <w:rsid w:val="00E93A8C"/>
    <w:rsid w:val="00E93E4D"/>
    <w:rsid w:val="00E93F04"/>
    <w:rsid w:val="00E93FE3"/>
    <w:rsid w:val="00E94060"/>
    <w:rsid w:val="00E94190"/>
    <w:rsid w:val="00E9422A"/>
    <w:rsid w:val="00E9432A"/>
    <w:rsid w:val="00E943AC"/>
    <w:rsid w:val="00E946E4"/>
    <w:rsid w:val="00E94737"/>
    <w:rsid w:val="00E94743"/>
    <w:rsid w:val="00E948A2"/>
    <w:rsid w:val="00E94911"/>
    <w:rsid w:val="00E94A0C"/>
    <w:rsid w:val="00E94A0E"/>
    <w:rsid w:val="00E94A91"/>
    <w:rsid w:val="00E94B8B"/>
    <w:rsid w:val="00E94BA4"/>
    <w:rsid w:val="00E94E41"/>
    <w:rsid w:val="00E94F40"/>
    <w:rsid w:val="00E94F56"/>
    <w:rsid w:val="00E94FF8"/>
    <w:rsid w:val="00E952A0"/>
    <w:rsid w:val="00E953A2"/>
    <w:rsid w:val="00E953C6"/>
    <w:rsid w:val="00E954C5"/>
    <w:rsid w:val="00E95504"/>
    <w:rsid w:val="00E95571"/>
    <w:rsid w:val="00E9559B"/>
    <w:rsid w:val="00E955B6"/>
    <w:rsid w:val="00E9567F"/>
    <w:rsid w:val="00E95690"/>
    <w:rsid w:val="00E95810"/>
    <w:rsid w:val="00E958CF"/>
    <w:rsid w:val="00E95A02"/>
    <w:rsid w:val="00E95ABE"/>
    <w:rsid w:val="00E95AD4"/>
    <w:rsid w:val="00E95B0F"/>
    <w:rsid w:val="00E95EEB"/>
    <w:rsid w:val="00E960FD"/>
    <w:rsid w:val="00E96337"/>
    <w:rsid w:val="00E9641C"/>
    <w:rsid w:val="00E9642A"/>
    <w:rsid w:val="00E9650D"/>
    <w:rsid w:val="00E96824"/>
    <w:rsid w:val="00E9698B"/>
    <w:rsid w:val="00E96996"/>
    <w:rsid w:val="00E96DFA"/>
    <w:rsid w:val="00E96EAF"/>
    <w:rsid w:val="00E96F36"/>
    <w:rsid w:val="00E96FBD"/>
    <w:rsid w:val="00E97018"/>
    <w:rsid w:val="00E9705A"/>
    <w:rsid w:val="00E971D4"/>
    <w:rsid w:val="00E971EC"/>
    <w:rsid w:val="00E9728C"/>
    <w:rsid w:val="00E97313"/>
    <w:rsid w:val="00E97361"/>
    <w:rsid w:val="00E973C2"/>
    <w:rsid w:val="00E97475"/>
    <w:rsid w:val="00E975A1"/>
    <w:rsid w:val="00E97619"/>
    <w:rsid w:val="00E9780A"/>
    <w:rsid w:val="00E97BBC"/>
    <w:rsid w:val="00E97BD3"/>
    <w:rsid w:val="00E97BD8"/>
    <w:rsid w:val="00E97C1D"/>
    <w:rsid w:val="00E97E51"/>
    <w:rsid w:val="00E97F56"/>
    <w:rsid w:val="00E97F63"/>
    <w:rsid w:val="00EA003E"/>
    <w:rsid w:val="00EA00C1"/>
    <w:rsid w:val="00EA0160"/>
    <w:rsid w:val="00EA01F7"/>
    <w:rsid w:val="00EA0282"/>
    <w:rsid w:val="00EA03A4"/>
    <w:rsid w:val="00EA0435"/>
    <w:rsid w:val="00EA0445"/>
    <w:rsid w:val="00EA052B"/>
    <w:rsid w:val="00EA06E0"/>
    <w:rsid w:val="00EA07DB"/>
    <w:rsid w:val="00EA0879"/>
    <w:rsid w:val="00EA0910"/>
    <w:rsid w:val="00EA0965"/>
    <w:rsid w:val="00EA09C2"/>
    <w:rsid w:val="00EA09F3"/>
    <w:rsid w:val="00EA09FC"/>
    <w:rsid w:val="00EA0B5B"/>
    <w:rsid w:val="00EA0C7B"/>
    <w:rsid w:val="00EA0CB2"/>
    <w:rsid w:val="00EA0CEB"/>
    <w:rsid w:val="00EA0D16"/>
    <w:rsid w:val="00EA0E8C"/>
    <w:rsid w:val="00EA0F46"/>
    <w:rsid w:val="00EA1228"/>
    <w:rsid w:val="00EA1422"/>
    <w:rsid w:val="00EA14EC"/>
    <w:rsid w:val="00EA1568"/>
    <w:rsid w:val="00EA1700"/>
    <w:rsid w:val="00EA1777"/>
    <w:rsid w:val="00EA179D"/>
    <w:rsid w:val="00EA18F5"/>
    <w:rsid w:val="00EA198E"/>
    <w:rsid w:val="00EA1BE5"/>
    <w:rsid w:val="00EA1E4C"/>
    <w:rsid w:val="00EA1EA4"/>
    <w:rsid w:val="00EA1EE9"/>
    <w:rsid w:val="00EA1FF6"/>
    <w:rsid w:val="00EA2039"/>
    <w:rsid w:val="00EA213F"/>
    <w:rsid w:val="00EA21A8"/>
    <w:rsid w:val="00EA21D1"/>
    <w:rsid w:val="00EA23F2"/>
    <w:rsid w:val="00EA240E"/>
    <w:rsid w:val="00EA24B9"/>
    <w:rsid w:val="00EA2571"/>
    <w:rsid w:val="00EA2604"/>
    <w:rsid w:val="00EA26AD"/>
    <w:rsid w:val="00EA279F"/>
    <w:rsid w:val="00EA27BD"/>
    <w:rsid w:val="00EA2894"/>
    <w:rsid w:val="00EA28E5"/>
    <w:rsid w:val="00EA2921"/>
    <w:rsid w:val="00EA2980"/>
    <w:rsid w:val="00EA2A37"/>
    <w:rsid w:val="00EA2B8C"/>
    <w:rsid w:val="00EA2C21"/>
    <w:rsid w:val="00EA2DAF"/>
    <w:rsid w:val="00EA2DE6"/>
    <w:rsid w:val="00EA2E47"/>
    <w:rsid w:val="00EA2ED0"/>
    <w:rsid w:val="00EA2FA3"/>
    <w:rsid w:val="00EA32A2"/>
    <w:rsid w:val="00EA32F5"/>
    <w:rsid w:val="00EA3312"/>
    <w:rsid w:val="00EA33DC"/>
    <w:rsid w:val="00EA3492"/>
    <w:rsid w:val="00EA34E2"/>
    <w:rsid w:val="00EA3580"/>
    <w:rsid w:val="00EA37E3"/>
    <w:rsid w:val="00EA39A1"/>
    <w:rsid w:val="00EA39C9"/>
    <w:rsid w:val="00EA3A0E"/>
    <w:rsid w:val="00EA3B43"/>
    <w:rsid w:val="00EA3B96"/>
    <w:rsid w:val="00EA3CD0"/>
    <w:rsid w:val="00EA3D30"/>
    <w:rsid w:val="00EA3D7A"/>
    <w:rsid w:val="00EA3E76"/>
    <w:rsid w:val="00EA3F73"/>
    <w:rsid w:val="00EA40B4"/>
    <w:rsid w:val="00EA4184"/>
    <w:rsid w:val="00EA42B9"/>
    <w:rsid w:val="00EA4329"/>
    <w:rsid w:val="00EA43FE"/>
    <w:rsid w:val="00EA452A"/>
    <w:rsid w:val="00EA46B3"/>
    <w:rsid w:val="00EA4759"/>
    <w:rsid w:val="00EA4848"/>
    <w:rsid w:val="00EA4982"/>
    <w:rsid w:val="00EA4997"/>
    <w:rsid w:val="00EA49D0"/>
    <w:rsid w:val="00EA49DF"/>
    <w:rsid w:val="00EA4A3A"/>
    <w:rsid w:val="00EA4E8A"/>
    <w:rsid w:val="00EA4F7C"/>
    <w:rsid w:val="00EA4F7F"/>
    <w:rsid w:val="00EA4FB7"/>
    <w:rsid w:val="00EA502C"/>
    <w:rsid w:val="00EA5184"/>
    <w:rsid w:val="00EA5256"/>
    <w:rsid w:val="00EA5265"/>
    <w:rsid w:val="00EA5290"/>
    <w:rsid w:val="00EA5492"/>
    <w:rsid w:val="00EA570E"/>
    <w:rsid w:val="00EA5759"/>
    <w:rsid w:val="00EA579F"/>
    <w:rsid w:val="00EA5826"/>
    <w:rsid w:val="00EA58AA"/>
    <w:rsid w:val="00EA5A4B"/>
    <w:rsid w:val="00EA5A4C"/>
    <w:rsid w:val="00EA5D6A"/>
    <w:rsid w:val="00EA5DEE"/>
    <w:rsid w:val="00EA5F73"/>
    <w:rsid w:val="00EA5F9D"/>
    <w:rsid w:val="00EA5FDA"/>
    <w:rsid w:val="00EA600B"/>
    <w:rsid w:val="00EA60C0"/>
    <w:rsid w:val="00EA60ED"/>
    <w:rsid w:val="00EA617D"/>
    <w:rsid w:val="00EA6217"/>
    <w:rsid w:val="00EA63F0"/>
    <w:rsid w:val="00EA6525"/>
    <w:rsid w:val="00EA6578"/>
    <w:rsid w:val="00EA65D6"/>
    <w:rsid w:val="00EA66CF"/>
    <w:rsid w:val="00EA670F"/>
    <w:rsid w:val="00EA6734"/>
    <w:rsid w:val="00EA67D1"/>
    <w:rsid w:val="00EA685B"/>
    <w:rsid w:val="00EA687A"/>
    <w:rsid w:val="00EA6881"/>
    <w:rsid w:val="00EA69A5"/>
    <w:rsid w:val="00EA69CC"/>
    <w:rsid w:val="00EA6A32"/>
    <w:rsid w:val="00EA6AD6"/>
    <w:rsid w:val="00EA6E47"/>
    <w:rsid w:val="00EA6E9C"/>
    <w:rsid w:val="00EA737B"/>
    <w:rsid w:val="00EA7412"/>
    <w:rsid w:val="00EA74E2"/>
    <w:rsid w:val="00EA75DD"/>
    <w:rsid w:val="00EA7663"/>
    <w:rsid w:val="00EA7708"/>
    <w:rsid w:val="00EA7714"/>
    <w:rsid w:val="00EA7818"/>
    <w:rsid w:val="00EA782C"/>
    <w:rsid w:val="00EA7B9E"/>
    <w:rsid w:val="00EA7BF4"/>
    <w:rsid w:val="00EA7C77"/>
    <w:rsid w:val="00EA7C8F"/>
    <w:rsid w:val="00EA7D2F"/>
    <w:rsid w:val="00EA7F3A"/>
    <w:rsid w:val="00EB02E4"/>
    <w:rsid w:val="00EB0481"/>
    <w:rsid w:val="00EB04FA"/>
    <w:rsid w:val="00EB05FD"/>
    <w:rsid w:val="00EB07F3"/>
    <w:rsid w:val="00EB097B"/>
    <w:rsid w:val="00EB0CC9"/>
    <w:rsid w:val="00EB0CEB"/>
    <w:rsid w:val="00EB0DD3"/>
    <w:rsid w:val="00EB0EC2"/>
    <w:rsid w:val="00EB10C0"/>
    <w:rsid w:val="00EB1231"/>
    <w:rsid w:val="00EB1485"/>
    <w:rsid w:val="00EB14C7"/>
    <w:rsid w:val="00EB1646"/>
    <w:rsid w:val="00EB170E"/>
    <w:rsid w:val="00EB1731"/>
    <w:rsid w:val="00EB196B"/>
    <w:rsid w:val="00EB19DB"/>
    <w:rsid w:val="00EB1B1B"/>
    <w:rsid w:val="00EB1B24"/>
    <w:rsid w:val="00EB1B5C"/>
    <w:rsid w:val="00EB1E29"/>
    <w:rsid w:val="00EB215B"/>
    <w:rsid w:val="00EB21AE"/>
    <w:rsid w:val="00EB21B0"/>
    <w:rsid w:val="00EB21FE"/>
    <w:rsid w:val="00EB2229"/>
    <w:rsid w:val="00EB223F"/>
    <w:rsid w:val="00EB2335"/>
    <w:rsid w:val="00EB23F3"/>
    <w:rsid w:val="00EB24A4"/>
    <w:rsid w:val="00EB257A"/>
    <w:rsid w:val="00EB25EA"/>
    <w:rsid w:val="00EB2606"/>
    <w:rsid w:val="00EB262A"/>
    <w:rsid w:val="00EB26B0"/>
    <w:rsid w:val="00EB2719"/>
    <w:rsid w:val="00EB2898"/>
    <w:rsid w:val="00EB28C8"/>
    <w:rsid w:val="00EB28F0"/>
    <w:rsid w:val="00EB2BAA"/>
    <w:rsid w:val="00EB2C96"/>
    <w:rsid w:val="00EB2C9D"/>
    <w:rsid w:val="00EB2D22"/>
    <w:rsid w:val="00EB2DE4"/>
    <w:rsid w:val="00EB2FE6"/>
    <w:rsid w:val="00EB3081"/>
    <w:rsid w:val="00EB30D4"/>
    <w:rsid w:val="00EB31D5"/>
    <w:rsid w:val="00EB3349"/>
    <w:rsid w:val="00EB345D"/>
    <w:rsid w:val="00EB34D3"/>
    <w:rsid w:val="00EB3595"/>
    <w:rsid w:val="00EB35EF"/>
    <w:rsid w:val="00EB35FE"/>
    <w:rsid w:val="00EB3790"/>
    <w:rsid w:val="00EB37DB"/>
    <w:rsid w:val="00EB3872"/>
    <w:rsid w:val="00EB3882"/>
    <w:rsid w:val="00EB393E"/>
    <w:rsid w:val="00EB3A53"/>
    <w:rsid w:val="00EB3AB0"/>
    <w:rsid w:val="00EB3AFB"/>
    <w:rsid w:val="00EB3B76"/>
    <w:rsid w:val="00EB3B8C"/>
    <w:rsid w:val="00EB3F2E"/>
    <w:rsid w:val="00EB4109"/>
    <w:rsid w:val="00EB42C4"/>
    <w:rsid w:val="00EB4569"/>
    <w:rsid w:val="00EB4626"/>
    <w:rsid w:val="00EB4951"/>
    <w:rsid w:val="00EB49BB"/>
    <w:rsid w:val="00EB49FD"/>
    <w:rsid w:val="00EB4AF0"/>
    <w:rsid w:val="00EB4BEE"/>
    <w:rsid w:val="00EB4C2F"/>
    <w:rsid w:val="00EB4C4D"/>
    <w:rsid w:val="00EB4DD4"/>
    <w:rsid w:val="00EB4E85"/>
    <w:rsid w:val="00EB50BF"/>
    <w:rsid w:val="00EB51C2"/>
    <w:rsid w:val="00EB5249"/>
    <w:rsid w:val="00EB5A1E"/>
    <w:rsid w:val="00EB5B89"/>
    <w:rsid w:val="00EB5BF3"/>
    <w:rsid w:val="00EB5D57"/>
    <w:rsid w:val="00EB5D9B"/>
    <w:rsid w:val="00EB5DB0"/>
    <w:rsid w:val="00EB5DD9"/>
    <w:rsid w:val="00EB5E1E"/>
    <w:rsid w:val="00EB5F1A"/>
    <w:rsid w:val="00EB5F6B"/>
    <w:rsid w:val="00EB6290"/>
    <w:rsid w:val="00EB63F4"/>
    <w:rsid w:val="00EB6435"/>
    <w:rsid w:val="00EB64BC"/>
    <w:rsid w:val="00EB64E4"/>
    <w:rsid w:val="00EB660A"/>
    <w:rsid w:val="00EB67E3"/>
    <w:rsid w:val="00EB6910"/>
    <w:rsid w:val="00EB696C"/>
    <w:rsid w:val="00EB69E0"/>
    <w:rsid w:val="00EB6C33"/>
    <w:rsid w:val="00EB6EAB"/>
    <w:rsid w:val="00EB6EE6"/>
    <w:rsid w:val="00EB6F45"/>
    <w:rsid w:val="00EB6F56"/>
    <w:rsid w:val="00EB7082"/>
    <w:rsid w:val="00EB70AA"/>
    <w:rsid w:val="00EB7238"/>
    <w:rsid w:val="00EB72C9"/>
    <w:rsid w:val="00EB76FC"/>
    <w:rsid w:val="00EB7700"/>
    <w:rsid w:val="00EB7860"/>
    <w:rsid w:val="00EB78B4"/>
    <w:rsid w:val="00EB7B1C"/>
    <w:rsid w:val="00EB7B70"/>
    <w:rsid w:val="00EB7DA9"/>
    <w:rsid w:val="00EB7E3F"/>
    <w:rsid w:val="00EB7EAC"/>
    <w:rsid w:val="00EC0147"/>
    <w:rsid w:val="00EC016E"/>
    <w:rsid w:val="00EC044E"/>
    <w:rsid w:val="00EC050F"/>
    <w:rsid w:val="00EC065E"/>
    <w:rsid w:val="00EC0708"/>
    <w:rsid w:val="00EC07D5"/>
    <w:rsid w:val="00EC0812"/>
    <w:rsid w:val="00EC0817"/>
    <w:rsid w:val="00EC08A8"/>
    <w:rsid w:val="00EC0940"/>
    <w:rsid w:val="00EC0A49"/>
    <w:rsid w:val="00EC0BBF"/>
    <w:rsid w:val="00EC0BE1"/>
    <w:rsid w:val="00EC0D1B"/>
    <w:rsid w:val="00EC0D60"/>
    <w:rsid w:val="00EC0D80"/>
    <w:rsid w:val="00EC119F"/>
    <w:rsid w:val="00EC1527"/>
    <w:rsid w:val="00EC1550"/>
    <w:rsid w:val="00EC1752"/>
    <w:rsid w:val="00EC1B0F"/>
    <w:rsid w:val="00EC1BA3"/>
    <w:rsid w:val="00EC1BA8"/>
    <w:rsid w:val="00EC1C48"/>
    <w:rsid w:val="00EC1CB6"/>
    <w:rsid w:val="00EC1D4B"/>
    <w:rsid w:val="00EC1E18"/>
    <w:rsid w:val="00EC2005"/>
    <w:rsid w:val="00EC20D7"/>
    <w:rsid w:val="00EC21D1"/>
    <w:rsid w:val="00EC223B"/>
    <w:rsid w:val="00EC24CD"/>
    <w:rsid w:val="00EC24D5"/>
    <w:rsid w:val="00EC24E4"/>
    <w:rsid w:val="00EC255A"/>
    <w:rsid w:val="00EC2600"/>
    <w:rsid w:val="00EC2899"/>
    <w:rsid w:val="00EC28F2"/>
    <w:rsid w:val="00EC2A06"/>
    <w:rsid w:val="00EC2A11"/>
    <w:rsid w:val="00EC2A87"/>
    <w:rsid w:val="00EC2AD3"/>
    <w:rsid w:val="00EC2D2B"/>
    <w:rsid w:val="00EC2EBD"/>
    <w:rsid w:val="00EC2FB5"/>
    <w:rsid w:val="00EC3046"/>
    <w:rsid w:val="00EC3068"/>
    <w:rsid w:val="00EC30D6"/>
    <w:rsid w:val="00EC3132"/>
    <w:rsid w:val="00EC3309"/>
    <w:rsid w:val="00EC3421"/>
    <w:rsid w:val="00EC34CB"/>
    <w:rsid w:val="00EC3697"/>
    <w:rsid w:val="00EC36ED"/>
    <w:rsid w:val="00EC37A8"/>
    <w:rsid w:val="00EC38AA"/>
    <w:rsid w:val="00EC38E0"/>
    <w:rsid w:val="00EC3A9B"/>
    <w:rsid w:val="00EC3B6C"/>
    <w:rsid w:val="00EC3D9C"/>
    <w:rsid w:val="00EC3FB6"/>
    <w:rsid w:val="00EC404E"/>
    <w:rsid w:val="00EC412F"/>
    <w:rsid w:val="00EC428E"/>
    <w:rsid w:val="00EC4364"/>
    <w:rsid w:val="00EC4391"/>
    <w:rsid w:val="00EC4707"/>
    <w:rsid w:val="00EC493C"/>
    <w:rsid w:val="00EC4AA6"/>
    <w:rsid w:val="00EC4AE1"/>
    <w:rsid w:val="00EC4AEC"/>
    <w:rsid w:val="00EC4B21"/>
    <w:rsid w:val="00EC4DDB"/>
    <w:rsid w:val="00EC4DFF"/>
    <w:rsid w:val="00EC4ED8"/>
    <w:rsid w:val="00EC4EDB"/>
    <w:rsid w:val="00EC4FC7"/>
    <w:rsid w:val="00EC5042"/>
    <w:rsid w:val="00EC5057"/>
    <w:rsid w:val="00EC525F"/>
    <w:rsid w:val="00EC5267"/>
    <w:rsid w:val="00EC52B2"/>
    <w:rsid w:val="00EC5398"/>
    <w:rsid w:val="00EC5567"/>
    <w:rsid w:val="00EC5594"/>
    <w:rsid w:val="00EC578E"/>
    <w:rsid w:val="00EC5B07"/>
    <w:rsid w:val="00EC5DFF"/>
    <w:rsid w:val="00EC5E73"/>
    <w:rsid w:val="00EC5ECD"/>
    <w:rsid w:val="00EC5F9F"/>
    <w:rsid w:val="00EC5FA4"/>
    <w:rsid w:val="00EC5FA6"/>
    <w:rsid w:val="00EC5FFE"/>
    <w:rsid w:val="00EC6184"/>
    <w:rsid w:val="00EC63AF"/>
    <w:rsid w:val="00EC6414"/>
    <w:rsid w:val="00EC6459"/>
    <w:rsid w:val="00EC652B"/>
    <w:rsid w:val="00EC6633"/>
    <w:rsid w:val="00EC665B"/>
    <w:rsid w:val="00EC66D1"/>
    <w:rsid w:val="00EC682A"/>
    <w:rsid w:val="00EC6866"/>
    <w:rsid w:val="00EC6998"/>
    <w:rsid w:val="00EC6A7E"/>
    <w:rsid w:val="00EC6B24"/>
    <w:rsid w:val="00EC6BC4"/>
    <w:rsid w:val="00EC6D70"/>
    <w:rsid w:val="00EC6DE0"/>
    <w:rsid w:val="00EC6E18"/>
    <w:rsid w:val="00EC6F34"/>
    <w:rsid w:val="00EC6FC3"/>
    <w:rsid w:val="00EC7028"/>
    <w:rsid w:val="00EC70C7"/>
    <w:rsid w:val="00EC70FC"/>
    <w:rsid w:val="00EC727D"/>
    <w:rsid w:val="00EC748B"/>
    <w:rsid w:val="00EC755F"/>
    <w:rsid w:val="00EC7645"/>
    <w:rsid w:val="00EC76E9"/>
    <w:rsid w:val="00EC7900"/>
    <w:rsid w:val="00EC7A5D"/>
    <w:rsid w:val="00EC7BB1"/>
    <w:rsid w:val="00EC7C4B"/>
    <w:rsid w:val="00EC7CDD"/>
    <w:rsid w:val="00EC7D5A"/>
    <w:rsid w:val="00EC7DD0"/>
    <w:rsid w:val="00ED0161"/>
    <w:rsid w:val="00ED0214"/>
    <w:rsid w:val="00ED05D4"/>
    <w:rsid w:val="00ED0668"/>
    <w:rsid w:val="00ED0895"/>
    <w:rsid w:val="00ED098D"/>
    <w:rsid w:val="00ED0A2E"/>
    <w:rsid w:val="00ED0A90"/>
    <w:rsid w:val="00ED0BD1"/>
    <w:rsid w:val="00ED0C00"/>
    <w:rsid w:val="00ED0C5C"/>
    <w:rsid w:val="00ED0CB6"/>
    <w:rsid w:val="00ED0D9C"/>
    <w:rsid w:val="00ED1239"/>
    <w:rsid w:val="00ED12A1"/>
    <w:rsid w:val="00ED136A"/>
    <w:rsid w:val="00ED156C"/>
    <w:rsid w:val="00ED16B6"/>
    <w:rsid w:val="00ED17B1"/>
    <w:rsid w:val="00ED19B0"/>
    <w:rsid w:val="00ED1A02"/>
    <w:rsid w:val="00ED1B41"/>
    <w:rsid w:val="00ED1B4D"/>
    <w:rsid w:val="00ED1B6D"/>
    <w:rsid w:val="00ED1B86"/>
    <w:rsid w:val="00ED1D1C"/>
    <w:rsid w:val="00ED1DD6"/>
    <w:rsid w:val="00ED1DEE"/>
    <w:rsid w:val="00ED1FF7"/>
    <w:rsid w:val="00ED212C"/>
    <w:rsid w:val="00ED2637"/>
    <w:rsid w:val="00ED2855"/>
    <w:rsid w:val="00ED295E"/>
    <w:rsid w:val="00ED2989"/>
    <w:rsid w:val="00ED29E5"/>
    <w:rsid w:val="00ED2B84"/>
    <w:rsid w:val="00ED2C55"/>
    <w:rsid w:val="00ED2CC3"/>
    <w:rsid w:val="00ED2E37"/>
    <w:rsid w:val="00ED2FD0"/>
    <w:rsid w:val="00ED2FF4"/>
    <w:rsid w:val="00ED31B1"/>
    <w:rsid w:val="00ED31F6"/>
    <w:rsid w:val="00ED3366"/>
    <w:rsid w:val="00ED3466"/>
    <w:rsid w:val="00ED34FD"/>
    <w:rsid w:val="00ED3674"/>
    <w:rsid w:val="00ED36F3"/>
    <w:rsid w:val="00ED3732"/>
    <w:rsid w:val="00ED37A9"/>
    <w:rsid w:val="00ED382A"/>
    <w:rsid w:val="00ED3C9D"/>
    <w:rsid w:val="00ED3D09"/>
    <w:rsid w:val="00ED3D50"/>
    <w:rsid w:val="00ED3FC5"/>
    <w:rsid w:val="00ED40C0"/>
    <w:rsid w:val="00ED4136"/>
    <w:rsid w:val="00ED417B"/>
    <w:rsid w:val="00ED429F"/>
    <w:rsid w:val="00ED4308"/>
    <w:rsid w:val="00ED439A"/>
    <w:rsid w:val="00ED443F"/>
    <w:rsid w:val="00ED4623"/>
    <w:rsid w:val="00ED46B0"/>
    <w:rsid w:val="00ED4842"/>
    <w:rsid w:val="00ED4947"/>
    <w:rsid w:val="00ED4E01"/>
    <w:rsid w:val="00ED4E4F"/>
    <w:rsid w:val="00ED4F26"/>
    <w:rsid w:val="00ED5093"/>
    <w:rsid w:val="00ED50AE"/>
    <w:rsid w:val="00ED5163"/>
    <w:rsid w:val="00ED52E8"/>
    <w:rsid w:val="00ED532F"/>
    <w:rsid w:val="00ED53B9"/>
    <w:rsid w:val="00ED54AB"/>
    <w:rsid w:val="00ED5621"/>
    <w:rsid w:val="00ED563A"/>
    <w:rsid w:val="00ED5728"/>
    <w:rsid w:val="00ED5A3B"/>
    <w:rsid w:val="00ED5AB2"/>
    <w:rsid w:val="00ED5ACB"/>
    <w:rsid w:val="00ED5B15"/>
    <w:rsid w:val="00ED5BBD"/>
    <w:rsid w:val="00ED5BC6"/>
    <w:rsid w:val="00ED5BEA"/>
    <w:rsid w:val="00ED5C6E"/>
    <w:rsid w:val="00ED5CAC"/>
    <w:rsid w:val="00ED5DAE"/>
    <w:rsid w:val="00ED5DFA"/>
    <w:rsid w:val="00ED629A"/>
    <w:rsid w:val="00ED63EC"/>
    <w:rsid w:val="00ED63F3"/>
    <w:rsid w:val="00ED64D4"/>
    <w:rsid w:val="00ED6513"/>
    <w:rsid w:val="00ED6700"/>
    <w:rsid w:val="00ED6835"/>
    <w:rsid w:val="00ED697F"/>
    <w:rsid w:val="00ED6BB0"/>
    <w:rsid w:val="00ED6E12"/>
    <w:rsid w:val="00ED7088"/>
    <w:rsid w:val="00ED71C0"/>
    <w:rsid w:val="00ED7208"/>
    <w:rsid w:val="00ED726A"/>
    <w:rsid w:val="00ED7338"/>
    <w:rsid w:val="00ED741B"/>
    <w:rsid w:val="00ED7455"/>
    <w:rsid w:val="00ED75D5"/>
    <w:rsid w:val="00ED765E"/>
    <w:rsid w:val="00ED776C"/>
    <w:rsid w:val="00ED788D"/>
    <w:rsid w:val="00ED79FA"/>
    <w:rsid w:val="00ED7A3D"/>
    <w:rsid w:val="00ED7BA2"/>
    <w:rsid w:val="00ED7C27"/>
    <w:rsid w:val="00ED7CCA"/>
    <w:rsid w:val="00ED7F5E"/>
    <w:rsid w:val="00EE001B"/>
    <w:rsid w:val="00EE0100"/>
    <w:rsid w:val="00EE015A"/>
    <w:rsid w:val="00EE017A"/>
    <w:rsid w:val="00EE033B"/>
    <w:rsid w:val="00EE0375"/>
    <w:rsid w:val="00EE0402"/>
    <w:rsid w:val="00EE0694"/>
    <w:rsid w:val="00EE070B"/>
    <w:rsid w:val="00EE0737"/>
    <w:rsid w:val="00EE07E2"/>
    <w:rsid w:val="00EE086B"/>
    <w:rsid w:val="00EE094F"/>
    <w:rsid w:val="00EE0966"/>
    <w:rsid w:val="00EE0ADF"/>
    <w:rsid w:val="00EE0C95"/>
    <w:rsid w:val="00EE0F34"/>
    <w:rsid w:val="00EE0FF2"/>
    <w:rsid w:val="00EE12E7"/>
    <w:rsid w:val="00EE12EC"/>
    <w:rsid w:val="00EE13A2"/>
    <w:rsid w:val="00EE158A"/>
    <w:rsid w:val="00EE15C0"/>
    <w:rsid w:val="00EE171B"/>
    <w:rsid w:val="00EE18CB"/>
    <w:rsid w:val="00EE1AAB"/>
    <w:rsid w:val="00EE1AE0"/>
    <w:rsid w:val="00EE1B0D"/>
    <w:rsid w:val="00EE1BE8"/>
    <w:rsid w:val="00EE1D33"/>
    <w:rsid w:val="00EE1FC3"/>
    <w:rsid w:val="00EE2014"/>
    <w:rsid w:val="00EE20A1"/>
    <w:rsid w:val="00EE20EB"/>
    <w:rsid w:val="00EE20FF"/>
    <w:rsid w:val="00EE21EF"/>
    <w:rsid w:val="00EE229E"/>
    <w:rsid w:val="00EE22E4"/>
    <w:rsid w:val="00EE23BA"/>
    <w:rsid w:val="00EE246C"/>
    <w:rsid w:val="00EE2483"/>
    <w:rsid w:val="00EE2496"/>
    <w:rsid w:val="00EE26D8"/>
    <w:rsid w:val="00EE2702"/>
    <w:rsid w:val="00EE277C"/>
    <w:rsid w:val="00EE2862"/>
    <w:rsid w:val="00EE28A5"/>
    <w:rsid w:val="00EE28E5"/>
    <w:rsid w:val="00EE298B"/>
    <w:rsid w:val="00EE2B4C"/>
    <w:rsid w:val="00EE2D27"/>
    <w:rsid w:val="00EE3145"/>
    <w:rsid w:val="00EE3184"/>
    <w:rsid w:val="00EE31A2"/>
    <w:rsid w:val="00EE3286"/>
    <w:rsid w:val="00EE32F4"/>
    <w:rsid w:val="00EE3372"/>
    <w:rsid w:val="00EE3376"/>
    <w:rsid w:val="00EE3469"/>
    <w:rsid w:val="00EE34FA"/>
    <w:rsid w:val="00EE376C"/>
    <w:rsid w:val="00EE3895"/>
    <w:rsid w:val="00EE38E9"/>
    <w:rsid w:val="00EE3997"/>
    <w:rsid w:val="00EE3BC3"/>
    <w:rsid w:val="00EE3CEF"/>
    <w:rsid w:val="00EE3D34"/>
    <w:rsid w:val="00EE3E8A"/>
    <w:rsid w:val="00EE40B4"/>
    <w:rsid w:val="00EE40BA"/>
    <w:rsid w:val="00EE445B"/>
    <w:rsid w:val="00EE4650"/>
    <w:rsid w:val="00EE4874"/>
    <w:rsid w:val="00EE4CDF"/>
    <w:rsid w:val="00EE4DAB"/>
    <w:rsid w:val="00EE4DB2"/>
    <w:rsid w:val="00EE4E3C"/>
    <w:rsid w:val="00EE4E5D"/>
    <w:rsid w:val="00EE4EDE"/>
    <w:rsid w:val="00EE4F45"/>
    <w:rsid w:val="00EE515A"/>
    <w:rsid w:val="00EE5230"/>
    <w:rsid w:val="00EE5251"/>
    <w:rsid w:val="00EE5364"/>
    <w:rsid w:val="00EE54E1"/>
    <w:rsid w:val="00EE5628"/>
    <w:rsid w:val="00EE594C"/>
    <w:rsid w:val="00EE596F"/>
    <w:rsid w:val="00EE5A9E"/>
    <w:rsid w:val="00EE5ADA"/>
    <w:rsid w:val="00EE5AEE"/>
    <w:rsid w:val="00EE5B3D"/>
    <w:rsid w:val="00EE5C36"/>
    <w:rsid w:val="00EE5F2D"/>
    <w:rsid w:val="00EE6003"/>
    <w:rsid w:val="00EE60C8"/>
    <w:rsid w:val="00EE60F5"/>
    <w:rsid w:val="00EE617A"/>
    <w:rsid w:val="00EE6237"/>
    <w:rsid w:val="00EE627E"/>
    <w:rsid w:val="00EE6309"/>
    <w:rsid w:val="00EE68B9"/>
    <w:rsid w:val="00EE6986"/>
    <w:rsid w:val="00EE6AD1"/>
    <w:rsid w:val="00EE6BF1"/>
    <w:rsid w:val="00EE6C83"/>
    <w:rsid w:val="00EE6CC4"/>
    <w:rsid w:val="00EE6E03"/>
    <w:rsid w:val="00EE747D"/>
    <w:rsid w:val="00EE74F8"/>
    <w:rsid w:val="00EE75DC"/>
    <w:rsid w:val="00EE7675"/>
    <w:rsid w:val="00EE77FD"/>
    <w:rsid w:val="00EE7AE1"/>
    <w:rsid w:val="00EE7B6F"/>
    <w:rsid w:val="00EE7BB4"/>
    <w:rsid w:val="00EE7D92"/>
    <w:rsid w:val="00EE7DA0"/>
    <w:rsid w:val="00EF0039"/>
    <w:rsid w:val="00EF016C"/>
    <w:rsid w:val="00EF01E1"/>
    <w:rsid w:val="00EF01EF"/>
    <w:rsid w:val="00EF0261"/>
    <w:rsid w:val="00EF06C8"/>
    <w:rsid w:val="00EF0929"/>
    <w:rsid w:val="00EF0949"/>
    <w:rsid w:val="00EF0A03"/>
    <w:rsid w:val="00EF0B10"/>
    <w:rsid w:val="00EF0B45"/>
    <w:rsid w:val="00EF0B51"/>
    <w:rsid w:val="00EF0DDA"/>
    <w:rsid w:val="00EF0DDE"/>
    <w:rsid w:val="00EF0E9A"/>
    <w:rsid w:val="00EF0E9D"/>
    <w:rsid w:val="00EF0EC7"/>
    <w:rsid w:val="00EF0EEB"/>
    <w:rsid w:val="00EF0F92"/>
    <w:rsid w:val="00EF1079"/>
    <w:rsid w:val="00EF12D8"/>
    <w:rsid w:val="00EF16BF"/>
    <w:rsid w:val="00EF189E"/>
    <w:rsid w:val="00EF1CD2"/>
    <w:rsid w:val="00EF1CED"/>
    <w:rsid w:val="00EF1E89"/>
    <w:rsid w:val="00EF20F3"/>
    <w:rsid w:val="00EF234C"/>
    <w:rsid w:val="00EF26CC"/>
    <w:rsid w:val="00EF276B"/>
    <w:rsid w:val="00EF27EB"/>
    <w:rsid w:val="00EF2930"/>
    <w:rsid w:val="00EF2AF7"/>
    <w:rsid w:val="00EF2E08"/>
    <w:rsid w:val="00EF3003"/>
    <w:rsid w:val="00EF32CF"/>
    <w:rsid w:val="00EF33CA"/>
    <w:rsid w:val="00EF352B"/>
    <w:rsid w:val="00EF368E"/>
    <w:rsid w:val="00EF3A34"/>
    <w:rsid w:val="00EF400F"/>
    <w:rsid w:val="00EF4244"/>
    <w:rsid w:val="00EF4329"/>
    <w:rsid w:val="00EF4458"/>
    <w:rsid w:val="00EF45E3"/>
    <w:rsid w:val="00EF4A25"/>
    <w:rsid w:val="00EF4AAF"/>
    <w:rsid w:val="00EF4BE4"/>
    <w:rsid w:val="00EF4D48"/>
    <w:rsid w:val="00EF4D67"/>
    <w:rsid w:val="00EF4E8B"/>
    <w:rsid w:val="00EF4F93"/>
    <w:rsid w:val="00EF4FA3"/>
    <w:rsid w:val="00EF520D"/>
    <w:rsid w:val="00EF530B"/>
    <w:rsid w:val="00EF538F"/>
    <w:rsid w:val="00EF546A"/>
    <w:rsid w:val="00EF579F"/>
    <w:rsid w:val="00EF5A00"/>
    <w:rsid w:val="00EF5A0C"/>
    <w:rsid w:val="00EF5A32"/>
    <w:rsid w:val="00EF5A86"/>
    <w:rsid w:val="00EF5B02"/>
    <w:rsid w:val="00EF5C3E"/>
    <w:rsid w:val="00EF5F8D"/>
    <w:rsid w:val="00EF60A0"/>
    <w:rsid w:val="00EF60B7"/>
    <w:rsid w:val="00EF61FC"/>
    <w:rsid w:val="00EF6247"/>
    <w:rsid w:val="00EF65C3"/>
    <w:rsid w:val="00EF6770"/>
    <w:rsid w:val="00EF685C"/>
    <w:rsid w:val="00EF692F"/>
    <w:rsid w:val="00EF6983"/>
    <w:rsid w:val="00EF6A04"/>
    <w:rsid w:val="00EF6A8F"/>
    <w:rsid w:val="00EF6AAB"/>
    <w:rsid w:val="00EF6B55"/>
    <w:rsid w:val="00EF6C2F"/>
    <w:rsid w:val="00EF6CB1"/>
    <w:rsid w:val="00EF6D02"/>
    <w:rsid w:val="00EF6D67"/>
    <w:rsid w:val="00EF6DC2"/>
    <w:rsid w:val="00EF6EF1"/>
    <w:rsid w:val="00EF6F16"/>
    <w:rsid w:val="00EF6FA7"/>
    <w:rsid w:val="00EF7263"/>
    <w:rsid w:val="00EF72CA"/>
    <w:rsid w:val="00EF73BE"/>
    <w:rsid w:val="00EF741A"/>
    <w:rsid w:val="00EF7463"/>
    <w:rsid w:val="00EF7703"/>
    <w:rsid w:val="00EF7812"/>
    <w:rsid w:val="00EF781E"/>
    <w:rsid w:val="00EF78DD"/>
    <w:rsid w:val="00EF7CC0"/>
    <w:rsid w:val="00EF7CED"/>
    <w:rsid w:val="00EF7D25"/>
    <w:rsid w:val="00EF7EBA"/>
    <w:rsid w:val="00EF7F12"/>
    <w:rsid w:val="00F00057"/>
    <w:rsid w:val="00F001BE"/>
    <w:rsid w:val="00F0052E"/>
    <w:rsid w:val="00F005A8"/>
    <w:rsid w:val="00F0066C"/>
    <w:rsid w:val="00F0070E"/>
    <w:rsid w:val="00F007A5"/>
    <w:rsid w:val="00F00AAE"/>
    <w:rsid w:val="00F00AC3"/>
    <w:rsid w:val="00F00C12"/>
    <w:rsid w:val="00F00C3B"/>
    <w:rsid w:val="00F00C6D"/>
    <w:rsid w:val="00F00C88"/>
    <w:rsid w:val="00F00CD9"/>
    <w:rsid w:val="00F00EA9"/>
    <w:rsid w:val="00F00EDD"/>
    <w:rsid w:val="00F00F00"/>
    <w:rsid w:val="00F00F5D"/>
    <w:rsid w:val="00F01116"/>
    <w:rsid w:val="00F0129E"/>
    <w:rsid w:val="00F0131E"/>
    <w:rsid w:val="00F01716"/>
    <w:rsid w:val="00F01828"/>
    <w:rsid w:val="00F018EB"/>
    <w:rsid w:val="00F01D96"/>
    <w:rsid w:val="00F01EF7"/>
    <w:rsid w:val="00F02246"/>
    <w:rsid w:val="00F023AB"/>
    <w:rsid w:val="00F0251C"/>
    <w:rsid w:val="00F0251E"/>
    <w:rsid w:val="00F0262F"/>
    <w:rsid w:val="00F02706"/>
    <w:rsid w:val="00F02932"/>
    <w:rsid w:val="00F02A27"/>
    <w:rsid w:val="00F02A7C"/>
    <w:rsid w:val="00F02A81"/>
    <w:rsid w:val="00F02A85"/>
    <w:rsid w:val="00F02AFA"/>
    <w:rsid w:val="00F02BC2"/>
    <w:rsid w:val="00F02D3E"/>
    <w:rsid w:val="00F02E83"/>
    <w:rsid w:val="00F02FFB"/>
    <w:rsid w:val="00F03110"/>
    <w:rsid w:val="00F03172"/>
    <w:rsid w:val="00F032AD"/>
    <w:rsid w:val="00F0358D"/>
    <w:rsid w:val="00F035F4"/>
    <w:rsid w:val="00F03A35"/>
    <w:rsid w:val="00F03C2B"/>
    <w:rsid w:val="00F03CA8"/>
    <w:rsid w:val="00F03CDA"/>
    <w:rsid w:val="00F03D68"/>
    <w:rsid w:val="00F03F0E"/>
    <w:rsid w:val="00F03FBB"/>
    <w:rsid w:val="00F03FDF"/>
    <w:rsid w:val="00F040E0"/>
    <w:rsid w:val="00F04222"/>
    <w:rsid w:val="00F0426C"/>
    <w:rsid w:val="00F042A8"/>
    <w:rsid w:val="00F04309"/>
    <w:rsid w:val="00F043DC"/>
    <w:rsid w:val="00F0457D"/>
    <w:rsid w:val="00F04648"/>
    <w:rsid w:val="00F0479C"/>
    <w:rsid w:val="00F047E4"/>
    <w:rsid w:val="00F048D4"/>
    <w:rsid w:val="00F04A33"/>
    <w:rsid w:val="00F04B64"/>
    <w:rsid w:val="00F04DBD"/>
    <w:rsid w:val="00F04E89"/>
    <w:rsid w:val="00F04FC9"/>
    <w:rsid w:val="00F04FD1"/>
    <w:rsid w:val="00F05159"/>
    <w:rsid w:val="00F0550C"/>
    <w:rsid w:val="00F05529"/>
    <w:rsid w:val="00F05536"/>
    <w:rsid w:val="00F05657"/>
    <w:rsid w:val="00F056E8"/>
    <w:rsid w:val="00F0590C"/>
    <w:rsid w:val="00F0595D"/>
    <w:rsid w:val="00F05B79"/>
    <w:rsid w:val="00F05BB3"/>
    <w:rsid w:val="00F061BE"/>
    <w:rsid w:val="00F06229"/>
    <w:rsid w:val="00F06308"/>
    <w:rsid w:val="00F063CF"/>
    <w:rsid w:val="00F06625"/>
    <w:rsid w:val="00F06640"/>
    <w:rsid w:val="00F06692"/>
    <w:rsid w:val="00F066AE"/>
    <w:rsid w:val="00F0692F"/>
    <w:rsid w:val="00F06943"/>
    <w:rsid w:val="00F06A77"/>
    <w:rsid w:val="00F06BA3"/>
    <w:rsid w:val="00F06F3F"/>
    <w:rsid w:val="00F06F4E"/>
    <w:rsid w:val="00F07212"/>
    <w:rsid w:val="00F07448"/>
    <w:rsid w:val="00F0745F"/>
    <w:rsid w:val="00F0758C"/>
    <w:rsid w:val="00F0780A"/>
    <w:rsid w:val="00F079FB"/>
    <w:rsid w:val="00F07C10"/>
    <w:rsid w:val="00F07C48"/>
    <w:rsid w:val="00F07D36"/>
    <w:rsid w:val="00F07D9B"/>
    <w:rsid w:val="00F07EC1"/>
    <w:rsid w:val="00F07F46"/>
    <w:rsid w:val="00F07FDC"/>
    <w:rsid w:val="00F1005B"/>
    <w:rsid w:val="00F100C3"/>
    <w:rsid w:val="00F101C7"/>
    <w:rsid w:val="00F102D5"/>
    <w:rsid w:val="00F10453"/>
    <w:rsid w:val="00F10528"/>
    <w:rsid w:val="00F1057E"/>
    <w:rsid w:val="00F1066F"/>
    <w:rsid w:val="00F10685"/>
    <w:rsid w:val="00F106E5"/>
    <w:rsid w:val="00F10948"/>
    <w:rsid w:val="00F109A7"/>
    <w:rsid w:val="00F10A9A"/>
    <w:rsid w:val="00F10AE5"/>
    <w:rsid w:val="00F10B55"/>
    <w:rsid w:val="00F10B99"/>
    <w:rsid w:val="00F10C66"/>
    <w:rsid w:val="00F10C76"/>
    <w:rsid w:val="00F10CA0"/>
    <w:rsid w:val="00F10DDF"/>
    <w:rsid w:val="00F11049"/>
    <w:rsid w:val="00F1114D"/>
    <w:rsid w:val="00F113C1"/>
    <w:rsid w:val="00F114F4"/>
    <w:rsid w:val="00F117A2"/>
    <w:rsid w:val="00F11807"/>
    <w:rsid w:val="00F11916"/>
    <w:rsid w:val="00F11AAE"/>
    <w:rsid w:val="00F11B0A"/>
    <w:rsid w:val="00F11BC1"/>
    <w:rsid w:val="00F11BE1"/>
    <w:rsid w:val="00F11BE2"/>
    <w:rsid w:val="00F11E3E"/>
    <w:rsid w:val="00F11F48"/>
    <w:rsid w:val="00F1208F"/>
    <w:rsid w:val="00F1209B"/>
    <w:rsid w:val="00F120E8"/>
    <w:rsid w:val="00F1213B"/>
    <w:rsid w:val="00F1234B"/>
    <w:rsid w:val="00F12715"/>
    <w:rsid w:val="00F12726"/>
    <w:rsid w:val="00F127E2"/>
    <w:rsid w:val="00F12921"/>
    <w:rsid w:val="00F12C47"/>
    <w:rsid w:val="00F12E11"/>
    <w:rsid w:val="00F12E4C"/>
    <w:rsid w:val="00F12FCC"/>
    <w:rsid w:val="00F131A8"/>
    <w:rsid w:val="00F1327B"/>
    <w:rsid w:val="00F13397"/>
    <w:rsid w:val="00F13420"/>
    <w:rsid w:val="00F13486"/>
    <w:rsid w:val="00F13528"/>
    <w:rsid w:val="00F1366F"/>
    <w:rsid w:val="00F13704"/>
    <w:rsid w:val="00F13772"/>
    <w:rsid w:val="00F1399A"/>
    <w:rsid w:val="00F13AC3"/>
    <w:rsid w:val="00F13B0C"/>
    <w:rsid w:val="00F13B4B"/>
    <w:rsid w:val="00F13BB4"/>
    <w:rsid w:val="00F13C85"/>
    <w:rsid w:val="00F13E2F"/>
    <w:rsid w:val="00F13E5D"/>
    <w:rsid w:val="00F13EA2"/>
    <w:rsid w:val="00F13EC4"/>
    <w:rsid w:val="00F13ED1"/>
    <w:rsid w:val="00F1402D"/>
    <w:rsid w:val="00F14352"/>
    <w:rsid w:val="00F14589"/>
    <w:rsid w:val="00F14609"/>
    <w:rsid w:val="00F14840"/>
    <w:rsid w:val="00F1490F"/>
    <w:rsid w:val="00F1499B"/>
    <w:rsid w:val="00F14C0D"/>
    <w:rsid w:val="00F14EDC"/>
    <w:rsid w:val="00F14F97"/>
    <w:rsid w:val="00F15075"/>
    <w:rsid w:val="00F15210"/>
    <w:rsid w:val="00F15234"/>
    <w:rsid w:val="00F152CD"/>
    <w:rsid w:val="00F1531E"/>
    <w:rsid w:val="00F15322"/>
    <w:rsid w:val="00F155BC"/>
    <w:rsid w:val="00F15662"/>
    <w:rsid w:val="00F15672"/>
    <w:rsid w:val="00F156B7"/>
    <w:rsid w:val="00F157CE"/>
    <w:rsid w:val="00F15961"/>
    <w:rsid w:val="00F1599C"/>
    <w:rsid w:val="00F159A5"/>
    <w:rsid w:val="00F15A96"/>
    <w:rsid w:val="00F15B24"/>
    <w:rsid w:val="00F15C46"/>
    <w:rsid w:val="00F15D0F"/>
    <w:rsid w:val="00F15E5D"/>
    <w:rsid w:val="00F15F75"/>
    <w:rsid w:val="00F1613E"/>
    <w:rsid w:val="00F16187"/>
    <w:rsid w:val="00F1626D"/>
    <w:rsid w:val="00F163AB"/>
    <w:rsid w:val="00F16423"/>
    <w:rsid w:val="00F16474"/>
    <w:rsid w:val="00F164AF"/>
    <w:rsid w:val="00F1653A"/>
    <w:rsid w:val="00F16644"/>
    <w:rsid w:val="00F166EA"/>
    <w:rsid w:val="00F166FD"/>
    <w:rsid w:val="00F167ED"/>
    <w:rsid w:val="00F16897"/>
    <w:rsid w:val="00F16975"/>
    <w:rsid w:val="00F16B2B"/>
    <w:rsid w:val="00F16CBC"/>
    <w:rsid w:val="00F16CF6"/>
    <w:rsid w:val="00F16E52"/>
    <w:rsid w:val="00F16F29"/>
    <w:rsid w:val="00F1709F"/>
    <w:rsid w:val="00F171E4"/>
    <w:rsid w:val="00F171FF"/>
    <w:rsid w:val="00F172A3"/>
    <w:rsid w:val="00F172AB"/>
    <w:rsid w:val="00F1743C"/>
    <w:rsid w:val="00F174A0"/>
    <w:rsid w:val="00F174B5"/>
    <w:rsid w:val="00F174C8"/>
    <w:rsid w:val="00F175BA"/>
    <w:rsid w:val="00F175D7"/>
    <w:rsid w:val="00F17672"/>
    <w:rsid w:val="00F17687"/>
    <w:rsid w:val="00F176A4"/>
    <w:rsid w:val="00F17716"/>
    <w:rsid w:val="00F17789"/>
    <w:rsid w:val="00F1793D"/>
    <w:rsid w:val="00F17972"/>
    <w:rsid w:val="00F17996"/>
    <w:rsid w:val="00F17B1D"/>
    <w:rsid w:val="00F17B34"/>
    <w:rsid w:val="00F17B9C"/>
    <w:rsid w:val="00F17D19"/>
    <w:rsid w:val="00F17DD4"/>
    <w:rsid w:val="00F17E71"/>
    <w:rsid w:val="00F200C4"/>
    <w:rsid w:val="00F202D7"/>
    <w:rsid w:val="00F205D4"/>
    <w:rsid w:val="00F209C7"/>
    <w:rsid w:val="00F21108"/>
    <w:rsid w:val="00F2110F"/>
    <w:rsid w:val="00F211D6"/>
    <w:rsid w:val="00F2126F"/>
    <w:rsid w:val="00F2138F"/>
    <w:rsid w:val="00F21486"/>
    <w:rsid w:val="00F215D1"/>
    <w:rsid w:val="00F2180D"/>
    <w:rsid w:val="00F21B19"/>
    <w:rsid w:val="00F21D20"/>
    <w:rsid w:val="00F21E1F"/>
    <w:rsid w:val="00F22060"/>
    <w:rsid w:val="00F220E7"/>
    <w:rsid w:val="00F22180"/>
    <w:rsid w:val="00F22192"/>
    <w:rsid w:val="00F222C4"/>
    <w:rsid w:val="00F22477"/>
    <w:rsid w:val="00F2265B"/>
    <w:rsid w:val="00F22798"/>
    <w:rsid w:val="00F2288A"/>
    <w:rsid w:val="00F22918"/>
    <w:rsid w:val="00F22AEB"/>
    <w:rsid w:val="00F22B69"/>
    <w:rsid w:val="00F22B7E"/>
    <w:rsid w:val="00F22C26"/>
    <w:rsid w:val="00F22DCC"/>
    <w:rsid w:val="00F22E08"/>
    <w:rsid w:val="00F22E4D"/>
    <w:rsid w:val="00F22F83"/>
    <w:rsid w:val="00F2301E"/>
    <w:rsid w:val="00F23120"/>
    <w:rsid w:val="00F23238"/>
    <w:rsid w:val="00F232A0"/>
    <w:rsid w:val="00F234A8"/>
    <w:rsid w:val="00F234D2"/>
    <w:rsid w:val="00F236CB"/>
    <w:rsid w:val="00F236CF"/>
    <w:rsid w:val="00F23785"/>
    <w:rsid w:val="00F2384C"/>
    <w:rsid w:val="00F23852"/>
    <w:rsid w:val="00F23955"/>
    <w:rsid w:val="00F23A01"/>
    <w:rsid w:val="00F23C33"/>
    <w:rsid w:val="00F23F77"/>
    <w:rsid w:val="00F24137"/>
    <w:rsid w:val="00F24185"/>
    <w:rsid w:val="00F242D3"/>
    <w:rsid w:val="00F2434A"/>
    <w:rsid w:val="00F24388"/>
    <w:rsid w:val="00F2455F"/>
    <w:rsid w:val="00F24648"/>
    <w:rsid w:val="00F249CD"/>
    <w:rsid w:val="00F24A06"/>
    <w:rsid w:val="00F24BB3"/>
    <w:rsid w:val="00F24C0C"/>
    <w:rsid w:val="00F24C49"/>
    <w:rsid w:val="00F25028"/>
    <w:rsid w:val="00F252AA"/>
    <w:rsid w:val="00F25364"/>
    <w:rsid w:val="00F254AA"/>
    <w:rsid w:val="00F254AF"/>
    <w:rsid w:val="00F254DA"/>
    <w:rsid w:val="00F254E2"/>
    <w:rsid w:val="00F2570E"/>
    <w:rsid w:val="00F257D6"/>
    <w:rsid w:val="00F25884"/>
    <w:rsid w:val="00F2590F"/>
    <w:rsid w:val="00F25B29"/>
    <w:rsid w:val="00F25B49"/>
    <w:rsid w:val="00F25C0B"/>
    <w:rsid w:val="00F25CF2"/>
    <w:rsid w:val="00F25CF7"/>
    <w:rsid w:val="00F25E0D"/>
    <w:rsid w:val="00F25F61"/>
    <w:rsid w:val="00F25FD0"/>
    <w:rsid w:val="00F26240"/>
    <w:rsid w:val="00F26241"/>
    <w:rsid w:val="00F26431"/>
    <w:rsid w:val="00F2651A"/>
    <w:rsid w:val="00F2661B"/>
    <w:rsid w:val="00F26929"/>
    <w:rsid w:val="00F269E4"/>
    <w:rsid w:val="00F26AE7"/>
    <w:rsid w:val="00F26C08"/>
    <w:rsid w:val="00F26C21"/>
    <w:rsid w:val="00F26E0E"/>
    <w:rsid w:val="00F26E18"/>
    <w:rsid w:val="00F270FA"/>
    <w:rsid w:val="00F2710D"/>
    <w:rsid w:val="00F271DE"/>
    <w:rsid w:val="00F27403"/>
    <w:rsid w:val="00F27561"/>
    <w:rsid w:val="00F275ED"/>
    <w:rsid w:val="00F2764E"/>
    <w:rsid w:val="00F277C2"/>
    <w:rsid w:val="00F27943"/>
    <w:rsid w:val="00F279A6"/>
    <w:rsid w:val="00F27A20"/>
    <w:rsid w:val="00F27A42"/>
    <w:rsid w:val="00F27A62"/>
    <w:rsid w:val="00F27A64"/>
    <w:rsid w:val="00F27DD0"/>
    <w:rsid w:val="00F27EA5"/>
    <w:rsid w:val="00F27ED1"/>
    <w:rsid w:val="00F30041"/>
    <w:rsid w:val="00F3006E"/>
    <w:rsid w:val="00F3009C"/>
    <w:rsid w:val="00F3024D"/>
    <w:rsid w:val="00F30333"/>
    <w:rsid w:val="00F30346"/>
    <w:rsid w:val="00F30352"/>
    <w:rsid w:val="00F305EE"/>
    <w:rsid w:val="00F30958"/>
    <w:rsid w:val="00F30964"/>
    <w:rsid w:val="00F31126"/>
    <w:rsid w:val="00F311A6"/>
    <w:rsid w:val="00F3134B"/>
    <w:rsid w:val="00F315D4"/>
    <w:rsid w:val="00F31645"/>
    <w:rsid w:val="00F317E6"/>
    <w:rsid w:val="00F31814"/>
    <w:rsid w:val="00F3188A"/>
    <w:rsid w:val="00F318FB"/>
    <w:rsid w:val="00F31A0A"/>
    <w:rsid w:val="00F31A6E"/>
    <w:rsid w:val="00F31BBF"/>
    <w:rsid w:val="00F31C4A"/>
    <w:rsid w:val="00F31C8A"/>
    <w:rsid w:val="00F31D45"/>
    <w:rsid w:val="00F31E73"/>
    <w:rsid w:val="00F31EA8"/>
    <w:rsid w:val="00F31F16"/>
    <w:rsid w:val="00F31F76"/>
    <w:rsid w:val="00F3207C"/>
    <w:rsid w:val="00F32092"/>
    <w:rsid w:val="00F32168"/>
    <w:rsid w:val="00F32418"/>
    <w:rsid w:val="00F32477"/>
    <w:rsid w:val="00F326EB"/>
    <w:rsid w:val="00F32753"/>
    <w:rsid w:val="00F32A42"/>
    <w:rsid w:val="00F32AE9"/>
    <w:rsid w:val="00F32B87"/>
    <w:rsid w:val="00F32B8C"/>
    <w:rsid w:val="00F32BE3"/>
    <w:rsid w:val="00F32CC7"/>
    <w:rsid w:val="00F32EC8"/>
    <w:rsid w:val="00F32F05"/>
    <w:rsid w:val="00F32F35"/>
    <w:rsid w:val="00F330DC"/>
    <w:rsid w:val="00F33265"/>
    <w:rsid w:val="00F3326A"/>
    <w:rsid w:val="00F332CE"/>
    <w:rsid w:val="00F33465"/>
    <w:rsid w:val="00F3372A"/>
    <w:rsid w:val="00F338CE"/>
    <w:rsid w:val="00F33968"/>
    <w:rsid w:val="00F33FE2"/>
    <w:rsid w:val="00F33FFF"/>
    <w:rsid w:val="00F34121"/>
    <w:rsid w:val="00F3418D"/>
    <w:rsid w:val="00F3424C"/>
    <w:rsid w:val="00F3425F"/>
    <w:rsid w:val="00F34382"/>
    <w:rsid w:val="00F34551"/>
    <w:rsid w:val="00F34672"/>
    <w:rsid w:val="00F3480A"/>
    <w:rsid w:val="00F3481C"/>
    <w:rsid w:val="00F348A8"/>
    <w:rsid w:val="00F34AD2"/>
    <w:rsid w:val="00F34EC0"/>
    <w:rsid w:val="00F34F75"/>
    <w:rsid w:val="00F35159"/>
    <w:rsid w:val="00F351AA"/>
    <w:rsid w:val="00F351AE"/>
    <w:rsid w:val="00F35362"/>
    <w:rsid w:val="00F3537A"/>
    <w:rsid w:val="00F3543C"/>
    <w:rsid w:val="00F355D6"/>
    <w:rsid w:val="00F35701"/>
    <w:rsid w:val="00F3572D"/>
    <w:rsid w:val="00F35764"/>
    <w:rsid w:val="00F35813"/>
    <w:rsid w:val="00F35891"/>
    <w:rsid w:val="00F358FE"/>
    <w:rsid w:val="00F35A90"/>
    <w:rsid w:val="00F35BCB"/>
    <w:rsid w:val="00F35BE1"/>
    <w:rsid w:val="00F35C3A"/>
    <w:rsid w:val="00F35C61"/>
    <w:rsid w:val="00F35C72"/>
    <w:rsid w:val="00F35CBB"/>
    <w:rsid w:val="00F35F06"/>
    <w:rsid w:val="00F35F23"/>
    <w:rsid w:val="00F35F8A"/>
    <w:rsid w:val="00F35FF5"/>
    <w:rsid w:val="00F3613C"/>
    <w:rsid w:val="00F3618F"/>
    <w:rsid w:val="00F361F6"/>
    <w:rsid w:val="00F36288"/>
    <w:rsid w:val="00F36397"/>
    <w:rsid w:val="00F3647A"/>
    <w:rsid w:val="00F36480"/>
    <w:rsid w:val="00F3668D"/>
    <w:rsid w:val="00F36702"/>
    <w:rsid w:val="00F3674C"/>
    <w:rsid w:val="00F367C3"/>
    <w:rsid w:val="00F367DE"/>
    <w:rsid w:val="00F368C6"/>
    <w:rsid w:val="00F36993"/>
    <w:rsid w:val="00F3699A"/>
    <w:rsid w:val="00F369F2"/>
    <w:rsid w:val="00F36A40"/>
    <w:rsid w:val="00F36B7F"/>
    <w:rsid w:val="00F36BF2"/>
    <w:rsid w:val="00F36C43"/>
    <w:rsid w:val="00F36C5F"/>
    <w:rsid w:val="00F36DE4"/>
    <w:rsid w:val="00F36E3B"/>
    <w:rsid w:val="00F3704B"/>
    <w:rsid w:val="00F370A7"/>
    <w:rsid w:val="00F372B3"/>
    <w:rsid w:val="00F3736F"/>
    <w:rsid w:val="00F375E0"/>
    <w:rsid w:val="00F3789C"/>
    <w:rsid w:val="00F37994"/>
    <w:rsid w:val="00F37A56"/>
    <w:rsid w:val="00F37CAB"/>
    <w:rsid w:val="00F37DEA"/>
    <w:rsid w:val="00F37E26"/>
    <w:rsid w:val="00F37E67"/>
    <w:rsid w:val="00F37E91"/>
    <w:rsid w:val="00F40138"/>
    <w:rsid w:val="00F402AE"/>
    <w:rsid w:val="00F4039E"/>
    <w:rsid w:val="00F40437"/>
    <w:rsid w:val="00F404C6"/>
    <w:rsid w:val="00F40501"/>
    <w:rsid w:val="00F40612"/>
    <w:rsid w:val="00F40741"/>
    <w:rsid w:val="00F407C2"/>
    <w:rsid w:val="00F40982"/>
    <w:rsid w:val="00F40B11"/>
    <w:rsid w:val="00F40E88"/>
    <w:rsid w:val="00F40F0C"/>
    <w:rsid w:val="00F411E0"/>
    <w:rsid w:val="00F411F2"/>
    <w:rsid w:val="00F413BA"/>
    <w:rsid w:val="00F4163E"/>
    <w:rsid w:val="00F4168D"/>
    <w:rsid w:val="00F416C6"/>
    <w:rsid w:val="00F416FD"/>
    <w:rsid w:val="00F4177C"/>
    <w:rsid w:val="00F418F5"/>
    <w:rsid w:val="00F41AEA"/>
    <w:rsid w:val="00F41B3A"/>
    <w:rsid w:val="00F41B4C"/>
    <w:rsid w:val="00F41CA2"/>
    <w:rsid w:val="00F41CDF"/>
    <w:rsid w:val="00F41DC9"/>
    <w:rsid w:val="00F41E32"/>
    <w:rsid w:val="00F41FF0"/>
    <w:rsid w:val="00F42082"/>
    <w:rsid w:val="00F4223C"/>
    <w:rsid w:val="00F42256"/>
    <w:rsid w:val="00F42677"/>
    <w:rsid w:val="00F4270D"/>
    <w:rsid w:val="00F42716"/>
    <w:rsid w:val="00F427FC"/>
    <w:rsid w:val="00F4283C"/>
    <w:rsid w:val="00F42914"/>
    <w:rsid w:val="00F429C8"/>
    <w:rsid w:val="00F42A29"/>
    <w:rsid w:val="00F42BAC"/>
    <w:rsid w:val="00F430A7"/>
    <w:rsid w:val="00F431DD"/>
    <w:rsid w:val="00F43213"/>
    <w:rsid w:val="00F43241"/>
    <w:rsid w:val="00F43283"/>
    <w:rsid w:val="00F434B4"/>
    <w:rsid w:val="00F4352E"/>
    <w:rsid w:val="00F4354D"/>
    <w:rsid w:val="00F4357F"/>
    <w:rsid w:val="00F436AB"/>
    <w:rsid w:val="00F43721"/>
    <w:rsid w:val="00F4374A"/>
    <w:rsid w:val="00F4377F"/>
    <w:rsid w:val="00F4381A"/>
    <w:rsid w:val="00F43848"/>
    <w:rsid w:val="00F439A1"/>
    <w:rsid w:val="00F43A76"/>
    <w:rsid w:val="00F43BCD"/>
    <w:rsid w:val="00F43C50"/>
    <w:rsid w:val="00F43C90"/>
    <w:rsid w:val="00F43E02"/>
    <w:rsid w:val="00F43E9E"/>
    <w:rsid w:val="00F43EA4"/>
    <w:rsid w:val="00F43F12"/>
    <w:rsid w:val="00F43F78"/>
    <w:rsid w:val="00F43FA2"/>
    <w:rsid w:val="00F44012"/>
    <w:rsid w:val="00F4407F"/>
    <w:rsid w:val="00F44338"/>
    <w:rsid w:val="00F4437F"/>
    <w:rsid w:val="00F443CC"/>
    <w:rsid w:val="00F444EB"/>
    <w:rsid w:val="00F44614"/>
    <w:rsid w:val="00F44B71"/>
    <w:rsid w:val="00F44D5F"/>
    <w:rsid w:val="00F44D63"/>
    <w:rsid w:val="00F44D87"/>
    <w:rsid w:val="00F44E09"/>
    <w:rsid w:val="00F4513B"/>
    <w:rsid w:val="00F452A3"/>
    <w:rsid w:val="00F453AF"/>
    <w:rsid w:val="00F45406"/>
    <w:rsid w:val="00F45601"/>
    <w:rsid w:val="00F457C9"/>
    <w:rsid w:val="00F457EE"/>
    <w:rsid w:val="00F458B7"/>
    <w:rsid w:val="00F45996"/>
    <w:rsid w:val="00F459A1"/>
    <w:rsid w:val="00F45A0B"/>
    <w:rsid w:val="00F45A62"/>
    <w:rsid w:val="00F45ECA"/>
    <w:rsid w:val="00F45F4E"/>
    <w:rsid w:val="00F46020"/>
    <w:rsid w:val="00F460DC"/>
    <w:rsid w:val="00F46242"/>
    <w:rsid w:val="00F46284"/>
    <w:rsid w:val="00F46426"/>
    <w:rsid w:val="00F46530"/>
    <w:rsid w:val="00F46550"/>
    <w:rsid w:val="00F4666F"/>
    <w:rsid w:val="00F46931"/>
    <w:rsid w:val="00F46B66"/>
    <w:rsid w:val="00F46B86"/>
    <w:rsid w:val="00F46D8D"/>
    <w:rsid w:val="00F46E04"/>
    <w:rsid w:val="00F470E5"/>
    <w:rsid w:val="00F4712B"/>
    <w:rsid w:val="00F4722D"/>
    <w:rsid w:val="00F4746A"/>
    <w:rsid w:val="00F475B8"/>
    <w:rsid w:val="00F47779"/>
    <w:rsid w:val="00F47B2D"/>
    <w:rsid w:val="00F47BF0"/>
    <w:rsid w:val="00F47F34"/>
    <w:rsid w:val="00F5007C"/>
    <w:rsid w:val="00F50177"/>
    <w:rsid w:val="00F50225"/>
    <w:rsid w:val="00F5023C"/>
    <w:rsid w:val="00F503C2"/>
    <w:rsid w:val="00F50400"/>
    <w:rsid w:val="00F504FD"/>
    <w:rsid w:val="00F50526"/>
    <w:rsid w:val="00F50543"/>
    <w:rsid w:val="00F50546"/>
    <w:rsid w:val="00F505BF"/>
    <w:rsid w:val="00F5073C"/>
    <w:rsid w:val="00F507B0"/>
    <w:rsid w:val="00F5090A"/>
    <w:rsid w:val="00F50BE8"/>
    <w:rsid w:val="00F50C2B"/>
    <w:rsid w:val="00F50D1C"/>
    <w:rsid w:val="00F50D27"/>
    <w:rsid w:val="00F50D49"/>
    <w:rsid w:val="00F50D57"/>
    <w:rsid w:val="00F50F8E"/>
    <w:rsid w:val="00F511B0"/>
    <w:rsid w:val="00F5120A"/>
    <w:rsid w:val="00F512D3"/>
    <w:rsid w:val="00F512D6"/>
    <w:rsid w:val="00F514A3"/>
    <w:rsid w:val="00F515F0"/>
    <w:rsid w:val="00F516FD"/>
    <w:rsid w:val="00F5178C"/>
    <w:rsid w:val="00F51A53"/>
    <w:rsid w:val="00F51B40"/>
    <w:rsid w:val="00F51B9E"/>
    <w:rsid w:val="00F51BA5"/>
    <w:rsid w:val="00F51C93"/>
    <w:rsid w:val="00F51CD8"/>
    <w:rsid w:val="00F51DD8"/>
    <w:rsid w:val="00F51E26"/>
    <w:rsid w:val="00F51F0C"/>
    <w:rsid w:val="00F52101"/>
    <w:rsid w:val="00F522FB"/>
    <w:rsid w:val="00F52415"/>
    <w:rsid w:val="00F5248F"/>
    <w:rsid w:val="00F5267B"/>
    <w:rsid w:val="00F52735"/>
    <w:rsid w:val="00F529DC"/>
    <w:rsid w:val="00F52ACC"/>
    <w:rsid w:val="00F52C65"/>
    <w:rsid w:val="00F52CF7"/>
    <w:rsid w:val="00F52DEB"/>
    <w:rsid w:val="00F52FD1"/>
    <w:rsid w:val="00F53023"/>
    <w:rsid w:val="00F53067"/>
    <w:rsid w:val="00F53100"/>
    <w:rsid w:val="00F53288"/>
    <w:rsid w:val="00F53381"/>
    <w:rsid w:val="00F5340F"/>
    <w:rsid w:val="00F53614"/>
    <w:rsid w:val="00F53653"/>
    <w:rsid w:val="00F536AF"/>
    <w:rsid w:val="00F536F5"/>
    <w:rsid w:val="00F5387C"/>
    <w:rsid w:val="00F5389A"/>
    <w:rsid w:val="00F5395E"/>
    <w:rsid w:val="00F53A09"/>
    <w:rsid w:val="00F53C38"/>
    <w:rsid w:val="00F53C6D"/>
    <w:rsid w:val="00F53F4E"/>
    <w:rsid w:val="00F53FA8"/>
    <w:rsid w:val="00F540BE"/>
    <w:rsid w:val="00F540ED"/>
    <w:rsid w:val="00F543D4"/>
    <w:rsid w:val="00F546F1"/>
    <w:rsid w:val="00F54856"/>
    <w:rsid w:val="00F5492A"/>
    <w:rsid w:val="00F54974"/>
    <w:rsid w:val="00F54991"/>
    <w:rsid w:val="00F549E6"/>
    <w:rsid w:val="00F54C51"/>
    <w:rsid w:val="00F54C95"/>
    <w:rsid w:val="00F54CFA"/>
    <w:rsid w:val="00F54D2B"/>
    <w:rsid w:val="00F54E36"/>
    <w:rsid w:val="00F54E47"/>
    <w:rsid w:val="00F54E95"/>
    <w:rsid w:val="00F54F43"/>
    <w:rsid w:val="00F5500A"/>
    <w:rsid w:val="00F55038"/>
    <w:rsid w:val="00F550B2"/>
    <w:rsid w:val="00F55382"/>
    <w:rsid w:val="00F55764"/>
    <w:rsid w:val="00F559BB"/>
    <w:rsid w:val="00F559C9"/>
    <w:rsid w:val="00F55A6D"/>
    <w:rsid w:val="00F55B77"/>
    <w:rsid w:val="00F55B82"/>
    <w:rsid w:val="00F55BC0"/>
    <w:rsid w:val="00F55BEA"/>
    <w:rsid w:val="00F55BEC"/>
    <w:rsid w:val="00F55BEE"/>
    <w:rsid w:val="00F55C0E"/>
    <w:rsid w:val="00F55C19"/>
    <w:rsid w:val="00F561B4"/>
    <w:rsid w:val="00F56227"/>
    <w:rsid w:val="00F5626D"/>
    <w:rsid w:val="00F56299"/>
    <w:rsid w:val="00F56432"/>
    <w:rsid w:val="00F56979"/>
    <w:rsid w:val="00F569FC"/>
    <w:rsid w:val="00F56D8C"/>
    <w:rsid w:val="00F56EA1"/>
    <w:rsid w:val="00F56EFB"/>
    <w:rsid w:val="00F56F07"/>
    <w:rsid w:val="00F56F22"/>
    <w:rsid w:val="00F56F55"/>
    <w:rsid w:val="00F57085"/>
    <w:rsid w:val="00F5732B"/>
    <w:rsid w:val="00F5733D"/>
    <w:rsid w:val="00F5738F"/>
    <w:rsid w:val="00F573E2"/>
    <w:rsid w:val="00F57566"/>
    <w:rsid w:val="00F577C7"/>
    <w:rsid w:val="00F57A1D"/>
    <w:rsid w:val="00F57A94"/>
    <w:rsid w:val="00F57B4E"/>
    <w:rsid w:val="00F57E43"/>
    <w:rsid w:val="00F57FBF"/>
    <w:rsid w:val="00F6008B"/>
    <w:rsid w:val="00F600EA"/>
    <w:rsid w:val="00F60237"/>
    <w:rsid w:val="00F6037F"/>
    <w:rsid w:val="00F603AD"/>
    <w:rsid w:val="00F603DB"/>
    <w:rsid w:val="00F60511"/>
    <w:rsid w:val="00F606DD"/>
    <w:rsid w:val="00F6096E"/>
    <w:rsid w:val="00F60A04"/>
    <w:rsid w:val="00F60B24"/>
    <w:rsid w:val="00F60B43"/>
    <w:rsid w:val="00F60C22"/>
    <w:rsid w:val="00F60C7E"/>
    <w:rsid w:val="00F60DC3"/>
    <w:rsid w:val="00F60EA5"/>
    <w:rsid w:val="00F60F0B"/>
    <w:rsid w:val="00F61010"/>
    <w:rsid w:val="00F61097"/>
    <w:rsid w:val="00F61318"/>
    <w:rsid w:val="00F61370"/>
    <w:rsid w:val="00F61371"/>
    <w:rsid w:val="00F614AA"/>
    <w:rsid w:val="00F614BC"/>
    <w:rsid w:val="00F614E3"/>
    <w:rsid w:val="00F61521"/>
    <w:rsid w:val="00F61687"/>
    <w:rsid w:val="00F61753"/>
    <w:rsid w:val="00F6193F"/>
    <w:rsid w:val="00F61A77"/>
    <w:rsid w:val="00F61D9E"/>
    <w:rsid w:val="00F61DC9"/>
    <w:rsid w:val="00F621CE"/>
    <w:rsid w:val="00F623A7"/>
    <w:rsid w:val="00F623DB"/>
    <w:rsid w:val="00F62408"/>
    <w:rsid w:val="00F6250D"/>
    <w:rsid w:val="00F626B4"/>
    <w:rsid w:val="00F6270F"/>
    <w:rsid w:val="00F62785"/>
    <w:rsid w:val="00F62918"/>
    <w:rsid w:val="00F62B44"/>
    <w:rsid w:val="00F62C88"/>
    <w:rsid w:val="00F62CF2"/>
    <w:rsid w:val="00F6300C"/>
    <w:rsid w:val="00F630B3"/>
    <w:rsid w:val="00F63460"/>
    <w:rsid w:val="00F63493"/>
    <w:rsid w:val="00F63A1B"/>
    <w:rsid w:val="00F63A6A"/>
    <w:rsid w:val="00F63AE5"/>
    <w:rsid w:val="00F63FAE"/>
    <w:rsid w:val="00F640D1"/>
    <w:rsid w:val="00F640EC"/>
    <w:rsid w:val="00F64119"/>
    <w:rsid w:val="00F6417D"/>
    <w:rsid w:val="00F6423B"/>
    <w:rsid w:val="00F64297"/>
    <w:rsid w:val="00F642E3"/>
    <w:rsid w:val="00F6446A"/>
    <w:rsid w:val="00F64499"/>
    <w:rsid w:val="00F644F2"/>
    <w:rsid w:val="00F64930"/>
    <w:rsid w:val="00F64BB3"/>
    <w:rsid w:val="00F64C31"/>
    <w:rsid w:val="00F64CE9"/>
    <w:rsid w:val="00F64D55"/>
    <w:rsid w:val="00F64E13"/>
    <w:rsid w:val="00F64E98"/>
    <w:rsid w:val="00F650FE"/>
    <w:rsid w:val="00F65209"/>
    <w:rsid w:val="00F65328"/>
    <w:rsid w:val="00F654D0"/>
    <w:rsid w:val="00F657EF"/>
    <w:rsid w:val="00F65A71"/>
    <w:rsid w:val="00F65ADF"/>
    <w:rsid w:val="00F65BAA"/>
    <w:rsid w:val="00F65C05"/>
    <w:rsid w:val="00F65CA2"/>
    <w:rsid w:val="00F65CC4"/>
    <w:rsid w:val="00F65F82"/>
    <w:rsid w:val="00F65FDC"/>
    <w:rsid w:val="00F6605E"/>
    <w:rsid w:val="00F66126"/>
    <w:rsid w:val="00F6619F"/>
    <w:rsid w:val="00F661EF"/>
    <w:rsid w:val="00F6628B"/>
    <w:rsid w:val="00F66345"/>
    <w:rsid w:val="00F66368"/>
    <w:rsid w:val="00F663D3"/>
    <w:rsid w:val="00F664E5"/>
    <w:rsid w:val="00F66542"/>
    <w:rsid w:val="00F665F8"/>
    <w:rsid w:val="00F6660F"/>
    <w:rsid w:val="00F66627"/>
    <w:rsid w:val="00F66670"/>
    <w:rsid w:val="00F666BE"/>
    <w:rsid w:val="00F669A3"/>
    <w:rsid w:val="00F66AC8"/>
    <w:rsid w:val="00F66BEF"/>
    <w:rsid w:val="00F66E07"/>
    <w:rsid w:val="00F66F29"/>
    <w:rsid w:val="00F670BD"/>
    <w:rsid w:val="00F67213"/>
    <w:rsid w:val="00F67292"/>
    <w:rsid w:val="00F673EA"/>
    <w:rsid w:val="00F677F1"/>
    <w:rsid w:val="00F67824"/>
    <w:rsid w:val="00F67AB7"/>
    <w:rsid w:val="00F67C37"/>
    <w:rsid w:val="00F67E58"/>
    <w:rsid w:val="00F7000A"/>
    <w:rsid w:val="00F700A1"/>
    <w:rsid w:val="00F701E5"/>
    <w:rsid w:val="00F7020A"/>
    <w:rsid w:val="00F70381"/>
    <w:rsid w:val="00F703B5"/>
    <w:rsid w:val="00F70408"/>
    <w:rsid w:val="00F705AE"/>
    <w:rsid w:val="00F7083C"/>
    <w:rsid w:val="00F709FA"/>
    <w:rsid w:val="00F70A8B"/>
    <w:rsid w:val="00F70AA1"/>
    <w:rsid w:val="00F70D70"/>
    <w:rsid w:val="00F70DA6"/>
    <w:rsid w:val="00F70ECA"/>
    <w:rsid w:val="00F70F28"/>
    <w:rsid w:val="00F70F86"/>
    <w:rsid w:val="00F71386"/>
    <w:rsid w:val="00F71392"/>
    <w:rsid w:val="00F71524"/>
    <w:rsid w:val="00F71567"/>
    <w:rsid w:val="00F71599"/>
    <w:rsid w:val="00F718ED"/>
    <w:rsid w:val="00F71A9C"/>
    <w:rsid w:val="00F71ADB"/>
    <w:rsid w:val="00F71B47"/>
    <w:rsid w:val="00F720E0"/>
    <w:rsid w:val="00F720EE"/>
    <w:rsid w:val="00F721E4"/>
    <w:rsid w:val="00F722DB"/>
    <w:rsid w:val="00F72315"/>
    <w:rsid w:val="00F72381"/>
    <w:rsid w:val="00F72438"/>
    <w:rsid w:val="00F72513"/>
    <w:rsid w:val="00F72531"/>
    <w:rsid w:val="00F725C7"/>
    <w:rsid w:val="00F72712"/>
    <w:rsid w:val="00F72756"/>
    <w:rsid w:val="00F7286D"/>
    <w:rsid w:val="00F72889"/>
    <w:rsid w:val="00F728AC"/>
    <w:rsid w:val="00F729D2"/>
    <w:rsid w:val="00F72BB5"/>
    <w:rsid w:val="00F72C97"/>
    <w:rsid w:val="00F72DAB"/>
    <w:rsid w:val="00F72E0A"/>
    <w:rsid w:val="00F72E54"/>
    <w:rsid w:val="00F72E9F"/>
    <w:rsid w:val="00F72F51"/>
    <w:rsid w:val="00F73416"/>
    <w:rsid w:val="00F73667"/>
    <w:rsid w:val="00F737C7"/>
    <w:rsid w:val="00F737DE"/>
    <w:rsid w:val="00F738E4"/>
    <w:rsid w:val="00F73931"/>
    <w:rsid w:val="00F73A3C"/>
    <w:rsid w:val="00F73C71"/>
    <w:rsid w:val="00F73CE5"/>
    <w:rsid w:val="00F73DA9"/>
    <w:rsid w:val="00F73FD5"/>
    <w:rsid w:val="00F74162"/>
    <w:rsid w:val="00F741BF"/>
    <w:rsid w:val="00F7431B"/>
    <w:rsid w:val="00F7434F"/>
    <w:rsid w:val="00F743CB"/>
    <w:rsid w:val="00F74508"/>
    <w:rsid w:val="00F7483E"/>
    <w:rsid w:val="00F7497C"/>
    <w:rsid w:val="00F74C6C"/>
    <w:rsid w:val="00F74E36"/>
    <w:rsid w:val="00F74EB3"/>
    <w:rsid w:val="00F74F00"/>
    <w:rsid w:val="00F75014"/>
    <w:rsid w:val="00F75182"/>
    <w:rsid w:val="00F75197"/>
    <w:rsid w:val="00F752F6"/>
    <w:rsid w:val="00F7530E"/>
    <w:rsid w:val="00F7532D"/>
    <w:rsid w:val="00F7535D"/>
    <w:rsid w:val="00F7550D"/>
    <w:rsid w:val="00F75649"/>
    <w:rsid w:val="00F75660"/>
    <w:rsid w:val="00F757F4"/>
    <w:rsid w:val="00F7597C"/>
    <w:rsid w:val="00F759C0"/>
    <w:rsid w:val="00F759CC"/>
    <w:rsid w:val="00F75AC7"/>
    <w:rsid w:val="00F75B68"/>
    <w:rsid w:val="00F75BC5"/>
    <w:rsid w:val="00F75D20"/>
    <w:rsid w:val="00F75D88"/>
    <w:rsid w:val="00F75F1D"/>
    <w:rsid w:val="00F76267"/>
    <w:rsid w:val="00F76324"/>
    <w:rsid w:val="00F7645B"/>
    <w:rsid w:val="00F7684D"/>
    <w:rsid w:val="00F7692C"/>
    <w:rsid w:val="00F76AB8"/>
    <w:rsid w:val="00F76B87"/>
    <w:rsid w:val="00F76CDF"/>
    <w:rsid w:val="00F76D12"/>
    <w:rsid w:val="00F76D7C"/>
    <w:rsid w:val="00F76F3B"/>
    <w:rsid w:val="00F77023"/>
    <w:rsid w:val="00F77025"/>
    <w:rsid w:val="00F77047"/>
    <w:rsid w:val="00F773D4"/>
    <w:rsid w:val="00F7744C"/>
    <w:rsid w:val="00F774DD"/>
    <w:rsid w:val="00F77511"/>
    <w:rsid w:val="00F7752A"/>
    <w:rsid w:val="00F77578"/>
    <w:rsid w:val="00F777D8"/>
    <w:rsid w:val="00F777D9"/>
    <w:rsid w:val="00F77914"/>
    <w:rsid w:val="00F77955"/>
    <w:rsid w:val="00F77A2C"/>
    <w:rsid w:val="00F77A75"/>
    <w:rsid w:val="00F77B70"/>
    <w:rsid w:val="00F77C62"/>
    <w:rsid w:val="00F77D08"/>
    <w:rsid w:val="00F77F67"/>
    <w:rsid w:val="00F801F5"/>
    <w:rsid w:val="00F80276"/>
    <w:rsid w:val="00F8043F"/>
    <w:rsid w:val="00F8052E"/>
    <w:rsid w:val="00F805D1"/>
    <w:rsid w:val="00F80828"/>
    <w:rsid w:val="00F808F4"/>
    <w:rsid w:val="00F80909"/>
    <w:rsid w:val="00F80A29"/>
    <w:rsid w:val="00F80B00"/>
    <w:rsid w:val="00F80B0E"/>
    <w:rsid w:val="00F80C54"/>
    <w:rsid w:val="00F80E93"/>
    <w:rsid w:val="00F80EA1"/>
    <w:rsid w:val="00F80F54"/>
    <w:rsid w:val="00F80F59"/>
    <w:rsid w:val="00F80F5E"/>
    <w:rsid w:val="00F80F87"/>
    <w:rsid w:val="00F80F93"/>
    <w:rsid w:val="00F8125A"/>
    <w:rsid w:val="00F812A2"/>
    <w:rsid w:val="00F815B3"/>
    <w:rsid w:val="00F81620"/>
    <w:rsid w:val="00F816EE"/>
    <w:rsid w:val="00F816FC"/>
    <w:rsid w:val="00F817FD"/>
    <w:rsid w:val="00F81A94"/>
    <w:rsid w:val="00F81CC2"/>
    <w:rsid w:val="00F81D37"/>
    <w:rsid w:val="00F81D7D"/>
    <w:rsid w:val="00F820EF"/>
    <w:rsid w:val="00F821D0"/>
    <w:rsid w:val="00F822EF"/>
    <w:rsid w:val="00F8235D"/>
    <w:rsid w:val="00F823BB"/>
    <w:rsid w:val="00F8294E"/>
    <w:rsid w:val="00F8298A"/>
    <w:rsid w:val="00F82A60"/>
    <w:rsid w:val="00F82AF5"/>
    <w:rsid w:val="00F82BEA"/>
    <w:rsid w:val="00F82C97"/>
    <w:rsid w:val="00F82D89"/>
    <w:rsid w:val="00F82D96"/>
    <w:rsid w:val="00F82E16"/>
    <w:rsid w:val="00F82E76"/>
    <w:rsid w:val="00F8324C"/>
    <w:rsid w:val="00F832DF"/>
    <w:rsid w:val="00F834CD"/>
    <w:rsid w:val="00F835A7"/>
    <w:rsid w:val="00F836E6"/>
    <w:rsid w:val="00F8373C"/>
    <w:rsid w:val="00F8374E"/>
    <w:rsid w:val="00F83801"/>
    <w:rsid w:val="00F83834"/>
    <w:rsid w:val="00F83841"/>
    <w:rsid w:val="00F83949"/>
    <w:rsid w:val="00F83B88"/>
    <w:rsid w:val="00F83C37"/>
    <w:rsid w:val="00F83C47"/>
    <w:rsid w:val="00F83FAB"/>
    <w:rsid w:val="00F83FC2"/>
    <w:rsid w:val="00F84087"/>
    <w:rsid w:val="00F840A3"/>
    <w:rsid w:val="00F8448F"/>
    <w:rsid w:val="00F8458F"/>
    <w:rsid w:val="00F845C7"/>
    <w:rsid w:val="00F845E9"/>
    <w:rsid w:val="00F84640"/>
    <w:rsid w:val="00F848C3"/>
    <w:rsid w:val="00F8496B"/>
    <w:rsid w:val="00F849AF"/>
    <w:rsid w:val="00F84AB5"/>
    <w:rsid w:val="00F84DC6"/>
    <w:rsid w:val="00F85020"/>
    <w:rsid w:val="00F85122"/>
    <w:rsid w:val="00F8519D"/>
    <w:rsid w:val="00F85416"/>
    <w:rsid w:val="00F8549C"/>
    <w:rsid w:val="00F8549E"/>
    <w:rsid w:val="00F85583"/>
    <w:rsid w:val="00F85670"/>
    <w:rsid w:val="00F856AB"/>
    <w:rsid w:val="00F856AF"/>
    <w:rsid w:val="00F857C6"/>
    <w:rsid w:val="00F85820"/>
    <w:rsid w:val="00F85849"/>
    <w:rsid w:val="00F85972"/>
    <w:rsid w:val="00F859AF"/>
    <w:rsid w:val="00F85A61"/>
    <w:rsid w:val="00F85A6D"/>
    <w:rsid w:val="00F85ADE"/>
    <w:rsid w:val="00F85B10"/>
    <w:rsid w:val="00F85C09"/>
    <w:rsid w:val="00F85C9B"/>
    <w:rsid w:val="00F85D40"/>
    <w:rsid w:val="00F85DA7"/>
    <w:rsid w:val="00F85F90"/>
    <w:rsid w:val="00F85FC4"/>
    <w:rsid w:val="00F86604"/>
    <w:rsid w:val="00F8680D"/>
    <w:rsid w:val="00F86A14"/>
    <w:rsid w:val="00F86D0B"/>
    <w:rsid w:val="00F86DF7"/>
    <w:rsid w:val="00F86E10"/>
    <w:rsid w:val="00F86EDF"/>
    <w:rsid w:val="00F870DB"/>
    <w:rsid w:val="00F872B0"/>
    <w:rsid w:val="00F872D1"/>
    <w:rsid w:val="00F87405"/>
    <w:rsid w:val="00F87477"/>
    <w:rsid w:val="00F8767B"/>
    <w:rsid w:val="00F8776A"/>
    <w:rsid w:val="00F87793"/>
    <w:rsid w:val="00F87804"/>
    <w:rsid w:val="00F87887"/>
    <w:rsid w:val="00F878E0"/>
    <w:rsid w:val="00F879A3"/>
    <w:rsid w:val="00F87AB2"/>
    <w:rsid w:val="00F87AE8"/>
    <w:rsid w:val="00F87C5A"/>
    <w:rsid w:val="00F87C74"/>
    <w:rsid w:val="00F87CD6"/>
    <w:rsid w:val="00F87DAB"/>
    <w:rsid w:val="00F87EA6"/>
    <w:rsid w:val="00F87EA8"/>
    <w:rsid w:val="00F87F07"/>
    <w:rsid w:val="00F87F2B"/>
    <w:rsid w:val="00F901C9"/>
    <w:rsid w:val="00F9028A"/>
    <w:rsid w:val="00F9037B"/>
    <w:rsid w:val="00F90465"/>
    <w:rsid w:val="00F905B1"/>
    <w:rsid w:val="00F905DD"/>
    <w:rsid w:val="00F907EA"/>
    <w:rsid w:val="00F90853"/>
    <w:rsid w:val="00F90BC0"/>
    <w:rsid w:val="00F90E1C"/>
    <w:rsid w:val="00F90E8D"/>
    <w:rsid w:val="00F90F47"/>
    <w:rsid w:val="00F90F70"/>
    <w:rsid w:val="00F90F92"/>
    <w:rsid w:val="00F9105E"/>
    <w:rsid w:val="00F91140"/>
    <w:rsid w:val="00F911BA"/>
    <w:rsid w:val="00F911ED"/>
    <w:rsid w:val="00F91263"/>
    <w:rsid w:val="00F91301"/>
    <w:rsid w:val="00F913E6"/>
    <w:rsid w:val="00F91665"/>
    <w:rsid w:val="00F916FB"/>
    <w:rsid w:val="00F9183A"/>
    <w:rsid w:val="00F9184C"/>
    <w:rsid w:val="00F91A64"/>
    <w:rsid w:val="00F91C62"/>
    <w:rsid w:val="00F91C7D"/>
    <w:rsid w:val="00F91EAF"/>
    <w:rsid w:val="00F91FCF"/>
    <w:rsid w:val="00F921AB"/>
    <w:rsid w:val="00F92236"/>
    <w:rsid w:val="00F92379"/>
    <w:rsid w:val="00F9249E"/>
    <w:rsid w:val="00F924A2"/>
    <w:rsid w:val="00F92569"/>
    <w:rsid w:val="00F925DD"/>
    <w:rsid w:val="00F92789"/>
    <w:rsid w:val="00F927A9"/>
    <w:rsid w:val="00F9285D"/>
    <w:rsid w:val="00F92DDD"/>
    <w:rsid w:val="00F92FBC"/>
    <w:rsid w:val="00F92FF6"/>
    <w:rsid w:val="00F9320C"/>
    <w:rsid w:val="00F933FF"/>
    <w:rsid w:val="00F93456"/>
    <w:rsid w:val="00F935CB"/>
    <w:rsid w:val="00F93838"/>
    <w:rsid w:val="00F93956"/>
    <w:rsid w:val="00F93975"/>
    <w:rsid w:val="00F93BA2"/>
    <w:rsid w:val="00F93D66"/>
    <w:rsid w:val="00F93DA7"/>
    <w:rsid w:val="00F93E90"/>
    <w:rsid w:val="00F93ED3"/>
    <w:rsid w:val="00F93F26"/>
    <w:rsid w:val="00F94258"/>
    <w:rsid w:val="00F94331"/>
    <w:rsid w:val="00F94552"/>
    <w:rsid w:val="00F9462F"/>
    <w:rsid w:val="00F94681"/>
    <w:rsid w:val="00F947EB"/>
    <w:rsid w:val="00F94A2D"/>
    <w:rsid w:val="00F94AF3"/>
    <w:rsid w:val="00F94B2C"/>
    <w:rsid w:val="00F94B4D"/>
    <w:rsid w:val="00F94FF5"/>
    <w:rsid w:val="00F950E4"/>
    <w:rsid w:val="00F95335"/>
    <w:rsid w:val="00F9576F"/>
    <w:rsid w:val="00F9579F"/>
    <w:rsid w:val="00F95960"/>
    <w:rsid w:val="00F95998"/>
    <w:rsid w:val="00F95A30"/>
    <w:rsid w:val="00F95ADC"/>
    <w:rsid w:val="00F95B21"/>
    <w:rsid w:val="00F95D11"/>
    <w:rsid w:val="00F95E6C"/>
    <w:rsid w:val="00F95F7B"/>
    <w:rsid w:val="00F9608F"/>
    <w:rsid w:val="00F96130"/>
    <w:rsid w:val="00F96337"/>
    <w:rsid w:val="00F96433"/>
    <w:rsid w:val="00F9654F"/>
    <w:rsid w:val="00F96560"/>
    <w:rsid w:val="00F965B3"/>
    <w:rsid w:val="00F96889"/>
    <w:rsid w:val="00F968A1"/>
    <w:rsid w:val="00F968AD"/>
    <w:rsid w:val="00F9692E"/>
    <w:rsid w:val="00F96A8E"/>
    <w:rsid w:val="00F96AD6"/>
    <w:rsid w:val="00F96B3F"/>
    <w:rsid w:val="00F96BB3"/>
    <w:rsid w:val="00F96D9F"/>
    <w:rsid w:val="00F9709C"/>
    <w:rsid w:val="00F9709D"/>
    <w:rsid w:val="00F971EF"/>
    <w:rsid w:val="00F973E6"/>
    <w:rsid w:val="00F976C5"/>
    <w:rsid w:val="00F9776D"/>
    <w:rsid w:val="00F977E4"/>
    <w:rsid w:val="00F979A1"/>
    <w:rsid w:val="00F97B5D"/>
    <w:rsid w:val="00F97C35"/>
    <w:rsid w:val="00F97C43"/>
    <w:rsid w:val="00F97C94"/>
    <w:rsid w:val="00F97DB8"/>
    <w:rsid w:val="00F97EF8"/>
    <w:rsid w:val="00F97FC4"/>
    <w:rsid w:val="00FA0107"/>
    <w:rsid w:val="00FA0156"/>
    <w:rsid w:val="00FA0158"/>
    <w:rsid w:val="00FA0165"/>
    <w:rsid w:val="00FA0166"/>
    <w:rsid w:val="00FA017E"/>
    <w:rsid w:val="00FA024B"/>
    <w:rsid w:val="00FA03C7"/>
    <w:rsid w:val="00FA0442"/>
    <w:rsid w:val="00FA0612"/>
    <w:rsid w:val="00FA07B6"/>
    <w:rsid w:val="00FA07B8"/>
    <w:rsid w:val="00FA08E3"/>
    <w:rsid w:val="00FA091C"/>
    <w:rsid w:val="00FA09C1"/>
    <w:rsid w:val="00FA0A42"/>
    <w:rsid w:val="00FA0AA4"/>
    <w:rsid w:val="00FA0AB8"/>
    <w:rsid w:val="00FA0C8F"/>
    <w:rsid w:val="00FA0D85"/>
    <w:rsid w:val="00FA0ED9"/>
    <w:rsid w:val="00FA0F05"/>
    <w:rsid w:val="00FA1039"/>
    <w:rsid w:val="00FA118E"/>
    <w:rsid w:val="00FA12CB"/>
    <w:rsid w:val="00FA1716"/>
    <w:rsid w:val="00FA18CE"/>
    <w:rsid w:val="00FA18D4"/>
    <w:rsid w:val="00FA1A54"/>
    <w:rsid w:val="00FA1AB1"/>
    <w:rsid w:val="00FA1AD9"/>
    <w:rsid w:val="00FA1B1A"/>
    <w:rsid w:val="00FA1BBA"/>
    <w:rsid w:val="00FA1C7A"/>
    <w:rsid w:val="00FA1D46"/>
    <w:rsid w:val="00FA1FBF"/>
    <w:rsid w:val="00FA1FED"/>
    <w:rsid w:val="00FA21A5"/>
    <w:rsid w:val="00FA222C"/>
    <w:rsid w:val="00FA244D"/>
    <w:rsid w:val="00FA25A4"/>
    <w:rsid w:val="00FA25DF"/>
    <w:rsid w:val="00FA26BA"/>
    <w:rsid w:val="00FA28A3"/>
    <w:rsid w:val="00FA28E0"/>
    <w:rsid w:val="00FA28EB"/>
    <w:rsid w:val="00FA29E0"/>
    <w:rsid w:val="00FA2AF9"/>
    <w:rsid w:val="00FA2B4D"/>
    <w:rsid w:val="00FA2C3E"/>
    <w:rsid w:val="00FA2CFD"/>
    <w:rsid w:val="00FA2D34"/>
    <w:rsid w:val="00FA2D5C"/>
    <w:rsid w:val="00FA2DD5"/>
    <w:rsid w:val="00FA3117"/>
    <w:rsid w:val="00FA319D"/>
    <w:rsid w:val="00FA32D1"/>
    <w:rsid w:val="00FA334F"/>
    <w:rsid w:val="00FA33CE"/>
    <w:rsid w:val="00FA3471"/>
    <w:rsid w:val="00FA34C6"/>
    <w:rsid w:val="00FA3792"/>
    <w:rsid w:val="00FA38D6"/>
    <w:rsid w:val="00FA3B33"/>
    <w:rsid w:val="00FA3BC5"/>
    <w:rsid w:val="00FA3C2D"/>
    <w:rsid w:val="00FA3DBD"/>
    <w:rsid w:val="00FA3F00"/>
    <w:rsid w:val="00FA4085"/>
    <w:rsid w:val="00FA40B8"/>
    <w:rsid w:val="00FA42C8"/>
    <w:rsid w:val="00FA4386"/>
    <w:rsid w:val="00FA4485"/>
    <w:rsid w:val="00FA4539"/>
    <w:rsid w:val="00FA4555"/>
    <w:rsid w:val="00FA4632"/>
    <w:rsid w:val="00FA4649"/>
    <w:rsid w:val="00FA46E6"/>
    <w:rsid w:val="00FA474D"/>
    <w:rsid w:val="00FA47D6"/>
    <w:rsid w:val="00FA4886"/>
    <w:rsid w:val="00FA4B29"/>
    <w:rsid w:val="00FA4C63"/>
    <w:rsid w:val="00FA4DF8"/>
    <w:rsid w:val="00FA4FE1"/>
    <w:rsid w:val="00FA4FE8"/>
    <w:rsid w:val="00FA5083"/>
    <w:rsid w:val="00FA5121"/>
    <w:rsid w:val="00FA513E"/>
    <w:rsid w:val="00FA5166"/>
    <w:rsid w:val="00FA52C0"/>
    <w:rsid w:val="00FA53D1"/>
    <w:rsid w:val="00FA53DA"/>
    <w:rsid w:val="00FA54D2"/>
    <w:rsid w:val="00FA5656"/>
    <w:rsid w:val="00FA5781"/>
    <w:rsid w:val="00FA5964"/>
    <w:rsid w:val="00FA5B25"/>
    <w:rsid w:val="00FA5C9D"/>
    <w:rsid w:val="00FA5DD7"/>
    <w:rsid w:val="00FA5DF8"/>
    <w:rsid w:val="00FA5E04"/>
    <w:rsid w:val="00FA5E62"/>
    <w:rsid w:val="00FA5EBF"/>
    <w:rsid w:val="00FA5FA6"/>
    <w:rsid w:val="00FA6029"/>
    <w:rsid w:val="00FA61DE"/>
    <w:rsid w:val="00FA622B"/>
    <w:rsid w:val="00FA6257"/>
    <w:rsid w:val="00FA6260"/>
    <w:rsid w:val="00FA62D8"/>
    <w:rsid w:val="00FA62ED"/>
    <w:rsid w:val="00FA63B5"/>
    <w:rsid w:val="00FA646C"/>
    <w:rsid w:val="00FA65B1"/>
    <w:rsid w:val="00FA66C1"/>
    <w:rsid w:val="00FA6990"/>
    <w:rsid w:val="00FA6A3C"/>
    <w:rsid w:val="00FA6B2A"/>
    <w:rsid w:val="00FA6D39"/>
    <w:rsid w:val="00FA6F00"/>
    <w:rsid w:val="00FA6FCC"/>
    <w:rsid w:val="00FA7017"/>
    <w:rsid w:val="00FA712E"/>
    <w:rsid w:val="00FA72F1"/>
    <w:rsid w:val="00FA745C"/>
    <w:rsid w:val="00FA74D2"/>
    <w:rsid w:val="00FA7777"/>
    <w:rsid w:val="00FA779B"/>
    <w:rsid w:val="00FA78D8"/>
    <w:rsid w:val="00FA78F0"/>
    <w:rsid w:val="00FA7B01"/>
    <w:rsid w:val="00FA7BB9"/>
    <w:rsid w:val="00FA7CF6"/>
    <w:rsid w:val="00FA7D51"/>
    <w:rsid w:val="00FA7ED6"/>
    <w:rsid w:val="00FA7EFE"/>
    <w:rsid w:val="00FB0043"/>
    <w:rsid w:val="00FB0079"/>
    <w:rsid w:val="00FB0124"/>
    <w:rsid w:val="00FB01E9"/>
    <w:rsid w:val="00FB01F7"/>
    <w:rsid w:val="00FB04F4"/>
    <w:rsid w:val="00FB0814"/>
    <w:rsid w:val="00FB0A14"/>
    <w:rsid w:val="00FB0BE6"/>
    <w:rsid w:val="00FB0E02"/>
    <w:rsid w:val="00FB0F42"/>
    <w:rsid w:val="00FB0F8F"/>
    <w:rsid w:val="00FB0FF1"/>
    <w:rsid w:val="00FB1065"/>
    <w:rsid w:val="00FB106B"/>
    <w:rsid w:val="00FB1165"/>
    <w:rsid w:val="00FB131A"/>
    <w:rsid w:val="00FB13BA"/>
    <w:rsid w:val="00FB1441"/>
    <w:rsid w:val="00FB146D"/>
    <w:rsid w:val="00FB14AB"/>
    <w:rsid w:val="00FB1660"/>
    <w:rsid w:val="00FB16A8"/>
    <w:rsid w:val="00FB174F"/>
    <w:rsid w:val="00FB187B"/>
    <w:rsid w:val="00FB1AF1"/>
    <w:rsid w:val="00FB1CB5"/>
    <w:rsid w:val="00FB1CB8"/>
    <w:rsid w:val="00FB1ED0"/>
    <w:rsid w:val="00FB1FB5"/>
    <w:rsid w:val="00FB203A"/>
    <w:rsid w:val="00FB21BF"/>
    <w:rsid w:val="00FB2314"/>
    <w:rsid w:val="00FB236A"/>
    <w:rsid w:val="00FB23F5"/>
    <w:rsid w:val="00FB245C"/>
    <w:rsid w:val="00FB26EF"/>
    <w:rsid w:val="00FB270C"/>
    <w:rsid w:val="00FB2745"/>
    <w:rsid w:val="00FB2843"/>
    <w:rsid w:val="00FB2892"/>
    <w:rsid w:val="00FB2BC7"/>
    <w:rsid w:val="00FB2C42"/>
    <w:rsid w:val="00FB2D58"/>
    <w:rsid w:val="00FB2D81"/>
    <w:rsid w:val="00FB2ECF"/>
    <w:rsid w:val="00FB31B8"/>
    <w:rsid w:val="00FB3238"/>
    <w:rsid w:val="00FB3270"/>
    <w:rsid w:val="00FB3288"/>
    <w:rsid w:val="00FB3412"/>
    <w:rsid w:val="00FB34F1"/>
    <w:rsid w:val="00FB3567"/>
    <w:rsid w:val="00FB3602"/>
    <w:rsid w:val="00FB361C"/>
    <w:rsid w:val="00FB36BE"/>
    <w:rsid w:val="00FB3B93"/>
    <w:rsid w:val="00FB3D27"/>
    <w:rsid w:val="00FB3D8C"/>
    <w:rsid w:val="00FB3FC7"/>
    <w:rsid w:val="00FB40B4"/>
    <w:rsid w:val="00FB40BB"/>
    <w:rsid w:val="00FB40D4"/>
    <w:rsid w:val="00FB415A"/>
    <w:rsid w:val="00FB420C"/>
    <w:rsid w:val="00FB44CC"/>
    <w:rsid w:val="00FB4571"/>
    <w:rsid w:val="00FB45D5"/>
    <w:rsid w:val="00FB47CC"/>
    <w:rsid w:val="00FB49FB"/>
    <w:rsid w:val="00FB4A3C"/>
    <w:rsid w:val="00FB4CBC"/>
    <w:rsid w:val="00FB4D2E"/>
    <w:rsid w:val="00FB502E"/>
    <w:rsid w:val="00FB522B"/>
    <w:rsid w:val="00FB5514"/>
    <w:rsid w:val="00FB554E"/>
    <w:rsid w:val="00FB5572"/>
    <w:rsid w:val="00FB5794"/>
    <w:rsid w:val="00FB579F"/>
    <w:rsid w:val="00FB580D"/>
    <w:rsid w:val="00FB5962"/>
    <w:rsid w:val="00FB5C26"/>
    <w:rsid w:val="00FB5CB1"/>
    <w:rsid w:val="00FB5DBC"/>
    <w:rsid w:val="00FB5F8F"/>
    <w:rsid w:val="00FB5F99"/>
    <w:rsid w:val="00FB61F9"/>
    <w:rsid w:val="00FB6210"/>
    <w:rsid w:val="00FB6229"/>
    <w:rsid w:val="00FB6368"/>
    <w:rsid w:val="00FB63D6"/>
    <w:rsid w:val="00FB6492"/>
    <w:rsid w:val="00FB6698"/>
    <w:rsid w:val="00FB67C4"/>
    <w:rsid w:val="00FB6B73"/>
    <w:rsid w:val="00FB6BBC"/>
    <w:rsid w:val="00FB6DD4"/>
    <w:rsid w:val="00FB6E90"/>
    <w:rsid w:val="00FB6F42"/>
    <w:rsid w:val="00FB6FF5"/>
    <w:rsid w:val="00FB6FFD"/>
    <w:rsid w:val="00FB7009"/>
    <w:rsid w:val="00FB758B"/>
    <w:rsid w:val="00FB7599"/>
    <w:rsid w:val="00FB7725"/>
    <w:rsid w:val="00FB784A"/>
    <w:rsid w:val="00FB79D8"/>
    <w:rsid w:val="00FB7B42"/>
    <w:rsid w:val="00FB7BA7"/>
    <w:rsid w:val="00FB7BFE"/>
    <w:rsid w:val="00FB7E8E"/>
    <w:rsid w:val="00FB7F33"/>
    <w:rsid w:val="00FB7F88"/>
    <w:rsid w:val="00FB7FCC"/>
    <w:rsid w:val="00FC014A"/>
    <w:rsid w:val="00FC0646"/>
    <w:rsid w:val="00FC0666"/>
    <w:rsid w:val="00FC0718"/>
    <w:rsid w:val="00FC0769"/>
    <w:rsid w:val="00FC0786"/>
    <w:rsid w:val="00FC07BD"/>
    <w:rsid w:val="00FC0845"/>
    <w:rsid w:val="00FC0899"/>
    <w:rsid w:val="00FC0931"/>
    <w:rsid w:val="00FC09A3"/>
    <w:rsid w:val="00FC09A5"/>
    <w:rsid w:val="00FC0B37"/>
    <w:rsid w:val="00FC0C5B"/>
    <w:rsid w:val="00FC0D09"/>
    <w:rsid w:val="00FC0FA6"/>
    <w:rsid w:val="00FC0FC6"/>
    <w:rsid w:val="00FC1320"/>
    <w:rsid w:val="00FC17B1"/>
    <w:rsid w:val="00FC1871"/>
    <w:rsid w:val="00FC19D1"/>
    <w:rsid w:val="00FC1B30"/>
    <w:rsid w:val="00FC1D0C"/>
    <w:rsid w:val="00FC1D17"/>
    <w:rsid w:val="00FC1D55"/>
    <w:rsid w:val="00FC1D85"/>
    <w:rsid w:val="00FC1DE9"/>
    <w:rsid w:val="00FC1F54"/>
    <w:rsid w:val="00FC1F5F"/>
    <w:rsid w:val="00FC1FBB"/>
    <w:rsid w:val="00FC200D"/>
    <w:rsid w:val="00FC2119"/>
    <w:rsid w:val="00FC242A"/>
    <w:rsid w:val="00FC2498"/>
    <w:rsid w:val="00FC25C2"/>
    <w:rsid w:val="00FC288B"/>
    <w:rsid w:val="00FC2921"/>
    <w:rsid w:val="00FC2A6F"/>
    <w:rsid w:val="00FC2AB2"/>
    <w:rsid w:val="00FC2C8D"/>
    <w:rsid w:val="00FC2F1F"/>
    <w:rsid w:val="00FC2F24"/>
    <w:rsid w:val="00FC2FDA"/>
    <w:rsid w:val="00FC2FFB"/>
    <w:rsid w:val="00FC3404"/>
    <w:rsid w:val="00FC349D"/>
    <w:rsid w:val="00FC3569"/>
    <w:rsid w:val="00FC3688"/>
    <w:rsid w:val="00FC36BC"/>
    <w:rsid w:val="00FC3733"/>
    <w:rsid w:val="00FC3880"/>
    <w:rsid w:val="00FC38B3"/>
    <w:rsid w:val="00FC3900"/>
    <w:rsid w:val="00FC3964"/>
    <w:rsid w:val="00FC3AA3"/>
    <w:rsid w:val="00FC3DCD"/>
    <w:rsid w:val="00FC3E5F"/>
    <w:rsid w:val="00FC3E8F"/>
    <w:rsid w:val="00FC3F9A"/>
    <w:rsid w:val="00FC4005"/>
    <w:rsid w:val="00FC4013"/>
    <w:rsid w:val="00FC4164"/>
    <w:rsid w:val="00FC41C1"/>
    <w:rsid w:val="00FC4265"/>
    <w:rsid w:val="00FC45B3"/>
    <w:rsid w:val="00FC46BC"/>
    <w:rsid w:val="00FC46E5"/>
    <w:rsid w:val="00FC4740"/>
    <w:rsid w:val="00FC48AF"/>
    <w:rsid w:val="00FC49EF"/>
    <w:rsid w:val="00FC4A13"/>
    <w:rsid w:val="00FC4AD8"/>
    <w:rsid w:val="00FC4D15"/>
    <w:rsid w:val="00FC4E67"/>
    <w:rsid w:val="00FC4EAB"/>
    <w:rsid w:val="00FC4F46"/>
    <w:rsid w:val="00FC4FEF"/>
    <w:rsid w:val="00FC50A5"/>
    <w:rsid w:val="00FC50F3"/>
    <w:rsid w:val="00FC56FE"/>
    <w:rsid w:val="00FC5735"/>
    <w:rsid w:val="00FC5852"/>
    <w:rsid w:val="00FC594A"/>
    <w:rsid w:val="00FC5C51"/>
    <w:rsid w:val="00FC5D1C"/>
    <w:rsid w:val="00FC5F51"/>
    <w:rsid w:val="00FC6010"/>
    <w:rsid w:val="00FC6119"/>
    <w:rsid w:val="00FC6131"/>
    <w:rsid w:val="00FC615E"/>
    <w:rsid w:val="00FC628C"/>
    <w:rsid w:val="00FC650B"/>
    <w:rsid w:val="00FC67C6"/>
    <w:rsid w:val="00FC6825"/>
    <w:rsid w:val="00FC6A5F"/>
    <w:rsid w:val="00FC6B43"/>
    <w:rsid w:val="00FC6DB6"/>
    <w:rsid w:val="00FC6FFC"/>
    <w:rsid w:val="00FC700B"/>
    <w:rsid w:val="00FC702B"/>
    <w:rsid w:val="00FC7040"/>
    <w:rsid w:val="00FC7420"/>
    <w:rsid w:val="00FC7464"/>
    <w:rsid w:val="00FC749F"/>
    <w:rsid w:val="00FC74B1"/>
    <w:rsid w:val="00FC74EE"/>
    <w:rsid w:val="00FC75C5"/>
    <w:rsid w:val="00FC762B"/>
    <w:rsid w:val="00FC7648"/>
    <w:rsid w:val="00FC794F"/>
    <w:rsid w:val="00FC798A"/>
    <w:rsid w:val="00FC7A7E"/>
    <w:rsid w:val="00FC7B40"/>
    <w:rsid w:val="00FC7CA3"/>
    <w:rsid w:val="00FC7E06"/>
    <w:rsid w:val="00FC7E16"/>
    <w:rsid w:val="00FC7E22"/>
    <w:rsid w:val="00FC7F39"/>
    <w:rsid w:val="00FC7FA5"/>
    <w:rsid w:val="00FC7FAB"/>
    <w:rsid w:val="00FD00A3"/>
    <w:rsid w:val="00FD00F5"/>
    <w:rsid w:val="00FD018E"/>
    <w:rsid w:val="00FD0221"/>
    <w:rsid w:val="00FD0381"/>
    <w:rsid w:val="00FD07E9"/>
    <w:rsid w:val="00FD0922"/>
    <w:rsid w:val="00FD09AD"/>
    <w:rsid w:val="00FD09CD"/>
    <w:rsid w:val="00FD0A42"/>
    <w:rsid w:val="00FD0AAF"/>
    <w:rsid w:val="00FD0B30"/>
    <w:rsid w:val="00FD0BF5"/>
    <w:rsid w:val="00FD0C04"/>
    <w:rsid w:val="00FD0C20"/>
    <w:rsid w:val="00FD0C3C"/>
    <w:rsid w:val="00FD0CB3"/>
    <w:rsid w:val="00FD0D33"/>
    <w:rsid w:val="00FD0D38"/>
    <w:rsid w:val="00FD0ED8"/>
    <w:rsid w:val="00FD0ED9"/>
    <w:rsid w:val="00FD0EF3"/>
    <w:rsid w:val="00FD0F20"/>
    <w:rsid w:val="00FD0F57"/>
    <w:rsid w:val="00FD10CC"/>
    <w:rsid w:val="00FD13DE"/>
    <w:rsid w:val="00FD1582"/>
    <w:rsid w:val="00FD15B7"/>
    <w:rsid w:val="00FD1657"/>
    <w:rsid w:val="00FD17AF"/>
    <w:rsid w:val="00FD1934"/>
    <w:rsid w:val="00FD1A0F"/>
    <w:rsid w:val="00FD1B9B"/>
    <w:rsid w:val="00FD1EA9"/>
    <w:rsid w:val="00FD1FC2"/>
    <w:rsid w:val="00FD204A"/>
    <w:rsid w:val="00FD209F"/>
    <w:rsid w:val="00FD20C5"/>
    <w:rsid w:val="00FD230E"/>
    <w:rsid w:val="00FD238C"/>
    <w:rsid w:val="00FD23B6"/>
    <w:rsid w:val="00FD276A"/>
    <w:rsid w:val="00FD27F9"/>
    <w:rsid w:val="00FD2858"/>
    <w:rsid w:val="00FD2863"/>
    <w:rsid w:val="00FD29D8"/>
    <w:rsid w:val="00FD2B63"/>
    <w:rsid w:val="00FD2CE5"/>
    <w:rsid w:val="00FD2E3C"/>
    <w:rsid w:val="00FD2EBC"/>
    <w:rsid w:val="00FD3370"/>
    <w:rsid w:val="00FD339F"/>
    <w:rsid w:val="00FD3447"/>
    <w:rsid w:val="00FD3623"/>
    <w:rsid w:val="00FD37A9"/>
    <w:rsid w:val="00FD38BF"/>
    <w:rsid w:val="00FD38DB"/>
    <w:rsid w:val="00FD3988"/>
    <w:rsid w:val="00FD3B16"/>
    <w:rsid w:val="00FD3B34"/>
    <w:rsid w:val="00FD3B76"/>
    <w:rsid w:val="00FD3D6A"/>
    <w:rsid w:val="00FD3F7C"/>
    <w:rsid w:val="00FD4084"/>
    <w:rsid w:val="00FD4115"/>
    <w:rsid w:val="00FD415C"/>
    <w:rsid w:val="00FD41DB"/>
    <w:rsid w:val="00FD41FE"/>
    <w:rsid w:val="00FD423D"/>
    <w:rsid w:val="00FD427D"/>
    <w:rsid w:val="00FD4585"/>
    <w:rsid w:val="00FD475E"/>
    <w:rsid w:val="00FD47EE"/>
    <w:rsid w:val="00FD48AA"/>
    <w:rsid w:val="00FD4A05"/>
    <w:rsid w:val="00FD4CE6"/>
    <w:rsid w:val="00FD4E1A"/>
    <w:rsid w:val="00FD4E4A"/>
    <w:rsid w:val="00FD4E8F"/>
    <w:rsid w:val="00FD4ECE"/>
    <w:rsid w:val="00FD50DA"/>
    <w:rsid w:val="00FD51B0"/>
    <w:rsid w:val="00FD51B3"/>
    <w:rsid w:val="00FD5353"/>
    <w:rsid w:val="00FD5381"/>
    <w:rsid w:val="00FD53ED"/>
    <w:rsid w:val="00FD54D0"/>
    <w:rsid w:val="00FD5535"/>
    <w:rsid w:val="00FD55FE"/>
    <w:rsid w:val="00FD5846"/>
    <w:rsid w:val="00FD5ABD"/>
    <w:rsid w:val="00FD5AD1"/>
    <w:rsid w:val="00FD5B95"/>
    <w:rsid w:val="00FD5C6B"/>
    <w:rsid w:val="00FD5C91"/>
    <w:rsid w:val="00FD5C99"/>
    <w:rsid w:val="00FD5ED2"/>
    <w:rsid w:val="00FD5F77"/>
    <w:rsid w:val="00FD620C"/>
    <w:rsid w:val="00FD63D7"/>
    <w:rsid w:val="00FD640E"/>
    <w:rsid w:val="00FD6441"/>
    <w:rsid w:val="00FD6641"/>
    <w:rsid w:val="00FD6A54"/>
    <w:rsid w:val="00FD6CA5"/>
    <w:rsid w:val="00FD6D28"/>
    <w:rsid w:val="00FD6EAA"/>
    <w:rsid w:val="00FD6FA4"/>
    <w:rsid w:val="00FD750C"/>
    <w:rsid w:val="00FD77EF"/>
    <w:rsid w:val="00FD7C2D"/>
    <w:rsid w:val="00FD7C57"/>
    <w:rsid w:val="00FD7D39"/>
    <w:rsid w:val="00FD7D9F"/>
    <w:rsid w:val="00FD7FA8"/>
    <w:rsid w:val="00FE002F"/>
    <w:rsid w:val="00FE00E7"/>
    <w:rsid w:val="00FE01A4"/>
    <w:rsid w:val="00FE0277"/>
    <w:rsid w:val="00FE0310"/>
    <w:rsid w:val="00FE03C2"/>
    <w:rsid w:val="00FE03E6"/>
    <w:rsid w:val="00FE0556"/>
    <w:rsid w:val="00FE0634"/>
    <w:rsid w:val="00FE075C"/>
    <w:rsid w:val="00FE0837"/>
    <w:rsid w:val="00FE0893"/>
    <w:rsid w:val="00FE0B8A"/>
    <w:rsid w:val="00FE0E0F"/>
    <w:rsid w:val="00FE0E5D"/>
    <w:rsid w:val="00FE0EAB"/>
    <w:rsid w:val="00FE0F4E"/>
    <w:rsid w:val="00FE1155"/>
    <w:rsid w:val="00FE1226"/>
    <w:rsid w:val="00FE12EA"/>
    <w:rsid w:val="00FE14DD"/>
    <w:rsid w:val="00FE155D"/>
    <w:rsid w:val="00FE166B"/>
    <w:rsid w:val="00FE16A3"/>
    <w:rsid w:val="00FE16A6"/>
    <w:rsid w:val="00FE1A77"/>
    <w:rsid w:val="00FE1CAC"/>
    <w:rsid w:val="00FE1CE0"/>
    <w:rsid w:val="00FE1D7C"/>
    <w:rsid w:val="00FE1EE0"/>
    <w:rsid w:val="00FE21C6"/>
    <w:rsid w:val="00FE233D"/>
    <w:rsid w:val="00FE236D"/>
    <w:rsid w:val="00FE242F"/>
    <w:rsid w:val="00FE2537"/>
    <w:rsid w:val="00FE2614"/>
    <w:rsid w:val="00FE279E"/>
    <w:rsid w:val="00FE27E6"/>
    <w:rsid w:val="00FE2999"/>
    <w:rsid w:val="00FE29A1"/>
    <w:rsid w:val="00FE2AEE"/>
    <w:rsid w:val="00FE2B9C"/>
    <w:rsid w:val="00FE2CF2"/>
    <w:rsid w:val="00FE2DE7"/>
    <w:rsid w:val="00FE2E74"/>
    <w:rsid w:val="00FE2FA1"/>
    <w:rsid w:val="00FE3150"/>
    <w:rsid w:val="00FE328D"/>
    <w:rsid w:val="00FE3377"/>
    <w:rsid w:val="00FE33CF"/>
    <w:rsid w:val="00FE3409"/>
    <w:rsid w:val="00FE3492"/>
    <w:rsid w:val="00FE34E3"/>
    <w:rsid w:val="00FE3582"/>
    <w:rsid w:val="00FE3690"/>
    <w:rsid w:val="00FE373B"/>
    <w:rsid w:val="00FE3744"/>
    <w:rsid w:val="00FE38B1"/>
    <w:rsid w:val="00FE390D"/>
    <w:rsid w:val="00FE3A71"/>
    <w:rsid w:val="00FE3B23"/>
    <w:rsid w:val="00FE3B36"/>
    <w:rsid w:val="00FE3CF4"/>
    <w:rsid w:val="00FE3CFB"/>
    <w:rsid w:val="00FE3D11"/>
    <w:rsid w:val="00FE3D83"/>
    <w:rsid w:val="00FE3D90"/>
    <w:rsid w:val="00FE3E0B"/>
    <w:rsid w:val="00FE3F50"/>
    <w:rsid w:val="00FE4005"/>
    <w:rsid w:val="00FE4129"/>
    <w:rsid w:val="00FE41F2"/>
    <w:rsid w:val="00FE4249"/>
    <w:rsid w:val="00FE429F"/>
    <w:rsid w:val="00FE43D8"/>
    <w:rsid w:val="00FE44A1"/>
    <w:rsid w:val="00FE4556"/>
    <w:rsid w:val="00FE4770"/>
    <w:rsid w:val="00FE4BB3"/>
    <w:rsid w:val="00FE4BEC"/>
    <w:rsid w:val="00FE4D36"/>
    <w:rsid w:val="00FE4F1F"/>
    <w:rsid w:val="00FE5082"/>
    <w:rsid w:val="00FE52DE"/>
    <w:rsid w:val="00FE5301"/>
    <w:rsid w:val="00FE54C2"/>
    <w:rsid w:val="00FE54E4"/>
    <w:rsid w:val="00FE560D"/>
    <w:rsid w:val="00FE5692"/>
    <w:rsid w:val="00FE5728"/>
    <w:rsid w:val="00FE57C2"/>
    <w:rsid w:val="00FE589C"/>
    <w:rsid w:val="00FE5913"/>
    <w:rsid w:val="00FE5C06"/>
    <w:rsid w:val="00FE5D5D"/>
    <w:rsid w:val="00FE5ECB"/>
    <w:rsid w:val="00FE5F1D"/>
    <w:rsid w:val="00FE5F3A"/>
    <w:rsid w:val="00FE61F5"/>
    <w:rsid w:val="00FE62B7"/>
    <w:rsid w:val="00FE62CD"/>
    <w:rsid w:val="00FE6479"/>
    <w:rsid w:val="00FE6542"/>
    <w:rsid w:val="00FE6787"/>
    <w:rsid w:val="00FE67F6"/>
    <w:rsid w:val="00FE684D"/>
    <w:rsid w:val="00FE6861"/>
    <w:rsid w:val="00FE6876"/>
    <w:rsid w:val="00FE6B61"/>
    <w:rsid w:val="00FE6C42"/>
    <w:rsid w:val="00FE6CFF"/>
    <w:rsid w:val="00FE7045"/>
    <w:rsid w:val="00FE71D8"/>
    <w:rsid w:val="00FE726A"/>
    <w:rsid w:val="00FE7279"/>
    <w:rsid w:val="00FE73A8"/>
    <w:rsid w:val="00FE7458"/>
    <w:rsid w:val="00FE74D3"/>
    <w:rsid w:val="00FE7605"/>
    <w:rsid w:val="00FE766D"/>
    <w:rsid w:val="00FE769A"/>
    <w:rsid w:val="00FE7A18"/>
    <w:rsid w:val="00FE7A30"/>
    <w:rsid w:val="00FE7CB0"/>
    <w:rsid w:val="00FE7EAC"/>
    <w:rsid w:val="00FF0070"/>
    <w:rsid w:val="00FF0220"/>
    <w:rsid w:val="00FF0512"/>
    <w:rsid w:val="00FF05C4"/>
    <w:rsid w:val="00FF05F3"/>
    <w:rsid w:val="00FF0672"/>
    <w:rsid w:val="00FF07C2"/>
    <w:rsid w:val="00FF08A5"/>
    <w:rsid w:val="00FF08D5"/>
    <w:rsid w:val="00FF0A37"/>
    <w:rsid w:val="00FF0C70"/>
    <w:rsid w:val="00FF0E41"/>
    <w:rsid w:val="00FF0F44"/>
    <w:rsid w:val="00FF0FEC"/>
    <w:rsid w:val="00FF11FF"/>
    <w:rsid w:val="00FF13AC"/>
    <w:rsid w:val="00FF13CF"/>
    <w:rsid w:val="00FF14C1"/>
    <w:rsid w:val="00FF158E"/>
    <w:rsid w:val="00FF1BE0"/>
    <w:rsid w:val="00FF1BF9"/>
    <w:rsid w:val="00FF1C42"/>
    <w:rsid w:val="00FF1C6C"/>
    <w:rsid w:val="00FF1F33"/>
    <w:rsid w:val="00FF2109"/>
    <w:rsid w:val="00FF214C"/>
    <w:rsid w:val="00FF223B"/>
    <w:rsid w:val="00FF230B"/>
    <w:rsid w:val="00FF23EA"/>
    <w:rsid w:val="00FF246C"/>
    <w:rsid w:val="00FF254C"/>
    <w:rsid w:val="00FF2687"/>
    <w:rsid w:val="00FF2698"/>
    <w:rsid w:val="00FF2742"/>
    <w:rsid w:val="00FF289A"/>
    <w:rsid w:val="00FF28CC"/>
    <w:rsid w:val="00FF2957"/>
    <w:rsid w:val="00FF2B32"/>
    <w:rsid w:val="00FF2C5F"/>
    <w:rsid w:val="00FF2F5A"/>
    <w:rsid w:val="00FF3221"/>
    <w:rsid w:val="00FF32C9"/>
    <w:rsid w:val="00FF3300"/>
    <w:rsid w:val="00FF354A"/>
    <w:rsid w:val="00FF3626"/>
    <w:rsid w:val="00FF369F"/>
    <w:rsid w:val="00FF3741"/>
    <w:rsid w:val="00FF3861"/>
    <w:rsid w:val="00FF3BC2"/>
    <w:rsid w:val="00FF3C8A"/>
    <w:rsid w:val="00FF3DF8"/>
    <w:rsid w:val="00FF3E51"/>
    <w:rsid w:val="00FF3E85"/>
    <w:rsid w:val="00FF3E9D"/>
    <w:rsid w:val="00FF3FA3"/>
    <w:rsid w:val="00FF4030"/>
    <w:rsid w:val="00FF4042"/>
    <w:rsid w:val="00FF4218"/>
    <w:rsid w:val="00FF4758"/>
    <w:rsid w:val="00FF4777"/>
    <w:rsid w:val="00FF48E3"/>
    <w:rsid w:val="00FF49B7"/>
    <w:rsid w:val="00FF4B3B"/>
    <w:rsid w:val="00FF4BD7"/>
    <w:rsid w:val="00FF4C7F"/>
    <w:rsid w:val="00FF4CF1"/>
    <w:rsid w:val="00FF4D2C"/>
    <w:rsid w:val="00FF4DB8"/>
    <w:rsid w:val="00FF4ECA"/>
    <w:rsid w:val="00FF509C"/>
    <w:rsid w:val="00FF5149"/>
    <w:rsid w:val="00FF5202"/>
    <w:rsid w:val="00FF52B3"/>
    <w:rsid w:val="00FF54DE"/>
    <w:rsid w:val="00FF5507"/>
    <w:rsid w:val="00FF56A2"/>
    <w:rsid w:val="00FF57A2"/>
    <w:rsid w:val="00FF58D2"/>
    <w:rsid w:val="00FF598A"/>
    <w:rsid w:val="00FF5BE1"/>
    <w:rsid w:val="00FF5DED"/>
    <w:rsid w:val="00FF6136"/>
    <w:rsid w:val="00FF62D7"/>
    <w:rsid w:val="00FF62D9"/>
    <w:rsid w:val="00FF63F4"/>
    <w:rsid w:val="00FF642D"/>
    <w:rsid w:val="00FF6440"/>
    <w:rsid w:val="00FF65A6"/>
    <w:rsid w:val="00FF65D8"/>
    <w:rsid w:val="00FF65E1"/>
    <w:rsid w:val="00FF68E1"/>
    <w:rsid w:val="00FF6C8E"/>
    <w:rsid w:val="00FF6DB7"/>
    <w:rsid w:val="00FF6F15"/>
    <w:rsid w:val="00FF7113"/>
    <w:rsid w:val="00FF717D"/>
    <w:rsid w:val="00FF7212"/>
    <w:rsid w:val="00FF726B"/>
    <w:rsid w:val="00FF744E"/>
    <w:rsid w:val="00FF74A5"/>
    <w:rsid w:val="00FF7639"/>
    <w:rsid w:val="00FF7916"/>
    <w:rsid w:val="00FF793D"/>
    <w:rsid w:val="00FF7A60"/>
    <w:rsid w:val="010415A4"/>
    <w:rsid w:val="010B486F"/>
    <w:rsid w:val="012CCA22"/>
    <w:rsid w:val="012E7204"/>
    <w:rsid w:val="01454C04"/>
    <w:rsid w:val="018ACB0E"/>
    <w:rsid w:val="018C9514"/>
    <w:rsid w:val="018CCEF5"/>
    <w:rsid w:val="01AE1ED9"/>
    <w:rsid w:val="01C8D9E8"/>
    <w:rsid w:val="01CCBBAE"/>
    <w:rsid w:val="01EA88FB"/>
    <w:rsid w:val="01FD329E"/>
    <w:rsid w:val="02007480"/>
    <w:rsid w:val="0212B490"/>
    <w:rsid w:val="0214C655"/>
    <w:rsid w:val="02176797"/>
    <w:rsid w:val="023209E8"/>
    <w:rsid w:val="024394C9"/>
    <w:rsid w:val="0246083D"/>
    <w:rsid w:val="027AE96A"/>
    <w:rsid w:val="027C3F93"/>
    <w:rsid w:val="028955FE"/>
    <w:rsid w:val="028DE4C9"/>
    <w:rsid w:val="028EBEF9"/>
    <w:rsid w:val="02907435"/>
    <w:rsid w:val="02AC5A3A"/>
    <w:rsid w:val="02AF3573"/>
    <w:rsid w:val="02B81D5B"/>
    <w:rsid w:val="02C0207E"/>
    <w:rsid w:val="02CCE1AF"/>
    <w:rsid w:val="02CE574B"/>
    <w:rsid w:val="02DC2D41"/>
    <w:rsid w:val="02E08CBF"/>
    <w:rsid w:val="02E46BF2"/>
    <w:rsid w:val="02E7C95E"/>
    <w:rsid w:val="02EFBE86"/>
    <w:rsid w:val="02F1FF61"/>
    <w:rsid w:val="0310DFD3"/>
    <w:rsid w:val="03115021"/>
    <w:rsid w:val="03352EF8"/>
    <w:rsid w:val="03387753"/>
    <w:rsid w:val="033C0801"/>
    <w:rsid w:val="034A1060"/>
    <w:rsid w:val="03514804"/>
    <w:rsid w:val="03587D5E"/>
    <w:rsid w:val="03BBF539"/>
    <w:rsid w:val="03BC0A1D"/>
    <w:rsid w:val="03C4B12C"/>
    <w:rsid w:val="03CB9DCB"/>
    <w:rsid w:val="03F76BC2"/>
    <w:rsid w:val="04025377"/>
    <w:rsid w:val="0405A719"/>
    <w:rsid w:val="04063E0E"/>
    <w:rsid w:val="0414EC5A"/>
    <w:rsid w:val="04176CE4"/>
    <w:rsid w:val="043196B0"/>
    <w:rsid w:val="043703C6"/>
    <w:rsid w:val="04395FE7"/>
    <w:rsid w:val="043E1440"/>
    <w:rsid w:val="0441C0A7"/>
    <w:rsid w:val="044384AA"/>
    <w:rsid w:val="0445526D"/>
    <w:rsid w:val="046333F2"/>
    <w:rsid w:val="04640C32"/>
    <w:rsid w:val="04909E6F"/>
    <w:rsid w:val="04932E8F"/>
    <w:rsid w:val="04AE88CB"/>
    <w:rsid w:val="04B111C8"/>
    <w:rsid w:val="04CBEB3D"/>
    <w:rsid w:val="04CDE126"/>
    <w:rsid w:val="04D6E548"/>
    <w:rsid w:val="04DC0420"/>
    <w:rsid w:val="050D914C"/>
    <w:rsid w:val="051560AB"/>
    <w:rsid w:val="051F4C04"/>
    <w:rsid w:val="0536D104"/>
    <w:rsid w:val="05444331"/>
    <w:rsid w:val="055F2C4B"/>
    <w:rsid w:val="05622F30"/>
    <w:rsid w:val="0583855D"/>
    <w:rsid w:val="0588F8F2"/>
    <w:rsid w:val="058C8521"/>
    <w:rsid w:val="0594B78D"/>
    <w:rsid w:val="059DFB80"/>
    <w:rsid w:val="05A29312"/>
    <w:rsid w:val="05AD9261"/>
    <w:rsid w:val="05B38F5A"/>
    <w:rsid w:val="05BB91F9"/>
    <w:rsid w:val="05C79FFD"/>
    <w:rsid w:val="05CED241"/>
    <w:rsid w:val="05DEADE9"/>
    <w:rsid w:val="05ED4137"/>
    <w:rsid w:val="06057AD3"/>
    <w:rsid w:val="0624D87C"/>
    <w:rsid w:val="063B67DF"/>
    <w:rsid w:val="064FE6E4"/>
    <w:rsid w:val="066A49E6"/>
    <w:rsid w:val="0670C5BB"/>
    <w:rsid w:val="0677A2B8"/>
    <w:rsid w:val="0693AAD6"/>
    <w:rsid w:val="069D7CCB"/>
    <w:rsid w:val="069E31E8"/>
    <w:rsid w:val="06B8D6B6"/>
    <w:rsid w:val="06BF8CA5"/>
    <w:rsid w:val="06D73D35"/>
    <w:rsid w:val="06F5F1F5"/>
    <w:rsid w:val="0710A40E"/>
    <w:rsid w:val="07139501"/>
    <w:rsid w:val="071740B3"/>
    <w:rsid w:val="071A51D0"/>
    <w:rsid w:val="0723BFD4"/>
    <w:rsid w:val="0724DB79"/>
    <w:rsid w:val="07274B3F"/>
    <w:rsid w:val="072BAC97"/>
    <w:rsid w:val="07385744"/>
    <w:rsid w:val="0744A9E7"/>
    <w:rsid w:val="07460719"/>
    <w:rsid w:val="074F01B0"/>
    <w:rsid w:val="0750BAD6"/>
    <w:rsid w:val="0754A3E0"/>
    <w:rsid w:val="0758CE11"/>
    <w:rsid w:val="075D88BF"/>
    <w:rsid w:val="075F93A8"/>
    <w:rsid w:val="0763EBFC"/>
    <w:rsid w:val="078A3577"/>
    <w:rsid w:val="07929542"/>
    <w:rsid w:val="07AA3C4E"/>
    <w:rsid w:val="07B27F17"/>
    <w:rsid w:val="07CE3B8A"/>
    <w:rsid w:val="07D9F05F"/>
    <w:rsid w:val="07DD6E39"/>
    <w:rsid w:val="07DE1276"/>
    <w:rsid w:val="080EB4AD"/>
    <w:rsid w:val="081ACFFD"/>
    <w:rsid w:val="08359F99"/>
    <w:rsid w:val="08448D16"/>
    <w:rsid w:val="0850F62C"/>
    <w:rsid w:val="0856CCC2"/>
    <w:rsid w:val="085B43A3"/>
    <w:rsid w:val="086E7666"/>
    <w:rsid w:val="0879909E"/>
    <w:rsid w:val="0884AAA0"/>
    <w:rsid w:val="08BC6A73"/>
    <w:rsid w:val="08C9B495"/>
    <w:rsid w:val="08D93A11"/>
    <w:rsid w:val="0905734B"/>
    <w:rsid w:val="09154A01"/>
    <w:rsid w:val="092B14D7"/>
    <w:rsid w:val="092E1CEB"/>
    <w:rsid w:val="09374BD3"/>
    <w:rsid w:val="0943EE81"/>
    <w:rsid w:val="09485CEB"/>
    <w:rsid w:val="09816C21"/>
    <w:rsid w:val="09830B45"/>
    <w:rsid w:val="0997E904"/>
    <w:rsid w:val="099BAEB2"/>
    <w:rsid w:val="099E354C"/>
    <w:rsid w:val="09A7AA7F"/>
    <w:rsid w:val="09B98AD8"/>
    <w:rsid w:val="09BA5293"/>
    <w:rsid w:val="09BC53AA"/>
    <w:rsid w:val="09D86A8C"/>
    <w:rsid w:val="09E6540E"/>
    <w:rsid w:val="0A06175F"/>
    <w:rsid w:val="0A07E84A"/>
    <w:rsid w:val="0A18D042"/>
    <w:rsid w:val="0A1F246A"/>
    <w:rsid w:val="0A295CFB"/>
    <w:rsid w:val="0A341D88"/>
    <w:rsid w:val="0A3CC4B2"/>
    <w:rsid w:val="0A3D53A6"/>
    <w:rsid w:val="0A3EE7F0"/>
    <w:rsid w:val="0A3F5317"/>
    <w:rsid w:val="0A45437D"/>
    <w:rsid w:val="0A516623"/>
    <w:rsid w:val="0A538B21"/>
    <w:rsid w:val="0A558471"/>
    <w:rsid w:val="0A6E23B2"/>
    <w:rsid w:val="0A765C7C"/>
    <w:rsid w:val="0A780674"/>
    <w:rsid w:val="0A783C5F"/>
    <w:rsid w:val="0A97BAFA"/>
    <w:rsid w:val="0A9DBBE8"/>
    <w:rsid w:val="0AB0B038"/>
    <w:rsid w:val="0ACF2382"/>
    <w:rsid w:val="0AF12CC9"/>
    <w:rsid w:val="0AF922AC"/>
    <w:rsid w:val="0B192ADA"/>
    <w:rsid w:val="0B2635ED"/>
    <w:rsid w:val="0B50E515"/>
    <w:rsid w:val="0B6D5AA2"/>
    <w:rsid w:val="0B7AF2E6"/>
    <w:rsid w:val="0B9E6BD8"/>
    <w:rsid w:val="0B9FF78A"/>
    <w:rsid w:val="0BAF14D8"/>
    <w:rsid w:val="0BE18D8A"/>
    <w:rsid w:val="0BE6F45B"/>
    <w:rsid w:val="0C052D77"/>
    <w:rsid w:val="0C08A8C4"/>
    <w:rsid w:val="0C2355A6"/>
    <w:rsid w:val="0C25F72D"/>
    <w:rsid w:val="0C268F60"/>
    <w:rsid w:val="0C2C8EE6"/>
    <w:rsid w:val="0C56AFA3"/>
    <w:rsid w:val="0C6B430A"/>
    <w:rsid w:val="0C7C3856"/>
    <w:rsid w:val="0C8EAF53"/>
    <w:rsid w:val="0C928268"/>
    <w:rsid w:val="0C96AA18"/>
    <w:rsid w:val="0CD0BA03"/>
    <w:rsid w:val="0CF2B43D"/>
    <w:rsid w:val="0CFA7D11"/>
    <w:rsid w:val="0D121E60"/>
    <w:rsid w:val="0D18FB24"/>
    <w:rsid w:val="0D234F2E"/>
    <w:rsid w:val="0D2BC9F0"/>
    <w:rsid w:val="0D355461"/>
    <w:rsid w:val="0D42490E"/>
    <w:rsid w:val="0D73D15E"/>
    <w:rsid w:val="0D74314C"/>
    <w:rsid w:val="0D7BFFAC"/>
    <w:rsid w:val="0D8376D6"/>
    <w:rsid w:val="0D9766BC"/>
    <w:rsid w:val="0D9DA191"/>
    <w:rsid w:val="0DA4DEB7"/>
    <w:rsid w:val="0DAA1514"/>
    <w:rsid w:val="0DC5C8B7"/>
    <w:rsid w:val="0DDF86A2"/>
    <w:rsid w:val="0DE6B51F"/>
    <w:rsid w:val="0DF1DA9A"/>
    <w:rsid w:val="0E06390F"/>
    <w:rsid w:val="0E1257B0"/>
    <w:rsid w:val="0E17561E"/>
    <w:rsid w:val="0E1B9B8F"/>
    <w:rsid w:val="0E259416"/>
    <w:rsid w:val="0E47DD55"/>
    <w:rsid w:val="0E5D79F2"/>
    <w:rsid w:val="0E62A400"/>
    <w:rsid w:val="0E6AD36B"/>
    <w:rsid w:val="0E732960"/>
    <w:rsid w:val="0E73419A"/>
    <w:rsid w:val="0E7DFD0F"/>
    <w:rsid w:val="0E807974"/>
    <w:rsid w:val="0E8355DA"/>
    <w:rsid w:val="0EB4175A"/>
    <w:rsid w:val="0EB610F9"/>
    <w:rsid w:val="0EBEC561"/>
    <w:rsid w:val="0EE5FAD1"/>
    <w:rsid w:val="0EEDB245"/>
    <w:rsid w:val="0F14B306"/>
    <w:rsid w:val="0F22BB38"/>
    <w:rsid w:val="0F4A6CD6"/>
    <w:rsid w:val="0F4F40B6"/>
    <w:rsid w:val="0F7A445C"/>
    <w:rsid w:val="0F7F4BC3"/>
    <w:rsid w:val="0F94AF2E"/>
    <w:rsid w:val="0F99DB66"/>
    <w:rsid w:val="0F9D1B4B"/>
    <w:rsid w:val="0FA66651"/>
    <w:rsid w:val="0FBBE6B3"/>
    <w:rsid w:val="0FBC8E6E"/>
    <w:rsid w:val="0FC69AB0"/>
    <w:rsid w:val="0FF1E8E1"/>
    <w:rsid w:val="0FF36071"/>
    <w:rsid w:val="1004EEB6"/>
    <w:rsid w:val="101E3A75"/>
    <w:rsid w:val="10298517"/>
    <w:rsid w:val="1049009C"/>
    <w:rsid w:val="10672452"/>
    <w:rsid w:val="106BAFB8"/>
    <w:rsid w:val="1082C06F"/>
    <w:rsid w:val="10879482"/>
    <w:rsid w:val="1099CBD0"/>
    <w:rsid w:val="109E3ECD"/>
    <w:rsid w:val="10CBF307"/>
    <w:rsid w:val="10CE6592"/>
    <w:rsid w:val="10E8198B"/>
    <w:rsid w:val="110AAB16"/>
    <w:rsid w:val="11207DE7"/>
    <w:rsid w:val="1120CDCB"/>
    <w:rsid w:val="11243C2D"/>
    <w:rsid w:val="112F7E72"/>
    <w:rsid w:val="11455EF6"/>
    <w:rsid w:val="114B6B46"/>
    <w:rsid w:val="1155B0E1"/>
    <w:rsid w:val="1155FC45"/>
    <w:rsid w:val="115E6932"/>
    <w:rsid w:val="1188DC35"/>
    <w:rsid w:val="11AB9ABF"/>
    <w:rsid w:val="11BA1A85"/>
    <w:rsid w:val="11C96869"/>
    <w:rsid w:val="11D98EBA"/>
    <w:rsid w:val="11DC1E63"/>
    <w:rsid w:val="11DF4939"/>
    <w:rsid w:val="11FD865F"/>
    <w:rsid w:val="1201A58B"/>
    <w:rsid w:val="1209E6A2"/>
    <w:rsid w:val="12120A71"/>
    <w:rsid w:val="121AA38E"/>
    <w:rsid w:val="1224E544"/>
    <w:rsid w:val="122A5830"/>
    <w:rsid w:val="123BE93A"/>
    <w:rsid w:val="1243CD67"/>
    <w:rsid w:val="128C5343"/>
    <w:rsid w:val="128FF84B"/>
    <w:rsid w:val="12940805"/>
    <w:rsid w:val="12B1F311"/>
    <w:rsid w:val="12B8567A"/>
    <w:rsid w:val="12C599FE"/>
    <w:rsid w:val="12D39D17"/>
    <w:rsid w:val="12DEEA67"/>
    <w:rsid w:val="12FA1FFB"/>
    <w:rsid w:val="12FE131B"/>
    <w:rsid w:val="13127260"/>
    <w:rsid w:val="131E7BAC"/>
    <w:rsid w:val="1321CEFF"/>
    <w:rsid w:val="132EF41E"/>
    <w:rsid w:val="1356BAAD"/>
    <w:rsid w:val="135C89B3"/>
    <w:rsid w:val="13743C0E"/>
    <w:rsid w:val="1379C178"/>
    <w:rsid w:val="137DE739"/>
    <w:rsid w:val="138B36B6"/>
    <w:rsid w:val="13A2F562"/>
    <w:rsid w:val="13AC6FAB"/>
    <w:rsid w:val="13B1E9ED"/>
    <w:rsid w:val="13BB1D35"/>
    <w:rsid w:val="13C857F4"/>
    <w:rsid w:val="13DE084A"/>
    <w:rsid w:val="13DE9776"/>
    <w:rsid w:val="13F01E06"/>
    <w:rsid w:val="13F73290"/>
    <w:rsid w:val="141764C1"/>
    <w:rsid w:val="141A15B8"/>
    <w:rsid w:val="1430DAD0"/>
    <w:rsid w:val="1432DD68"/>
    <w:rsid w:val="1435BE1F"/>
    <w:rsid w:val="144619B5"/>
    <w:rsid w:val="1446EA76"/>
    <w:rsid w:val="14735750"/>
    <w:rsid w:val="147632AB"/>
    <w:rsid w:val="14ACD1BA"/>
    <w:rsid w:val="14B62F40"/>
    <w:rsid w:val="14C3250C"/>
    <w:rsid w:val="14CAAB0B"/>
    <w:rsid w:val="14CBDC06"/>
    <w:rsid w:val="14E1F47B"/>
    <w:rsid w:val="14FAAFFF"/>
    <w:rsid w:val="151258E3"/>
    <w:rsid w:val="151F1B2C"/>
    <w:rsid w:val="152DE950"/>
    <w:rsid w:val="15390CF9"/>
    <w:rsid w:val="153BA6AD"/>
    <w:rsid w:val="15561184"/>
    <w:rsid w:val="1560D5F9"/>
    <w:rsid w:val="1564B96F"/>
    <w:rsid w:val="158984CA"/>
    <w:rsid w:val="15B3BB60"/>
    <w:rsid w:val="15B7CCD7"/>
    <w:rsid w:val="15D3727D"/>
    <w:rsid w:val="15D4DA51"/>
    <w:rsid w:val="15E7D0E2"/>
    <w:rsid w:val="15E7E86D"/>
    <w:rsid w:val="15E91633"/>
    <w:rsid w:val="16040A4B"/>
    <w:rsid w:val="160FA985"/>
    <w:rsid w:val="161E8B5A"/>
    <w:rsid w:val="161EEE4C"/>
    <w:rsid w:val="16223AB3"/>
    <w:rsid w:val="162A6FFC"/>
    <w:rsid w:val="165628EC"/>
    <w:rsid w:val="16B054F6"/>
    <w:rsid w:val="16B8AE1B"/>
    <w:rsid w:val="16C5DA15"/>
    <w:rsid w:val="16D43AE3"/>
    <w:rsid w:val="16D78900"/>
    <w:rsid w:val="16E6C747"/>
    <w:rsid w:val="16F645F7"/>
    <w:rsid w:val="171E7881"/>
    <w:rsid w:val="172CCA01"/>
    <w:rsid w:val="173AABE1"/>
    <w:rsid w:val="1766B6CC"/>
    <w:rsid w:val="1768CF85"/>
    <w:rsid w:val="1788D96D"/>
    <w:rsid w:val="17918B4A"/>
    <w:rsid w:val="17BDA9C1"/>
    <w:rsid w:val="17C1AAA9"/>
    <w:rsid w:val="17D94801"/>
    <w:rsid w:val="17EC48DD"/>
    <w:rsid w:val="17FD2BE8"/>
    <w:rsid w:val="1819B311"/>
    <w:rsid w:val="181A870A"/>
    <w:rsid w:val="181B58CB"/>
    <w:rsid w:val="1826AC84"/>
    <w:rsid w:val="18305D87"/>
    <w:rsid w:val="184A2F95"/>
    <w:rsid w:val="18686E61"/>
    <w:rsid w:val="187AE973"/>
    <w:rsid w:val="18856181"/>
    <w:rsid w:val="18BB5312"/>
    <w:rsid w:val="18D34417"/>
    <w:rsid w:val="19392605"/>
    <w:rsid w:val="19483C4C"/>
    <w:rsid w:val="195D75D5"/>
    <w:rsid w:val="195E84D4"/>
    <w:rsid w:val="196808C2"/>
    <w:rsid w:val="196C725D"/>
    <w:rsid w:val="19959D00"/>
    <w:rsid w:val="199799E9"/>
    <w:rsid w:val="19A0BD91"/>
    <w:rsid w:val="19D02CF6"/>
    <w:rsid w:val="19E8A62C"/>
    <w:rsid w:val="1A1493AF"/>
    <w:rsid w:val="1A1AA774"/>
    <w:rsid w:val="1A365F0F"/>
    <w:rsid w:val="1A480D70"/>
    <w:rsid w:val="1A49BC3C"/>
    <w:rsid w:val="1A54773D"/>
    <w:rsid w:val="1A5FE0C9"/>
    <w:rsid w:val="1AA85819"/>
    <w:rsid w:val="1AB5013B"/>
    <w:rsid w:val="1AC54C71"/>
    <w:rsid w:val="1AD33EA5"/>
    <w:rsid w:val="1AE19FA6"/>
    <w:rsid w:val="1AE1F3D7"/>
    <w:rsid w:val="1B04FBEE"/>
    <w:rsid w:val="1B0E9757"/>
    <w:rsid w:val="1B14CACE"/>
    <w:rsid w:val="1B168527"/>
    <w:rsid w:val="1B26277B"/>
    <w:rsid w:val="1B461328"/>
    <w:rsid w:val="1B59B07D"/>
    <w:rsid w:val="1B5D2AF8"/>
    <w:rsid w:val="1B6E693B"/>
    <w:rsid w:val="1B9EBD19"/>
    <w:rsid w:val="1BA7D801"/>
    <w:rsid w:val="1BB6DA21"/>
    <w:rsid w:val="1BC0167E"/>
    <w:rsid w:val="1BC34F67"/>
    <w:rsid w:val="1BD1A211"/>
    <w:rsid w:val="1BF32810"/>
    <w:rsid w:val="1BF7F3DF"/>
    <w:rsid w:val="1C0BEA17"/>
    <w:rsid w:val="1C1BEBD1"/>
    <w:rsid w:val="1C1EAAF9"/>
    <w:rsid w:val="1C22AA16"/>
    <w:rsid w:val="1C3E3589"/>
    <w:rsid w:val="1C41F60B"/>
    <w:rsid w:val="1C47D5BC"/>
    <w:rsid w:val="1C4DBD99"/>
    <w:rsid w:val="1C4F0C01"/>
    <w:rsid w:val="1C6F176B"/>
    <w:rsid w:val="1C759DB4"/>
    <w:rsid w:val="1C9AC793"/>
    <w:rsid w:val="1CAC9D22"/>
    <w:rsid w:val="1CB9BFBB"/>
    <w:rsid w:val="1CCB32A8"/>
    <w:rsid w:val="1CD0F512"/>
    <w:rsid w:val="1CEF76E8"/>
    <w:rsid w:val="1D05DE1C"/>
    <w:rsid w:val="1D0D1169"/>
    <w:rsid w:val="1D292AD5"/>
    <w:rsid w:val="1D40F55E"/>
    <w:rsid w:val="1D562EC2"/>
    <w:rsid w:val="1D566759"/>
    <w:rsid w:val="1D5C6AC0"/>
    <w:rsid w:val="1D5D1E7D"/>
    <w:rsid w:val="1D5DE914"/>
    <w:rsid w:val="1DB50CBA"/>
    <w:rsid w:val="1DB57619"/>
    <w:rsid w:val="1DB6ACC1"/>
    <w:rsid w:val="1DE4D8B9"/>
    <w:rsid w:val="1DF44CD1"/>
    <w:rsid w:val="1DFA2180"/>
    <w:rsid w:val="1E0B5676"/>
    <w:rsid w:val="1E0E81C2"/>
    <w:rsid w:val="1E1120BE"/>
    <w:rsid w:val="1E2D84B8"/>
    <w:rsid w:val="1E377925"/>
    <w:rsid w:val="1E4802B2"/>
    <w:rsid w:val="1E51307E"/>
    <w:rsid w:val="1E542FAE"/>
    <w:rsid w:val="1E69CB61"/>
    <w:rsid w:val="1E708F66"/>
    <w:rsid w:val="1E86D9CC"/>
    <w:rsid w:val="1EB1CDDE"/>
    <w:rsid w:val="1EBD4316"/>
    <w:rsid w:val="1EC1A215"/>
    <w:rsid w:val="1EC5BFA7"/>
    <w:rsid w:val="1ECB82BB"/>
    <w:rsid w:val="1EF1084C"/>
    <w:rsid w:val="1EF1C515"/>
    <w:rsid w:val="1F1E2E8B"/>
    <w:rsid w:val="1F260B01"/>
    <w:rsid w:val="1F29FB66"/>
    <w:rsid w:val="1F2B9B8A"/>
    <w:rsid w:val="1F3813B0"/>
    <w:rsid w:val="1F3BC640"/>
    <w:rsid w:val="1F541D06"/>
    <w:rsid w:val="1FA36C68"/>
    <w:rsid w:val="1FADF70F"/>
    <w:rsid w:val="1FC6C34B"/>
    <w:rsid w:val="2001D9E5"/>
    <w:rsid w:val="200E508D"/>
    <w:rsid w:val="20220040"/>
    <w:rsid w:val="202EDC54"/>
    <w:rsid w:val="203D1983"/>
    <w:rsid w:val="2050F57F"/>
    <w:rsid w:val="205939B1"/>
    <w:rsid w:val="206A0035"/>
    <w:rsid w:val="2072EE13"/>
    <w:rsid w:val="2090A066"/>
    <w:rsid w:val="20AAE9D4"/>
    <w:rsid w:val="20AD033C"/>
    <w:rsid w:val="20BD80C7"/>
    <w:rsid w:val="20C9A021"/>
    <w:rsid w:val="20CA9111"/>
    <w:rsid w:val="20CB3528"/>
    <w:rsid w:val="20ECD302"/>
    <w:rsid w:val="210A9872"/>
    <w:rsid w:val="211DE178"/>
    <w:rsid w:val="21369EBF"/>
    <w:rsid w:val="213ED30C"/>
    <w:rsid w:val="2166D655"/>
    <w:rsid w:val="2170A887"/>
    <w:rsid w:val="2184D9CA"/>
    <w:rsid w:val="2188CC3D"/>
    <w:rsid w:val="218EC14D"/>
    <w:rsid w:val="218ECE67"/>
    <w:rsid w:val="21BF833F"/>
    <w:rsid w:val="21DD3E58"/>
    <w:rsid w:val="22209A02"/>
    <w:rsid w:val="22227EB3"/>
    <w:rsid w:val="222D75AB"/>
    <w:rsid w:val="223BC9AD"/>
    <w:rsid w:val="223C3971"/>
    <w:rsid w:val="2245C75D"/>
    <w:rsid w:val="22525B08"/>
    <w:rsid w:val="22795EF9"/>
    <w:rsid w:val="22A82D5C"/>
    <w:rsid w:val="22A8A989"/>
    <w:rsid w:val="22B9785F"/>
    <w:rsid w:val="22BA5EC8"/>
    <w:rsid w:val="22D3ABE7"/>
    <w:rsid w:val="22EDDF0D"/>
    <w:rsid w:val="22F21BEA"/>
    <w:rsid w:val="230E1901"/>
    <w:rsid w:val="231B392B"/>
    <w:rsid w:val="2326F49D"/>
    <w:rsid w:val="2333B766"/>
    <w:rsid w:val="2337C7D7"/>
    <w:rsid w:val="23441101"/>
    <w:rsid w:val="23532B58"/>
    <w:rsid w:val="2359CFD9"/>
    <w:rsid w:val="235ABE77"/>
    <w:rsid w:val="236F5015"/>
    <w:rsid w:val="23A0D0BA"/>
    <w:rsid w:val="23A65AC3"/>
    <w:rsid w:val="23A65BFE"/>
    <w:rsid w:val="23C31C1B"/>
    <w:rsid w:val="23D2DAE9"/>
    <w:rsid w:val="23D5FAB5"/>
    <w:rsid w:val="23FA044E"/>
    <w:rsid w:val="2415429D"/>
    <w:rsid w:val="2421DB08"/>
    <w:rsid w:val="242360EF"/>
    <w:rsid w:val="242D3C7F"/>
    <w:rsid w:val="2440A719"/>
    <w:rsid w:val="24529BFA"/>
    <w:rsid w:val="245C709E"/>
    <w:rsid w:val="24996D78"/>
    <w:rsid w:val="249D7420"/>
    <w:rsid w:val="24C48768"/>
    <w:rsid w:val="24C688C7"/>
    <w:rsid w:val="24E3239C"/>
    <w:rsid w:val="250D39B6"/>
    <w:rsid w:val="2512D045"/>
    <w:rsid w:val="251C5E29"/>
    <w:rsid w:val="252CF94C"/>
    <w:rsid w:val="2562842B"/>
    <w:rsid w:val="256C44CB"/>
    <w:rsid w:val="25791B48"/>
    <w:rsid w:val="2589FF9A"/>
    <w:rsid w:val="259FFD2E"/>
    <w:rsid w:val="25B20655"/>
    <w:rsid w:val="25DD00A5"/>
    <w:rsid w:val="25F9D78E"/>
    <w:rsid w:val="25FEF82A"/>
    <w:rsid w:val="263509FE"/>
    <w:rsid w:val="263CC74D"/>
    <w:rsid w:val="264155CC"/>
    <w:rsid w:val="2651F27F"/>
    <w:rsid w:val="265DFE12"/>
    <w:rsid w:val="265E64B3"/>
    <w:rsid w:val="2687843E"/>
    <w:rsid w:val="269195E4"/>
    <w:rsid w:val="2699568C"/>
    <w:rsid w:val="26AF6514"/>
    <w:rsid w:val="26B33852"/>
    <w:rsid w:val="26E68783"/>
    <w:rsid w:val="26E6A022"/>
    <w:rsid w:val="270B5AC9"/>
    <w:rsid w:val="2719CECC"/>
    <w:rsid w:val="27212F19"/>
    <w:rsid w:val="27220FB8"/>
    <w:rsid w:val="27284E06"/>
    <w:rsid w:val="27410EB6"/>
    <w:rsid w:val="2746E1CB"/>
    <w:rsid w:val="274D06A1"/>
    <w:rsid w:val="27528E3A"/>
    <w:rsid w:val="2755D45C"/>
    <w:rsid w:val="277EF12F"/>
    <w:rsid w:val="2781235E"/>
    <w:rsid w:val="279318BF"/>
    <w:rsid w:val="27AF5C43"/>
    <w:rsid w:val="27B3AA90"/>
    <w:rsid w:val="27D4D8C2"/>
    <w:rsid w:val="280C9055"/>
    <w:rsid w:val="288BD3ED"/>
    <w:rsid w:val="288C5E40"/>
    <w:rsid w:val="288E8130"/>
    <w:rsid w:val="2890BCF9"/>
    <w:rsid w:val="289FA250"/>
    <w:rsid w:val="28A4394B"/>
    <w:rsid w:val="28A4650C"/>
    <w:rsid w:val="28AB231C"/>
    <w:rsid w:val="28C1F84F"/>
    <w:rsid w:val="28C44746"/>
    <w:rsid w:val="28D8E714"/>
    <w:rsid w:val="28DF3C76"/>
    <w:rsid w:val="28E27196"/>
    <w:rsid w:val="28E2EF2A"/>
    <w:rsid w:val="28FA0C16"/>
    <w:rsid w:val="29052D93"/>
    <w:rsid w:val="29099ED0"/>
    <w:rsid w:val="29374C23"/>
    <w:rsid w:val="2940C16C"/>
    <w:rsid w:val="29513261"/>
    <w:rsid w:val="29595314"/>
    <w:rsid w:val="295A91D9"/>
    <w:rsid w:val="297675E0"/>
    <w:rsid w:val="299D3357"/>
    <w:rsid w:val="29A49A85"/>
    <w:rsid w:val="29BB7347"/>
    <w:rsid w:val="29C562FA"/>
    <w:rsid w:val="29D02E64"/>
    <w:rsid w:val="29D2B69A"/>
    <w:rsid w:val="29D7F952"/>
    <w:rsid w:val="29DFD9B3"/>
    <w:rsid w:val="29FB381F"/>
    <w:rsid w:val="29FCB736"/>
    <w:rsid w:val="29FE9D2D"/>
    <w:rsid w:val="2A06A8DA"/>
    <w:rsid w:val="2A12F710"/>
    <w:rsid w:val="2A151169"/>
    <w:rsid w:val="2A27A2D6"/>
    <w:rsid w:val="2A2C9AA3"/>
    <w:rsid w:val="2A2DCB07"/>
    <w:rsid w:val="2A2FA90C"/>
    <w:rsid w:val="2A37F337"/>
    <w:rsid w:val="2A414D5F"/>
    <w:rsid w:val="2A510AF0"/>
    <w:rsid w:val="2A68872F"/>
    <w:rsid w:val="2A88BE14"/>
    <w:rsid w:val="2A8988E4"/>
    <w:rsid w:val="2AF315A6"/>
    <w:rsid w:val="2B097C6E"/>
    <w:rsid w:val="2B12EDA6"/>
    <w:rsid w:val="2B22BD89"/>
    <w:rsid w:val="2B3436E4"/>
    <w:rsid w:val="2B38536D"/>
    <w:rsid w:val="2B49D61B"/>
    <w:rsid w:val="2B4BD695"/>
    <w:rsid w:val="2B4FB118"/>
    <w:rsid w:val="2B5210F6"/>
    <w:rsid w:val="2B59DF4B"/>
    <w:rsid w:val="2B605B8C"/>
    <w:rsid w:val="2B78CBBF"/>
    <w:rsid w:val="2B91376D"/>
    <w:rsid w:val="2B9336D8"/>
    <w:rsid w:val="2BC750EF"/>
    <w:rsid w:val="2BC91A89"/>
    <w:rsid w:val="2BDD0336"/>
    <w:rsid w:val="2BDFB89B"/>
    <w:rsid w:val="2BE39E93"/>
    <w:rsid w:val="2BF4C92D"/>
    <w:rsid w:val="2C46C286"/>
    <w:rsid w:val="2C65F0CC"/>
    <w:rsid w:val="2C699B30"/>
    <w:rsid w:val="2C7676A4"/>
    <w:rsid w:val="2C968DFB"/>
    <w:rsid w:val="2C96BACA"/>
    <w:rsid w:val="2C9BDE82"/>
    <w:rsid w:val="2CB03634"/>
    <w:rsid w:val="2CBAB0D4"/>
    <w:rsid w:val="2CC999DD"/>
    <w:rsid w:val="2CFA8CEE"/>
    <w:rsid w:val="2CFCE9C8"/>
    <w:rsid w:val="2CFCF068"/>
    <w:rsid w:val="2D2AEE1C"/>
    <w:rsid w:val="2D30AB9D"/>
    <w:rsid w:val="2D35DA1A"/>
    <w:rsid w:val="2D3C34FE"/>
    <w:rsid w:val="2D5657C9"/>
    <w:rsid w:val="2D65EB59"/>
    <w:rsid w:val="2D8A1EF0"/>
    <w:rsid w:val="2D8B5EB2"/>
    <w:rsid w:val="2D9E8AC3"/>
    <w:rsid w:val="2DA076B6"/>
    <w:rsid w:val="2DA2D495"/>
    <w:rsid w:val="2DA9E13B"/>
    <w:rsid w:val="2DCC1C70"/>
    <w:rsid w:val="2DE29D71"/>
    <w:rsid w:val="2DF64590"/>
    <w:rsid w:val="2DF6B463"/>
    <w:rsid w:val="2E0DC6B1"/>
    <w:rsid w:val="2E135F45"/>
    <w:rsid w:val="2E185A32"/>
    <w:rsid w:val="2E3E8A76"/>
    <w:rsid w:val="2E4A0129"/>
    <w:rsid w:val="2E4A4383"/>
    <w:rsid w:val="2E500348"/>
    <w:rsid w:val="2E52DA8A"/>
    <w:rsid w:val="2E58F1B8"/>
    <w:rsid w:val="2E68FDC9"/>
    <w:rsid w:val="2E75CFC8"/>
    <w:rsid w:val="2E844311"/>
    <w:rsid w:val="2EA05FF9"/>
    <w:rsid w:val="2EAC781B"/>
    <w:rsid w:val="2EB32CA1"/>
    <w:rsid w:val="2ECE13EB"/>
    <w:rsid w:val="2ED1D2A3"/>
    <w:rsid w:val="2EE79029"/>
    <w:rsid w:val="2EE81CD7"/>
    <w:rsid w:val="2EEE9424"/>
    <w:rsid w:val="2EFECC2A"/>
    <w:rsid w:val="2F2F3760"/>
    <w:rsid w:val="2F324A6A"/>
    <w:rsid w:val="2F35BD48"/>
    <w:rsid w:val="2F3FE015"/>
    <w:rsid w:val="2F4A7489"/>
    <w:rsid w:val="2F5CDC3D"/>
    <w:rsid w:val="2F616175"/>
    <w:rsid w:val="2F6ECFFB"/>
    <w:rsid w:val="2F876146"/>
    <w:rsid w:val="2F90A0FB"/>
    <w:rsid w:val="2FBA4567"/>
    <w:rsid w:val="2FCF9D1F"/>
    <w:rsid w:val="2FDEE69E"/>
    <w:rsid w:val="2FF2278B"/>
    <w:rsid w:val="2FF30EDE"/>
    <w:rsid w:val="3011A19C"/>
    <w:rsid w:val="30443E88"/>
    <w:rsid w:val="308C81AA"/>
    <w:rsid w:val="30943540"/>
    <w:rsid w:val="30AC182D"/>
    <w:rsid w:val="30FE9BAC"/>
    <w:rsid w:val="31158E22"/>
    <w:rsid w:val="3115A6F6"/>
    <w:rsid w:val="313E305C"/>
    <w:rsid w:val="3146604F"/>
    <w:rsid w:val="3146AD1A"/>
    <w:rsid w:val="31496643"/>
    <w:rsid w:val="316B4992"/>
    <w:rsid w:val="317AEDCB"/>
    <w:rsid w:val="31969180"/>
    <w:rsid w:val="31B81A1B"/>
    <w:rsid w:val="31C617EB"/>
    <w:rsid w:val="31DB861D"/>
    <w:rsid w:val="31E00284"/>
    <w:rsid w:val="321A6ED0"/>
    <w:rsid w:val="322FCFB8"/>
    <w:rsid w:val="3259859F"/>
    <w:rsid w:val="328CCE2D"/>
    <w:rsid w:val="32955E4F"/>
    <w:rsid w:val="32B89A21"/>
    <w:rsid w:val="32E8C395"/>
    <w:rsid w:val="32FFD7E5"/>
    <w:rsid w:val="3317BC4A"/>
    <w:rsid w:val="33250A14"/>
    <w:rsid w:val="3330D49E"/>
    <w:rsid w:val="3341778B"/>
    <w:rsid w:val="334BB48B"/>
    <w:rsid w:val="335879E4"/>
    <w:rsid w:val="33613186"/>
    <w:rsid w:val="33681E74"/>
    <w:rsid w:val="3368317D"/>
    <w:rsid w:val="3374F1D6"/>
    <w:rsid w:val="33865885"/>
    <w:rsid w:val="33AB30D6"/>
    <w:rsid w:val="33DC9989"/>
    <w:rsid w:val="33DFA0DD"/>
    <w:rsid w:val="33FB47BC"/>
    <w:rsid w:val="342ECBC4"/>
    <w:rsid w:val="3432D1AE"/>
    <w:rsid w:val="343385CE"/>
    <w:rsid w:val="3434BBFB"/>
    <w:rsid w:val="343F7FF1"/>
    <w:rsid w:val="3447E2AF"/>
    <w:rsid w:val="3480CF9F"/>
    <w:rsid w:val="348CF8AA"/>
    <w:rsid w:val="34AC445F"/>
    <w:rsid w:val="34C2736F"/>
    <w:rsid w:val="34CC899D"/>
    <w:rsid w:val="34DAA47E"/>
    <w:rsid w:val="34DC93A0"/>
    <w:rsid w:val="34FD114D"/>
    <w:rsid w:val="35040E04"/>
    <w:rsid w:val="3504F1CF"/>
    <w:rsid w:val="3515EC51"/>
    <w:rsid w:val="3549C749"/>
    <w:rsid w:val="355DE677"/>
    <w:rsid w:val="356D8F1A"/>
    <w:rsid w:val="356DE710"/>
    <w:rsid w:val="3574AB13"/>
    <w:rsid w:val="358A6EDE"/>
    <w:rsid w:val="358C3397"/>
    <w:rsid w:val="35952109"/>
    <w:rsid w:val="35AEACE7"/>
    <w:rsid w:val="35C55E3E"/>
    <w:rsid w:val="35E19164"/>
    <w:rsid w:val="35EB644F"/>
    <w:rsid w:val="35FD1D40"/>
    <w:rsid w:val="360DDB49"/>
    <w:rsid w:val="362565CB"/>
    <w:rsid w:val="36419DD5"/>
    <w:rsid w:val="365115F9"/>
    <w:rsid w:val="3653BF2F"/>
    <w:rsid w:val="3658C818"/>
    <w:rsid w:val="3658E57A"/>
    <w:rsid w:val="365A0D04"/>
    <w:rsid w:val="366C8CBF"/>
    <w:rsid w:val="367073EF"/>
    <w:rsid w:val="367F0DF1"/>
    <w:rsid w:val="36901AD0"/>
    <w:rsid w:val="36A06C6E"/>
    <w:rsid w:val="36A82F41"/>
    <w:rsid w:val="36AEA184"/>
    <w:rsid w:val="36BCBE2E"/>
    <w:rsid w:val="36C0641F"/>
    <w:rsid w:val="36DF4055"/>
    <w:rsid w:val="37276934"/>
    <w:rsid w:val="37334566"/>
    <w:rsid w:val="3741AB62"/>
    <w:rsid w:val="3751F651"/>
    <w:rsid w:val="3753CC26"/>
    <w:rsid w:val="3762B3D9"/>
    <w:rsid w:val="37661FDF"/>
    <w:rsid w:val="37A015FF"/>
    <w:rsid w:val="37CCAC32"/>
    <w:rsid w:val="37D0AB39"/>
    <w:rsid w:val="37E774AF"/>
    <w:rsid w:val="37F80169"/>
    <w:rsid w:val="381CAEC7"/>
    <w:rsid w:val="381DE1CF"/>
    <w:rsid w:val="385D242D"/>
    <w:rsid w:val="385D5035"/>
    <w:rsid w:val="387181CD"/>
    <w:rsid w:val="3879F18D"/>
    <w:rsid w:val="388E5C8E"/>
    <w:rsid w:val="3896AFF8"/>
    <w:rsid w:val="389AF3C5"/>
    <w:rsid w:val="38B5D05E"/>
    <w:rsid w:val="38BC494B"/>
    <w:rsid w:val="38BCC17F"/>
    <w:rsid w:val="38C32B71"/>
    <w:rsid w:val="38C53472"/>
    <w:rsid w:val="38F94BBD"/>
    <w:rsid w:val="38FC4F69"/>
    <w:rsid w:val="38FD210E"/>
    <w:rsid w:val="39043670"/>
    <w:rsid w:val="3925E80F"/>
    <w:rsid w:val="392ADE6B"/>
    <w:rsid w:val="394131E2"/>
    <w:rsid w:val="39599C6C"/>
    <w:rsid w:val="39730EA8"/>
    <w:rsid w:val="39755A5D"/>
    <w:rsid w:val="39970BA4"/>
    <w:rsid w:val="39997EDD"/>
    <w:rsid w:val="39A6C8FE"/>
    <w:rsid w:val="39AB19A6"/>
    <w:rsid w:val="39BE0877"/>
    <w:rsid w:val="39C940B0"/>
    <w:rsid w:val="39D31E5C"/>
    <w:rsid w:val="39EBDCCA"/>
    <w:rsid w:val="39FDB023"/>
    <w:rsid w:val="3A2B1C01"/>
    <w:rsid w:val="3A3EBC78"/>
    <w:rsid w:val="3A50D4E4"/>
    <w:rsid w:val="3A543FFA"/>
    <w:rsid w:val="3A6CE9A4"/>
    <w:rsid w:val="3A7A100F"/>
    <w:rsid w:val="3AAB12D5"/>
    <w:rsid w:val="3AD8E9AF"/>
    <w:rsid w:val="3AEC1405"/>
    <w:rsid w:val="3AF49AA4"/>
    <w:rsid w:val="3AF4BE92"/>
    <w:rsid w:val="3AFB5945"/>
    <w:rsid w:val="3B0807B8"/>
    <w:rsid w:val="3B0DF078"/>
    <w:rsid w:val="3B160484"/>
    <w:rsid w:val="3B33E197"/>
    <w:rsid w:val="3B42B77C"/>
    <w:rsid w:val="3B62A697"/>
    <w:rsid w:val="3B657BFF"/>
    <w:rsid w:val="3B69E595"/>
    <w:rsid w:val="3B8BA5F1"/>
    <w:rsid w:val="3B98C585"/>
    <w:rsid w:val="3BA06107"/>
    <w:rsid w:val="3BC42FF1"/>
    <w:rsid w:val="3BD271EA"/>
    <w:rsid w:val="3BE1F84B"/>
    <w:rsid w:val="3BE509A8"/>
    <w:rsid w:val="3BE9CF92"/>
    <w:rsid w:val="3BF4205A"/>
    <w:rsid w:val="3C0B520C"/>
    <w:rsid w:val="3C1852F5"/>
    <w:rsid w:val="3C246EF0"/>
    <w:rsid w:val="3C2B7E6A"/>
    <w:rsid w:val="3C4A92B5"/>
    <w:rsid w:val="3C5AA13A"/>
    <w:rsid w:val="3CA7A58A"/>
    <w:rsid w:val="3CB077A0"/>
    <w:rsid w:val="3CEF5FC1"/>
    <w:rsid w:val="3CF0A467"/>
    <w:rsid w:val="3D07A19B"/>
    <w:rsid w:val="3D355428"/>
    <w:rsid w:val="3D376EE8"/>
    <w:rsid w:val="3D5FC60C"/>
    <w:rsid w:val="3D76533B"/>
    <w:rsid w:val="3D9D7394"/>
    <w:rsid w:val="3DA65D80"/>
    <w:rsid w:val="3DCFCD9E"/>
    <w:rsid w:val="3DD13A13"/>
    <w:rsid w:val="3DD9B7E0"/>
    <w:rsid w:val="3DDD04F9"/>
    <w:rsid w:val="3DF6D765"/>
    <w:rsid w:val="3E111561"/>
    <w:rsid w:val="3E1F589F"/>
    <w:rsid w:val="3E48A158"/>
    <w:rsid w:val="3E55AD7B"/>
    <w:rsid w:val="3E691FD4"/>
    <w:rsid w:val="3E73A623"/>
    <w:rsid w:val="3E7B23C1"/>
    <w:rsid w:val="3E7B37D2"/>
    <w:rsid w:val="3E7BB599"/>
    <w:rsid w:val="3E7FBD63"/>
    <w:rsid w:val="3E9A2EE6"/>
    <w:rsid w:val="3EABBE96"/>
    <w:rsid w:val="3EACBD36"/>
    <w:rsid w:val="3EADE14D"/>
    <w:rsid w:val="3EB13FC5"/>
    <w:rsid w:val="3ECC640D"/>
    <w:rsid w:val="3EE6A161"/>
    <w:rsid w:val="3EE71E43"/>
    <w:rsid w:val="3EEB95BE"/>
    <w:rsid w:val="3EEF932F"/>
    <w:rsid w:val="3EF26BA3"/>
    <w:rsid w:val="3EF26BB2"/>
    <w:rsid w:val="3F34CB4E"/>
    <w:rsid w:val="3F353D69"/>
    <w:rsid w:val="3F37B725"/>
    <w:rsid w:val="3F58FEFD"/>
    <w:rsid w:val="3F844DB6"/>
    <w:rsid w:val="3F9D86CB"/>
    <w:rsid w:val="3FA49CC3"/>
    <w:rsid w:val="3FAB9C2F"/>
    <w:rsid w:val="3FB175E7"/>
    <w:rsid w:val="3FCDD869"/>
    <w:rsid w:val="3FE1589F"/>
    <w:rsid w:val="3FF1233E"/>
    <w:rsid w:val="3FFC239C"/>
    <w:rsid w:val="4009D8C7"/>
    <w:rsid w:val="40272B1C"/>
    <w:rsid w:val="403596E9"/>
    <w:rsid w:val="4040C422"/>
    <w:rsid w:val="4053E376"/>
    <w:rsid w:val="405CF3B8"/>
    <w:rsid w:val="407105F3"/>
    <w:rsid w:val="4075FEDC"/>
    <w:rsid w:val="40834961"/>
    <w:rsid w:val="40876FF3"/>
    <w:rsid w:val="409A36DE"/>
    <w:rsid w:val="40CAC3BC"/>
    <w:rsid w:val="40CCAF9F"/>
    <w:rsid w:val="40CF7CB5"/>
    <w:rsid w:val="40D99452"/>
    <w:rsid w:val="40EF348A"/>
    <w:rsid w:val="410B5380"/>
    <w:rsid w:val="41157513"/>
    <w:rsid w:val="411B32DB"/>
    <w:rsid w:val="413176CD"/>
    <w:rsid w:val="4136FB92"/>
    <w:rsid w:val="413A83D5"/>
    <w:rsid w:val="413CD5DA"/>
    <w:rsid w:val="41470A4C"/>
    <w:rsid w:val="415C186F"/>
    <w:rsid w:val="4162878F"/>
    <w:rsid w:val="41638249"/>
    <w:rsid w:val="416C38A4"/>
    <w:rsid w:val="4175FD5D"/>
    <w:rsid w:val="4180F625"/>
    <w:rsid w:val="419059E6"/>
    <w:rsid w:val="419CAFFD"/>
    <w:rsid w:val="419D6B71"/>
    <w:rsid w:val="419DB9D8"/>
    <w:rsid w:val="41A0F8DA"/>
    <w:rsid w:val="41AEF6D4"/>
    <w:rsid w:val="4204A72B"/>
    <w:rsid w:val="4213C9B9"/>
    <w:rsid w:val="42172F78"/>
    <w:rsid w:val="422A5C77"/>
    <w:rsid w:val="4235AEA6"/>
    <w:rsid w:val="4244543D"/>
    <w:rsid w:val="424A980B"/>
    <w:rsid w:val="424BD39A"/>
    <w:rsid w:val="42522232"/>
    <w:rsid w:val="42724D73"/>
    <w:rsid w:val="427D04A6"/>
    <w:rsid w:val="4280F461"/>
    <w:rsid w:val="42A820A3"/>
    <w:rsid w:val="42C7D68E"/>
    <w:rsid w:val="42F15AE0"/>
    <w:rsid w:val="43157643"/>
    <w:rsid w:val="4349B8CD"/>
    <w:rsid w:val="43574ED0"/>
    <w:rsid w:val="43625D06"/>
    <w:rsid w:val="4362E938"/>
    <w:rsid w:val="43828763"/>
    <w:rsid w:val="43844581"/>
    <w:rsid w:val="43857518"/>
    <w:rsid w:val="43883ECE"/>
    <w:rsid w:val="43AC9D77"/>
    <w:rsid w:val="43BB1B79"/>
    <w:rsid w:val="43C0073C"/>
    <w:rsid w:val="43DA281B"/>
    <w:rsid w:val="43E67DF1"/>
    <w:rsid w:val="43FE648C"/>
    <w:rsid w:val="440294B4"/>
    <w:rsid w:val="440F65F0"/>
    <w:rsid w:val="4416E1B0"/>
    <w:rsid w:val="441B3BD5"/>
    <w:rsid w:val="4447801E"/>
    <w:rsid w:val="44644CBB"/>
    <w:rsid w:val="44914EF6"/>
    <w:rsid w:val="44945B60"/>
    <w:rsid w:val="449DE91F"/>
    <w:rsid w:val="44AE8FEC"/>
    <w:rsid w:val="44B00BD1"/>
    <w:rsid w:val="45246551"/>
    <w:rsid w:val="4529F077"/>
    <w:rsid w:val="45354A7F"/>
    <w:rsid w:val="4544FF22"/>
    <w:rsid w:val="4548217A"/>
    <w:rsid w:val="454BD49B"/>
    <w:rsid w:val="45534FA6"/>
    <w:rsid w:val="45653525"/>
    <w:rsid w:val="456BA932"/>
    <w:rsid w:val="45854468"/>
    <w:rsid w:val="4587A8A8"/>
    <w:rsid w:val="458D10AA"/>
    <w:rsid w:val="458DDBBA"/>
    <w:rsid w:val="459D87BE"/>
    <w:rsid w:val="45AE0A37"/>
    <w:rsid w:val="45B3A1C3"/>
    <w:rsid w:val="45C5BFEA"/>
    <w:rsid w:val="45D657F0"/>
    <w:rsid w:val="45DC1E28"/>
    <w:rsid w:val="45F9FFB7"/>
    <w:rsid w:val="45FCF45D"/>
    <w:rsid w:val="46197E22"/>
    <w:rsid w:val="4634725B"/>
    <w:rsid w:val="46477D7B"/>
    <w:rsid w:val="4648359E"/>
    <w:rsid w:val="464F12CB"/>
    <w:rsid w:val="46538E5F"/>
    <w:rsid w:val="465A3DEA"/>
    <w:rsid w:val="4675567F"/>
    <w:rsid w:val="467EE4A6"/>
    <w:rsid w:val="46A3B180"/>
    <w:rsid w:val="46A4962C"/>
    <w:rsid w:val="46AF0433"/>
    <w:rsid w:val="46B809B9"/>
    <w:rsid w:val="46B8A663"/>
    <w:rsid w:val="46CC83C6"/>
    <w:rsid w:val="46CEB83A"/>
    <w:rsid w:val="46D961CA"/>
    <w:rsid w:val="46E1B68B"/>
    <w:rsid w:val="46E55FA6"/>
    <w:rsid w:val="46E5903D"/>
    <w:rsid w:val="46E86EC0"/>
    <w:rsid w:val="46F98DE0"/>
    <w:rsid w:val="46FF6A47"/>
    <w:rsid w:val="4706A0B0"/>
    <w:rsid w:val="4736B179"/>
    <w:rsid w:val="47401C61"/>
    <w:rsid w:val="47406827"/>
    <w:rsid w:val="47530CDA"/>
    <w:rsid w:val="477F0863"/>
    <w:rsid w:val="4794252B"/>
    <w:rsid w:val="479A00F5"/>
    <w:rsid w:val="47C38FFC"/>
    <w:rsid w:val="47C45430"/>
    <w:rsid w:val="47C5EE85"/>
    <w:rsid w:val="47D445A1"/>
    <w:rsid w:val="47D552EB"/>
    <w:rsid w:val="47DF0CCB"/>
    <w:rsid w:val="47E1F14D"/>
    <w:rsid w:val="47EC9EBF"/>
    <w:rsid w:val="47F358B0"/>
    <w:rsid w:val="47F747C0"/>
    <w:rsid w:val="48034AEC"/>
    <w:rsid w:val="4805323D"/>
    <w:rsid w:val="4815141F"/>
    <w:rsid w:val="4823EBFF"/>
    <w:rsid w:val="482C512C"/>
    <w:rsid w:val="4833E863"/>
    <w:rsid w:val="48671C32"/>
    <w:rsid w:val="487BF344"/>
    <w:rsid w:val="487F5490"/>
    <w:rsid w:val="488EE243"/>
    <w:rsid w:val="489819FB"/>
    <w:rsid w:val="48994767"/>
    <w:rsid w:val="48C01661"/>
    <w:rsid w:val="48CA8AF0"/>
    <w:rsid w:val="48D8DCE3"/>
    <w:rsid w:val="48E5FFAF"/>
    <w:rsid w:val="49026D16"/>
    <w:rsid w:val="490D39D8"/>
    <w:rsid w:val="49267066"/>
    <w:rsid w:val="492E94F1"/>
    <w:rsid w:val="493B6665"/>
    <w:rsid w:val="496B4DCE"/>
    <w:rsid w:val="4979F9FD"/>
    <w:rsid w:val="4987140E"/>
    <w:rsid w:val="49BEDE2A"/>
    <w:rsid w:val="49C00186"/>
    <w:rsid w:val="49C2301C"/>
    <w:rsid w:val="49CECF0D"/>
    <w:rsid w:val="49E0CED7"/>
    <w:rsid w:val="49E2EFA3"/>
    <w:rsid w:val="49EAFAE4"/>
    <w:rsid w:val="4A0D1430"/>
    <w:rsid w:val="4A1A955F"/>
    <w:rsid w:val="4A261A89"/>
    <w:rsid w:val="4A540AD1"/>
    <w:rsid w:val="4A66CD61"/>
    <w:rsid w:val="4A7FCFEF"/>
    <w:rsid w:val="4A8D3C94"/>
    <w:rsid w:val="4AC4FD93"/>
    <w:rsid w:val="4AD2FD02"/>
    <w:rsid w:val="4AD822D1"/>
    <w:rsid w:val="4ADED1CF"/>
    <w:rsid w:val="4AE85D9A"/>
    <w:rsid w:val="4AEE4537"/>
    <w:rsid w:val="4B02DFBB"/>
    <w:rsid w:val="4B2834F0"/>
    <w:rsid w:val="4B2D6202"/>
    <w:rsid w:val="4B36631D"/>
    <w:rsid w:val="4B36EF5F"/>
    <w:rsid w:val="4B422203"/>
    <w:rsid w:val="4B79982A"/>
    <w:rsid w:val="4B7C38DE"/>
    <w:rsid w:val="4B9A38A0"/>
    <w:rsid w:val="4B9D823D"/>
    <w:rsid w:val="4BA4569A"/>
    <w:rsid w:val="4BA5B467"/>
    <w:rsid w:val="4BB90842"/>
    <w:rsid w:val="4BB98571"/>
    <w:rsid w:val="4BC65330"/>
    <w:rsid w:val="4BD488AD"/>
    <w:rsid w:val="4BE31AFB"/>
    <w:rsid w:val="4BEE91B2"/>
    <w:rsid w:val="4BFE343D"/>
    <w:rsid w:val="4BFEE5B8"/>
    <w:rsid w:val="4C043C29"/>
    <w:rsid w:val="4C0B3B6C"/>
    <w:rsid w:val="4C0DCE71"/>
    <w:rsid w:val="4C1BCA36"/>
    <w:rsid w:val="4C2C0D4F"/>
    <w:rsid w:val="4C3D1E78"/>
    <w:rsid w:val="4C65E709"/>
    <w:rsid w:val="4C6BFDBF"/>
    <w:rsid w:val="4C6DBB80"/>
    <w:rsid w:val="4C787783"/>
    <w:rsid w:val="4C78E293"/>
    <w:rsid w:val="4C834C16"/>
    <w:rsid w:val="4C83A8DA"/>
    <w:rsid w:val="4CB1BF3A"/>
    <w:rsid w:val="4CD752A8"/>
    <w:rsid w:val="4CDC142B"/>
    <w:rsid w:val="4CDE2E81"/>
    <w:rsid w:val="4D043C3C"/>
    <w:rsid w:val="4D14CFD6"/>
    <w:rsid w:val="4D231F2E"/>
    <w:rsid w:val="4D31CA7A"/>
    <w:rsid w:val="4D42BB2F"/>
    <w:rsid w:val="4D4F088D"/>
    <w:rsid w:val="4D5779AE"/>
    <w:rsid w:val="4D5BFF16"/>
    <w:rsid w:val="4D5D99B3"/>
    <w:rsid w:val="4D765D17"/>
    <w:rsid w:val="4D9639E6"/>
    <w:rsid w:val="4DB65386"/>
    <w:rsid w:val="4DBB2E94"/>
    <w:rsid w:val="4DD2860F"/>
    <w:rsid w:val="4DD58931"/>
    <w:rsid w:val="4DE0E536"/>
    <w:rsid w:val="4DFF62A2"/>
    <w:rsid w:val="4E066B85"/>
    <w:rsid w:val="4E137F48"/>
    <w:rsid w:val="4E346A0B"/>
    <w:rsid w:val="4E35A222"/>
    <w:rsid w:val="4E35A9F2"/>
    <w:rsid w:val="4E4555B6"/>
    <w:rsid w:val="4E4BF233"/>
    <w:rsid w:val="4E4FAED3"/>
    <w:rsid w:val="4E58E683"/>
    <w:rsid w:val="4E63E1BA"/>
    <w:rsid w:val="4EA971AC"/>
    <w:rsid w:val="4EAF053D"/>
    <w:rsid w:val="4EB18A4E"/>
    <w:rsid w:val="4EC3190B"/>
    <w:rsid w:val="4ED4CAD4"/>
    <w:rsid w:val="4EF40637"/>
    <w:rsid w:val="4F234AC0"/>
    <w:rsid w:val="4F2794DB"/>
    <w:rsid w:val="4F4D3E9B"/>
    <w:rsid w:val="4F6416C5"/>
    <w:rsid w:val="4F663EF5"/>
    <w:rsid w:val="4F7CB1FC"/>
    <w:rsid w:val="4F850332"/>
    <w:rsid w:val="4F8DFDDE"/>
    <w:rsid w:val="4F9D5A3A"/>
    <w:rsid w:val="4FA1EB20"/>
    <w:rsid w:val="4FA7AD76"/>
    <w:rsid w:val="4FC5132E"/>
    <w:rsid w:val="4FC73EE7"/>
    <w:rsid w:val="4FCE85C7"/>
    <w:rsid w:val="4FD5B993"/>
    <w:rsid w:val="4FE4C8AC"/>
    <w:rsid w:val="4FE7D4CB"/>
    <w:rsid w:val="4FEBD011"/>
    <w:rsid w:val="4FFFFFFA"/>
    <w:rsid w:val="50000267"/>
    <w:rsid w:val="500534F6"/>
    <w:rsid w:val="501D1C5D"/>
    <w:rsid w:val="50241AF0"/>
    <w:rsid w:val="502CE551"/>
    <w:rsid w:val="50306578"/>
    <w:rsid w:val="50671945"/>
    <w:rsid w:val="507425AE"/>
    <w:rsid w:val="50874E1F"/>
    <w:rsid w:val="5094E1B8"/>
    <w:rsid w:val="50B7486F"/>
    <w:rsid w:val="50C2F7FF"/>
    <w:rsid w:val="50CB9B7D"/>
    <w:rsid w:val="50CDB91A"/>
    <w:rsid w:val="50EE84A5"/>
    <w:rsid w:val="50F1B36D"/>
    <w:rsid w:val="50F83AA3"/>
    <w:rsid w:val="5108D5C3"/>
    <w:rsid w:val="5109735C"/>
    <w:rsid w:val="510AE584"/>
    <w:rsid w:val="511915B7"/>
    <w:rsid w:val="511C2BD4"/>
    <w:rsid w:val="511F14CC"/>
    <w:rsid w:val="5133A665"/>
    <w:rsid w:val="513FAB74"/>
    <w:rsid w:val="5164629E"/>
    <w:rsid w:val="517E7F0D"/>
    <w:rsid w:val="518E8735"/>
    <w:rsid w:val="51B027D6"/>
    <w:rsid w:val="51CA2F6E"/>
    <w:rsid w:val="51D18848"/>
    <w:rsid w:val="51D4AC9A"/>
    <w:rsid w:val="51F1CC43"/>
    <w:rsid w:val="51FE552B"/>
    <w:rsid w:val="5204AE77"/>
    <w:rsid w:val="520C9E87"/>
    <w:rsid w:val="52319940"/>
    <w:rsid w:val="523A5EDC"/>
    <w:rsid w:val="523EA8D2"/>
    <w:rsid w:val="52581680"/>
    <w:rsid w:val="526E0322"/>
    <w:rsid w:val="52791A18"/>
    <w:rsid w:val="528E17CF"/>
    <w:rsid w:val="52980691"/>
    <w:rsid w:val="52A03000"/>
    <w:rsid w:val="52AA703C"/>
    <w:rsid w:val="52C82BF3"/>
    <w:rsid w:val="52FE9360"/>
    <w:rsid w:val="52FF32D0"/>
    <w:rsid w:val="531299FD"/>
    <w:rsid w:val="531C9171"/>
    <w:rsid w:val="531E3C71"/>
    <w:rsid w:val="532B7EA7"/>
    <w:rsid w:val="5336A560"/>
    <w:rsid w:val="533750A3"/>
    <w:rsid w:val="5349ADB4"/>
    <w:rsid w:val="534D4EFC"/>
    <w:rsid w:val="535F1C71"/>
    <w:rsid w:val="536C50EA"/>
    <w:rsid w:val="536CD38C"/>
    <w:rsid w:val="538C98BC"/>
    <w:rsid w:val="5394F781"/>
    <w:rsid w:val="53955586"/>
    <w:rsid w:val="53967996"/>
    <w:rsid w:val="5399D50C"/>
    <w:rsid w:val="53AA630D"/>
    <w:rsid w:val="53AD8672"/>
    <w:rsid w:val="53B58EBA"/>
    <w:rsid w:val="53BE837E"/>
    <w:rsid w:val="53D26387"/>
    <w:rsid w:val="53EE06AA"/>
    <w:rsid w:val="54109643"/>
    <w:rsid w:val="544BEBA7"/>
    <w:rsid w:val="5462F4C2"/>
    <w:rsid w:val="547411B5"/>
    <w:rsid w:val="547566D4"/>
    <w:rsid w:val="5475CE41"/>
    <w:rsid w:val="547FCE06"/>
    <w:rsid w:val="5482CD7E"/>
    <w:rsid w:val="548F5994"/>
    <w:rsid w:val="54911BBB"/>
    <w:rsid w:val="549168A0"/>
    <w:rsid w:val="549FB43E"/>
    <w:rsid w:val="54DEC6D1"/>
    <w:rsid w:val="54F206F5"/>
    <w:rsid w:val="54F51E83"/>
    <w:rsid w:val="551429A8"/>
    <w:rsid w:val="55300B1F"/>
    <w:rsid w:val="55403796"/>
    <w:rsid w:val="554EEF0E"/>
    <w:rsid w:val="555EF939"/>
    <w:rsid w:val="55729827"/>
    <w:rsid w:val="557409E9"/>
    <w:rsid w:val="5592F5E0"/>
    <w:rsid w:val="55A5974B"/>
    <w:rsid w:val="55B945F0"/>
    <w:rsid w:val="55BFC231"/>
    <w:rsid w:val="55D11AD7"/>
    <w:rsid w:val="55DD54DF"/>
    <w:rsid w:val="55EAADE8"/>
    <w:rsid w:val="5606C304"/>
    <w:rsid w:val="56115973"/>
    <w:rsid w:val="563342BB"/>
    <w:rsid w:val="56641001"/>
    <w:rsid w:val="566A0FB9"/>
    <w:rsid w:val="567D5DDC"/>
    <w:rsid w:val="56851553"/>
    <w:rsid w:val="568969D1"/>
    <w:rsid w:val="568DBA8D"/>
    <w:rsid w:val="5691A71F"/>
    <w:rsid w:val="569C539D"/>
    <w:rsid w:val="56A95296"/>
    <w:rsid w:val="56B4AC21"/>
    <w:rsid w:val="56BA16B0"/>
    <w:rsid w:val="56BFE0AA"/>
    <w:rsid w:val="56D9573C"/>
    <w:rsid w:val="56E19DC8"/>
    <w:rsid w:val="56E93354"/>
    <w:rsid w:val="571F5046"/>
    <w:rsid w:val="572DFA96"/>
    <w:rsid w:val="573667C8"/>
    <w:rsid w:val="573704C0"/>
    <w:rsid w:val="573DD50A"/>
    <w:rsid w:val="5752B1DC"/>
    <w:rsid w:val="57761F53"/>
    <w:rsid w:val="5787F221"/>
    <w:rsid w:val="57B8CB9F"/>
    <w:rsid w:val="57C55A8B"/>
    <w:rsid w:val="57CF1FD9"/>
    <w:rsid w:val="57D0CFEF"/>
    <w:rsid w:val="57DB89B1"/>
    <w:rsid w:val="57E60DDA"/>
    <w:rsid w:val="57EEAFB6"/>
    <w:rsid w:val="57F75A9C"/>
    <w:rsid w:val="581BEAC2"/>
    <w:rsid w:val="58256C3F"/>
    <w:rsid w:val="5833D01E"/>
    <w:rsid w:val="58464A88"/>
    <w:rsid w:val="584A30B3"/>
    <w:rsid w:val="58539A90"/>
    <w:rsid w:val="5862155B"/>
    <w:rsid w:val="58848846"/>
    <w:rsid w:val="58980684"/>
    <w:rsid w:val="589D7770"/>
    <w:rsid w:val="58BE1BF3"/>
    <w:rsid w:val="58BF106D"/>
    <w:rsid w:val="58CDBFA4"/>
    <w:rsid w:val="58D943B2"/>
    <w:rsid w:val="5903C4FF"/>
    <w:rsid w:val="590E1D19"/>
    <w:rsid w:val="591DA6ED"/>
    <w:rsid w:val="59201697"/>
    <w:rsid w:val="5922B3BC"/>
    <w:rsid w:val="5933E638"/>
    <w:rsid w:val="59358FD8"/>
    <w:rsid w:val="594C437A"/>
    <w:rsid w:val="5980BDB4"/>
    <w:rsid w:val="59ABF5DC"/>
    <w:rsid w:val="59AD7F2A"/>
    <w:rsid w:val="59D00980"/>
    <w:rsid w:val="59D780C3"/>
    <w:rsid w:val="5A0B8610"/>
    <w:rsid w:val="5A0CEE06"/>
    <w:rsid w:val="5A422090"/>
    <w:rsid w:val="5A451D63"/>
    <w:rsid w:val="5A615905"/>
    <w:rsid w:val="5A689098"/>
    <w:rsid w:val="5A74BA79"/>
    <w:rsid w:val="5A918EC7"/>
    <w:rsid w:val="5A983D50"/>
    <w:rsid w:val="5A9E1174"/>
    <w:rsid w:val="5AA930A0"/>
    <w:rsid w:val="5AC96134"/>
    <w:rsid w:val="5ACE3501"/>
    <w:rsid w:val="5ACEB8B3"/>
    <w:rsid w:val="5ADE6691"/>
    <w:rsid w:val="5AE4DD77"/>
    <w:rsid w:val="5AF337C3"/>
    <w:rsid w:val="5AF41084"/>
    <w:rsid w:val="5AFE9283"/>
    <w:rsid w:val="5B499F79"/>
    <w:rsid w:val="5B78D2B5"/>
    <w:rsid w:val="5B7C6BD5"/>
    <w:rsid w:val="5B7D134F"/>
    <w:rsid w:val="5BAA1335"/>
    <w:rsid w:val="5BD8CF80"/>
    <w:rsid w:val="5BF17EAB"/>
    <w:rsid w:val="5BF71878"/>
    <w:rsid w:val="5C0A3C33"/>
    <w:rsid w:val="5C1BC856"/>
    <w:rsid w:val="5C3EC3CD"/>
    <w:rsid w:val="5C3EF907"/>
    <w:rsid w:val="5C42B4C1"/>
    <w:rsid w:val="5C4878AE"/>
    <w:rsid w:val="5C7AB65C"/>
    <w:rsid w:val="5C831061"/>
    <w:rsid w:val="5C89805E"/>
    <w:rsid w:val="5C916CA6"/>
    <w:rsid w:val="5CC3E66B"/>
    <w:rsid w:val="5CC47D64"/>
    <w:rsid w:val="5CD3E28B"/>
    <w:rsid w:val="5CDADA45"/>
    <w:rsid w:val="5CE04F8B"/>
    <w:rsid w:val="5CFC4E0F"/>
    <w:rsid w:val="5D00D92C"/>
    <w:rsid w:val="5D0C7816"/>
    <w:rsid w:val="5D14042B"/>
    <w:rsid w:val="5D14C1F7"/>
    <w:rsid w:val="5D42F88B"/>
    <w:rsid w:val="5D47ACC0"/>
    <w:rsid w:val="5D6EB95B"/>
    <w:rsid w:val="5D747448"/>
    <w:rsid w:val="5D83D825"/>
    <w:rsid w:val="5D8A2545"/>
    <w:rsid w:val="5DB32FEA"/>
    <w:rsid w:val="5DBE9E92"/>
    <w:rsid w:val="5DBFE505"/>
    <w:rsid w:val="5DEA235D"/>
    <w:rsid w:val="5E2EB1DD"/>
    <w:rsid w:val="5E421961"/>
    <w:rsid w:val="5E459C7A"/>
    <w:rsid w:val="5E4D7022"/>
    <w:rsid w:val="5E5F6BB1"/>
    <w:rsid w:val="5EA046CB"/>
    <w:rsid w:val="5EA39759"/>
    <w:rsid w:val="5EAEFD15"/>
    <w:rsid w:val="5EB54318"/>
    <w:rsid w:val="5EE97BC0"/>
    <w:rsid w:val="5F006756"/>
    <w:rsid w:val="5F0B1A81"/>
    <w:rsid w:val="5F1046AB"/>
    <w:rsid w:val="5F36D5E8"/>
    <w:rsid w:val="5F44CD42"/>
    <w:rsid w:val="5F684093"/>
    <w:rsid w:val="5F9F094B"/>
    <w:rsid w:val="5FB71BCC"/>
    <w:rsid w:val="5FBFC74A"/>
    <w:rsid w:val="5FC2083F"/>
    <w:rsid w:val="5FCF218D"/>
    <w:rsid w:val="60138E23"/>
    <w:rsid w:val="6018146C"/>
    <w:rsid w:val="6032D61B"/>
    <w:rsid w:val="60359A72"/>
    <w:rsid w:val="604623BF"/>
    <w:rsid w:val="60478871"/>
    <w:rsid w:val="605A80BD"/>
    <w:rsid w:val="6069F869"/>
    <w:rsid w:val="6076052D"/>
    <w:rsid w:val="6078E877"/>
    <w:rsid w:val="607CE336"/>
    <w:rsid w:val="607F42F5"/>
    <w:rsid w:val="607F8622"/>
    <w:rsid w:val="609F193D"/>
    <w:rsid w:val="60AFCD0A"/>
    <w:rsid w:val="60B794E5"/>
    <w:rsid w:val="60C6E88A"/>
    <w:rsid w:val="60D62B5A"/>
    <w:rsid w:val="60FAF6F5"/>
    <w:rsid w:val="60FEBA4D"/>
    <w:rsid w:val="610656F3"/>
    <w:rsid w:val="610B2D79"/>
    <w:rsid w:val="6114874A"/>
    <w:rsid w:val="614ACAC3"/>
    <w:rsid w:val="615F9603"/>
    <w:rsid w:val="616AE860"/>
    <w:rsid w:val="616C34F5"/>
    <w:rsid w:val="616DE97A"/>
    <w:rsid w:val="6178D441"/>
    <w:rsid w:val="617A0444"/>
    <w:rsid w:val="618F0611"/>
    <w:rsid w:val="61941770"/>
    <w:rsid w:val="6196A662"/>
    <w:rsid w:val="61A95EC0"/>
    <w:rsid w:val="61B4B920"/>
    <w:rsid w:val="61BC67DE"/>
    <w:rsid w:val="61BE1729"/>
    <w:rsid w:val="61C3C020"/>
    <w:rsid w:val="61DA822B"/>
    <w:rsid w:val="61E989B5"/>
    <w:rsid w:val="6211C95D"/>
    <w:rsid w:val="622CD357"/>
    <w:rsid w:val="62575384"/>
    <w:rsid w:val="62589217"/>
    <w:rsid w:val="6288880B"/>
    <w:rsid w:val="62894BC6"/>
    <w:rsid w:val="62A48E54"/>
    <w:rsid w:val="62AE8FB1"/>
    <w:rsid w:val="62B1C4B4"/>
    <w:rsid w:val="62B571AF"/>
    <w:rsid w:val="62BA3207"/>
    <w:rsid w:val="62CC8A3C"/>
    <w:rsid w:val="62D72D68"/>
    <w:rsid w:val="62F89CB6"/>
    <w:rsid w:val="62FA571A"/>
    <w:rsid w:val="63238B0E"/>
    <w:rsid w:val="632A848D"/>
    <w:rsid w:val="632A8FD1"/>
    <w:rsid w:val="632D9DEA"/>
    <w:rsid w:val="63479724"/>
    <w:rsid w:val="6357C25B"/>
    <w:rsid w:val="635C6462"/>
    <w:rsid w:val="6361E1A8"/>
    <w:rsid w:val="637430DA"/>
    <w:rsid w:val="639EDD86"/>
    <w:rsid w:val="63A12A9D"/>
    <w:rsid w:val="63C983E6"/>
    <w:rsid w:val="63C9EDB8"/>
    <w:rsid w:val="63D73602"/>
    <w:rsid w:val="63E25907"/>
    <w:rsid w:val="63E5781F"/>
    <w:rsid w:val="63EAC39B"/>
    <w:rsid w:val="63ECDA71"/>
    <w:rsid w:val="6401EADE"/>
    <w:rsid w:val="6408658E"/>
    <w:rsid w:val="642583E5"/>
    <w:rsid w:val="64260171"/>
    <w:rsid w:val="64275FAA"/>
    <w:rsid w:val="643C79E7"/>
    <w:rsid w:val="644B1E1B"/>
    <w:rsid w:val="6451833B"/>
    <w:rsid w:val="645CFE6E"/>
    <w:rsid w:val="6466FDB0"/>
    <w:rsid w:val="64865387"/>
    <w:rsid w:val="6486E77C"/>
    <w:rsid w:val="649577AA"/>
    <w:rsid w:val="649DA7EC"/>
    <w:rsid w:val="64AC77BB"/>
    <w:rsid w:val="64B7CEA2"/>
    <w:rsid w:val="64BB8CB9"/>
    <w:rsid w:val="64C2532B"/>
    <w:rsid w:val="64E8A02E"/>
    <w:rsid w:val="64F00440"/>
    <w:rsid w:val="64F932C5"/>
    <w:rsid w:val="64FB16AC"/>
    <w:rsid w:val="65060D8A"/>
    <w:rsid w:val="65112411"/>
    <w:rsid w:val="651CA3B3"/>
    <w:rsid w:val="652AFED5"/>
    <w:rsid w:val="653EDE02"/>
    <w:rsid w:val="65536CC2"/>
    <w:rsid w:val="65657F45"/>
    <w:rsid w:val="658D1EB8"/>
    <w:rsid w:val="659F106B"/>
    <w:rsid w:val="65ABDA14"/>
    <w:rsid w:val="65B345DB"/>
    <w:rsid w:val="65B58B68"/>
    <w:rsid w:val="65BCB963"/>
    <w:rsid w:val="65C3BA31"/>
    <w:rsid w:val="65D79B18"/>
    <w:rsid w:val="65E84A77"/>
    <w:rsid w:val="65EFE889"/>
    <w:rsid w:val="65F088E8"/>
    <w:rsid w:val="6602628F"/>
    <w:rsid w:val="6602E796"/>
    <w:rsid w:val="66275C41"/>
    <w:rsid w:val="662B375A"/>
    <w:rsid w:val="662F0C11"/>
    <w:rsid w:val="66329097"/>
    <w:rsid w:val="663D2E0F"/>
    <w:rsid w:val="663ED349"/>
    <w:rsid w:val="66535530"/>
    <w:rsid w:val="666B0B28"/>
    <w:rsid w:val="66757CFA"/>
    <w:rsid w:val="667765AB"/>
    <w:rsid w:val="6682ED5A"/>
    <w:rsid w:val="6690A7C3"/>
    <w:rsid w:val="669B4D06"/>
    <w:rsid w:val="66C4174D"/>
    <w:rsid w:val="66C4CE0C"/>
    <w:rsid w:val="66C96712"/>
    <w:rsid w:val="66D27346"/>
    <w:rsid w:val="66E36E6B"/>
    <w:rsid w:val="66F3758D"/>
    <w:rsid w:val="6702F0ED"/>
    <w:rsid w:val="6708FD36"/>
    <w:rsid w:val="670914E8"/>
    <w:rsid w:val="6714F298"/>
    <w:rsid w:val="6724BD4C"/>
    <w:rsid w:val="67440C81"/>
    <w:rsid w:val="6772ECDB"/>
    <w:rsid w:val="67979EEB"/>
    <w:rsid w:val="67A20146"/>
    <w:rsid w:val="67C010E0"/>
    <w:rsid w:val="67C45126"/>
    <w:rsid w:val="67C6A55D"/>
    <w:rsid w:val="67CD1178"/>
    <w:rsid w:val="67DE36E0"/>
    <w:rsid w:val="67E7D42A"/>
    <w:rsid w:val="681BA2A3"/>
    <w:rsid w:val="681EBA85"/>
    <w:rsid w:val="6830BD20"/>
    <w:rsid w:val="68447BAD"/>
    <w:rsid w:val="6858C4F0"/>
    <w:rsid w:val="685EF9C2"/>
    <w:rsid w:val="68763997"/>
    <w:rsid w:val="6883BE6F"/>
    <w:rsid w:val="68A20964"/>
    <w:rsid w:val="68AFB442"/>
    <w:rsid w:val="68BEB298"/>
    <w:rsid w:val="68C5745D"/>
    <w:rsid w:val="68D901C9"/>
    <w:rsid w:val="68DC4E35"/>
    <w:rsid w:val="68E8BD11"/>
    <w:rsid w:val="6904AB36"/>
    <w:rsid w:val="691C736D"/>
    <w:rsid w:val="69202CC5"/>
    <w:rsid w:val="6922434C"/>
    <w:rsid w:val="6925DCEE"/>
    <w:rsid w:val="692BD8A1"/>
    <w:rsid w:val="6933A4A5"/>
    <w:rsid w:val="693C00C1"/>
    <w:rsid w:val="6941C119"/>
    <w:rsid w:val="69472CF0"/>
    <w:rsid w:val="6951FB43"/>
    <w:rsid w:val="695A9414"/>
    <w:rsid w:val="695B696A"/>
    <w:rsid w:val="69696BD3"/>
    <w:rsid w:val="6974D7EE"/>
    <w:rsid w:val="6977550C"/>
    <w:rsid w:val="697771C7"/>
    <w:rsid w:val="6986686D"/>
    <w:rsid w:val="69925F43"/>
    <w:rsid w:val="6998FE78"/>
    <w:rsid w:val="69C832AA"/>
    <w:rsid w:val="69C9BB07"/>
    <w:rsid w:val="69CE86CB"/>
    <w:rsid w:val="6A04BF65"/>
    <w:rsid w:val="6A5F6676"/>
    <w:rsid w:val="6A65BE80"/>
    <w:rsid w:val="6A6998B8"/>
    <w:rsid w:val="6A6A0DF2"/>
    <w:rsid w:val="6A7D50EB"/>
    <w:rsid w:val="6A7D9842"/>
    <w:rsid w:val="6A971F3E"/>
    <w:rsid w:val="6A98D7D0"/>
    <w:rsid w:val="6AB04358"/>
    <w:rsid w:val="6AC313FB"/>
    <w:rsid w:val="6ACD2EFB"/>
    <w:rsid w:val="6AD26817"/>
    <w:rsid w:val="6AE109CE"/>
    <w:rsid w:val="6AE7E0B1"/>
    <w:rsid w:val="6AF78118"/>
    <w:rsid w:val="6AFB2576"/>
    <w:rsid w:val="6B051295"/>
    <w:rsid w:val="6B32AAD1"/>
    <w:rsid w:val="6B41ECCA"/>
    <w:rsid w:val="6B4775E9"/>
    <w:rsid w:val="6B564914"/>
    <w:rsid w:val="6B5B8768"/>
    <w:rsid w:val="6B945E9C"/>
    <w:rsid w:val="6BE83AE3"/>
    <w:rsid w:val="6BE9621A"/>
    <w:rsid w:val="6BF33EDC"/>
    <w:rsid w:val="6BF5A048"/>
    <w:rsid w:val="6C1F1B6B"/>
    <w:rsid w:val="6C35C1EF"/>
    <w:rsid w:val="6C3C15FF"/>
    <w:rsid w:val="6C5319A4"/>
    <w:rsid w:val="6C682E6E"/>
    <w:rsid w:val="6C8C0DE7"/>
    <w:rsid w:val="6C9181F1"/>
    <w:rsid w:val="6C91C781"/>
    <w:rsid w:val="6C93357C"/>
    <w:rsid w:val="6C9A2184"/>
    <w:rsid w:val="6CB75BDD"/>
    <w:rsid w:val="6CC28264"/>
    <w:rsid w:val="6CC9E444"/>
    <w:rsid w:val="6CECC07E"/>
    <w:rsid w:val="6D022A92"/>
    <w:rsid w:val="6D11B7B1"/>
    <w:rsid w:val="6D1CF8B6"/>
    <w:rsid w:val="6D1E5E5A"/>
    <w:rsid w:val="6D1F255F"/>
    <w:rsid w:val="6D20932F"/>
    <w:rsid w:val="6D268097"/>
    <w:rsid w:val="6D4C57B9"/>
    <w:rsid w:val="6D4CF270"/>
    <w:rsid w:val="6D4FA6A5"/>
    <w:rsid w:val="6D51A68C"/>
    <w:rsid w:val="6D64476E"/>
    <w:rsid w:val="6D708455"/>
    <w:rsid w:val="6D709800"/>
    <w:rsid w:val="6D7E2905"/>
    <w:rsid w:val="6D959100"/>
    <w:rsid w:val="6DB82AC2"/>
    <w:rsid w:val="6DC3D201"/>
    <w:rsid w:val="6DCF07FE"/>
    <w:rsid w:val="6DD22B69"/>
    <w:rsid w:val="6DF57EFA"/>
    <w:rsid w:val="6E0889A4"/>
    <w:rsid w:val="6E0B2AA1"/>
    <w:rsid w:val="6E0C770F"/>
    <w:rsid w:val="6E158D4E"/>
    <w:rsid w:val="6E22DD18"/>
    <w:rsid w:val="6E27459F"/>
    <w:rsid w:val="6E27C35A"/>
    <w:rsid w:val="6E43B703"/>
    <w:rsid w:val="6E442733"/>
    <w:rsid w:val="6E688D0E"/>
    <w:rsid w:val="6E6EB2FF"/>
    <w:rsid w:val="6EED025C"/>
    <w:rsid w:val="6EFEB641"/>
    <w:rsid w:val="6F2E6A8D"/>
    <w:rsid w:val="6F34C8EE"/>
    <w:rsid w:val="6F3E2F32"/>
    <w:rsid w:val="6F3EC319"/>
    <w:rsid w:val="6F4F0D70"/>
    <w:rsid w:val="6F53D646"/>
    <w:rsid w:val="6F562FDA"/>
    <w:rsid w:val="6F5AB507"/>
    <w:rsid w:val="6F628089"/>
    <w:rsid w:val="6F81DAED"/>
    <w:rsid w:val="6F845809"/>
    <w:rsid w:val="6F84A020"/>
    <w:rsid w:val="6F8E808D"/>
    <w:rsid w:val="6FB9645F"/>
    <w:rsid w:val="6FC3ED3A"/>
    <w:rsid w:val="6FC6FA4A"/>
    <w:rsid w:val="6FCD1F03"/>
    <w:rsid w:val="6FD56D7C"/>
    <w:rsid w:val="6FDCC3B5"/>
    <w:rsid w:val="6FE54EAA"/>
    <w:rsid w:val="7016C792"/>
    <w:rsid w:val="701D452C"/>
    <w:rsid w:val="70331B63"/>
    <w:rsid w:val="7041EA49"/>
    <w:rsid w:val="7076BBB1"/>
    <w:rsid w:val="7088FC57"/>
    <w:rsid w:val="70900765"/>
    <w:rsid w:val="709EF7EE"/>
    <w:rsid w:val="70AAE98A"/>
    <w:rsid w:val="70BF716E"/>
    <w:rsid w:val="70F6A6E6"/>
    <w:rsid w:val="7102931C"/>
    <w:rsid w:val="713E8AAC"/>
    <w:rsid w:val="71411026"/>
    <w:rsid w:val="71424FA9"/>
    <w:rsid w:val="71488E95"/>
    <w:rsid w:val="714AF5E0"/>
    <w:rsid w:val="714B7CEF"/>
    <w:rsid w:val="714DC7FB"/>
    <w:rsid w:val="7153BB80"/>
    <w:rsid w:val="71569C68"/>
    <w:rsid w:val="7158B145"/>
    <w:rsid w:val="715C175C"/>
    <w:rsid w:val="716D69B1"/>
    <w:rsid w:val="7178E40A"/>
    <w:rsid w:val="717996E7"/>
    <w:rsid w:val="71853962"/>
    <w:rsid w:val="718A7F05"/>
    <w:rsid w:val="71CDB7F9"/>
    <w:rsid w:val="71D17D77"/>
    <w:rsid w:val="71DA6983"/>
    <w:rsid w:val="71DC4341"/>
    <w:rsid w:val="71EA603B"/>
    <w:rsid w:val="720D5588"/>
    <w:rsid w:val="720F631B"/>
    <w:rsid w:val="72121DF4"/>
    <w:rsid w:val="721D9C25"/>
    <w:rsid w:val="722B1F91"/>
    <w:rsid w:val="7232263D"/>
    <w:rsid w:val="72342809"/>
    <w:rsid w:val="72365CE8"/>
    <w:rsid w:val="7236E97C"/>
    <w:rsid w:val="7246BBE5"/>
    <w:rsid w:val="72484177"/>
    <w:rsid w:val="7258C72B"/>
    <w:rsid w:val="725AB6CD"/>
    <w:rsid w:val="725B335A"/>
    <w:rsid w:val="725DCFAD"/>
    <w:rsid w:val="726102D2"/>
    <w:rsid w:val="72769B1C"/>
    <w:rsid w:val="72A7874A"/>
    <w:rsid w:val="72AB9C04"/>
    <w:rsid w:val="72ACD3B4"/>
    <w:rsid w:val="72B3E1FA"/>
    <w:rsid w:val="72BA4FEB"/>
    <w:rsid w:val="72D08567"/>
    <w:rsid w:val="72D325D9"/>
    <w:rsid w:val="72D7BDC8"/>
    <w:rsid w:val="72EF0976"/>
    <w:rsid w:val="730E01B0"/>
    <w:rsid w:val="7327E6EE"/>
    <w:rsid w:val="73288E86"/>
    <w:rsid w:val="734511EA"/>
    <w:rsid w:val="73481D83"/>
    <w:rsid w:val="736171E9"/>
    <w:rsid w:val="7365899B"/>
    <w:rsid w:val="736BCFD9"/>
    <w:rsid w:val="739C4849"/>
    <w:rsid w:val="73AE5577"/>
    <w:rsid w:val="73C3A237"/>
    <w:rsid w:val="73FEBE2B"/>
    <w:rsid w:val="73FFAEAE"/>
    <w:rsid w:val="7400894F"/>
    <w:rsid w:val="74312782"/>
    <w:rsid w:val="743D3F86"/>
    <w:rsid w:val="7441677F"/>
    <w:rsid w:val="745AF06B"/>
    <w:rsid w:val="7464AD32"/>
    <w:rsid w:val="748C7DF5"/>
    <w:rsid w:val="7490290F"/>
    <w:rsid w:val="74947405"/>
    <w:rsid w:val="749B55EC"/>
    <w:rsid w:val="74A2D7F6"/>
    <w:rsid w:val="74B5FADB"/>
    <w:rsid w:val="74B79858"/>
    <w:rsid w:val="74B7A981"/>
    <w:rsid w:val="74C7E70C"/>
    <w:rsid w:val="74F64640"/>
    <w:rsid w:val="750AC0EB"/>
    <w:rsid w:val="7510FA26"/>
    <w:rsid w:val="75114BA4"/>
    <w:rsid w:val="7516C50F"/>
    <w:rsid w:val="752033B8"/>
    <w:rsid w:val="75526431"/>
    <w:rsid w:val="75589433"/>
    <w:rsid w:val="757171F4"/>
    <w:rsid w:val="758FE280"/>
    <w:rsid w:val="7591C71D"/>
    <w:rsid w:val="759E312B"/>
    <w:rsid w:val="759EE665"/>
    <w:rsid w:val="75B6C565"/>
    <w:rsid w:val="75C8D2E8"/>
    <w:rsid w:val="75F27EAB"/>
    <w:rsid w:val="7601BE5B"/>
    <w:rsid w:val="761C1080"/>
    <w:rsid w:val="764DCBFC"/>
    <w:rsid w:val="7684335E"/>
    <w:rsid w:val="7687FF2B"/>
    <w:rsid w:val="76A2BA04"/>
    <w:rsid w:val="76A4FCFB"/>
    <w:rsid w:val="76A6FD49"/>
    <w:rsid w:val="76ABD919"/>
    <w:rsid w:val="76BF31AB"/>
    <w:rsid w:val="76C8156A"/>
    <w:rsid w:val="770A6FDE"/>
    <w:rsid w:val="773A2B51"/>
    <w:rsid w:val="77420DF9"/>
    <w:rsid w:val="774D6D08"/>
    <w:rsid w:val="77599BA0"/>
    <w:rsid w:val="777098AD"/>
    <w:rsid w:val="777134D7"/>
    <w:rsid w:val="777D3653"/>
    <w:rsid w:val="779E2321"/>
    <w:rsid w:val="779F3989"/>
    <w:rsid w:val="77A0754F"/>
    <w:rsid w:val="77A7CDF8"/>
    <w:rsid w:val="77A878C3"/>
    <w:rsid w:val="77AAF83F"/>
    <w:rsid w:val="77BF87CD"/>
    <w:rsid w:val="77F4D213"/>
    <w:rsid w:val="77F8C2A4"/>
    <w:rsid w:val="77FD4F61"/>
    <w:rsid w:val="7808D115"/>
    <w:rsid w:val="7812706D"/>
    <w:rsid w:val="7862606A"/>
    <w:rsid w:val="786D869D"/>
    <w:rsid w:val="78877E62"/>
    <w:rsid w:val="7894643A"/>
    <w:rsid w:val="78ADB213"/>
    <w:rsid w:val="78BEA384"/>
    <w:rsid w:val="78CECA27"/>
    <w:rsid w:val="78FB9F79"/>
    <w:rsid w:val="7933EB0B"/>
    <w:rsid w:val="7967C988"/>
    <w:rsid w:val="797075A3"/>
    <w:rsid w:val="799FD3C4"/>
    <w:rsid w:val="79C1EEF6"/>
    <w:rsid w:val="79CABCB8"/>
    <w:rsid w:val="79D9EF18"/>
    <w:rsid w:val="79DE5997"/>
    <w:rsid w:val="79EA6451"/>
    <w:rsid w:val="79EE549F"/>
    <w:rsid w:val="7A248872"/>
    <w:rsid w:val="7A276C34"/>
    <w:rsid w:val="7A30514D"/>
    <w:rsid w:val="7A61770D"/>
    <w:rsid w:val="7A652649"/>
    <w:rsid w:val="7A7CD68F"/>
    <w:rsid w:val="7A995ECB"/>
    <w:rsid w:val="7AB6A9D9"/>
    <w:rsid w:val="7AB6F19B"/>
    <w:rsid w:val="7ABE70EA"/>
    <w:rsid w:val="7ACA44AF"/>
    <w:rsid w:val="7AE4C261"/>
    <w:rsid w:val="7AE9E476"/>
    <w:rsid w:val="7B044997"/>
    <w:rsid w:val="7B07AFEC"/>
    <w:rsid w:val="7B0EB50F"/>
    <w:rsid w:val="7B264DA5"/>
    <w:rsid w:val="7B488F5B"/>
    <w:rsid w:val="7B500A17"/>
    <w:rsid w:val="7B56E7F8"/>
    <w:rsid w:val="7B5CB51F"/>
    <w:rsid w:val="7B64EB11"/>
    <w:rsid w:val="7B7FE970"/>
    <w:rsid w:val="7B83E681"/>
    <w:rsid w:val="7B8EB6F8"/>
    <w:rsid w:val="7B8F7013"/>
    <w:rsid w:val="7B9C861A"/>
    <w:rsid w:val="7BA02633"/>
    <w:rsid w:val="7BADE637"/>
    <w:rsid w:val="7BB0EAFF"/>
    <w:rsid w:val="7BB59A71"/>
    <w:rsid w:val="7BB5C0CB"/>
    <w:rsid w:val="7BBB1F2E"/>
    <w:rsid w:val="7BBE7D4E"/>
    <w:rsid w:val="7BD103FB"/>
    <w:rsid w:val="7BE85475"/>
    <w:rsid w:val="7C0F2C5B"/>
    <w:rsid w:val="7C2C79BF"/>
    <w:rsid w:val="7C37AE0B"/>
    <w:rsid w:val="7C3DDB2B"/>
    <w:rsid w:val="7C518008"/>
    <w:rsid w:val="7C7C9575"/>
    <w:rsid w:val="7CCB0C4C"/>
    <w:rsid w:val="7CD842B7"/>
    <w:rsid w:val="7D0D6C35"/>
    <w:rsid w:val="7D1E7A2F"/>
    <w:rsid w:val="7D27D08A"/>
    <w:rsid w:val="7D2ED521"/>
    <w:rsid w:val="7D448CC5"/>
    <w:rsid w:val="7D4578AC"/>
    <w:rsid w:val="7D5B8E11"/>
    <w:rsid w:val="7D60CBF4"/>
    <w:rsid w:val="7D6860B1"/>
    <w:rsid w:val="7D6E5573"/>
    <w:rsid w:val="7D6F6F36"/>
    <w:rsid w:val="7D721FBA"/>
    <w:rsid w:val="7D762A6F"/>
    <w:rsid w:val="7D8059C1"/>
    <w:rsid w:val="7D88019B"/>
    <w:rsid w:val="7D8DDEC0"/>
    <w:rsid w:val="7DCB8925"/>
    <w:rsid w:val="7DCE5347"/>
    <w:rsid w:val="7DD4D375"/>
    <w:rsid w:val="7DD8D20A"/>
    <w:rsid w:val="7DEC2963"/>
    <w:rsid w:val="7DF05C18"/>
    <w:rsid w:val="7DF41EE5"/>
    <w:rsid w:val="7DF9B0E8"/>
    <w:rsid w:val="7E02E711"/>
    <w:rsid w:val="7E1226A5"/>
    <w:rsid w:val="7E13B29A"/>
    <w:rsid w:val="7E1F5EE7"/>
    <w:rsid w:val="7E23C32B"/>
    <w:rsid w:val="7E2B7957"/>
    <w:rsid w:val="7E554227"/>
    <w:rsid w:val="7E5748B5"/>
    <w:rsid w:val="7E63E8C1"/>
    <w:rsid w:val="7E6FE4CC"/>
    <w:rsid w:val="7EA876F6"/>
    <w:rsid w:val="7ECBAA10"/>
    <w:rsid w:val="7EE63727"/>
    <w:rsid w:val="7EF9F6D0"/>
    <w:rsid w:val="7EFB7899"/>
    <w:rsid w:val="7F09C085"/>
    <w:rsid w:val="7F2BAB88"/>
    <w:rsid w:val="7F334BF5"/>
    <w:rsid w:val="7F38212B"/>
    <w:rsid w:val="7F3E4BB1"/>
    <w:rsid w:val="7F4AA509"/>
    <w:rsid w:val="7F4F2680"/>
    <w:rsid w:val="7F654BF9"/>
    <w:rsid w:val="7F69753B"/>
    <w:rsid w:val="7FCAF898"/>
    <w:rsid w:val="7FE7A5E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98954"/>
  <w15:docId w15:val="{2A179DC1-B6F1-4E44-99EF-27240903E6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FSMePro" w:hAnsi="FSMePro" w:eastAsia="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637"/>
    <w:pPr>
      <w:spacing w:after="200" w:line="288" w:lineRule="auto"/>
    </w:pPr>
    <w:rPr>
      <w:rFonts w:ascii="Arial" w:hAnsi="Arial" w:eastAsia="Times New Roman"/>
      <w:sz w:val="24"/>
      <w:szCs w:val="24"/>
      <w:lang w:val="en-US"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lang w:val="en-AU"/>
    </w:rPr>
  </w:style>
  <w:style w:type="paragraph" w:styleId="Heading2">
    <w:name w:val="heading 2"/>
    <w:aliases w:val="Heading 3 REVISED,Board Brief - Paragraph Heading 2"/>
    <w:basedOn w:val="Normal"/>
    <w:next w:val="Normal"/>
    <w:link w:val="Heading2Char"/>
    <w:uiPriority w:val="1"/>
    <w:unhideWhenUsed/>
    <w:qFormat/>
    <w:rsid w:val="00830A50"/>
    <w:p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spacing w:before="400" w:after="120"/>
      <w:outlineLvl w:val="2"/>
    </w:pPr>
    <w:rPr>
      <w:b/>
      <w:color w:val="6B2976"/>
      <w:sz w:val="30"/>
      <w:szCs w:val="30"/>
    </w:rPr>
  </w:style>
  <w:style w:type="paragraph" w:styleId="Heading4">
    <w:name w:val="heading 4"/>
    <w:basedOn w:val="Normal"/>
    <w:next w:val="Normal"/>
    <w:link w:val="Heading4Char"/>
    <w:uiPriority w:val="9"/>
    <w:unhideWhenUsed/>
    <w:qFormat/>
    <w:rsid w:val="00863C7F"/>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Report title Char"/>
    <w:link w:val="Heading1"/>
    <w:uiPriority w:val="9"/>
    <w:rsid w:val="00664E61"/>
    <w:rPr>
      <w:rFonts w:ascii="Arial" w:hAnsi="Arial" w:eastAsia="Times New Roman" w:cs="Arial"/>
      <w:b/>
      <w:color w:val="FEFFFF"/>
      <w:sz w:val="80"/>
      <w:szCs w:val="80"/>
      <w:lang w:eastAsia="ja-JP"/>
    </w:rPr>
  </w:style>
  <w:style w:type="character" w:styleId="Heading2Char" w:customStyle="1">
    <w:name w:val="Heading 2 Char"/>
    <w:aliases w:val="Heading 3 REVISED Char,Board Brief - Paragraph Heading 2 Char"/>
    <w:link w:val="Heading2"/>
    <w:uiPriority w:val="1"/>
    <w:rsid w:val="00830A50"/>
    <w:rPr>
      <w:rFonts w:ascii="Arial" w:hAnsi="Arial" w:eastAsia="Times New Roman"/>
      <w:b/>
      <w:bCs/>
      <w:color w:val="6B2976"/>
      <w:sz w:val="40"/>
      <w:szCs w:val="40"/>
      <w:lang w:val="en-US" w:eastAsia="ja-JP"/>
    </w:rPr>
  </w:style>
  <w:style w:type="paragraph" w:styleId="Tablebullet" w:customStyle="1">
    <w:name w:val="Table bullet"/>
    <w:qFormat/>
    <w:rsid w:val="000223C0"/>
    <w:pPr>
      <w:numPr>
        <w:numId w:val="3"/>
      </w:numPr>
    </w:pPr>
    <w:rPr>
      <w:rFonts w:ascii="Arial" w:hAnsi="Arial" w:eastAsia="Times New Roman"/>
      <w:sz w:val="24"/>
      <w:szCs w:val="24"/>
      <w:lang w:eastAsia="ja-JP"/>
    </w:rPr>
  </w:style>
  <w:style w:type="character" w:styleId="Heading3Char" w:customStyle="1">
    <w:name w:val="Heading 3 Char"/>
    <w:link w:val="Heading3"/>
    <w:uiPriority w:val="9"/>
    <w:rsid w:val="00863C7F"/>
    <w:rPr>
      <w:rFonts w:ascii="Arial" w:hAnsi="Arial" w:eastAsia="Times New Roman"/>
      <w:b/>
      <w:color w:val="6B2976"/>
      <w:sz w:val="30"/>
      <w:szCs w:val="30"/>
      <w:lang w:val="en-US" w:eastAsia="ja-JP"/>
    </w:rPr>
  </w:style>
  <w:style w:type="character" w:styleId="Heading4Char" w:customStyle="1">
    <w:name w:val="Heading 4 Char"/>
    <w:link w:val="Heading4"/>
    <w:uiPriority w:val="9"/>
    <w:rsid w:val="00863C7F"/>
    <w:rPr>
      <w:rFonts w:ascii="Arial" w:hAnsi="Arial" w:eastAsia="Times New Roman"/>
      <w:b/>
      <w:sz w:val="24"/>
      <w:szCs w:val="24"/>
      <w:lang w:val="en-US" w:eastAsia="ja-JP"/>
    </w:rPr>
  </w:style>
  <w:style w:type="character" w:styleId="Heading5Char" w:customStyle="1">
    <w:name w:val="Heading 5 Char"/>
    <w:link w:val="Heading5"/>
    <w:uiPriority w:val="9"/>
    <w:rsid w:val="00863C7F"/>
    <w:rPr>
      <w:rFonts w:ascii="Arial" w:hAnsi="Arial" w:eastAsia="Times New Roman"/>
      <w:b/>
      <w:sz w:val="22"/>
      <w:szCs w:val="24"/>
      <w:lang w:val="en-US" w:eastAsia="ja-JP"/>
    </w:rPr>
  </w:style>
  <w:style w:type="character" w:styleId="Heading6Char" w:customStyle="1">
    <w:name w:val="Heading 6 Char"/>
    <w:link w:val="Heading6"/>
    <w:uiPriority w:val="9"/>
    <w:rsid w:val="00830A50"/>
    <w:rPr>
      <w:rFonts w:ascii="Arial" w:hAnsi="Arial" w:eastAsia="Times New Roman"/>
      <w:i/>
      <w:iCs/>
      <w:sz w:val="22"/>
      <w:szCs w:val="24"/>
      <w:lang w:val="en-US" w:eastAsia="ja-JP"/>
    </w:rPr>
  </w:style>
  <w:style w:type="character" w:styleId="Heading7Char" w:customStyle="1">
    <w:name w:val="Heading 7 Char"/>
    <w:link w:val="Heading7"/>
    <w:uiPriority w:val="9"/>
    <w:rsid w:val="004B54CA"/>
    <w:rPr>
      <w:rFonts w:ascii="Arial" w:hAnsi="Arial" w:eastAsia="Times New Roman" w:cs="Times New Roman"/>
      <w:i/>
      <w:iCs/>
    </w:rPr>
  </w:style>
  <w:style w:type="character" w:styleId="Heading8Char" w:customStyle="1">
    <w:name w:val="Heading 8 Char"/>
    <w:link w:val="Heading8"/>
    <w:uiPriority w:val="9"/>
    <w:rsid w:val="004B54CA"/>
    <w:rPr>
      <w:rFonts w:ascii="Arial" w:hAnsi="Arial" w:eastAsia="Times New Roman" w:cs="Times New Roman"/>
      <w:sz w:val="20"/>
      <w:szCs w:val="20"/>
    </w:rPr>
  </w:style>
  <w:style w:type="character" w:styleId="Heading9Char" w:customStyle="1">
    <w:name w:val="Heading 9 Char"/>
    <w:link w:val="Heading9"/>
    <w:uiPriority w:val="9"/>
    <w:rsid w:val="004B54CA"/>
    <w:rPr>
      <w:rFonts w:ascii="Arial" w:hAnsi="Arial" w:eastAsia="Times New Roman"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accent6"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000000" w:themeColor="accent6"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accent6"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000000" w:themeColor="accent6" w:sz="4" w:space="0"/>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6B2876" w:themeColor="text1"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6B2876" w:themeColor="text1"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6B2876" w:themeColor="text1"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6B2876" w:themeColor="text1" w:sz="4" w:space="0"/>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styleId="CurrentList1" w:customStyle="1">
    <w:name w:val="Current List1"/>
    <w:uiPriority w:val="99"/>
    <w:rsid w:val="00940AC8"/>
    <w:pPr>
      <w:numPr>
        <w:numId w:val="4"/>
      </w:numPr>
    </w:pPr>
  </w:style>
  <w:style w:type="numbering" w:styleId="CurrentList2" w:customStyle="1">
    <w:name w:val="Current List2"/>
    <w:uiPriority w:val="99"/>
    <w:rsid w:val="00940AC8"/>
    <w:pPr>
      <w:numPr>
        <w:numId w:val="5"/>
      </w:numPr>
    </w:pPr>
  </w:style>
  <w:style w:type="numbering" w:styleId="CurrentList3" w:customStyle="1">
    <w:name w:val="Current List3"/>
    <w:uiPriority w:val="99"/>
    <w:rsid w:val="00940AC8"/>
    <w:pPr>
      <w:numPr>
        <w:numId w:val="6"/>
      </w:numPr>
    </w:pPr>
  </w:style>
  <w:style w:type="table" w:styleId="TableGridLight">
    <w:name w:val="Grid Table Light"/>
    <w:basedOn w:val="TableNormal"/>
    <w:uiPriority w:val="40"/>
    <w:rsid w:val="00940AC8"/>
    <w:tblPr>
      <w:tblBorders>
        <w:top w:val="single" w:color="BABABA" w:themeColor="background1" w:themeShade="BF" w:sz="4" w:space="0"/>
        <w:left w:val="single" w:color="BABABA" w:themeColor="background1" w:themeShade="BF" w:sz="4" w:space="0"/>
        <w:bottom w:val="single" w:color="BABABA" w:themeColor="background1" w:themeShade="BF" w:sz="4" w:space="0"/>
        <w:right w:val="single" w:color="BABABA" w:themeColor="background1" w:themeShade="BF" w:sz="4" w:space="0"/>
        <w:insideH w:val="single" w:color="BABABA" w:themeColor="background1" w:themeShade="BF" w:sz="4" w:space="0"/>
        <w:insideV w:val="single" w:color="BABABA" w:themeColor="background1" w:themeShade="BF" w:sz="4" w:space="0"/>
      </w:tblBorders>
    </w:tblPr>
  </w:style>
  <w:style w:type="paragraph" w:styleId="ListParagraph">
    <w:name w:val="List Paragraph"/>
    <w:aliases w:val="First level bullet point,List Paragraph1,List Paragraph11,Bullet point,L,Recommendation,Figure_name,Bullet- First level,Listenabsatz1,#List Paragraph,NFP GP Bulleted List,List Paragraph2,Bullet Point,Bullet points,Content descriptions,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color="BA61C9" w:themeColor="text1" w:themeTint="99" w:sz="4" w:space="0"/>
        <w:bottom w:val="single" w:color="BA61C9" w:themeColor="text1" w:themeTint="99" w:sz="4" w:space="0"/>
        <w:insideH w:val="single" w:color="BA61C9"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qFormat/>
    <w:rsid w:val="00664E61"/>
    <w:pPr>
      <w:jc w:val="center"/>
    </w:pPr>
    <w:rPr>
      <w:b/>
      <w:color w:val="C00000"/>
    </w:rPr>
  </w:style>
  <w:style w:type="character" w:styleId="HeaderChar" w:customStyle="1">
    <w:name w:val="Header Char"/>
    <w:aliases w:val="Security markings Char"/>
    <w:link w:val="Header"/>
    <w:uiPriority w:val="99"/>
    <w:rsid w:val="00664E61"/>
    <w:rPr>
      <w:rFonts w:ascii="Arial" w:hAnsi="Arial" w:eastAsia="Times New Roman"/>
      <w:b/>
      <w:color w:val="C00000"/>
      <w:sz w:val="24"/>
      <w:szCs w:val="24"/>
      <w:lang w:val="en-US" w:eastAsia="ja-JP"/>
    </w:rPr>
  </w:style>
  <w:style w:type="paragraph" w:styleId="Footer">
    <w:name w:val="footer"/>
    <w:basedOn w:val="Normal"/>
    <w:link w:val="FooterChar"/>
    <w:uiPriority w:val="99"/>
    <w:unhideWhenUsed/>
    <w:rsid w:val="00FA334F"/>
    <w:pPr>
      <w:pBdr>
        <w:top w:val="single" w:color="6B2976" w:sz="4" w:space="12"/>
      </w:pBdr>
      <w:tabs>
        <w:tab w:val="center" w:pos="4513"/>
        <w:tab w:val="right" w:pos="9026"/>
      </w:tabs>
      <w:spacing w:after="0" w:line="240" w:lineRule="auto"/>
    </w:pPr>
    <w:rPr>
      <w:color w:val="6B2976"/>
    </w:rPr>
  </w:style>
  <w:style w:type="character" w:styleId="FooterChar" w:customStyle="1">
    <w:name w:val="Footer Char"/>
    <w:link w:val="Footer"/>
    <w:uiPriority w:val="99"/>
    <w:rsid w:val="00FA334F"/>
    <w:rPr>
      <w:rFonts w:ascii="Arial" w:hAnsi="Arial" w:eastAsia="Times New Roman"/>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7219F1"/>
    <w:rPr>
      <w:rFonts w:ascii="Tahoma" w:hAnsi="Tahoma" w:eastAsia="Times New Roman" w:cs="Tahoma"/>
      <w:sz w:val="16"/>
      <w:szCs w:val="16"/>
      <w:lang w:val="en-US" w:eastAsia="ja-JP"/>
    </w:rPr>
  </w:style>
  <w:style w:type="paragraph" w:styleId="Bullet" w:customStyle="1">
    <w:name w:val="Bullet"/>
    <w:basedOn w:val="ListParagraph"/>
    <w:qFormat/>
    <w:rsid w:val="003820DF"/>
    <w:pPr>
      <w:numPr>
        <w:numId w:val="2"/>
      </w:numPr>
      <w:ind w:left="714" w:hanging="357"/>
    </w:pPr>
  </w:style>
  <w:style w:type="table" w:styleId="LightShading-Accent4">
    <w:name w:val="Light Shading Accent 4"/>
    <w:aliases w:val="NDIS purple table"/>
    <w:basedOn w:val="TableNormal"/>
    <w:uiPriority w:val="60"/>
    <w:rsid w:val="004F0179"/>
    <w:pPr>
      <w:keepLines/>
      <w:spacing w:after="80"/>
      <w:ind w:left="113" w:right="113"/>
    </w:pPr>
    <w:rPr>
      <w:rFonts w:ascii="Arial" w:hAnsi="Arial" w:eastAsia="Times New Roman"/>
      <w:lang w:val="en-US" w:eastAsia="ja-JP"/>
    </w:rPr>
    <w:tblPr>
      <w:tblStyleRowBandSize w:val="1"/>
      <w:tblStyleColBandSize w:val="1"/>
      <w:tblBorders>
        <w:top w:val="single" w:color="6B2876" w:themeColor="text2" w:sz="4" w:space="0"/>
        <w:bottom w:val="single" w:color="6B2876" w:themeColor="text2" w:sz="4" w:space="0"/>
      </w:tblBorders>
    </w:tblPr>
    <w:tblStylePr w:type="firstRow">
      <w:pPr>
        <w:wordWrap/>
        <w:spacing w:before="120" w:beforeLines="0" w:beforeAutospacing="0" w:after="120" w:afterLines="0" w:afterAutospacing="0" w:line="240" w:lineRule="auto"/>
        <w:ind w:left="113" w:leftChars="0" w:right="113" w:rightChars="0"/>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color="C5296D" w:sz="8" w:space="0"/>
          <w:left w:val="nil"/>
          <w:bottom w:val="single" w:color="C5296D" w:sz="8" w:space="0"/>
          <w:right w:val="nil"/>
          <w:insideH w:val="nil"/>
          <w:insideV w:val="nil"/>
        </w:tcBorders>
      </w:tcPr>
    </w:tblStylePr>
    <w:tblStylePr w:type="firstCol">
      <w:rPr>
        <w:b/>
        <w:bCs/>
      </w:rPr>
    </w:tblStylePr>
    <w:tblStylePr w:type="lastCol">
      <w:pPr>
        <w:wordWrap/>
        <w:spacing w:before="120" w:beforeLines="120" w:beforeAutospacing="0" w:after="120" w:afterLines="120" w:afterAutospacing="0"/>
        <w:ind w:left="113" w:leftChars="0" w:right="113" w:rightChars="0"/>
      </w:pPr>
      <w:rPr>
        <w:b/>
        <w:bCs/>
      </w:rPr>
    </w:tblStylePr>
    <w:tblStylePr w:type="band1Vert">
      <w:pPr>
        <w:wordWrap/>
        <w:spacing w:before="120" w:beforeLines="120" w:beforeAutospacing="0" w:after="120" w:afterLines="120" w:afterAutospacing="0"/>
        <w:ind w:left="113" w:leftChars="0" w:right="113" w:rightChars="0"/>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C006F4"/>
    <w:pPr>
      <w:tabs>
        <w:tab w:val="right" w:pos="9016"/>
      </w:tabs>
      <w:spacing w:before="120" w:after="120" w:line="240" w:lineRule="auto"/>
    </w:pPr>
    <w:rPr>
      <w:rFonts w:cs="Arial" w:eastAsiaTheme="minorEastAsia"/>
      <w:noProof/>
      <w:kern w:val="2"/>
      <w:sz w:val="22"/>
      <w:szCs w:val="22"/>
      <w:lang w:val="en-AU" w:eastAsia="en-AU"/>
      <w14:ligatures w14:val="standardContextual"/>
    </w:rPr>
  </w:style>
  <w:style w:type="paragraph" w:styleId="TOC2">
    <w:name w:val="toc 2"/>
    <w:basedOn w:val="Normal"/>
    <w:next w:val="Normal"/>
    <w:autoRedefine/>
    <w:uiPriority w:val="39"/>
    <w:unhideWhenUsed/>
    <w:qFormat/>
    <w:rsid w:val="00521C18"/>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styleId="Securityinformation" w:customStyle="1">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59"/>
    <w:rsid w:val="00EC43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Description" w:customStyle="1">
    <w:name w:val="Table Description"/>
    <w:basedOn w:val="Normal"/>
    <w:link w:val="TableDescriptionChar"/>
    <w:qFormat/>
    <w:rsid w:val="00830A50"/>
    <w:pPr>
      <w:spacing w:before="360" w:after="120"/>
    </w:pPr>
    <w:rPr>
      <w:bCs/>
      <w:u w:val="single"/>
    </w:rPr>
  </w:style>
  <w:style w:type="character" w:styleId="TableDescriptionChar" w:customStyle="1">
    <w:name w:val="Table Description Char"/>
    <w:link w:val="TableDescription"/>
    <w:rsid w:val="00830A50"/>
    <w:rPr>
      <w:rFonts w:ascii="Arial" w:hAnsi="Arial" w:eastAsia="Times New Roman"/>
      <w:bCs/>
      <w:sz w:val="22"/>
      <w:szCs w:val="24"/>
      <w:u w:val="single"/>
      <w:lang w:val="en-US" w:eastAsia="ja-JP"/>
    </w:rPr>
  </w:style>
  <w:style w:type="character" w:styleId="SecurityinformationChar" w:customStyle="1">
    <w:name w:val="Security information Char"/>
    <w:link w:val="Securityinformation"/>
    <w:rsid w:val="007E6C06"/>
    <w:rPr>
      <w:rFonts w:ascii="Arial" w:hAnsi="Arial" w:eastAsia="Times New Roman"/>
      <w:b/>
      <w:color w:val="F9F9F9" w:themeColor="background1"/>
      <w:sz w:val="28"/>
      <w:szCs w:val="28"/>
      <w:lang w:val="en-US" w:eastAsia="ja-JP"/>
    </w:rPr>
  </w:style>
  <w:style w:type="table" w:styleId="Coverpagetable" w:customStyle="1">
    <w:name w:val="Cover page table"/>
    <w:basedOn w:val="TableNormal"/>
    <w:uiPriority w:val="99"/>
    <w:rsid w:val="00066632"/>
    <w:rPr>
      <w:rFonts w:ascii="Arial" w:hAnsi="Arial" w:cs="Times New Roman (Body CS)" w:eastAsiaTheme="minorHAnsi"/>
      <w:color w:val="F9F9F9" w:themeColor="background1"/>
      <w:sz w:val="24"/>
      <w:szCs w:val="24"/>
      <w:lang w:eastAsia="en-US"/>
    </w:rPr>
    <w:tblPr/>
  </w:style>
  <w:style w:type="paragraph" w:styleId="tablelistbullet" w:customStyle="1">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color="6B2876" w:themeColor="text1" w:sz="4" w:space="0"/>
        <w:left w:val="single" w:color="6B2876" w:themeColor="text1" w:sz="4" w:space="0"/>
        <w:bottom w:val="single" w:color="6B2876" w:themeColor="text1" w:sz="4" w:space="0"/>
        <w:right w:val="single" w:color="6B2876" w:themeColor="text1" w:sz="4" w:space="0"/>
        <w:insideH w:val="single" w:color="6B2876" w:themeColor="text1" w:sz="4" w:space="0"/>
        <w:insideV w:val="single" w:color="6B2876" w:themeColor="text1" w:sz="4" w:space="0"/>
      </w:tblBorders>
    </w:tblPr>
    <w:tblStylePr w:type="firstRow">
      <w:rPr>
        <w:b/>
        <w:bCs/>
        <w:color w:val="F9F9F9" w:themeColor="background1"/>
      </w:rPr>
      <w:tblPr/>
      <w:trPr>
        <w:tblHeader/>
      </w:trPr>
      <w:tcPr>
        <w:tcBorders>
          <w:top w:val="single" w:color="6B2876" w:themeColor="text1" w:sz="4" w:space="0"/>
          <w:left w:val="single" w:color="6B2876" w:themeColor="text1" w:sz="4" w:space="0"/>
          <w:bottom w:val="single" w:color="F9F9F9" w:themeColor="background1" w:sz="4" w:space="0"/>
          <w:right w:val="single" w:color="6B2876" w:themeColor="text1" w:sz="4" w:space="0"/>
          <w:insideH w:val="nil"/>
          <w:insideV w:val="single" w:color="F9F9F9" w:themeColor="background1" w:sz="4" w:space="0"/>
          <w:tl2br w:val="nil"/>
          <w:tr2bl w:val="nil"/>
        </w:tcBorders>
        <w:shd w:val="clear" w:color="auto" w:fill="6B2876" w:themeFill="text1"/>
      </w:tcPr>
    </w:tblStylePr>
    <w:tblStylePr w:type="lastRow">
      <w:rPr>
        <w:b/>
        <w:bCs/>
      </w:rPr>
      <w:tblPr/>
      <w:tcPr>
        <w:tcBorders>
          <w:top w:val="double" w:color="6B2876" w:themeColor="text1" w:sz="4" w:space="0"/>
        </w:tcBorders>
      </w:tcPr>
    </w:tblStylePr>
    <w:tblStylePr w:type="firstCol">
      <w:rPr>
        <w:b/>
        <w:bCs/>
        <w:color w:val="F9F9F9" w:themeColor="background1"/>
      </w:rPr>
      <w:tblPr/>
      <w:tcPr>
        <w:tcBorders>
          <w:insideH w:val="single" w:color="F9F9F9" w:themeColor="background1" w:sz="4" w:space="0"/>
          <w:insideV w:val="single" w:color="F9F9F9" w:themeColor="background1" w:sz="4" w:space="0"/>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color="6B2876" w:themeColor="text1" w:sz="4" w:space="0"/>
        <w:left w:val="single" w:color="6B2876" w:themeColor="text1" w:sz="4" w:space="0"/>
        <w:bottom w:val="single" w:color="6B2876" w:themeColor="text1" w:sz="4" w:space="0"/>
        <w:right w:val="single" w:color="6B2876" w:themeColor="text1" w:sz="4" w:space="0"/>
        <w:insideH w:val="single" w:color="6B2876" w:themeColor="text1" w:sz="4" w:space="0"/>
        <w:insideV w:val="single" w:color="6B2876" w:themeColor="text1" w:sz="4" w:space="0"/>
      </w:tblBorders>
    </w:tblPr>
    <w:tblStylePr w:type="firstRow">
      <w:rPr>
        <w:b/>
        <w:bCs/>
        <w:color w:val="F9F9F9" w:themeColor="background1"/>
      </w:rPr>
      <w:tblPr/>
      <w:trPr>
        <w:tblHeader/>
      </w:trPr>
      <w:tcPr>
        <w:tcBorders>
          <w:top w:val="single" w:color="6B2876" w:themeColor="text1" w:sz="4" w:space="0"/>
          <w:left w:val="single" w:color="6B2876" w:themeColor="text1" w:sz="4" w:space="0"/>
          <w:bottom w:val="nil"/>
          <w:right w:val="single" w:color="6B2876" w:themeColor="text1" w:sz="4" w:space="0"/>
          <w:insideH w:val="single" w:color="F9F9F9" w:themeColor="background1" w:sz="4" w:space="0"/>
          <w:insideV w:val="single" w:color="F9F9F9" w:themeColor="background1" w:sz="4" w:space="0"/>
        </w:tcBorders>
        <w:shd w:val="clear" w:color="auto" w:fill="6B2876" w:themeFill="text1"/>
      </w:tcPr>
    </w:tblStylePr>
    <w:tblStylePr w:type="lastRow">
      <w:rPr>
        <w:b/>
        <w:bCs/>
      </w:rPr>
      <w:tblPr/>
      <w:tcPr>
        <w:tcBorders>
          <w:top w:val="double" w:color="BA61C9" w:themeColor="text1" w:themeTint="99" w:sz="4" w:space="0"/>
        </w:tcBorders>
      </w:tcPr>
    </w:tblStylePr>
    <w:tblStylePr w:type="firstCol">
      <w:rPr>
        <w:b/>
        <w:bCs/>
        <w:color w:val="F9F9F9" w:themeColor="background1"/>
      </w:rPr>
      <w:tblPr/>
      <w:tcPr>
        <w:tcBorders>
          <w:top w:val="single" w:color="6B2876" w:themeColor="text1" w:sz="4" w:space="0"/>
          <w:left w:val="single" w:color="6B2876" w:themeColor="text1" w:sz="4" w:space="0"/>
          <w:bottom w:val="single" w:color="6B2876" w:themeColor="text1" w:sz="4" w:space="0"/>
          <w:right w:val="nil"/>
          <w:insideH w:val="single" w:color="F9F9F9" w:themeColor="background1" w:sz="4" w:space="0"/>
          <w:insideV w:val="single" w:color="F9F9F9" w:themeColor="background1" w:sz="4" w:space="0"/>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Normalrecommendationtext" w:customStyle="1">
    <w:name w:val="Normal recommendation text"/>
    <w:basedOn w:val="Normal"/>
    <w:qFormat/>
    <w:rsid w:val="009051FC"/>
    <w:pPr>
      <w:spacing w:line="276" w:lineRule="auto"/>
      <w:ind w:left="567"/>
    </w:pPr>
    <w:rPr>
      <w:color w:val="6B2876" w:themeColor="text1"/>
      <w:lang w:val="en-AU"/>
    </w:rPr>
  </w:style>
  <w:style w:type="paragraph" w:styleId="Recommendationheading" w:customStyle="1">
    <w:name w:val="Recommendation heading"/>
    <w:basedOn w:val="Normal"/>
    <w:qFormat/>
    <w:rsid w:val="009051FC"/>
    <w:pPr>
      <w:keepNext/>
      <w:spacing w:line="300" w:lineRule="atLeast"/>
      <w:ind w:left="567"/>
    </w:pPr>
    <w:rPr>
      <w:rFonts w:eastAsiaTheme="minorEastAsia" w:cstheme="minorBidi"/>
      <w:b/>
      <w:color w:val="6B2876" w:themeColor="text1"/>
      <w:u w:val="single"/>
      <w:lang w:val="en-AU"/>
    </w:rPr>
  </w:style>
  <w:style w:type="character" w:styleId="CommentReference">
    <w:name w:val="Comment Reference"/>
    <w:basedOn w:val="DefaultParagraphFont"/>
    <w:uiPriority w:val="99"/>
    <w:unhideWhenUsed/>
    <w:rsid w:val="009051FC"/>
    <w:rPr>
      <w:sz w:val="16"/>
      <w:szCs w:val="16"/>
    </w:rPr>
  </w:style>
  <w:style w:type="paragraph" w:styleId="CommentText">
    <w:name w:val="Comment Text"/>
    <w:basedOn w:val="Normal"/>
    <w:link w:val="CommentTextChar"/>
    <w:uiPriority w:val="99"/>
    <w:unhideWhenUsed/>
    <w:rsid w:val="009051FC"/>
    <w:pPr>
      <w:spacing w:line="240" w:lineRule="auto"/>
    </w:pPr>
    <w:rPr>
      <w:sz w:val="20"/>
      <w:szCs w:val="20"/>
    </w:rPr>
  </w:style>
  <w:style w:type="character" w:styleId="CommentTextChar" w:customStyle="1">
    <w:name w:val="Comment Text Char"/>
    <w:basedOn w:val="DefaultParagraphFont"/>
    <w:link w:val="CommentText"/>
    <w:uiPriority w:val="99"/>
    <w:rsid w:val="009051FC"/>
    <w:rPr>
      <w:rFonts w:ascii="Arial" w:hAnsi="Arial" w:eastAsia="Times New Roman"/>
      <w:lang w:val="en-US" w:eastAsia="ja-JP"/>
    </w:rPr>
  </w:style>
  <w:style w:type="character" w:styleId="Mention">
    <w:name w:val="Mention"/>
    <w:basedOn w:val="DefaultParagraphFont"/>
    <w:uiPriority w:val="99"/>
    <w:unhideWhenUsed/>
    <w:rsid w:val="009051FC"/>
    <w:rPr>
      <w:color w:val="2B579A"/>
      <w:shd w:val="clear" w:color="auto" w:fill="E1DFDD"/>
    </w:rPr>
  </w:style>
  <w:style w:type="paragraph" w:styleId="CommentSubject">
    <w:name w:val="Comment Subject"/>
    <w:basedOn w:val="CommentText"/>
    <w:next w:val="CommentText"/>
    <w:link w:val="CommentSubjectChar"/>
    <w:uiPriority w:val="99"/>
    <w:semiHidden/>
    <w:unhideWhenUsed/>
    <w:rsid w:val="00AF48C5"/>
    <w:rPr>
      <w:b/>
      <w:bCs/>
    </w:rPr>
  </w:style>
  <w:style w:type="character" w:styleId="CommentSubjectChar" w:customStyle="1">
    <w:name w:val="Comment Subject Char"/>
    <w:basedOn w:val="CommentTextChar"/>
    <w:link w:val="CommentSubject"/>
    <w:uiPriority w:val="99"/>
    <w:semiHidden/>
    <w:rsid w:val="00AF48C5"/>
    <w:rPr>
      <w:rFonts w:ascii="Arial" w:hAnsi="Arial" w:eastAsia="Times New Roman"/>
      <w:b/>
      <w:bCs/>
      <w:lang w:val="en-US" w:eastAsia="ja-JP"/>
    </w:rPr>
  </w:style>
  <w:style w:type="paragraph" w:styleId="ExecBrief-Heading2" w:customStyle="1">
    <w:name w:val="Exec Brief - Heading 2"/>
    <w:qFormat/>
    <w:rsid w:val="00F04222"/>
    <w:pPr>
      <w:numPr>
        <w:ilvl w:val="1"/>
        <w:numId w:val="39"/>
      </w:numPr>
      <w:spacing w:before="120" w:after="120"/>
    </w:pPr>
    <w:rPr>
      <w:rFonts w:ascii="Arial" w:hAnsi="Arial" w:eastAsia="Times New Roman" w:cs="Arial"/>
      <w:sz w:val="24"/>
      <w:szCs w:val="24"/>
      <w:lang w:eastAsia="en-US"/>
    </w:rPr>
  </w:style>
  <w:style w:type="paragraph" w:styleId="ExecBrief-Heading1" w:customStyle="1">
    <w:name w:val="Exec Brief - Heading 1"/>
    <w:next w:val="ExecBrief-Heading2"/>
    <w:qFormat/>
    <w:rsid w:val="00F04222"/>
    <w:pPr>
      <w:keepNext/>
      <w:numPr>
        <w:numId w:val="39"/>
      </w:numPr>
      <w:spacing w:before="120" w:after="120"/>
      <w:outlineLvl w:val="2"/>
    </w:pPr>
    <w:rPr>
      <w:rFonts w:ascii="Arial" w:hAnsi="Arial" w:eastAsia="Times New Roman" w:cs="Arial"/>
      <w:b/>
      <w:color w:val="6B2F76"/>
      <w:sz w:val="24"/>
      <w:szCs w:val="24"/>
      <w:lang w:eastAsia="en-US"/>
    </w:rPr>
  </w:style>
  <w:style w:type="character" w:styleId="ExecBrief-Heading3Char" w:customStyle="1">
    <w:name w:val="Exec Brief - Heading 3 Char"/>
    <w:basedOn w:val="DefaultParagraphFont"/>
    <w:link w:val="ExecBrief-Heading3"/>
    <w:locked/>
    <w:rsid w:val="00F04222"/>
    <w:rPr>
      <w:rFonts w:ascii="Arial" w:hAnsi="Arial" w:cs="Arial"/>
      <w:sz w:val="24"/>
      <w:szCs w:val="24"/>
      <w:lang w:eastAsia="en-US"/>
    </w:rPr>
  </w:style>
  <w:style w:type="paragraph" w:styleId="ExecBrief-Heading3" w:customStyle="1">
    <w:name w:val="Exec Brief - Heading 3"/>
    <w:link w:val="ExecBrief-Heading3Char"/>
    <w:qFormat/>
    <w:rsid w:val="00F04222"/>
    <w:pPr>
      <w:numPr>
        <w:ilvl w:val="2"/>
        <w:numId w:val="39"/>
      </w:numPr>
      <w:spacing w:before="120" w:after="120"/>
    </w:pPr>
    <w:rPr>
      <w:rFonts w:ascii="Arial" w:hAnsi="Arial" w:cs="Arial"/>
      <w:sz w:val="24"/>
      <w:szCs w:val="24"/>
      <w:lang w:eastAsia="en-US"/>
    </w:rPr>
  </w:style>
  <w:style w:type="paragraph" w:styleId="ExecBrief-Heading4" w:customStyle="1">
    <w:name w:val="Exec Brief - Heading 4"/>
    <w:basedOn w:val="ExecBrief-Heading3"/>
    <w:qFormat/>
    <w:rsid w:val="00F04222"/>
    <w:pPr>
      <w:numPr>
        <w:ilvl w:val="3"/>
      </w:numPr>
    </w:pPr>
  </w:style>
  <w:style w:type="paragraph" w:styleId="ExecBrief-Heading5" w:customStyle="1">
    <w:name w:val="Exec Brief - Heading 5"/>
    <w:basedOn w:val="ExecBrief-Heading4"/>
    <w:qFormat/>
    <w:rsid w:val="00F04222"/>
    <w:pPr>
      <w:numPr>
        <w:ilvl w:val="4"/>
      </w:numPr>
      <w:tabs>
        <w:tab w:val="num" w:pos="2041"/>
      </w:tabs>
    </w:pPr>
  </w:style>
  <w:style w:type="numbering" w:styleId="CurrentList31" w:customStyle="1">
    <w:name w:val="Current List31"/>
    <w:uiPriority w:val="99"/>
    <w:rsid w:val="00F504FD"/>
  </w:style>
  <w:style w:type="paragraph" w:styleId="FootnoteText">
    <w:name w:val="footnote text"/>
    <w:basedOn w:val="Normal"/>
    <w:link w:val="FootnoteTextChar"/>
    <w:uiPriority w:val="99"/>
    <w:unhideWhenUsed/>
    <w:qFormat/>
    <w:rsid w:val="009A1DBB"/>
    <w:pPr>
      <w:spacing w:before="60" w:after="0" w:line="240" w:lineRule="auto"/>
    </w:pPr>
    <w:rPr>
      <w:sz w:val="20"/>
      <w:szCs w:val="20"/>
      <w:lang w:val="en-AU"/>
    </w:rPr>
  </w:style>
  <w:style w:type="character" w:styleId="FootnoteTextChar" w:customStyle="1">
    <w:name w:val="Footnote Text Char"/>
    <w:basedOn w:val="DefaultParagraphFont"/>
    <w:link w:val="FootnoteText"/>
    <w:uiPriority w:val="99"/>
    <w:rsid w:val="009A1DBB"/>
    <w:rPr>
      <w:rFonts w:ascii="Arial" w:hAnsi="Arial" w:eastAsia="Times New Roman"/>
      <w:lang w:eastAsia="ja-JP"/>
    </w:rPr>
  </w:style>
  <w:style w:type="character" w:styleId="FootnoteReference">
    <w:name w:val="footnote reference"/>
    <w:basedOn w:val="DefaultParagraphFont"/>
    <w:uiPriority w:val="99"/>
    <w:unhideWhenUsed/>
    <w:rsid w:val="00F504FD"/>
    <w:rPr>
      <w:vertAlign w:val="superscript"/>
    </w:rPr>
  </w:style>
  <w:style w:type="character" w:styleId="ListParagraphChar" w:customStyle="1">
    <w:name w:val="List Paragraph Char"/>
    <w:aliases w:val="First level bullet point Char,List Paragraph1 Char,List Paragraph11 Char,Bullet point Char,L Char,Recommendation Char,Figure_name Char,Bullet- First level Char,Listenabsatz1 Char,#List Paragraph Char,NFP GP Bulleted List Char"/>
    <w:basedOn w:val="DefaultParagraphFont"/>
    <w:link w:val="ListParagraph"/>
    <w:uiPriority w:val="34"/>
    <w:qFormat/>
    <w:rsid w:val="00FE5692"/>
    <w:rPr>
      <w:rFonts w:ascii="Arial" w:hAnsi="Arial" w:eastAsia="Times New Roman"/>
      <w:sz w:val="24"/>
      <w:szCs w:val="24"/>
      <w:lang w:val="en-US" w:eastAsia="ja-JP"/>
    </w:rPr>
  </w:style>
  <w:style w:type="paragraph" w:styleId="paragraph" w:customStyle="1">
    <w:name w:val="paragraph"/>
    <w:basedOn w:val="Normal"/>
    <w:rsid w:val="00876B9F"/>
    <w:pPr>
      <w:spacing w:before="100" w:beforeAutospacing="1" w:after="100" w:afterAutospacing="1" w:line="240" w:lineRule="auto"/>
    </w:pPr>
    <w:rPr>
      <w:rFonts w:ascii="Times New Roman" w:hAnsi="Times New Roman"/>
      <w:lang w:val="en-AU" w:eastAsia="en-AU"/>
    </w:rPr>
  </w:style>
  <w:style w:type="character" w:styleId="UnresolvedMention">
    <w:name w:val="Unresolved Mention"/>
    <w:basedOn w:val="DefaultParagraphFont"/>
    <w:uiPriority w:val="99"/>
    <w:semiHidden/>
    <w:unhideWhenUsed/>
    <w:rsid w:val="005E24A5"/>
    <w:rPr>
      <w:color w:val="605E5C"/>
      <w:shd w:val="clear" w:color="auto" w:fill="E1DFDD"/>
    </w:rPr>
  </w:style>
  <w:style w:type="paragraph" w:styleId="Revision">
    <w:name w:val="Revision"/>
    <w:hidden/>
    <w:uiPriority w:val="99"/>
    <w:semiHidden/>
    <w:rsid w:val="005F264F"/>
    <w:rPr>
      <w:rFonts w:ascii="Arial" w:hAnsi="Arial" w:eastAsia="Times New Roman"/>
      <w:sz w:val="24"/>
      <w:szCs w:val="24"/>
      <w:lang w:val="en-US" w:eastAsia="ja-JP"/>
    </w:rPr>
  </w:style>
  <w:style w:type="table" w:styleId="GridTable4-Accent1">
    <w:name w:val="Grid Table 4 Accent 1"/>
    <w:basedOn w:val="TableNormal"/>
    <w:uiPriority w:val="49"/>
    <w:rsid w:val="00663DDF"/>
    <w:tblPr>
      <w:tblStyleRowBandSize w:val="1"/>
      <w:tblStyleColBandSize w:val="1"/>
      <w:tblBorders>
        <w:top w:val="single" w:color="BA61C9" w:themeColor="accent1" w:themeTint="99" w:sz="4" w:space="0"/>
        <w:left w:val="single" w:color="BA61C9" w:themeColor="accent1" w:themeTint="99" w:sz="4" w:space="0"/>
        <w:bottom w:val="single" w:color="BA61C9" w:themeColor="accent1" w:themeTint="99" w:sz="4" w:space="0"/>
        <w:right w:val="single" w:color="BA61C9" w:themeColor="accent1" w:themeTint="99" w:sz="4" w:space="0"/>
        <w:insideH w:val="single" w:color="BA61C9" w:themeColor="accent1" w:themeTint="99" w:sz="4" w:space="0"/>
        <w:insideV w:val="single" w:color="BA61C9" w:themeColor="accent1" w:themeTint="99" w:sz="4" w:space="0"/>
      </w:tblBorders>
    </w:tblPr>
    <w:tblStylePr w:type="firstRow">
      <w:rPr>
        <w:b/>
        <w:bCs/>
        <w:color w:val="F9F9F9" w:themeColor="background1"/>
      </w:rPr>
      <w:tblPr/>
      <w:tcPr>
        <w:tcBorders>
          <w:top w:val="single" w:color="6B2876" w:themeColor="accent1" w:sz="4" w:space="0"/>
          <w:left w:val="single" w:color="6B2876" w:themeColor="accent1" w:sz="4" w:space="0"/>
          <w:bottom w:val="single" w:color="6B2876" w:themeColor="accent1" w:sz="4" w:space="0"/>
          <w:right w:val="single" w:color="6B2876" w:themeColor="accent1" w:sz="4" w:space="0"/>
          <w:insideH w:val="nil"/>
          <w:insideV w:val="nil"/>
        </w:tcBorders>
        <w:shd w:val="clear" w:color="auto" w:fill="6B2876" w:themeFill="accent1"/>
      </w:tcPr>
    </w:tblStylePr>
    <w:tblStylePr w:type="lastRow">
      <w:rPr>
        <w:b/>
        <w:bCs/>
      </w:rPr>
      <w:tblPr/>
      <w:tcPr>
        <w:tcBorders>
          <w:top w:val="double" w:color="6B2876" w:themeColor="accent1" w:sz="4" w:space="0"/>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styleId="Heading31" w:customStyle="1">
    <w:name w:val="Heading 3.1"/>
    <w:basedOn w:val="Heading2"/>
    <w:link w:val="Heading31Char"/>
    <w:qFormat/>
    <w:rsid w:val="008C77B9"/>
    <w:pPr>
      <w:keepNext/>
      <w:numPr>
        <w:ilvl w:val="1"/>
        <w:numId w:val="15"/>
      </w:numPr>
      <w:spacing w:before="400"/>
      <w:outlineLvl w:val="2"/>
    </w:pPr>
    <w:rPr>
      <w:sz w:val="30"/>
      <w:szCs w:val="30"/>
      <w:lang w:val="en-AU"/>
    </w:rPr>
  </w:style>
  <w:style w:type="character" w:styleId="Heading31Char" w:customStyle="1">
    <w:name w:val="Heading 3.1 Char"/>
    <w:basedOn w:val="Heading2Char"/>
    <w:link w:val="Heading31"/>
    <w:rsid w:val="008C77B9"/>
    <w:rPr>
      <w:rFonts w:ascii="Arial" w:hAnsi="Arial" w:eastAsia="Times New Roman"/>
      <w:b/>
      <w:bCs/>
      <w:color w:val="6B2976"/>
      <w:sz w:val="30"/>
      <w:szCs w:val="30"/>
      <w:lang w:val="en-US" w:eastAsia="ja-JP"/>
    </w:rPr>
  </w:style>
  <w:style w:type="paragraph" w:styleId="Heading41" w:customStyle="1">
    <w:name w:val="Heading 4.1"/>
    <w:basedOn w:val="Heading3"/>
    <w:link w:val="Heading41Char"/>
    <w:qFormat/>
    <w:rsid w:val="00661BBA"/>
    <w:pPr>
      <w:keepNext/>
      <w:numPr>
        <w:ilvl w:val="2"/>
        <w:numId w:val="8"/>
      </w:numPr>
    </w:pPr>
    <w:rPr>
      <w:color w:val="auto"/>
      <w:sz w:val="24"/>
      <w:szCs w:val="24"/>
      <w:lang w:val="en-AU"/>
    </w:rPr>
  </w:style>
  <w:style w:type="character" w:styleId="Heading41Char" w:customStyle="1">
    <w:name w:val="Heading 4.1 Char"/>
    <w:basedOn w:val="Heading3Char"/>
    <w:link w:val="Heading41"/>
    <w:rsid w:val="00661BBA"/>
    <w:rPr>
      <w:rFonts w:ascii="Arial" w:hAnsi="Arial" w:eastAsia="Times New Roman"/>
      <w:b/>
      <w:color w:val="6B2976"/>
      <w:sz w:val="24"/>
      <w:szCs w:val="24"/>
      <w:lang w:val="en-US" w:eastAsia="ja-JP"/>
    </w:rPr>
  </w:style>
  <w:style w:type="paragraph" w:styleId="Heading21" w:customStyle="1">
    <w:name w:val="Heading 2.1"/>
    <w:basedOn w:val="Heading2"/>
    <w:qFormat/>
    <w:rsid w:val="00A17EE6"/>
    <w:pPr>
      <w:numPr>
        <w:numId w:val="15"/>
      </w:numPr>
    </w:pPr>
    <w:rPr>
      <w:lang w:val="en-AU"/>
    </w:rPr>
  </w:style>
  <w:style w:type="paragraph" w:styleId="Style1" w:customStyle="1">
    <w:name w:val="Style1"/>
    <w:basedOn w:val="Heading31"/>
    <w:link w:val="Style1Char"/>
    <w:uiPriority w:val="1"/>
    <w:qFormat/>
    <w:rsid w:val="00BD784C"/>
    <w:pPr>
      <w:numPr>
        <w:ilvl w:val="2"/>
      </w:numPr>
      <w:spacing w:before="360"/>
      <w:ind w:left="1003"/>
    </w:pPr>
    <w:rPr>
      <w:color w:val="auto"/>
    </w:rPr>
  </w:style>
  <w:style w:type="character" w:styleId="FollowedHyperlink">
    <w:name w:val="FollowedHyperlink"/>
    <w:basedOn w:val="DefaultParagraphFont"/>
    <w:uiPriority w:val="99"/>
    <w:semiHidden/>
    <w:unhideWhenUsed/>
    <w:rsid w:val="00194950"/>
    <w:rPr>
      <w:color w:val="7F8285" w:themeColor="followedHyperlink"/>
      <w:u w:val="single"/>
    </w:rPr>
  </w:style>
  <w:style w:type="table" w:styleId="GridTable4-Accent12" w:customStyle="1">
    <w:name w:val="Grid Table 4 - Accent 12"/>
    <w:basedOn w:val="TableNormal"/>
    <w:uiPriority w:val="49"/>
    <w:rsid w:val="00DD0EA5"/>
    <w:pPr>
      <w:spacing w:before="40" w:after="40" w:line="276" w:lineRule="auto"/>
    </w:pPr>
    <w:rPr>
      <w:rFonts w:asciiTheme="minorHAnsi" w:hAnsiTheme="minorHAnsi" w:eastAsiaTheme="minorHAnsi" w:cstheme="minorBidi"/>
      <w:sz w:val="16"/>
      <w:szCs w:val="22"/>
      <w:lang w:eastAsia="en-US"/>
    </w:rPr>
    <w:tblPr>
      <w:tblStyleRowBandSize w:val="1"/>
      <w:tblStyleColBandSize w:val="1"/>
      <w:tblInd w:w="0" w:type="nil"/>
      <w:tblBorders>
        <w:top w:val="single" w:color="BA61C9" w:themeColor="accent1" w:themeTint="99" w:sz="4" w:space="0"/>
        <w:left w:val="single" w:color="BA61C9" w:themeColor="accent1" w:themeTint="99" w:sz="4" w:space="0"/>
        <w:bottom w:val="single" w:color="BA61C9" w:themeColor="accent1" w:themeTint="99" w:sz="4" w:space="0"/>
        <w:right w:val="single" w:color="BA61C9" w:themeColor="accent1" w:themeTint="99" w:sz="4" w:space="0"/>
        <w:insideH w:val="single" w:color="BA61C9" w:themeColor="accent1" w:themeTint="99" w:sz="4" w:space="0"/>
        <w:insideV w:val="single" w:color="BA61C9" w:themeColor="accent1" w:themeTint="99" w:sz="4" w:space="0"/>
      </w:tblBorders>
    </w:tblPr>
    <w:tblStylePr w:type="firstRow">
      <w:rPr>
        <w:b/>
        <w:bCs/>
        <w:color w:val="F9F9F9" w:themeColor="background1"/>
      </w:rPr>
      <w:tblPr/>
      <w:tcPr>
        <w:tcBorders>
          <w:top w:val="single" w:color="501E58" w:themeColor="text1" w:themeShade="BF" w:sz="4" w:space="0"/>
          <w:left w:val="single" w:color="501E58" w:themeColor="text1" w:themeShade="BF" w:sz="4" w:space="0"/>
          <w:bottom w:val="single" w:color="501E58" w:themeColor="text1" w:themeShade="BF" w:sz="4" w:space="0"/>
          <w:right w:val="single" w:color="501E58" w:themeColor="text1" w:themeShade="BF" w:sz="4" w:space="0"/>
          <w:insideH w:val="single" w:color="501E58" w:themeColor="text1" w:themeShade="BF" w:sz="4" w:space="0"/>
          <w:insideV w:val="single" w:color="501E58" w:themeColor="text1" w:themeShade="BF" w:sz="4" w:space="0"/>
        </w:tcBorders>
        <w:shd w:val="clear" w:color="auto" w:fill="6B2876" w:themeFill="accent1"/>
      </w:tcPr>
    </w:tblStylePr>
    <w:tblStylePr w:type="lastRow">
      <w:rPr>
        <w:b/>
        <w:bCs/>
      </w:rPr>
      <w:tblPr/>
      <w:tcPr>
        <w:tcBorders>
          <w:top w:val="double" w:color="6B2876" w:themeColor="accent1" w:sz="4" w:space="0"/>
        </w:tcBorders>
      </w:tcPr>
    </w:tblStylePr>
    <w:tblStylePr w:type="firstCol">
      <w:rPr>
        <w:b w:val="0"/>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styleId="Caption">
    <w:name w:val="caption"/>
    <w:basedOn w:val="Normal"/>
    <w:next w:val="Normal"/>
    <w:link w:val="CaptionChar"/>
    <w:uiPriority w:val="35"/>
    <w:unhideWhenUsed/>
    <w:qFormat/>
    <w:rsid w:val="00DD0EA5"/>
    <w:pPr>
      <w:keepNext/>
      <w:spacing w:before="360" w:after="180" w:line="240" w:lineRule="auto"/>
    </w:pPr>
    <w:rPr>
      <w:rFonts w:eastAsiaTheme="minorEastAsia" w:cstheme="minorBidi"/>
      <w:i/>
      <w:iCs/>
      <w:color w:val="6B2876" w:themeColor="text2"/>
      <w:szCs w:val="18"/>
      <w:lang w:val="en-AU"/>
    </w:rPr>
  </w:style>
  <w:style w:type="character" w:styleId="CaptionChar" w:customStyle="1">
    <w:name w:val="Caption Char"/>
    <w:basedOn w:val="DefaultParagraphFont"/>
    <w:link w:val="Caption"/>
    <w:uiPriority w:val="35"/>
    <w:rsid w:val="00DD0EA5"/>
    <w:rPr>
      <w:rFonts w:ascii="Arial" w:hAnsi="Arial" w:eastAsiaTheme="minorEastAsia" w:cstheme="minorBidi"/>
      <w:i/>
      <w:iCs/>
      <w:color w:val="6B2876" w:themeColor="text2"/>
      <w:sz w:val="24"/>
      <w:szCs w:val="18"/>
      <w:lang w:eastAsia="ja-JP"/>
    </w:rPr>
  </w:style>
  <w:style w:type="paragraph" w:styleId="Sourcefortableorfigure" w:customStyle="1">
    <w:name w:val="Source for table or figure"/>
    <w:basedOn w:val="Normal"/>
    <w:qFormat/>
    <w:rsid w:val="00DD0EA5"/>
    <w:pPr>
      <w:spacing w:before="120" w:after="60" w:line="240" w:lineRule="atLeast"/>
    </w:pPr>
    <w:rPr>
      <w:rFonts w:cs="Calibri"/>
      <w:b/>
      <w:sz w:val="20"/>
      <w:szCs w:val="18"/>
      <w:lang w:val="en-AU" w:eastAsia="en-AU"/>
    </w:rPr>
  </w:style>
  <w:style w:type="paragraph" w:styleId="Notefortableorfigure" w:customStyle="1">
    <w:name w:val="Note for table or figure"/>
    <w:basedOn w:val="Normal"/>
    <w:qFormat/>
    <w:rsid w:val="00DD0EA5"/>
    <w:pPr>
      <w:spacing w:before="60" w:after="60" w:line="240" w:lineRule="atLeast"/>
    </w:pPr>
    <w:rPr>
      <w:rFonts w:cs="Calibri" w:eastAsiaTheme="minorEastAsia"/>
      <w:sz w:val="20"/>
      <w:szCs w:val="18"/>
      <w:lang w:val="en-AU"/>
    </w:rPr>
  </w:style>
  <w:style w:type="paragraph" w:styleId="Image" w:customStyle="1">
    <w:name w:val="Image"/>
    <w:basedOn w:val="Normal"/>
    <w:qFormat/>
    <w:rsid w:val="00DD0EA5"/>
    <w:pPr>
      <w:spacing w:before="120" w:after="120" w:line="276" w:lineRule="auto"/>
      <w:jc w:val="center"/>
    </w:pPr>
    <w:rPr>
      <w:noProof/>
      <w:lang w:val="en-AU"/>
    </w:rPr>
  </w:style>
  <w:style w:type="paragraph" w:styleId="Heading3small" w:customStyle="1">
    <w:name w:val="Heading 3 small"/>
    <w:basedOn w:val="Normal"/>
    <w:uiPriority w:val="1"/>
    <w:qFormat/>
    <w:rsid w:val="00DD0EA5"/>
    <w:pPr>
      <w:keepNext/>
      <w:spacing w:before="360"/>
      <w:ind w:left="1440"/>
      <w:outlineLvl w:val="2"/>
    </w:pPr>
    <w:rPr>
      <w:b/>
      <w:bCs/>
      <w:color w:val="000000" w:themeColor="accent6"/>
      <w:lang w:val="en-AU"/>
    </w:rPr>
  </w:style>
  <w:style w:type="paragraph" w:styleId="NormalWeb">
    <w:name w:val="Normal (Web)"/>
    <w:basedOn w:val="Normal"/>
    <w:uiPriority w:val="99"/>
    <w:unhideWhenUsed/>
    <w:rsid w:val="00ED5B15"/>
    <w:pPr>
      <w:spacing w:before="100" w:beforeAutospacing="1" w:after="100" w:afterAutospacing="1" w:line="240" w:lineRule="auto"/>
    </w:pPr>
    <w:rPr>
      <w:rFonts w:ascii="Times New Roman" w:hAnsi="Times New Roman"/>
      <w:lang w:val="en-AU" w:eastAsia="en-AU"/>
    </w:rPr>
  </w:style>
  <w:style w:type="paragraph" w:styleId="TOC6">
    <w:name w:val="toc 6"/>
    <w:basedOn w:val="Normal"/>
    <w:next w:val="Normal"/>
    <w:autoRedefine/>
    <w:uiPriority w:val="39"/>
    <w:unhideWhenUsed/>
    <w:rsid w:val="002509C7"/>
    <w:pPr>
      <w:spacing w:after="100" w:line="278" w:lineRule="auto"/>
      <w:ind w:left="1200"/>
    </w:pPr>
    <w:rPr>
      <w:rFonts w:asciiTheme="minorHAnsi" w:hAnsiTheme="minorHAnsi" w:eastAsiaTheme="minorEastAsia" w:cstheme="minorBidi"/>
      <w:kern w:val="2"/>
      <w:lang w:val="en-AU" w:eastAsia="en-AU"/>
      <w14:ligatures w14:val="standardContextual"/>
    </w:rPr>
  </w:style>
  <w:style w:type="paragraph" w:styleId="TOC7">
    <w:name w:val="toc 7"/>
    <w:basedOn w:val="Normal"/>
    <w:next w:val="Normal"/>
    <w:autoRedefine/>
    <w:uiPriority w:val="39"/>
    <w:unhideWhenUsed/>
    <w:rsid w:val="002509C7"/>
    <w:pPr>
      <w:spacing w:after="100" w:line="278" w:lineRule="auto"/>
      <w:ind w:left="1440"/>
    </w:pPr>
    <w:rPr>
      <w:rFonts w:asciiTheme="minorHAnsi" w:hAnsiTheme="minorHAnsi" w:eastAsiaTheme="minorEastAsia" w:cstheme="minorBidi"/>
      <w:kern w:val="2"/>
      <w:lang w:val="en-AU" w:eastAsia="en-AU"/>
      <w14:ligatures w14:val="standardContextual"/>
    </w:rPr>
  </w:style>
  <w:style w:type="paragraph" w:styleId="TOC8">
    <w:name w:val="toc 8"/>
    <w:basedOn w:val="Normal"/>
    <w:next w:val="Normal"/>
    <w:autoRedefine/>
    <w:uiPriority w:val="39"/>
    <w:unhideWhenUsed/>
    <w:rsid w:val="002509C7"/>
    <w:pPr>
      <w:spacing w:after="100" w:line="278" w:lineRule="auto"/>
      <w:ind w:left="1680"/>
    </w:pPr>
    <w:rPr>
      <w:rFonts w:asciiTheme="minorHAnsi" w:hAnsiTheme="minorHAnsi" w:eastAsiaTheme="minorEastAsia" w:cstheme="minorBidi"/>
      <w:kern w:val="2"/>
      <w:lang w:val="en-AU" w:eastAsia="en-AU"/>
      <w14:ligatures w14:val="standardContextual"/>
    </w:rPr>
  </w:style>
  <w:style w:type="paragraph" w:styleId="TOC9">
    <w:name w:val="toc 9"/>
    <w:basedOn w:val="Normal"/>
    <w:next w:val="Normal"/>
    <w:autoRedefine/>
    <w:uiPriority w:val="39"/>
    <w:unhideWhenUsed/>
    <w:rsid w:val="002509C7"/>
    <w:pPr>
      <w:spacing w:after="100" w:line="278" w:lineRule="auto"/>
      <w:ind w:left="1920"/>
    </w:pPr>
    <w:rPr>
      <w:rFonts w:asciiTheme="minorHAnsi" w:hAnsiTheme="minorHAnsi" w:eastAsiaTheme="minorEastAsia" w:cstheme="minorBidi"/>
      <w:kern w:val="2"/>
      <w:lang w:val="en-AU" w:eastAsia="en-AU"/>
      <w14:ligatures w14:val="standardContextual"/>
    </w:rPr>
  </w:style>
  <w:style w:type="table" w:styleId="GridTable4-Accent121" w:customStyle="1">
    <w:name w:val="Grid Table 4 - Accent 121"/>
    <w:basedOn w:val="TableNormal"/>
    <w:uiPriority w:val="49"/>
    <w:rsid w:val="00303B13"/>
    <w:pPr>
      <w:spacing w:before="40" w:after="40" w:line="276" w:lineRule="auto"/>
    </w:pPr>
    <w:rPr>
      <w:rFonts w:asciiTheme="minorHAnsi" w:hAnsiTheme="minorHAnsi" w:eastAsiaTheme="minorHAnsi" w:cstheme="minorBidi"/>
      <w:sz w:val="16"/>
      <w:szCs w:val="22"/>
      <w:lang w:eastAsia="en-US"/>
    </w:rPr>
    <w:tblPr>
      <w:tblStyleRowBandSize w:val="1"/>
      <w:tblStyleColBandSize w:val="1"/>
      <w:tblInd w:w="0" w:type="nil"/>
      <w:tblBorders>
        <w:top w:val="single" w:color="BA61C9" w:sz="4" w:space="0"/>
        <w:left w:val="single" w:color="BA61C9" w:sz="4" w:space="0"/>
        <w:bottom w:val="single" w:color="BA61C9" w:sz="4" w:space="0"/>
        <w:right w:val="single" w:color="BA61C9" w:sz="4" w:space="0"/>
        <w:insideH w:val="single" w:color="BA61C9" w:sz="4" w:space="0"/>
        <w:insideV w:val="single" w:color="BA61C9" w:sz="4" w:space="0"/>
      </w:tblBorders>
    </w:tblPr>
    <w:tblStylePr w:type="firstRow">
      <w:rPr>
        <w:b/>
        <w:bCs/>
        <w:color w:val="F9F9F9"/>
      </w:rPr>
      <w:tblPr/>
      <w:tcPr>
        <w:tcBorders>
          <w:top w:val="single" w:color="501E58" w:sz="4" w:space="0"/>
          <w:left w:val="single" w:color="501E58" w:sz="4" w:space="0"/>
          <w:bottom w:val="single" w:color="501E58" w:sz="4" w:space="0"/>
          <w:right w:val="single" w:color="501E58" w:sz="4" w:space="0"/>
          <w:insideH w:val="single" w:color="501E58" w:sz="4" w:space="0"/>
          <w:insideV w:val="single" w:color="501E58" w:sz="4" w:space="0"/>
        </w:tcBorders>
        <w:shd w:val="clear" w:color="auto" w:fill="6B2876"/>
      </w:tcPr>
    </w:tblStylePr>
    <w:tblStylePr w:type="lastRow">
      <w:rPr>
        <w:b/>
        <w:bCs/>
      </w:rPr>
      <w:tblPr/>
      <w:tcPr>
        <w:tcBorders>
          <w:top w:val="double" w:color="6B2876" w:sz="4" w:space="0"/>
        </w:tcBorders>
      </w:tcPr>
    </w:tblStylePr>
    <w:tblStylePr w:type="firstCol">
      <w:rPr>
        <w:b w:val="0"/>
        <w:bCs/>
      </w:rPr>
    </w:tblStylePr>
    <w:tblStylePr w:type="lastCol">
      <w:rPr>
        <w:b/>
        <w:bCs/>
      </w:rPr>
    </w:tblStylePr>
    <w:tblStylePr w:type="band1Vert">
      <w:tblPr/>
      <w:tcPr>
        <w:shd w:val="clear" w:color="auto" w:fill="E8CAED"/>
      </w:tcPr>
    </w:tblStylePr>
    <w:tblStylePr w:type="band1Horz">
      <w:tblPr/>
      <w:tcPr>
        <w:shd w:val="clear" w:color="auto" w:fill="E8CAED"/>
      </w:tcPr>
    </w:tblStylePr>
  </w:style>
  <w:style w:type="numbering" w:styleId="NoList1" w:customStyle="1">
    <w:name w:val="No List1"/>
    <w:next w:val="NoList"/>
    <w:uiPriority w:val="99"/>
    <w:semiHidden/>
    <w:unhideWhenUsed/>
    <w:rsid w:val="000E3523"/>
  </w:style>
  <w:style w:type="table" w:styleId="ListTable7Colorful-Accent61" w:customStyle="1">
    <w:name w:val="List Table 7 Colorful - Accent 61"/>
    <w:basedOn w:val="TableNormal"/>
    <w:next w:val="ListTable7Colorful-Accent6"/>
    <w:uiPriority w:val="52"/>
    <w:rsid w:val="000E3523"/>
    <w:pPr>
      <w:spacing w:before="120" w:after="120" w:line="276" w:lineRule="auto"/>
    </w:pPr>
    <w:rPr>
      <w:color w:val="0000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accent6"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000000" w:themeColor="accent6"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accent6"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000000" w:themeColor="accent6" w:sz="4" w:space="0"/>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1" w:customStyle="1">
    <w:name w:val="List Table 7 Colorful1"/>
    <w:basedOn w:val="TableNormal"/>
    <w:next w:val="ListTable7Colorful"/>
    <w:uiPriority w:val="52"/>
    <w:rsid w:val="000E3523"/>
    <w:pPr>
      <w:spacing w:before="120" w:after="120" w:line="276" w:lineRule="auto"/>
    </w:pPr>
    <w:rPr>
      <w:color w:val="6B2876"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6B2876" w:themeColor="text1"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6B2876" w:themeColor="text1"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6B2876" w:themeColor="text1"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6B2876" w:themeColor="text1" w:sz="4" w:space="0"/>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styleId="CurrentList11" w:customStyle="1">
    <w:name w:val="Current List11"/>
    <w:uiPriority w:val="99"/>
    <w:rsid w:val="000E3523"/>
  </w:style>
  <w:style w:type="numbering" w:styleId="CurrentList21" w:customStyle="1">
    <w:name w:val="Current List21"/>
    <w:uiPriority w:val="99"/>
    <w:rsid w:val="000E3523"/>
  </w:style>
  <w:style w:type="table" w:styleId="TableGridLight1" w:customStyle="1">
    <w:name w:val="Table Grid Light1"/>
    <w:basedOn w:val="TableNormal"/>
    <w:next w:val="TableGridLight"/>
    <w:uiPriority w:val="40"/>
    <w:rsid w:val="000E3523"/>
    <w:pPr>
      <w:spacing w:before="120" w:after="120" w:line="276" w:lineRule="auto"/>
    </w:pPr>
    <w:tblPr>
      <w:tblBorders>
        <w:top w:val="single" w:color="BABABA" w:themeColor="background1" w:themeShade="BF" w:sz="4" w:space="0"/>
        <w:left w:val="single" w:color="BABABA" w:themeColor="background1" w:themeShade="BF" w:sz="4" w:space="0"/>
        <w:bottom w:val="single" w:color="BABABA" w:themeColor="background1" w:themeShade="BF" w:sz="4" w:space="0"/>
        <w:right w:val="single" w:color="BABABA" w:themeColor="background1" w:themeShade="BF" w:sz="4" w:space="0"/>
        <w:insideH w:val="single" w:color="BABABA" w:themeColor="background1" w:themeShade="BF" w:sz="4" w:space="0"/>
        <w:insideV w:val="single" w:color="BABABA" w:themeColor="background1" w:themeShade="BF" w:sz="4" w:space="0"/>
      </w:tblBorders>
    </w:tblPr>
  </w:style>
  <w:style w:type="table" w:styleId="ListTable21" w:customStyle="1">
    <w:name w:val="List Table 21"/>
    <w:basedOn w:val="TableNormal"/>
    <w:next w:val="ListTable2"/>
    <w:uiPriority w:val="47"/>
    <w:rsid w:val="000E3523"/>
    <w:pPr>
      <w:spacing w:before="120" w:after="120" w:line="276" w:lineRule="auto"/>
    </w:pPr>
    <w:tblPr>
      <w:tblStyleRowBandSize w:val="1"/>
      <w:tblStyleColBandSize w:val="1"/>
      <w:tblBorders>
        <w:top w:val="single" w:color="BA61C9" w:themeColor="text1" w:themeTint="99" w:sz="4" w:space="0"/>
        <w:bottom w:val="single" w:color="BA61C9" w:themeColor="text1" w:themeTint="99" w:sz="4" w:space="0"/>
        <w:insideH w:val="single" w:color="BA61C9"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NDISpurpletable1" w:customStyle="1">
    <w:name w:val="NDIS purple table1"/>
    <w:basedOn w:val="TableNormal"/>
    <w:next w:val="LightShading-Accent4"/>
    <w:uiPriority w:val="60"/>
    <w:rsid w:val="000E3523"/>
    <w:pPr>
      <w:keepLines/>
      <w:spacing w:before="120" w:after="80" w:line="276" w:lineRule="auto"/>
      <w:ind w:left="113" w:right="113"/>
    </w:pPr>
    <w:rPr>
      <w:rFonts w:ascii="Arial" w:hAnsi="Arial" w:eastAsia="Times New Roman"/>
      <w:lang w:val="en-US" w:eastAsia="ja-JP"/>
    </w:rPr>
    <w:tblPr>
      <w:tblStyleRowBandSize w:val="1"/>
      <w:tblStyleColBandSize w:val="1"/>
      <w:tblBorders>
        <w:top w:val="single" w:color="6B2876" w:themeColor="text2" w:sz="4" w:space="0"/>
        <w:bottom w:val="single" w:color="6B2876" w:themeColor="text2" w:sz="4" w:space="0"/>
      </w:tblBorders>
    </w:tblPr>
    <w:tblStylePr w:type="firstRow">
      <w:pPr>
        <w:wordWrap/>
        <w:spacing w:before="120" w:beforeLines="0" w:beforeAutospacing="0" w:after="120" w:afterLines="0" w:afterAutospacing="0" w:line="240" w:lineRule="auto"/>
        <w:ind w:left="113" w:leftChars="0" w:right="113" w:rightChars="0"/>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color="C5296D" w:sz="8" w:space="0"/>
          <w:left w:val="nil"/>
          <w:bottom w:val="single" w:color="C5296D" w:sz="8" w:space="0"/>
          <w:right w:val="nil"/>
          <w:insideH w:val="nil"/>
          <w:insideV w:val="nil"/>
        </w:tcBorders>
      </w:tcPr>
    </w:tblStylePr>
    <w:tblStylePr w:type="firstCol">
      <w:rPr>
        <w:b/>
        <w:bCs/>
      </w:rPr>
    </w:tblStylePr>
    <w:tblStylePr w:type="lastCol">
      <w:pPr>
        <w:wordWrap/>
        <w:spacing w:before="120" w:beforeLines="120" w:beforeAutospacing="0" w:after="120" w:afterLines="120" w:afterAutospacing="0"/>
        <w:ind w:left="113" w:leftChars="0" w:right="113" w:rightChars="0"/>
      </w:pPr>
      <w:rPr>
        <w:b/>
        <w:bCs/>
      </w:rPr>
    </w:tblStylePr>
    <w:tblStylePr w:type="band1Vert">
      <w:pPr>
        <w:wordWrap/>
        <w:spacing w:before="120" w:beforeLines="120" w:beforeAutospacing="0" w:after="120" w:afterLines="120" w:afterAutospacing="0"/>
        <w:ind w:left="113" w:leftChars="0" w:right="113" w:rightChars="0"/>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table" w:styleId="TableGrid1" w:customStyle="1">
    <w:name w:val="Table Grid1"/>
    <w:basedOn w:val="TableNormal"/>
    <w:next w:val="TableGrid"/>
    <w:uiPriority w:val="39"/>
    <w:rsid w:val="000E3523"/>
    <w:pPr>
      <w:spacing w:before="120" w:after="12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overpagetable1" w:customStyle="1">
    <w:name w:val="Cover page table1"/>
    <w:basedOn w:val="TableNormal"/>
    <w:uiPriority w:val="99"/>
    <w:rsid w:val="000E3523"/>
    <w:pPr>
      <w:spacing w:before="120" w:after="120" w:line="276" w:lineRule="auto"/>
    </w:pPr>
    <w:rPr>
      <w:rFonts w:ascii="Arial" w:hAnsi="Arial" w:cs="Times New Roman (Body CS)" w:eastAsiaTheme="minorHAnsi"/>
      <w:color w:val="F9F9F9" w:themeColor="background1"/>
      <w:sz w:val="24"/>
      <w:szCs w:val="24"/>
      <w:lang w:eastAsia="en-US"/>
    </w:rPr>
    <w:tblPr/>
  </w:style>
  <w:style w:type="table" w:styleId="GridTable41" w:customStyle="1">
    <w:name w:val="Grid Table 41"/>
    <w:basedOn w:val="TableNormal"/>
    <w:next w:val="GridTable4"/>
    <w:uiPriority w:val="49"/>
    <w:rsid w:val="000E3523"/>
    <w:pPr>
      <w:spacing w:before="120" w:after="120" w:line="276" w:lineRule="auto"/>
    </w:pPr>
    <w:tblPr>
      <w:tblStyleRowBandSize w:val="1"/>
      <w:tblStyleColBandSize w:val="1"/>
      <w:tblBorders>
        <w:top w:val="single" w:color="6B2876" w:themeColor="text1" w:sz="4" w:space="0"/>
        <w:left w:val="single" w:color="6B2876" w:themeColor="text1" w:sz="4" w:space="0"/>
        <w:bottom w:val="single" w:color="6B2876" w:themeColor="text1" w:sz="4" w:space="0"/>
        <w:right w:val="single" w:color="6B2876" w:themeColor="text1" w:sz="4" w:space="0"/>
        <w:insideH w:val="single" w:color="6B2876" w:themeColor="text1" w:sz="4" w:space="0"/>
        <w:insideV w:val="single" w:color="6B2876" w:themeColor="text1" w:sz="4" w:space="0"/>
      </w:tblBorders>
    </w:tblPr>
    <w:tblStylePr w:type="firstRow">
      <w:rPr>
        <w:b/>
        <w:bCs/>
        <w:color w:val="F9F9F9" w:themeColor="background1"/>
      </w:rPr>
      <w:tblPr/>
      <w:trPr>
        <w:tblHeader/>
      </w:trPr>
      <w:tcPr>
        <w:tcBorders>
          <w:top w:val="single" w:color="6B2876" w:themeColor="text1" w:sz="4" w:space="0"/>
          <w:left w:val="single" w:color="6B2876" w:themeColor="text1" w:sz="4" w:space="0"/>
          <w:bottom w:val="single" w:color="F9F9F9" w:themeColor="background1" w:sz="4" w:space="0"/>
          <w:right w:val="single" w:color="6B2876" w:themeColor="text1" w:sz="4" w:space="0"/>
          <w:insideH w:val="nil"/>
          <w:insideV w:val="single" w:color="F9F9F9" w:themeColor="background1" w:sz="4" w:space="0"/>
          <w:tl2br w:val="nil"/>
          <w:tr2bl w:val="nil"/>
        </w:tcBorders>
        <w:shd w:val="clear" w:color="auto" w:fill="6B2876" w:themeFill="text1"/>
      </w:tcPr>
    </w:tblStylePr>
    <w:tblStylePr w:type="lastRow">
      <w:rPr>
        <w:b/>
        <w:bCs/>
      </w:rPr>
      <w:tblPr/>
      <w:tcPr>
        <w:tcBorders>
          <w:top w:val="double" w:color="6B2876" w:themeColor="text1" w:sz="4" w:space="0"/>
        </w:tcBorders>
      </w:tcPr>
    </w:tblStylePr>
    <w:tblStylePr w:type="firstCol">
      <w:rPr>
        <w:b/>
        <w:bCs/>
        <w:color w:val="F9F9F9" w:themeColor="background1"/>
      </w:rPr>
      <w:tblPr/>
      <w:tcPr>
        <w:tcBorders>
          <w:insideH w:val="single" w:color="F9F9F9" w:themeColor="background1" w:sz="4" w:space="0"/>
          <w:insideV w:val="single" w:color="F9F9F9" w:themeColor="background1" w:sz="4" w:space="0"/>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1" w:customStyle="1">
    <w:name w:val="List Table 41"/>
    <w:basedOn w:val="TableNormal"/>
    <w:next w:val="ListTable4"/>
    <w:uiPriority w:val="49"/>
    <w:rsid w:val="000E3523"/>
    <w:pPr>
      <w:spacing w:before="120" w:after="120" w:line="276" w:lineRule="auto"/>
    </w:pPr>
    <w:tblPr>
      <w:tblStyleRowBandSize w:val="1"/>
      <w:tblStyleColBandSize w:val="1"/>
      <w:tblBorders>
        <w:top w:val="single" w:color="6B2876" w:themeColor="text1" w:sz="4" w:space="0"/>
        <w:left w:val="single" w:color="6B2876" w:themeColor="text1" w:sz="4" w:space="0"/>
        <w:bottom w:val="single" w:color="6B2876" w:themeColor="text1" w:sz="4" w:space="0"/>
        <w:right w:val="single" w:color="6B2876" w:themeColor="text1" w:sz="4" w:space="0"/>
        <w:insideH w:val="single" w:color="6B2876" w:themeColor="text1" w:sz="4" w:space="0"/>
        <w:insideV w:val="single" w:color="6B2876" w:themeColor="text1" w:sz="4" w:space="0"/>
      </w:tblBorders>
    </w:tblPr>
    <w:tblStylePr w:type="firstRow">
      <w:rPr>
        <w:b/>
        <w:bCs/>
        <w:color w:val="F9F9F9" w:themeColor="background1"/>
      </w:rPr>
      <w:tblPr/>
      <w:trPr>
        <w:tblHeader/>
      </w:trPr>
      <w:tcPr>
        <w:tcBorders>
          <w:top w:val="single" w:color="6B2876" w:themeColor="text1" w:sz="4" w:space="0"/>
          <w:left w:val="single" w:color="6B2876" w:themeColor="text1" w:sz="4" w:space="0"/>
          <w:bottom w:val="nil"/>
          <w:right w:val="single" w:color="6B2876" w:themeColor="text1" w:sz="4" w:space="0"/>
          <w:insideH w:val="single" w:color="F9F9F9" w:themeColor="background1" w:sz="4" w:space="0"/>
          <w:insideV w:val="single" w:color="F9F9F9" w:themeColor="background1" w:sz="4" w:space="0"/>
        </w:tcBorders>
        <w:shd w:val="clear" w:color="auto" w:fill="6B2876" w:themeFill="text1"/>
      </w:tcPr>
    </w:tblStylePr>
    <w:tblStylePr w:type="lastRow">
      <w:rPr>
        <w:b/>
        <w:bCs/>
      </w:rPr>
      <w:tblPr/>
      <w:tcPr>
        <w:tcBorders>
          <w:top w:val="double" w:color="BA61C9" w:themeColor="text1" w:themeTint="99" w:sz="4" w:space="0"/>
        </w:tcBorders>
      </w:tcPr>
    </w:tblStylePr>
    <w:tblStylePr w:type="firstCol">
      <w:rPr>
        <w:b/>
        <w:bCs/>
        <w:color w:val="F9F9F9" w:themeColor="background1"/>
      </w:rPr>
      <w:tblPr/>
      <w:tcPr>
        <w:tcBorders>
          <w:top w:val="single" w:color="6B2876" w:themeColor="text1" w:sz="4" w:space="0"/>
          <w:left w:val="single" w:color="6B2876" w:themeColor="text1" w:sz="4" w:space="0"/>
          <w:bottom w:val="single" w:color="6B2876" w:themeColor="text1" w:sz="4" w:space="0"/>
          <w:right w:val="nil"/>
          <w:insideH w:val="single" w:color="F9F9F9" w:themeColor="background1" w:sz="4" w:space="0"/>
          <w:insideV w:val="single" w:color="F9F9F9" w:themeColor="background1" w:sz="4" w:space="0"/>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Quote">
    <w:name w:val="Quote"/>
    <w:basedOn w:val="Normal"/>
    <w:next w:val="Normal"/>
    <w:link w:val="QuoteChar"/>
    <w:uiPriority w:val="29"/>
    <w:qFormat/>
    <w:rsid w:val="000E3523"/>
    <w:pPr>
      <w:spacing w:before="200" w:after="160" w:line="300" w:lineRule="atLeast"/>
      <w:ind w:left="864" w:right="864"/>
      <w:jc w:val="center"/>
    </w:pPr>
    <w:rPr>
      <w:rFonts w:eastAsiaTheme="minorEastAsia" w:cstheme="minorBidi"/>
      <w:i/>
      <w:iCs/>
      <w:color w:val="A63EB7" w:themeColor="text1" w:themeTint="BF"/>
      <w:sz w:val="22"/>
      <w:lang w:val="en-AU"/>
    </w:rPr>
  </w:style>
  <w:style w:type="character" w:styleId="QuoteChar" w:customStyle="1">
    <w:name w:val="Quote Char"/>
    <w:basedOn w:val="DefaultParagraphFont"/>
    <w:link w:val="Quote"/>
    <w:uiPriority w:val="29"/>
    <w:rsid w:val="000E3523"/>
    <w:rPr>
      <w:rFonts w:ascii="Arial" w:hAnsi="Arial" w:eastAsiaTheme="minorEastAsia" w:cstheme="minorBidi"/>
      <w:i/>
      <w:iCs/>
      <w:color w:val="A63EB7" w:themeColor="text1" w:themeTint="BF"/>
      <w:sz w:val="22"/>
      <w:szCs w:val="24"/>
      <w:lang w:eastAsia="ja-JP"/>
    </w:rPr>
  </w:style>
  <w:style w:type="character" w:styleId="normaltextrun" w:customStyle="1">
    <w:name w:val="normaltextrun"/>
    <w:basedOn w:val="DefaultParagraphFont"/>
    <w:rsid w:val="000E3523"/>
  </w:style>
  <w:style w:type="paragraph" w:styleId="StyleHeading3Left0cmHanging127cmBoxSinglesoli" w:customStyle="1">
    <w:name w:val="Style Heading 3 + Left:  0 cm Hanging:  1.27 cm Box: (Single soli..."/>
    <w:basedOn w:val="Heading2"/>
    <w:rsid w:val="000E3523"/>
    <w:pPr>
      <w:pageBreakBefore/>
      <w:pBdr>
        <w:top w:val="single" w:color="auto" w:sz="4" w:space="1"/>
        <w:left w:val="single" w:color="auto" w:sz="4" w:space="4"/>
        <w:bottom w:val="single" w:color="auto" w:sz="4" w:space="1"/>
        <w:right w:val="single" w:color="auto" w:sz="4" w:space="4"/>
      </w:pBdr>
      <w:shd w:val="clear" w:color="auto" w:fill="F7EEF7"/>
      <w:spacing w:before="0" w:after="200" w:line="276" w:lineRule="auto"/>
    </w:pPr>
    <w:rPr>
      <w:bCs w:val="0"/>
      <w:i/>
      <w:iCs/>
      <w:color w:val="auto"/>
      <w:sz w:val="24"/>
      <w:szCs w:val="20"/>
      <w:shd w:val="clear" w:color="auto" w:fill="auto"/>
      <w:lang w:val="en-AU"/>
    </w:rPr>
  </w:style>
  <w:style w:type="paragraph" w:styleId="Figureheading" w:customStyle="1">
    <w:name w:val="Figure heading"/>
    <w:basedOn w:val="Caption"/>
    <w:link w:val="FigureheadingChar"/>
    <w:qFormat/>
    <w:rsid w:val="000E3523"/>
    <w:pPr>
      <w:spacing w:before="0" w:after="200"/>
    </w:pPr>
    <w:rPr>
      <w:b/>
      <w:i w:val="0"/>
      <w:caps/>
    </w:rPr>
  </w:style>
  <w:style w:type="character" w:styleId="FigureheadingChar" w:customStyle="1">
    <w:name w:val="Figure heading Char"/>
    <w:basedOn w:val="CaptionChar"/>
    <w:link w:val="Figureheading"/>
    <w:rsid w:val="000E3523"/>
    <w:rPr>
      <w:rFonts w:ascii="Arial" w:hAnsi="Arial" w:eastAsiaTheme="minorEastAsia" w:cstheme="minorBidi"/>
      <w:b/>
      <w:i w:val="0"/>
      <w:iCs/>
      <w:caps/>
      <w:color w:val="6B2876" w:themeColor="text2"/>
      <w:sz w:val="24"/>
      <w:szCs w:val="18"/>
      <w:lang w:eastAsia="ja-JP"/>
    </w:rPr>
  </w:style>
  <w:style w:type="paragraph" w:styleId="Default" w:customStyle="1">
    <w:name w:val="Default"/>
    <w:rsid w:val="000E3523"/>
    <w:pPr>
      <w:autoSpaceDE w:val="0"/>
      <w:autoSpaceDN w:val="0"/>
      <w:adjustRightInd w:val="0"/>
      <w:spacing w:before="120" w:after="120" w:line="276" w:lineRule="auto"/>
    </w:pPr>
    <w:rPr>
      <w:rFonts w:ascii="Calibri" w:hAnsi="Calibri" w:cs="Calibri" w:eastAsiaTheme="minorHAnsi"/>
      <w:color w:val="000000"/>
      <w:sz w:val="24"/>
      <w:szCs w:val="24"/>
      <w:lang w:eastAsia="en-US"/>
      <w14:ligatures w14:val="standardContextual"/>
    </w:rPr>
  </w:style>
  <w:style w:type="paragraph" w:styleId="BodyText">
    <w:name w:val="Body Text"/>
    <w:basedOn w:val="Normal"/>
    <w:link w:val="BodyTextChar"/>
    <w:uiPriority w:val="1"/>
    <w:qFormat/>
    <w:rsid w:val="000E3523"/>
    <w:pPr>
      <w:widowControl w:val="0"/>
      <w:autoSpaceDE w:val="0"/>
      <w:autoSpaceDN w:val="0"/>
      <w:spacing w:after="0" w:line="240" w:lineRule="auto"/>
    </w:pPr>
    <w:rPr>
      <w:rFonts w:ascii="Calibri" w:hAnsi="Calibri" w:eastAsia="Calibri" w:cs="Calibri"/>
      <w:lang w:val="en-AU" w:eastAsia="en-US"/>
    </w:rPr>
  </w:style>
  <w:style w:type="character" w:styleId="BodyTextChar" w:customStyle="1">
    <w:name w:val="Body Text Char"/>
    <w:basedOn w:val="DefaultParagraphFont"/>
    <w:link w:val="BodyText"/>
    <w:uiPriority w:val="1"/>
    <w:rsid w:val="000E3523"/>
    <w:rPr>
      <w:rFonts w:ascii="Calibri" w:hAnsi="Calibri" w:eastAsia="Calibri" w:cs="Calibri"/>
      <w:sz w:val="24"/>
      <w:szCs w:val="24"/>
      <w:lang w:eastAsia="en-US"/>
    </w:rPr>
  </w:style>
  <w:style w:type="character" w:styleId="cf01" w:customStyle="1">
    <w:name w:val="cf01"/>
    <w:basedOn w:val="DefaultParagraphFont"/>
    <w:rsid w:val="000E3523"/>
    <w:rPr>
      <w:rFonts w:hint="default" w:ascii="Segoe UI" w:hAnsi="Segoe UI" w:cs="Segoe UI"/>
      <w:i/>
      <w:iCs/>
      <w:color w:val="6B2876"/>
      <w:sz w:val="18"/>
      <w:szCs w:val="18"/>
    </w:rPr>
  </w:style>
  <w:style w:type="character" w:styleId="cf11" w:customStyle="1">
    <w:name w:val="cf11"/>
    <w:basedOn w:val="DefaultParagraphFont"/>
    <w:rsid w:val="000E3523"/>
    <w:rPr>
      <w:rFonts w:hint="default" w:ascii="Segoe UI" w:hAnsi="Segoe UI" w:cs="Segoe UI"/>
      <w:i/>
      <w:iCs/>
      <w:color w:val="6B2876"/>
      <w:sz w:val="18"/>
      <w:szCs w:val="18"/>
    </w:rPr>
  </w:style>
  <w:style w:type="paragraph" w:styleId="pf0" w:customStyle="1">
    <w:name w:val="pf0"/>
    <w:basedOn w:val="Normal"/>
    <w:rsid w:val="000E3523"/>
    <w:pPr>
      <w:spacing w:before="100" w:beforeAutospacing="1" w:after="100" w:afterAutospacing="1" w:line="240" w:lineRule="auto"/>
    </w:pPr>
    <w:rPr>
      <w:rFonts w:ascii="Times New Roman" w:hAnsi="Times New Roman"/>
      <w:lang w:val="en-AU" w:eastAsia="en-AU"/>
    </w:rPr>
  </w:style>
  <w:style w:type="character" w:styleId="DotPointChar" w:customStyle="1">
    <w:name w:val="Dot Point Char"/>
    <w:basedOn w:val="DefaultParagraphFont"/>
    <w:link w:val="DotPoint"/>
    <w:locked/>
    <w:rsid w:val="000E3523"/>
    <w:rPr>
      <w:rFonts w:ascii="Arial" w:hAnsi="Arial" w:cs="Arial" w:eastAsiaTheme="minorEastAsia"/>
      <w:szCs w:val="24"/>
      <w:lang w:eastAsia="ja-JP"/>
    </w:rPr>
  </w:style>
  <w:style w:type="paragraph" w:styleId="DotPoint" w:customStyle="1">
    <w:name w:val="Dot Point"/>
    <w:basedOn w:val="Normal"/>
    <w:link w:val="DotPointChar"/>
    <w:qFormat/>
    <w:rsid w:val="000E3523"/>
    <w:pPr>
      <w:numPr>
        <w:numId w:val="11"/>
      </w:numPr>
      <w:spacing w:before="100" w:after="100" w:line="300" w:lineRule="atLeast"/>
    </w:pPr>
    <w:rPr>
      <w:rFonts w:cs="Arial" w:eastAsiaTheme="minorEastAsia"/>
      <w:sz w:val="20"/>
      <w:lang w:val="en-AU"/>
    </w:rPr>
  </w:style>
  <w:style w:type="character" w:styleId="spellingerror" w:customStyle="1">
    <w:name w:val="spellingerror"/>
    <w:basedOn w:val="DefaultParagraphFont"/>
    <w:rsid w:val="000E3523"/>
  </w:style>
  <w:style w:type="character" w:styleId="eop" w:customStyle="1">
    <w:name w:val="eop"/>
    <w:basedOn w:val="DefaultParagraphFont"/>
    <w:rsid w:val="000E3523"/>
  </w:style>
  <w:style w:type="paragraph" w:styleId="RecHeading" w:customStyle="1">
    <w:name w:val="Rec Heading"/>
    <w:basedOn w:val="Normal"/>
    <w:link w:val="RecHeadingChar"/>
    <w:qFormat/>
    <w:rsid w:val="000E3523"/>
    <w:pPr>
      <w:keepNext/>
      <w:spacing w:before="200" w:after="100" w:line="300" w:lineRule="atLeast"/>
      <w:ind w:left="284" w:right="284"/>
    </w:pPr>
    <w:rPr>
      <w:rFonts w:eastAsiaTheme="minorEastAsia" w:cstheme="minorBidi"/>
      <w:i/>
      <w:color w:val="6B2876" w:themeColor="text1"/>
      <w:sz w:val="22"/>
      <w:u w:val="single"/>
      <w:lang w:val="en-AU"/>
    </w:rPr>
  </w:style>
  <w:style w:type="character" w:styleId="RecHeadingChar" w:customStyle="1">
    <w:name w:val="Rec Heading Char"/>
    <w:basedOn w:val="DefaultParagraphFont"/>
    <w:link w:val="RecHeading"/>
    <w:rsid w:val="000E3523"/>
    <w:rPr>
      <w:rFonts w:ascii="Arial" w:hAnsi="Arial" w:eastAsiaTheme="minorEastAsia" w:cstheme="minorBidi"/>
      <w:i/>
      <w:color w:val="6B2876" w:themeColor="text1"/>
      <w:sz w:val="22"/>
      <w:szCs w:val="24"/>
      <w:u w:val="single"/>
      <w:lang w:eastAsia="ja-JP"/>
    </w:rPr>
  </w:style>
  <w:style w:type="paragraph" w:styleId="EndnoteText">
    <w:name w:val="endnote text"/>
    <w:basedOn w:val="Normal"/>
    <w:link w:val="EndnoteTextChar"/>
    <w:uiPriority w:val="99"/>
    <w:unhideWhenUsed/>
    <w:qFormat/>
    <w:rsid w:val="000E3523"/>
    <w:pPr>
      <w:spacing w:after="0" w:line="240" w:lineRule="auto"/>
    </w:pPr>
    <w:rPr>
      <w:rFonts w:asciiTheme="minorHAnsi" w:hAnsiTheme="minorHAnsi" w:eastAsiaTheme="minorHAnsi" w:cstheme="minorBidi"/>
      <w:sz w:val="20"/>
      <w:szCs w:val="20"/>
      <w:lang w:val="en-GB" w:eastAsia="en-US"/>
    </w:rPr>
  </w:style>
  <w:style w:type="character" w:styleId="EndnoteTextChar" w:customStyle="1">
    <w:name w:val="Endnote Text Char"/>
    <w:basedOn w:val="DefaultParagraphFont"/>
    <w:link w:val="EndnoteText"/>
    <w:uiPriority w:val="99"/>
    <w:rsid w:val="000E3523"/>
    <w:rPr>
      <w:rFonts w:asciiTheme="minorHAnsi" w:hAnsiTheme="minorHAnsi" w:eastAsiaTheme="minorHAnsi" w:cstheme="minorBidi"/>
      <w:lang w:val="en-GB" w:eastAsia="en-US"/>
    </w:rPr>
  </w:style>
  <w:style w:type="paragraph" w:styleId="Footnote" w:customStyle="1">
    <w:name w:val="Footnote"/>
    <w:basedOn w:val="Normal"/>
    <w:link w:val="FootnoteChar"/>
    <w:qFormat/>
    <w:rsid w:val="000E3523"/>
    <w:pPr>
      <w:spacing w:before="60" w:after="60" w:line="240" w:lineRule="atLeast"/>
      <w:ind w:left="284" w:hanging="284"/>
    </w:pPr>
    <w:rPr>
      <w:rFonts w:eastAsiaTheme="minorEastAsia" w:cstheme="minorBidi"/>
      <w:sz w:val="18"/>
      <w:lang w:val="en-AU"/>
    </w:rPr>
  </w:style>
  <w:style w:type="character" w:styleId="FootnoteChar" w:customStyle="1">
    <w:name w:val="Footnote Char"/>
    <w:basedOn w:val="DefaultParagraphFont"/>
    <w:link w:val="Footnote"/>
    <w:rsid w:val="000E3523"/>
    <w:rPr>
      <w:rFonts w:ascii="Arial" w:hAnsi="Arial" w:eastAsiaTheme="minorEastAsia" w:cstheme="minorBidi"/>
      <w:sz w:val="18"/>
      <w:szCs w:val="24"/>
      <w:lang w:eastAsia="ja-JP"/>
    </w:rPr>
  </w:style>
  <w:style w:type="paragraph" w:styleId="Normal1" w:customStyle="1">
    <w:name w:val="Normal 1"/>
    <w:basedOn w:val="Normal"/>
    <w:next w:val="Normal"/>
    <w:uiPriority w:val="9"/>
    <w:qFormat/>
    <w:rsid w:val="000E3523"/>
    <w:pPr>
      <w:spacing w:before="100" w:after="100" w:line="300" w:lineRule="atLeast"/>
      <w:outlineLvl w:val="1"/>
    </w:pPr>
    <w:rPr>
      <w:rFonts w:asciiTheme="minorHAnsi" w:hAnsiTheme="minorHAnsi" w:eastAsiaTheme="minorEastAsia" w:cstheme="minorBidi"/>
      <w:sz w:val="20"/>
      <w:szCs w:val="20"/>
      <w:lang w:val="en-AU"/>
    </w:rPr>
  </w:style>
  <w:style w:type="table" w:styleId="GUIDEQUESTION" w:customStyle="1">
    <w:name w:val="GUIDE QUESTION"/>
    <w:basedOn w:val="TableNormal"/>
    <w:uiPriority w:val="99"/>
    <w:rsid w:val="000E3523"/>
    <w:pPr>
      <w:spacing w:before="100" w:after="100" w:line="300" w:lineRule="atLeast"/>
    </w:pPr>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tblBorders>
    </w:tblPr>
    <w:tcPr>
      <w:shd w:val="clear" w:color="auto" w:fill="E8CAED" w:themeFill="text2" w:themeFillTint="33"/>
    </w:tcPr>
  </w:style>
  <w:style w:type="paragraph" w:styleId="Footnotes" w:customStyle="1">
    <w:name w:val="Footnotes"/>
    <w:basedOn w:val="Normal"/>
    <w:link w:val="FootnotesChar"/>
    <w:qFormat/>
    <w:rsid w:val="000E3523"/>
    <w:pPr>
      <w:keepLines/>
      <w:spacing w:before="60" w:after="60" w:line="240" w:lineRule="atLeast"/>
      <w:ind w:left="284" w:hanging="284"/>
    </w:pPr>
    <w:rPr>
      <w:rFonts w:ascii="Calibri" w:hAnsi="Calibri" w:eastAsia="MS Mincho" w:cs="FSMe-Bold"/>
      <w:spacing w:val="-2"/>
      <w:sz w:val="18"/>
      <w:szCs w:val="16"/>
      <w:lang w:val="en-AU" w:eastAsia="en-US"/>
    </w:rPr>
  </w:style>
  <w:style w:type="character" w:styleId="FootnotesChar" w:customStyle="1">
    <w:name w:val="Footnotes Char"/>
    <w:basedOn w:val="DefaultParagraphFont"/>
    <w:link w:val="Footnotes"/>
    <w:rsid w:val="000E3523"/>
    <w:rPr>
      <w:rFonts w:ascii="Calibri" w:hAnsi="Calibri" w:eastAsia="MS Mincho" w:cs="FSMe-Bold"/>
      <w:spacing w:val="-2"/>
      <w:sz w:val="18"/>
      <w:szCs w:val="16"/>
      <w:lang w:eastAsia="en-US"/>
    </w:rPr>
  </w:style>
  <w:style w:type="paragraph" w:styleId="TOAHeading">
    <w:name w:val="toa heading"/>
    <w:basedOn w:val="Normal"/>
    <w:next w:val="Normal"/>
    <w:uiPriority w:val="99"/>
    <w:unhideWhenUsed/>
    <w:rsid w:val="000E3523"/>
    <w:pPr>
      <w:spacing w:after="160" w:line="320" w:lineRule="atLeast"/>
    </w:pPr>
    <w:rPr>
      <w:rFonts w:asciiTheme="majorHAnsi" w:hAnsiTheme="majorHAnsi" w:eastAsiaTheme="majorEastAsia" w:cstheme="majorBidi"/>
      <w:b/>
      <w:bCs/>
      <w:sz w:val="20"/>
      <w:lang w:val="en-AU" w:eastAsia="en-US"/>
    </w:rPr>
  </w:style>
  <w:style w:type="paragraph" w:styleId="NoSpacing">
    <w:name w:val="No Spacing"/>
    <w:link w:val="NoSpacingChar"/>
    <w:uiPriority w:val="1"/>
    <w:unhideWhenUsed/>
    <w:qFormat/>
    <w:rsid w:val="000E3523"/>
    <w:pPr>
      <w:spacing w:before="160" w:after="120" w:line="276" w:lineRule="auto"/>
    </w:pPr>
    <w:rPr>
      <w:rFonts w:ascii="Times New Roman" w:hAnsi="Times New Roman" w:eastAsia="Times New Roman"/>
      <w:sz w:val="26"/>
      <w:lang w:val="en-US" w:eastAsia="en-US"/>
    </w:rPr>
  </w:style>
  <w:style w:type="character" w:styleId="NoSpacingChar" w:customStyle="1">
    <w:name w:val="No Spacing Char"/>
    <w:basedOn w:val="DefaultParagraphFont"/>
    <w:link w:val="NoSpacing"/>
    <w:uiPriority w:val="1"/>
    <w:rsid w:val="000E3523"/>
    <w:rPr>
      <w:rFonts w:ascii="Times New Roman" w:hAnsi="Times New Roman" w:eastAsia="Times New Roman"/>
      <w:sz w:val="26"/>
      <w:lang w:val="en-US" w:eastAsia="en-US"/>
    </w:rPr>
  </w:style>
  <w:style w:type="table" w:styleId="ListTable4-Accent2">
    <w:name w:val="List Table 4 Accent 2"/>
    <w:basedOn w:val="TableNormal"/>
    <w:uiPriority w:val="49"/>
    <w:rsid w:val="000E3523"/>
    <w:pPr>
      <w:spacing w:before="100" w:after="120" w:line="276" w:lineRule="auto"/>
    </w:pPr>
    <w:rPr>
      <w:rFonts w:asciiTheme="minorHAnsi" w:hAnsiTheme="minorHAnsi" w:eastAsiaTheme="minorHAnsi" w:cstheme="minorBidi"/>
      <w:sz w:val="22"/>
      <w:szCs w:val="22"/>
      <w:lang w:eastAsia="en-US"/>
    </w:rPr>
    <w:tblPr>
      <w:tblStyleRowBandSize w:val="1"/>
      <w:tblStyleColBandSize w:val="1"/>
      <w:tblBorders>
        <w:top w:val="single" w:color="BA61C9" w:themeColor="accent2" w:themeTint="99" w:sz="4" w:space="0"/>
        <w:left w:val="single" w:color="BA61C9" w:themeColor="accent2" w:themeTint="99" w:sz="4" w:space="0"/>
        <w:bottom w:val="single" w:color="BA61C9" w:themeColor="accent2" w:themeTint="99" w:sz="4" w:space="0"/>
        <w:right w:val="single" w:color="BA61C9" w:themeColor="accent2" w:themeTint="99" w:sz="4" w:space="0"/>
        <w:insideH w:val="single" w:color="BA61C9" w:themeColor="accent2" w:themeTint="99" w:sz="4" w:space="0"/>
      </w:tblBorders>
    </w:tblPr>
    <w:tblStylePr w:type="firstRow">
      <w:rPr>
        <w:b/>
        <w:bCs/>
        <w:color w:val="F9F9F9" w:themeColor="background1"/>
      </w:rPr>
      <w:tblPr/>
      <w:tcPr>
        <w:tcBorders>
          <w:top w:val="single" w:color="6B2876" w:themeColor="accent2" w:sz="4" w:space="0"/>
          <w:left w:val="single" w:color="6B2876" w:themeColor="accent2" w:sz="4" w:space="0"/>
          <w:bottom w:val="single" w:color="6B2876" w:themeColor="accent2" w:sz="4" w:space="0"/>
          <w:right w:val="single" w:color="6B2876" w:themeColor="accent2" w:sz="4" w:space="0"/>
          <w:insideH w:val="nil"/>
        </w:tcBorders>
        <w:shd w:val="clear" w:color="auto" w:fill="6B2876" w:themeFill="accent2"/>
      </w:tcPr>
    </w:tblStylePr>
    <w:tblStylePr w:type="lastRow">
      <w:rPr>
        <w:b/>
        <w:bCs/>
      </w:rPr>
      <w:tblPr/>
      <w:tcPr>
        <w:tcBorders>
          <w:top w:val="double" w:color="BA61C9" w:themeColor="accent2" w:themeTint="99" w:sz="4" w:space="0"/>
        </w:tcBorders>
      </w:tcPr>
    </w:tblStylePr>
    <w:tblStylePr w:type="firstCol">
      <w:rPr>
        <w:b/>
        <w:bCs/>
      </w:rPr>
    </w:tblStylePr>
    <w:tblStylePr w:type="lastCol">
      <w:rPr>
        <w:b/>
        <w:bCs/>
      </w:rPr>
    </w:tblStylePr>
    <w:tblStylePr w:type="band1Vert">
      <w:tblPr/>
      <w:tcPr>
        <w:shd w:val="clear" w:color="auto" w:fill="E8CAED" w:themeFill="accent2" w:themeFillTint="33"/>
      </w:tcPr>
    </w:tblStylePr>
    <w:tblStylePr w:type="band1Horz">
      <w:tblPr/>
      <w:tcPr>
        <w:shd w:val="clear" w:color="auto" w:fill="E8CAED" w:themeFill="accent2" w:themeFillTint="33"/>
      </w:tcPr>
    </w:tblStylePr>
  </w:style>
  <w:style w:type="table" w:styleId="ListTable2-Accent2">
    <w:name w:val="List Table 2 Accent 2"/>
    <w:basedOn w:val="TableNormal"/>
    <w:uiPriority w:val="47"/>
    <w:rsid w:val="000E3523"/>
    <w:pPr>
      <w:spacing w:before="100" w:after="120" w:line="276" w:lineRule="auto"/>
    </w:pPr>
    <w:rPr>
      <w:rFonts w:asciiTheme="minorHAnsi" w:hAnsiTheme="minorHAnsi" w:eastAsiaTheme="minorHAnsi" w:cstheme="minorBidi"/>
      <w:sz w:val="22"/>
      <w:szCs w:val="22"/>
      <w:lang w:eastAsia="en-US"/>
    </w:rPr>
    <w:tblPr>
      <w:tblStyleRowBandSize w:val="1"/>
      <w:tblStyleColBandSize w:val="1"/>
      <w:tblBorders>
        <w:top w:val="single" w:color="BA61C9" w:themeColor="accent2" w:themeTint="99" w:sz="4" w:space="0"/>
        <w:bottom w:val="single" w:color="BA61C9" w:themeColor="accent2" w:themeTint="99" w:sz="4" w:space="0"/>
        <w:insideH w:val="single" w:color="BA61C9"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accent2" w:themeFillTint="33"/>
      </w:tcPr>
    </w:tblStylePr>
    <w:tblStylePr w:type="band1Horz">
      <w:tblPr/>
      <w:tcPr>
        <w:shd w:val="clear" w:color="auto" w:fill="E8CAED" w:themeFill="accent2" w:themeFillTint="33"/>
      </w:tcPr>
    </w:tblStylePr>
  </w:style>
  <w:style w:type="table" w:styleId="ListTable4-Accent1">
    <w:name w:val="List Table 4 Accent 1"/>
    <w:basedOn w:val="TableNormal"/>
    <w:uiPriority w:val="49"/>
    <w:rsid w:val="000E3523"/>
    <w:pPr>
      <w:spacing w:before="100" w:after="120" w:line="276" w:lineRule="auto"/>
    </w:pPr>
    <w:rPr>
      <w:rFonts w:asciiTheme="minorHAnsi" w:hAnsiTheme="minorHAnsi" w:eastAsiaTheme="minorHAnsi" w:cstheme="minorBidi"/>
      <w:sz w:val="22"/>
      <w:szCs w:val="22"/>
      <w:lang w:eastAsia="en-US"/>
    </w:rPr>
    <w:tblPr>
      <w:tblStyleRowBandSize w:val="1"/>
      <w:tblStyleColBandSize w:val="1"/>
      <w:tblBorders>
        <w:top w:val="single" w:color="BA61C9" w:themeColor="accent1" w:themeTint="99" w:sz="4" w:space="0"/>
        <w:left w:val="single" w:color="BA61C9" w:themeColor="accent1" w:themeTint="99" w:sz="4" w:space="0"/>
        <w:bottom w:val="single" w:color="BA61C9" w:themeColor="accent1" w:themeTint="99" w:sz="4" w:space="0"/>
        <w:right w:val="single" w:color="BA61C9" w:themeColor="accent1" w:themeTint="99" w:sz="4" w:space="0"/>
        <w:insideH w:val="single" w:color="BA61C9" w:themeColor="accent1" w:themeTint="99" w:sz="4" w:space="0"/>
      </w:tblBorders>
    </w:tblPr>
    <w:tblStylePr w:type="firstRow">
      <w:rPr>
        <w:b/>
        <w:bCs/>
        <w:color w:val="F9F9F9" w:themeColor="background1"/>
      </w:rPr>
      <w:tblPr/>
      <w:tcPr>
        <w:tcBorders>
          <w:top w:val="single" w:color="6B2876" w:themeColor="accent1" w:sz="4" w:space="0"/>
          <w:left w:val="single" w:color="6B2876" w:themeColor="accent1" w:sz="4" w:space="0"/>
          <w:bottom w:val="single" w:color="6B2876" w:themeColor="accent1" w:sz="4" w:space="0"/>
          <w:right w:val="single" w:color="6B2876" w:themeColor="accent1" w:sz="4" w:space="0"/>
          <w:insideH w:val="nil"/>
        </w:tcBorders>
        <w:shd w:val="clear" w:color="auto" w:fill="6B2876" w:themeFill="accent1"/>
      </w:tcPr>
    </w:tblStylePr>
    <w:tblStylePr w:type="lastRow">
      <w:rPr>
        <w:b/>
        <w:bCs/>
      </w:rPr>
      <w:tblPr/>
      <w:tcPr>
        <w:tcBorders>
          <w:top w:val="double" w:color="BA61C9" w:themeColor="accent1" w:themeTint="99" w:sz="4" w:space="0"/>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styleId="QUESTION" w:customStyle="1">
    <w:name w:val="QUESTION"/>
    <w:basedOn w:val="Normal"/>
    <w:link w:val="QUESTIONChar"/>
    <w:qFormat/>
    <w:rsid w:val="003C38C0"/>
    <w:pPr>
      <w:numPr>
        <w:numId w:val="13"/>
      </w:numPr>
      <w:tabs>
        <w:tab w:val="left" w:pos="851"/>
      </w:tabs>
      <w:spacing w:before="100" w:after="100" w:line="300" w:lineRule="atLeast"/>
      <w:ind w:right="284"/>
    </w:pPr>
    <w:rPr>
      <w:rFonts w:ascii="Calibri" w:hAnsi="Calibri" w:eastAsiaTheme="minorEastAsia" w:cstheme="minorBidi"/>
    </w:rPr>
  </w:style>
  <w:style w:type="paragraph" w:styleId="TableofFigures">
    <w:name w:val="table of figures"/>
    <w:basedOn w:val="Normal"/>
    <w:next w:val="Normal"/>
    <w:uiPriority w:val="99"/>
    <w:unhideWhenUsed/>
    <w:rsid w:val="000E3523"/>
    <w:pPr>
      <w:spacing w:before="100" w:after="0" w:line="300" w:lineRule="atLeast"/>
    </w:pPr>
    <w:rPr>
      <w:rFonts w:ascii="Calibri" w:hAnsi="Calibri" w:eastAsiaTheme="minorEastAsia" w:cstheme="minorBidi"/>
      <w:sz w:val="20"/>
      <w:lang w:val="en-AU"/>
    </w:rPr>
  </w:style>
  <w:style w:type="character" w:styleId="QUESTIONChar" w:customStyle="1">
    <w:name w:val="QUESTION Char"/>
    <w:basedOn w:val="ListParagraphChar"/>
    <w:link w:val="QUESTION"/>
    <w:rsid w:val="000E3523"/>
    <w:rPr>
      <w:rFonts w:ascii="Calibri" w:hAnsi="Calibri" w:eastAsiaTheme="minorEastAsia" w:cstheme="minorBidi"/>
      <w:sz w:val="24"/>
      <w:szCs w:val="24"/>
      <w:lang w:val="en-US" w:eastAsia="ja-JP"/>
    </w:rPr>
  </w:style>
  <w:style w:type="character" w:styleId="PlaceholderText">
    <w:name w:val="Placeholder Text"/>
    <w:basedOn w:val="DefaultParagraphFont"/>
    <w:uiPriority w:val="99"/>
    <w:semiHidden/>
    <w:rsid w:val="000E3523"/>
    <w:rPr>
      <w:color w:val="808080"/>
    </w:rPr>
  </w:style>
  <w:style w:type="paragraph" w:styleId="Labels" w:customStyle="1">
    <w:name w:val="Labels"/>
    <w:basedOn w:val="Caption"/>
    <w:link w:val="LabelsChar"/>
    <w:qFormat/>
    <w:rsid w:val="000E3523"/>
    <w:pPr>
      <w:spacing w:before="300" w:after="100" w:line="300" w:lineRule="atLeast"/>
      <w:jc w:val="center"/>
    </w:pPr>
    <w:rPr>
      <w:rFonts w:ascii="Calibri" w:hAnsi="Calibri"/>
      <w:b/>
      <w:bCs/>
      <w:i w:val="0"/>
      <w:iCs w:val="0"/>
      <w:caps/>
      <w:color w:val="F9FAF9" w:themeColor="background2"/>
    </w:rPr>
  </w:style>
  <w:style w:type="character" w:styleId="LabelsChar" w:customStyle="1">
    <w:name w:val="Labels Char"/>
    <w:basedOn w:val="CaptionChar"/>
    <w:link w:val="Labels"/>
    <w:rsid w:val="000E3523"/>
    <w:rPr>
      <w:rFonts w:ascii="Calibri" w:hAnsi="Calibri" w:eastAsiaTheme="minorEastAsia" w:cstheme="minorBidi"/>
      <w:b/>
      <w:bCs/>
      <w:i w:val="0"/>
      <w:iCs w:val="0"/>
      <w:caps/>
      <w:color w:val="F9FAF9" w:themeColor="background2"/>
      <w:sz w:val="24"/>
      <w:szCs w:val="18"/>
      <w:lang w:eastAsia="ja-JP"/>
    </w:rPr>
  </w:style>
  <w:style w:type="paragraph" w:styleId="CEOBrief-Paragraph2" w:customStyle="1">
    <w:name w:val="CEO Brief - Paragraph 2"/>
    <w:basedOn w:val="Normal"/>
    <w:qFormat/>
    <w:rsid w:val="000E3523"/>
    <w:pPr>
      <w:spacing w:line="264" w:lineRule="auto"/>
      <w:ind w:left="1418" w:hanging="709"/>
    </w:pPr>
    <w:rPr>
      <w:rFonts w:ascii="Calibri" w:hAnsi="Calibri" w:cs="Arial" w:eastAsiaTheme="minorEastAsia"/>
      <w:sz w:val="21"/>
      <w:szCs w:val="21"/>
      <w:lang w:val="en-AU" w:eastAsia="en-US"/>
    </w:rPr>
  </w:style>
  <w:style w:type="character" w:styleId="EndnoteReference">
    <w:name w:val="endnote reference"/>
    <w:basedOn w:val="DefaultParagraphFont"/>
    <w:uiPriority w:val="99"/>
    <w:unhideWhenUsed/>
    <w:rsid w:val="000E3523"/>
    <w:rPr>
      <w:vertAlign w:val="superscript"/>
    </w:rPr>
  </w:style>
  <w:style w:type="paragraph" w:styleId="TOCHeading">
    <w:name w:val="TOC Heading"/>
    <w:basedOn w:val="Heading1"/>
    <w:next w:val="Normal"/>
    <w:uiPriority w:val="39"/>
    <w:unhideWhenUsed/>
    <w:qFormat/>
    <w:rsid w:val="000E3523"/>
    <w:pPr>
      <w:keepNext/>
      <w:keepLines/>
      <w:spacing w:before="240" w:after="0" w:line="259" w:lineRule="auto"/>
      <w:outlineLvl w:val="9"/>
    </w:pPr>
    <w:rPr>
      <w:rFonts w:asciiTheme="majorHAnsi" w:hAnsiTheme="majorHAnsi" w:eastAsiaTheme="majorEastAsia" w:cstheme="majorBidi"/>
      <w:b w:val="0"/>
      <w:color w:val="501E58" w:themeColor="accent1" w:themeShade="BF"/>
      <w:sz w:val="32"/>
      <w:szCs w:val="32"/>
      <w:lang w:val="en-US" w:eastAsia="en-US"/>
    </w:rPr>
  </w:style>
  <w:style w:type="table" w:styleId="GridTable1Light">
    <w:name w:val="Grid Table 1 Light"/>
    <w:basedOn w:val="TableNormal"/>
    <w:uiPriority w:val="46"/>
    <w:rsid w:val="000E3523"/>
    <w:pPr>
      <w:spacing w:before="100" w:after="120" w:line="276" w:lineRule="auto"/>
    </w:pPr>
    <w:rPr>
      <w:rFonts w:asciiTheme="minorHAnsi" w:hAnsiTheme="minorHAnsi" w:eastAsiaTheme="minorHAnsi" w:cstheme="minorBidi"/>
      <w:sz w:val="22"/>
      <w:szCs w:val="22"/>
      <w:lang w:eastAsia="en-US"/>
    </w:rPr>
    <w:tblPr>
      <w:tblStyleRowBandSize w:val="1"/>
      <w:tblStyleColBandSize w:val="1"/>
      <w:tblBorders>
        <w:top w:val="single" w:color="D195DB" w:themeColor="text1" w:themeTint="66" w:sz="4" w:space="0"/>
        <w:left w:val="single" w:color="D195DB" w:themeColor="text1" w:themeTint="66" w:sz="4" w:space="0"/>
        <w:bottom w:val="single" w:color="D195DB" w:themeColor="text1" w:themeTint="66" w:sz="4" w:space="0"/>
        <w:right w:val="single" w:color="D195DB" w:themeColor="text1" w:themeTint="66" w:sz="4" w:space="0"/>
        <w:insideH w:val="single" w:color="D195DB" w:themeColor="text1" w:themeTint="66" w:sz="4" w:space="0"/>
        <w:insideV w:val="single" w:color="D195DB" w:themeColor="text1" w:themeTint="66" w:sz="4" w:space="0"/>
      </w:tblBorders>
    </w:tblPr>
    <w:tblStylePr w:type="firstRow">
      <w:rPr>
        <w:b/>
        <w:bCs/>
      </w:rPr>
      <w:tblPr/>
      <w:tcPr>
        <w:tcBorders>
          <w:bottom w:val="single" w:color="BA61C9" w:themeColor="text1" w:themeTint="99" w:sz="12" w:space="0"/>
        </w:tcBorders>
      </w:tcPr>
    </w:tblStylePr>
    <w:tblStylePr w:type="lastRow">
      <w:rPr>
        <w:b/>
        <w:bCs/>
      </w:rPr>
      <w:tblPr/>
      <w:tcPr>
        <w:tcBorders>
          <w:top w:val="double" w:color="BA61C9" w:themeColor="text1" w:themeTint="99" w:sz="2" w:space="0"/>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0E3523"/>
    <w:pPr>
      <w:spacing w:before="100" w:after="120" w:line="276" w:lineRule="auto"/>
    </w:pPr>
    <w:rPr>
      <w:rFonts w:asciiTheme="minorHAnsi" w:hAnsiTheme="minorHAnsi" w:eastAsiaTheme="minorHAnsi" w:cstheme="minorBidi"/>
      <w:sz w:val="22"/>
      <w:szCs w:val="22"/>
      <w:lang w:eastAsia="en-US"/>
    </w:rPr>
    <w:tblPr>
      <w:tblStyleRowBandSize w:val="1"/>
      <w:tblStyleColBandSize w:val="1"/>
      <w:tbl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insideH w:val="single" w:color="BA61C9" w:themeColor="accent4" w:themeTint="99" w:sz="4" w:space="0"/>
        <w:insideV w:val="single" w:color="BA61C9" w:themeColor="accent4" w:themeTint="99" w:sz="4" w:space="0"/>
      </w:tblBorders>
    </w:tblPr>
    <w:tblStylePr w:type="firstRow">
      <w:rPr>
        <w:b/>
        <w:bCs/>
        <w:color w:val="F9F9F9" w:themeColor="background1"/>
      </w:rPr>
      <w:tblPr/>
      <w:tcPr>
        <w:tcBorders>
          <w:top w:val="single" w:color="6B2876" w:themeColor="accent4" w:sz="4" w:space="0"/>
          <w:left w:val="single" w:color="6B2876" w:themeColor="accent4" w:sz="4" w:space="0"/>
          <w:bottom w:val="single" w:color="6B2876" w:themeColor="accent4" w:sz="4" w:space="0"/>
          <w:right w:val="single" w:color="6B2876" w:themeColor="accent4" w:sz="4" w:space="0"/>
          <w:insideH w:val="nil"/>
          <w:insideV w:val="nil"/>
        </w:tcBorders>
        <w:shd w:val="clear" w:color="auto" w:fill="6B2876" w:themeFill="accent4"/>
      </w:tcPr>
    </w:tblStylePr>
    <w:tblStylePr w:type="lastRow">
      <w:rPr>
        <w:b/>
        <w:bCs/>
      </w:rPr>
      <w:tblPr/>
      <w:tcPr>
        <w:tcBorders>
          <w:top w:val="double" w:color="6B2876" w:themeColor="accent4" w:sz="4" w:space="0"/>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ListTable3-Accent6">
    <w:name w:val="List Table 3 Accent 6"/>
    <w:basedOn w:val="TableNormal"/>
    <w:uiPriority w:val="48"/>
    <w:rsid w:val="000E3523"/>
    <w:pPr>
      <w:spacing w:before="120" w:after="120" w:line="276" w:lineRule="auto"/>
    </w:pPr>
    <w:rPr>
      <w:rFonts w:asciiTheme="minorHAnsi" w:hAnsiTheme="minorHAnsi" w:eastAsiaTheme="minorHAnsi" w:cstheme="minorBidi"/>
      <w:sz w:val="22"/>
      <w:szCs w:val="22"/>
      <w:lang w:val="en-GB" w:eastAsia="en-US"/>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tblBorders>
    </w:tblPr>
    <w:tblStylePr w:type="firstRow">
      <w:rPr>
        <w:b/>
        <w:bCs/>
        <w:color w:val="F9F9F9" w:themeColor="background1"/>
      </w:rPr>
      <w:tblPr/>
      <w:tcPr>
        <w:shd w:val="clear" w:color="auto" w:fill="000000" w:themeFill="accent6"/>
      </w:tcPr>
    </w:tblStylePr>
    <w:tblStylePr w:type="lastRow">
      <w:rPr>
        <w:b/>
        <w:bCs/>
      </w:rPr>
      <w:tblPr/>
      <w:tcPr>
        <w:tcBorders>
          <w:top w:val="double" w:color="000000" w:themeColor="accent6" w:sz="4" w:space="0"/>
        </w:tcBorders>
        <w:shd w:val="clear" w:color="auto" w:fill="F9F9F9" w:themeFill="background1"/>
      </w:tcPr>
    </w:tblStylePr>
    <w:tblStylePr w:type="firstCol">
      <w:rPr>
        <w:b/>
        <w:bCs/>
      </w:rPr>
      <w:tblPr/>
      <w:tcPr>
        <w:tcBorders>
          <w:right w:val="nil"/>
        </w:tcBorders>
        <w:shd w:val="clear" w:color="auto" w:fill="F9F9F9" w:themeFill="background1"/>
      </w:tcPr>
    </w:tblStylePr>
    <w:tblStylePr w:type="lastCol">
      <w:rPr>
        <w:b/>
        <w:bCs/>
      </w:rPr>
      <w:tblPr/>
      <w:tcPr>
        <w:tcBorders>
          <w:left w:val="nil"/>
        </w:tcBorders>
        <w:shd w:val="clear" w:color="auto" w:fill="F9F9F9" w:themeFill="background1"/>
      </w:tcPr>
    </w:tblStylePr>
    <w:tblStylePr w:type="band1Vert">
      <w:tblPr/>
      <w:tcPr>
        <w:tcBorders>
          <w:left w:val="single" w:color="000000" w:themeColor="accent6" w:sz="4" w:space="0"/>
          <w:right w:val="single" w:color="000000" w:themeColor="accent6" w:sz="4" w:space="0"/>
        </w:tcBorders>
      </w:tcPr>
    </w:tblStylePr>
    <w:tblStylePr w:type="band1Horz">
      <w:tblPr/>
      <w:tcPr>
        <w:tcBorders>
          <w:top w:val="single" w:color="000000" w:themeColor="accent6" w:sz="4" w:space="0"/>
          <w:bottom w:val="single" w:color="000000"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accent6" w:sz="4" w:space="0"/>
          <w:left w:val="nil"/>
        </w:tcBorders>
      </w:tcPr>
    </w:tblStylePr>
    <w:tblStylePr w:type="swCell">
      <w:tblPr/>
      <w:tcPr>
        <w:tcBorders>
          <w:top w:val="double" w:color="000000" w:themeColor="accent6" w:sz="4" w:space="0"/>
          <w:right w:val="nil"/>
        </w:tcBorders>
      </w:tcPr>
    </w:tblStylePr>
  </w:style>
  <w:style w:type="paragraph" w:styleId="BoardBrief-Paragraph2" w:customStyle="1">
    <w:name w:val="Board Brief - Paragraph 2"/>
    <w:basedOn w:val="Normal"/>
    <w:uiPriority w:val="2"/>
    <w:qFormat/>
    <w:rsid w:val="000E3523"/>
    <w:pPr>
      <w:tabs>
        <w:tab w:val="num" w:pos="360"/>
      </w:tabs>
      <w:spacing w:line="264" w:lineRule="auto"/>
    </w:pPr>
    <w:rPr>
      <w:rFonts w:ascii="Calibri" w:hAnsi="Calibri" w:cs="Arial" w:eastAsiaTheme="minorEastAsia"/>
      <w:sz w:val="21"/>
      <w:szCs w:val="21"/>
      <w:lang w:val="en-AU" w:eastAsia="en-US"/>
    </w:rPr>
  </w:style>
  <w:style w:type="paragraph" w:styleId="HTMLPreformatted">
    <w:name w:val="HTML Preformatted"/>
    <w:basedOn w:val="Normal"/>
    <w:link w:val="HTMLPreformattedChar"/>
    <w:uiPriority w:val="99"/>
    <w:unhideWhenUsed/>
    <w:rsid w:val="000E3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AU" w:eastAsia="en-AU"/>
    </w:rPr>
  </w:style>
  <w:style w:type="character" w:styleId="HTMLPreformattedChar" w:customStyle="1">
    <w:name w:val="HTML Preformatted Char"/>
    <w:basedOn w:val="DefaultParagraphFont"/>
    <w:link w:val="HTMLPreformatted"/>
    <w:uiPriority w:val="99"/>
    <w:rsid w:val="000E3523"/>
    <w:rPr>
      <w:rFonts w:ascii="Courier New" w:hAnsi="Courier New" w:eastAsia="Times New Roman" w:cs="Courier New"/>
    </w:rPr>
  </w:style>
  <w:style w:type="paragraph" w:styleId="RecText" w:customStyle="1">
    <w:name w:val="Rec Text"/>
    <w:basedOn w:val="Normal"/>
    <w:link w:val="RecTextChar"/>
    <w:qFormat/>
    <w:rsid w:val="000E3523"/>
    <w:pPr>
      <w:spacing w:before="100" w:after="100" w:line="300" w:lineRule="atLeast"/>
      <w:ind w:left="284" w:right="284"/>
    </w:pPr>
    <w:rPr>
      <w:rFonts w:ascii="Calibri" w:hAnsi="Calibri" w:eastAsiaTheme="minorEastAsia" w:cstheme="minorBidi"/>
      <w:i/>
      <w:color w:val="6B2876" w:themeColor="text1"/>
      <w:sz w:val="20"/>
      <w:lang w:val="en-AU"/>
    </w:rPr>
  </w:style>
  <w:style w:type="paragraph" w:styleId="RecDotPoint" w:customStyle="1">
    <w:name w:val="Rec Dot Point"/>
    <w:basedOn w:val="DotPoint"/>
    <w:link w:val="RecDotPointChar"/>
    <w:qFormat/>
    <w:rsid w:val="000E3523"/>
    <w:pPr>
      <w:numPr>
        <w:numId w:val="12"/>
      </w:numPr>
    </w:pPr>
    <w:rPr>
      <w:rFonts w:ascii="Calibri" w:hAnsi="Calibri"/>
      <w:i/>
      <w:color w:val="6B2876" w:themeColor="text1"/>
    </w:rPr>
  </w:style>
  <w:style w:type="character" w:styleId="RecTextChar" w:customStyle="1">
    <w:name w:val="Rec Text Char"/>
    <w:basedOn w:val="DefaultParagraphFont"/>
    <w:link w:val="RecText"/>
    <w:rsid w:val="000E3523"/>
    <w:rPr>
      <w:rFonts w:ascii="Calibri" w:hAnsi="Calibri" w:eastAsiaTheme="minorEastAsia" w:cstheme="minorBidi"/>
      <w:i/>
      <w:color w:val="6B2876" w:themeColor="text1"/>
      <w:szCs w:val="24"/>
      <w:lang w:eastAsia="ja-JP"/>
    </w:rPr>
  </w:style>
  <w:style w:type="character" w:styleId="RecDotPointChar" w:customStyle="1">
    <w:name w:val="Rec Dot Point Char"/>
    <w:basedOn w:val="DotPointChar"/>
    <w:link w:val="RecDotPoint"/>
    <w:rsid w:val="000E3523"/>
    <w:rPr>
      <w:rFonts w:ascii="Calibri" w:hAnsi="Calibri" w:cs="Arial" w:eastAsiaTheme="minorEastAsia"/>
      <w:i/>
      <w:color w:val="6B2876" w:themeColor="text1"/>
      <w:szCs w:val="24"/>
      <w:lang w:eastAsia="ja-JP"/>
    </w:rPr>
  </w:style>
  <w:style w:type="character" w:styleId="ui-provider" w:customStyle="1">
    <w:name w:val="ui-provider"/>
    <w:basedOn w:val="DefaultParagraphFont"/>
    <w:rsid w:val="000E3523"/>
  </w:style>
  <w:style w:type="character" w:styleId="Emphasis">
    <w:name w:val="Emphasis"/>
    <w:basedOn w:val="DefaultParagraphFont"/>
    <w:uiPriority w:val="20"/>
    <w:qFormat/>
    <w:rsid w:val="000E3523"/>
    <w:rPr>
      <w:i/>
      <w:iCs/>
    </w:rPr>
  </w:style>
  <w:style w:type="character" w:styleId="findhit" w:customStyle="1">
    <w:name w:val="findhit"/>
    <w:basedOn w:val="DefaultParagraphFont"/>
    <w:rsid w:val="000E3523"/>
  </w:style>
  <w:style w:type="paragraph" w:styleId="StyleHeading2" w:customStyle="1">
    <w:name w:val="Style Heading 2"/>
    <w:basedOn w:val="Heading2"/>
    <w:next w:val="Heading2"/>
    <w:link w:val="StyleHeading2Char"/>
    <w:qFormat/>
    <w:rsid w:val="000E3523"/>
    <w:pPr>
      <w:pageBreakBefore/>
      <w:tabs>
        <w:tab w:val="num" w:pos="284"/>
      </w:tabs>
      <w:spacing w:before="360" w:after="60" w:line="300" w:lineRule="atLeast"/>
      <w:ind w:left="360" w:hanging="360"/>
    </w:pPr>
    <w:rPr>
      <w:rFonts w:ascii="Calibri" w:hAnsi="Calibri" w:eastAsiaTheme="minorEastAsia" w:cstheme="minorBidi"/>
      <w:bCs w:val="0"/>
      <w:color w:val="F9FAF9" w:themeColor="background2"/>
      <w:sz w:val="36"/>
      <w:szCs w:val="36"/>
      <w:shd w:val="clear" w:color="auto" w:fill="auto"/>
    </w:rPr>
  </w:style>
  <w:style w:type="character" w:styleId="StyleHeading2Char" w:customStyle="1">
    <w:name w:val="Style Heading 2 Char"/>
    <w:basedOn w:val="Heading2Char"/>
    <w:link w:val="StyleHeading2"/>
    <w:rsid w:val="000E3523"/>
    <w:rPr>
      <w:rFonts w:ascii="Calibri" w:hAnsi="Calibri" w:eastAsiaTheme="minorEastAsia" w:cstheme="minorBidi"/>
      <w:b/>
      <w:bCs w:val="0"/>
      <w:color w:val="F9FAF9" w:themeColor="background2"/>
      <w:sz w:val="36"/>
      <w:szCs w:val="36"/>
      <w:lang w:val="en-US" w:eastAsia="ja-JP"/>
    </w:rPr>
  </w:style>
  <w:style w:type="paragraph" w:styleId="Heading410" w:customStyle="1">
    <w:name w:val="Heading 4 1"/>
    <w:basedOn w:val="Heading4"/>
    <w:link w:val="Heading41Char0"/>
    <w:uiPriority w:val="1"/>
    <w:qFormat/>
    <w:rsid w:val="000E3523"/>
    <w:pPr>
      <w:keepNext/>
      <w:spacing w:before="300" w:after="100" w:line="300" w:lineRule="atLeast"/>
      <w:ind w:left="864" w:hanging="864"/>
    </w:pPr>
    <w:rPr>
      <w:rFonts w:ascii="Calibri" w:hAnsi="Calibri" w:eastAsiaTheme="minorEastAsia" w:cstheme="minorBidi"/>
      <w:i/>
      <w:iCs/>
      <w:color w:val="F9FAF9" w:themeColor="background2"/>
      <w:szCs w:val="22"/>
    </w:rPr>
  </w:style>
  <w:style w:type="character" w:styleId="Heading41Char0" w:customStyle="1">
    <w:name w:val="Heading 4 1 Char"/>
    <w:basedOn w:val="Heading4Char"/>
    <w:link w:val="Heading410"/>
    <w:uiPriority w:val="1"/>
    <w:rsid w:val="000E3523"/>
    <w:rPr>
      <w:rFonts w:ascii="Calibri" w:hAnsi="Calibri" w:eastAsiaTheme="minorEastAsia" w:cstheme="minorBidi"/>
      <w:b/>
      <w:i/>
      <w:iCs/>
      <w:color w:val="F9FAF9" w:themeColor="background2"/>
      <w:sz w:val="24"/>
      <w:szCs w:val="22"/>
      <w:lang w:val="en-US" w:eastAsia="ja-JP"/>
    </w:rPr>
  </w:style>
  <w:style w:type="character" w:styleId="Style1Char" w:customStyle="1">
    <w:name w:val="Style1 Char"/>
    <w:basedOn w:val="StyleHeading2Char"/>
    <w:link w:val="Style1"/>
    <w:uiPriority w:val="1"/>
    <w:rsid w:val="000E3523"/>
    <w:rPr>
      <w:rFonts w:ascii="Arial" w:hAnsi="Arial" w:eastAsia="Times New Roman" w:cstheme="minorBidi"/>
      <w:b/>
      <w:bCs/>
      <w:color w:val="F9FAF9" w:themeColor="background2"/>
      <w:sz w:val="30"/>
      <w:szCs w:val="30"/>
      <w:lang w:val="en-US" w:eastAsia="ja-JP"/>
    </w:rPr>
  </w:style>
  <w:style w:type="paragraph" w:styleId="Style2" w:customStyle="1">
    <w:name w:val="Style2"/>
    <w:basedOn w:val="Heading1"/>
    <w:next w:val="Heading1"/>
    <w:link w:val="Style2Char"/>
    <w:qFormat/>
    <w:rsid w:val="000E3523"/>
    <w:pPr>
      <w:spacing w:before="100" w:after="100" w:line="300" w:lineRule="atLeast"/>
    </w:pPr>
    <w:rPr>
      <w:rFonts w:ascii="Calibri" w:hAnsi="Calibri" w:eastAsiaTheme="minorEastAsia" w:cstheme="minorBidi"/>
      <w:color w:val="6B2876" w:themeColor="text1"/>
      <w:sz w:val="48"/>
      <w:szCs w:val="48"/>
    </w:rPr>
  </w:style>
  <w:style w:type="character" w:styleId="Style2Char" w:customStyle="1">
    <w:name w:val="Style2 Char"/>
    <w:basedOn w:val="Heading1Char"/>
    <w:link w:val="Style2"/>
    <w:rsid w:val="000E3523"/>
    <w:rPr>
      <w:rFonts w:ascii="Calibri" w:hAnsi="Calibri" w:eastAsiaTheme="minorEastAsia" w:cstheme="minorBidi"/>
      <w:b/>
      <w:color w:val="6B2876" w:themeColor="text1"/>
      <w:sz w:val="48"/>
      <w:szCs w:val="48"/>
      <w:lang w:eastAsia="ja-JP"/>
    </w:rPr>
  </w:style>
  <w:style w:type="character" w:styleId="wacimagecontainer" w:customStyle="1">
    <w:name w:val="wacimagecontainer"/>
    <w:basedOn w:val="DefaultParagraphFont"/>
    <w:rsid w:val="000E3523"/>
  </w:style>
  <w:style w:type="character" w:styleId="superscript" w:customStyle="1">
    <w:name w:val="superscript"/>
    <w:basedOn w:val="DefaultParagraphFont"/>
    <w:rsid w:val="000E3523"/>
  </w:style>
  <w:style w:type="character" w:styleId="contextualspellingandgrammarerror" w:customStyle="1">
    <w:name w:val="contextualspellingandgrammarerror"/>
    <w:basedOn w:val="DefaultParagraphFont"/>
    <w:rsid w:val="000E3523"/>
  </w:style>
  <w:style w:type="paragraph" w:styleId="BoardBrief-Paragraph1" w:customStyle="1">
    <w:name w:val="Board Brief - Paragraph 1"/>
    <w:basedOn w:val="ListParagraph"/>
    <w:link w:val="BoardBrief-Paragraph1Char"/>
    <w:uiPriority w:val="2"/>
    <w:qFormat/>
    <w:rsid w:val="000E3523"/>
    <w:pPr>
      <w:spacing w:line="264" w:lineRule="auto"/>
      <w:ind w:left="792" w:hanging="432"/>
      <w:contextualSpacing w:val="0"/>
    </w:pPr>
    <w:rPr>
      <w:rFonts w:ascii="Calibri" w:hAnsi="Calibri" w:cs="Arial" w:eastAsiaTheme="minorEastAsia"/>
      <w:sz w:val="21"/>
      <w:szCs w:val="21"/>
      <w:lang w:val="en-AU" w:eastAsia="en-US"/>
    </w:rPr>
  </w:style>
  <w:style w:type="character" w:styleId="BoardBrief-Paragraph1Char" w:customStyle="1">
    <w:name w:val="Board Brief - Paragraph 1 Char"/>
    <w:basedOn w:val="DefaultParagraphFont"/>
    <w:link w:val="BoardBrief-Paragraph1"/>
    <w:uiPriority w:val="2"/>
    <w:rsid w:val="000E3523"/>
    <w:rPr>
      <w:rFonts w:ascii="Calibri" w:hAnsi="Calibri" w:cs="Arial" w:eastAsiaTheme="minorEastAsia"/>
      <w:sz w:val="21"/>
      <w:szCs w:val="21"/>
      <w:lang w:eastAsia="en-US"/>
    </w:rPr>
  </w:style>
  <w:style w:type="character" w:styleId="Heading2Char1" w:customStyle="1">
    <w:name w:val="Heading 2 Char1"/>
    <w:basedOn w:val="DefaultParagraphFont"/>
    <w:uiPriority w:val="9"/>
    <w:rsid w:val="000E3523"/>
    <w:rPr>
      <w:rFonts w:asciiTheme="majorHAnsi" w:hAnsiTheme="majorHAnsi" w:eastAsiaTheme="majorEastAsia" w:cstheme="majorBidi"/>
      <w:b/>
      <w:color w:val="6B2876" w:themeColor="text1"/>
      <w:sz w:val="36"/>
      <w:szCs w:val="26"/>
      <w:lang w:eastAsia="ja-JP"/>
    </w:rPr>
  </w:style>
  <w:style w:type="paragraph" w:styleId="21minor" w:customStyle="1">
    <w:name w:val="21 minor"/>
    <w:basedOn w:val="Normal"/>
    <w:next w:val="Normal"/>
    <w:uiPriority w:val="2"/>
    <w:qFormat/>
    <w:rsid w:val="000E3523"/>
    <w:pPr>
      <w:spacing w:before="240" w:line="264" w:lineRule="auto"/>
    </w:pPr>
    <w:rPr>
      <w:b/>
      <w:color w:val="6B2876" w:themeColor="text1"/>
      <w:sz w:val="22"/>
      <w:lang w:val="en-AU" w:eastAsia="en-US"/>
    </w:rPr>
  </w:style>
  <w:style w:type="character" w:styleId="CEOBrief-Paragraph1Char" w:customStyle="1">
    <w:name w:val="CEO Brief - Paragraph 1 Char"/>
    <w:basedOn w:val="DefaultParagraphFont"/>
    <w:link w:val="CEOBrief-Paragraph1"/>
    <w:locked/>
    <w:rsid w:val="000E3523"/>
    <w:rPr>
      <w:rFonts w:ascii="Arial" w:hAnsi="Arial" w:cs="Arial"/>
    </w:rPr>
  </w:style>
  <w:style w:type="paragraph" w:styleId="CEOBrief-Paragraph1" w:customStyle="1">
    <w:name w:val="CEO Brief - Paragraph 1"/>
    <w:basedOn w:val="ListParagraph"/>
    <w:link w:val="CEOBrief-Paragraph1Char"/>
    <w:qFormat/>
    <w:rsid w:val="000E3523"/>
    <w:pPr>
      <w:spacing w:line="264" w:lineRule="auto"/>
      <w:ind w:left="792" w:hanging="432"/>
      <w:contextualSpacing w:val="0"/>
    </w:pPr>
    <w:rPr>
      <w:rFonts w:eastAsia="FSMePro" w:cs="Arial"/>
      <w:sz w:val="20"/>
      <w:szCs w:val="20"/>
      <w:lang w:val="en-AU" w:eastAsia="en-AU"/>
    </w:rPr>
  </w:style>
  <w:style w:type="paragraph" w:styleId="Pullquote" w:customStyle="1">
    <w:name w:val="Pull quote"/>
    <w:basedOn w:val="Normal"/>
    <w:qFormat/>
    <w:rsid w:val="000E3523"/>
    <w:pPr>
      <w:spacing w:before="100" w:after="180" w:line="300" w:lineRule="atLeast"/>
      <w:jc w:val="center"/>
    </w:pPr>
    <w:rPr>
      <w:rFonts w:eastAsiaTheme="minorEastAsia" w:cstheme="minorBidi"/>
      <w:i/>
      <w:color w:val="6B2876" w:themeColor="text1"/>
      <w:lang w:val="en-AU" w:eastAsia="en-AU"/>
    </w:rPr>
  </w:style>
  <w:style w:type="numbering" w:styleId="CurrentList32" w:customStyle="1">
    <w:name w:val="Current List32"/>
    <w:uiPriority w:val="99"/>
    <w:rsid w:val="00493C1A"/>
  </w:style>
  <w:style w:type="numbering" w:styleId="CurrentList33" w:customStyle="1">
    <w:name w:val="Current List33"/>
    <w:uiPriority w:val="99"/>
    <w:rsid w:val="00493C1A"/>
  </w:style>
  <w:style w:type="character" w:styleId="LineNumber">
    <w:name w:val="line number"/>
    <w:basedOn w:val="DefaultParagraphFont"/>
    <w:uiPriority w:val="99"/>
    <w:semiHidden/>
    <w:unhideWhenUsed/>
    <w:rsid w:val="006B4D57"/>
  </w:style>
  <w:style w:type="paragraph" w:styleId="StyleStyle112pt" w:customStyle="1">
    <w:name w:val="Style Style1 + 12 pt"/>
    <w:basedOn w:val="Style1"/>
    <w:rsid w:val="00041468"/>
    <w:pPr>
      <w:outlineLvl w:val="3"/>
    </w:pPr>
    <w:rPr>
      <w:sz w:val="24"/>
    </w:rPr>
  </w:style>
  <w:style w:type="paragraph" w:styleId="SmallH2" w:customStyle="1">
    <w:name w:val="Small H2"/>
    <w:basedOn w:val="Normal"/>
    <w:qFormat/>
    <w:rsid w:val="003071D0"/>
    <w:pPr>
      <w:spacing w:before="360" w:after="120"/>
      <w:outlineLvl w:val="1"/>
    </w:pPr>
    <w:rPr>
      <w:rFonts w:eastAsia="Arial" w:cs="Arial"/>
      <w:b/>
      <w:bCs/>
      <w:lang w:val="en-AU"/>
    </w:rPr>
  </w:style>
  <w:style w:type="paragraph" w:styleId="TableofContentsheading" w:customStyle="1">
    <w:name w:val="Table of Contents heading"/>
    <w:basedOn w:val="ExecBrief-Heading1"/>
    <w:qFormat/>
    <w:rsid w:val="003071D0"/>
    <w:pPr>
      <w:numPr>
        <w:numId w:val="0"/>
      </w:numPr>
      <w:spacing w:after="960"/>
      <w:outlineLvl w:val="1"/>
    </w:pPr>
    <w:rPr>
      <w:sz w:val="40"/>
      <w:szCs w:val="40"/>
    </w:rPr>
  </w:style>
  <w:style w:type="paragraph" w:styleId="LittleH4" w:customStyle="1">
    <w:name w:val="Little H4"/>
    <w:basedOn w:val="Normal"/>
    <w:qFormat/>
    <w:rsid w:val="00E21370"/>
    <w:pPr>
      <w:spacing w:before="360" w:after="120"/>
      <w:outlineLvl w:val="3"/>
    </w:pPr>
    <w:rPr>
      <w:rFonts w:eastAsia="Arial" w:cs="Arial"/>
      <w:b/>
      <w:bCs/>
      <w:lang w:val="en-AU"/>
    </w:rPr>
  </w:style>
  <w:style w:type="paragraph" w:styleId="LittleH5" w:customStyle="1">
    <w:name w:val="Little H5"/>
    <w:basedOn w:val="Normal"/>
    <w:qFormat/>
    <w:rsid w:val="00E21370"/>
    <w:pPr>
      <w:spacing w:before="360" w:after="120"/>
      <w:outlineLvl w:val="4"/>
    </w:pPr>
    <w:rPr>
      <w:rFonts w:eastAsia="Arial" w:cs="Arial"/>
      <w:b/>
      <w:bCs/>
      <w:lang w:val="en-AU"/>
    </w:rPr>
  </w:style>
  <w:style w:type="paragraph" w:styleId="LittleH5differentcontext" w:customStyle="1">
    <w:name w:val="Little H5 different context"/>
    <w:basedOn w:val="Normal"/>
    <w:qFormat/>
    <w:rsid w:val="00354F83"/>
    <w:pPr>
      <w:outlineLvl w:val="4"/>
    </w:pPr>
    <w:rPr>
      <w:rFonts w:eastAsia="Segoe UI"/>
      <w:b/>
      <w:lang w:val="en-AU"/>
    </w:rPr>
  </w:style>
  <w:style w:type="paragraph" w:styleId="LittleH4differentcontext" w:customStyle="1">
    <w:name w:val="Little H4 different context"/>
    <w:basedOn w:val="Normal"/>
    <w:qFormat/>
    <w:rsid w:val="00354F83"/>
    <w:pPr>
      <w:keepNext/>
      <w:outlineLvl w:val="3"/>
    </w:pPr>
    <w:rPr>
      <w:rFonts w:eastAsia="Segoe UI"/>
      <w:b/>
      <w:lang w:val="en-AU"/>
    </w:rPr>
  </w:style>
  <w:style w:type="paragraph" w:styleId="AppendixH3" w:customStyle="1">
    <w:name w:val="Appendix H3"/>
    <w:basedOn w:val="Normal"/>
    <w:qFormat/>
    <w:rsid w:val="00354F83"/>
    <w:pPr>
      <w:spacing w:before="360"/>
      <w:outlineLvl w:val="2"/>
    </w:pPr>
    <w:rPr>
      <w:b/>
      <w:bCs/>
      <w:color w:val="6B2976"/>
      <w:sz w:val="30"/>
      <w:szCs w:val="30"/>
      <w:lang w:val="en-AU"/>
    </w:rPr>
  </w:style>
  <w:style w:type="paragraph" w:styleId="AppendixH4" w:customStyle="1">
    <w:name w:val="Appendix H4"/>
    <w:basedOn w:val="Normal"/>
    <w:qFormat/>
    <w:rsid w:val="00354F83"/>
    <w:pPr>
      <w:outlineLvl w:val="3"/>
    </w:pPr>
    <w:rPr>
      <w:b/>
      <w:lang w:val="en-AU"/>
    </w:rPr>
  </w:style>
  <w:style w:type="paragraph" w:styleId="AppendixH5" w:customStyle="1">
    <w:name w:val="Appendix H5"/>
    <w:basedOn w:val="Normal"/>
    <w:qFormat/>
    <w:rsid w:val="00354F83"/>
    <w:pPr>
      <w:spacing w:before="360" w:after="120"/>
      <w:outlineLvl w:val="4"/>
    </w:pPr>
    <w:rPr>
      <w:rFonts w:eastAsia="Arial" w:cs="Arial"/>
      <w:i/>
      <w:u w:val="single"/>
      <w:lang w:val="en-AU"/>
    </w:rPr>
  </w:style>
  <w:style w:type="paragraph" w:styleId="RecommendationH5" w:customStyle="1">
    <w:name w:val="Recommendation H5"/>
    <w:basedOn w:val="Recommendationheading"/>
    <w:qFormat/>
    <w:rsid w:val="0071361A"/>
    <w:pPr>
      <w:spacing w:line="288" w:lineRule="auto"/>
      <w:outlineLvl w:val="4"/>
    </w:pPr>
  </w:style>
  <w:style w:type="paragraph" w:styleId="RecommendationH4" w:customStyle="1">
    <w:name w:val="Recommendation H4"/>
    <w:basedOn w:val="Recommendationheading"/>
    <w:qFormat/>
    <w:rsid w:val="0071361A"/>
    <w:pPr>
      <w:spacing w:line="288" w:lineRule="auto"/>
      <w:outlineLvl w:val="3"/>
    </w:pPr>
    <w:rPr>
      <w:color w:val="6B2976"/>
    </w:rPr>
  </w:style>
  <w:style w:type="paragraph" w:styleId="H5" w:customStyle="1">
    <w:name w:val="H5"/>
    <w:basedOn w:val="Normal"/>
    <w:qFormat/>
    <w:rsid w:val="00245B10"/>
    <w:pPr>
      <w:spacing w:before="360" w:after="120"/>
      <w:outlineLvl w:val="4"/>
    </w:pPr>
    <w:rPr>
      <w:b/>
      <w:bCs/>
      <w:lang w:val="en-AU" w:eastAsia="en-AU"/>
    </w:rPr>
  </w:style>
  <w:style w:type="paragraph" w:styleId="H4" w:customStyle="1">
    <w:name w:val="H4"/>
    <w:basedOn w:val="Normal"/>
    <w:qFormat/>
    <w:rsid w:val="00245B10"/>
    <w:pPr>
      <w:spacing w:before="360" w:after="120"/>
      <w:outlineLvl w:val="3"/>
    </w:pPr>
    <w:rPr>
      <w:rFonts w:eastAsia="Arial"/>
      <w:b/>
      <w:shd w:val="clear" w:color="auto" w:fill="FFFFFF"/>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1.png" Id="rId26" /><Relationship Type="http://schemas.openxmlformats.org/officeDocument/2006/relationships/image" Target="media/image6.png" Id="rId21" /><Relationship Type="http://schemas.openxmlformats.org/officeDocument/2006/relationships/image" Target="media/image27.png" Id="rId42" /><Relationship Type="http://schemas.openxmlformats.org/officeDocument/2006/relationships/image" Target="media/image32.png" Id="rId47" /><Relationship Type="http://schemas.openxmlformats.org/officeDocument/2006/relationships/image" Target="media/image48.png" Id="rId63" /><Relationship Type="http://schemas.openxmlformats.org/officeDocument/2006/relationships/image" Target="media/image53.png" Id="rId68" /><Relationship Type="http://schemas.openxmlformats.org/officeDocument/2006/relationships/image" Target="media/image66.png" Id="rId84" /><Relationship Type="http://schemas.openxmlformats.org/officeDocument/2006/relationships/image" Target="media/image71.png" Id="rId89" /><Relationship Type="http://schemas.openxmlformats.org/officeDocument/2006/relationships/hyperlink" Target="https://www.ndis.gov.au/reference-group-updates/pricing-arrangement-reference-group" TargetMode="External" Id="rId16" /><Relationship Type="http://schemas.openxmlformats.org/officeDocument/2006/relationships/endnotes" Target="endnotes.xml" Id="rId11" /><Relationship Type="http://schemas.openxmlformats.org/officeDocument/2006/relationships/image" Target="media/image17.png" Id="rId32" /><Relationship Type="http://schemas.openxmlformats.org/officeDocument/2006/relationships/image" Target="media/image22.png" Id="rId37" /><Relationship Type="http://schemas.openxmlformats.org/officeDocument/2006/relationships/image" Target="media/image38.png" Id="rId53" /><Relationship Type="http://schemas.openxmlformats.org/officeDocument/2006/relationships/image" Target="media/image43.png" Id="rId58" /><Relationship Type="http://schemas.openxmlformats.org/officeDocument/2006/relationships/image" Target="media/image59.png" Id="rId74" /><Relationship Type="http://schemas.openxmlformats.org/officeDocument/2006/relationships/image" Target="media/image61.png" Id="rId79" /><Relationship Type="http://schemas.openxmlformats.org/officeDocument/2006/relationships/header" Target="header2.xml" Id="rId102" /><Relationship Type="http://schemas.openxmlformats.org/officeDocument/2006/relationships/customXml" Target="../customXml/item5.xml" Id="rId5" /><Relationship Type="http://schemas.openxmlformats.org/officeDocument/2006/relationships/hyperlink" Target="https://www.ndis.gov.au/participants/working-providers/find-registered-provider/provider-finder" TargetMode="External" Id="rId90" /><Relationship Type="http://schemas.openxmlformats.org/officeDocument/2006/relationships/hyperlink" Target="https://www.instagram.com/ndis_australia/" TargetMode="External" Id="rId95" /><Relationship Type="http://schemas.openxmlformats.org/officeDocument/2006/relationships/image" Target="media/image7.png" Id="rId22" /><Relationship Type="http://schemas.openxmlformats.org/officeDocument/2006/relationships/image" Target="media/image12.png" Id="rId27" /><Relationship Type="http://schemas.openxmlformats.org/officeDocument/2006/relationships/image" Target="media/image28.png" Id="rId43" /><Relationship Type="http://schemas.openxmlformats.org/officeDocument/2006/relationships/image" Target="media/image33.png" Id="rId48" /><Relationship Type="http://schemas.openxmlformats.org/officeDocument/2006/relationships/image" Target="media/image49.png" Id="rId64" /><Relationship Type="http://schemas.openxmlformats.org/officeDocument/2006/relationships/image" Target="media/image54.png" Id="rId69" /><Relationship Type="http://schemas.openxmlformats.org/officeDocument/2006/relationships/image" Target="media/image62.png" Id="rId80" /><Relationship Type="http://schemas.openxmlformats.org/officeDocument/2006/relationships/image" Target="media/image67.png" Id="rId85" /><Relationship Type="http://schemas.openxmlformats.org/officeDocument/2006/relationships/image" Target="media/image1.jpeg" Id="rId12" /><Relationship Type="http://schemas.openxmlformats.org/officeDocument/2006/relationships/image" Target="media/image3.png" Id="rId17" /><Relationship Type="http://schemas.openxmlformats.org/officeDocument/2006/relationships/image" Target="media/image18.png" Id="rId33" /><Relationship Type="http://schemas.openxmlformats.org/officeDocument/2006/relationships/image" Target="media/image23.png" Id="rId38" /><Relationship Type="http://schemas.openxmlformats.org/officeDocument/2006/relationships/image" Target="media/image44.png" Id="rId59" /><Relationship Type="http://schemas.openxmlformats.org/officeDocument/2006/relationships/footer" Target="footer3.xml" Id="rId103" /><Relationship Type="http://schemas.openxmlformats.org/officeDocument/2006/relationships/hyperlink" Target="https://www.ndis.gov.au/providers/pricing-arrangements" TargetMode="External" Id="rId20" /><Relationship Type="http://schemas.openxmlformats.org/officeDocument/2006/relationships/image" Target="media/image26.png" Id="rId41" /><Relationship Type="http://schemas.openxmlformats.org/officeDocument/2006/relationships/image" Target="media/image39.png" Id="rId54" /><Relationship Type="http://schemas.openxmlformats.org/officeDocument/2006/relationships/image" Target="media/image47.png" Id="rId62" /><Relationship Type="http://schemas.openxmlformats.org/officeDocument/2006/relationships/image" Target="media/image55.png" Id="rId70" /><Relationship Type="http://schemas.openxmlformats.org/officeDocument/2006/relationships/image" Target="media/image60.png" Id="rId75" /><Relationship Type="http://schemas.openxmlformats.org/officeDocument/2006/relationships/image" Target="media/image65.png" Id="rId83" /><Relationship Type="http://schemas.openxmlformats.org/officeDocument/2006/relationships/image" Target="media/image70.png" Id="rId88" /><Relationship Type="http://schemas.openxmlformats.org/officeDocument/2006/relationships/hyperlink" Target="https://www.ndis.gov.au/participants/working-providers/finding-providers/provider-finder" TargetMode="External" Id="rId91" /><Relationship Type="http://schemas.openxmlformats.org/officeDocument/2006/relationships/hyperlink" Target="https://www.youtube.com/user/DisabilityCare" TargetMode="External" Id="rId9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hyperlink" Target="https://www.ndis.gov.au/grants/quality-supports-program" TargetMode="External" Id="rId15" /><Relationship Type="http://schemas.openxmlformats.org/officeDocument/2006/relationships/image" Target="media/image8.png" Id="rId23" /><Relationship Type="http://schemas.openxmlformats.org/officeDocument/2006/relationships/image" Target="media/image13.png" Id="rId28" /><Relationship Type="http://schemas.openxmlformats.org/officeDocument/2006/relationships/image" Target="media/image21.png" Id="rId36" /><Relationship Type="http://schemas.openxmlformats.org/officeDocument/2006/relationships/image" Target="media/image34.png" Id="rId49" /><Relationship Type="http://schemas.openxmlformats.org/officeDocument/2006/relationships/image" Target="media/image42.png" Id="rId57" /><Relationship Type="http://schemas.microsoft.com/office/2019/05/relationships/documenttasks" Target="documenttasks/documenttasks1.xml" Id="rId106" /><Relationship Type="http://schemas.openxmlformats.org/officeDocument/2006/relationships/footnotes" Target="footnotes.xml" Id="rId10" /><Relationship Type="http://schemas.openxmlformats.org/officeDocument/2006/relationships/image" Target="media/image16.png" Id="rId31" /><Relationship Type="http://schemas.openxmlformats.org/officeDocument/2006/relationships/image" Target="media/image29.png" Id="rId44" /><Relationship Type="http://schemas.openxmlformats.org/officeDocument/2006/relationships/image" Target="media/image37.png" Id="rId52" /><Relationship Type="http://schemas.openxmlformats.org/officeDocument/2006/relationships/image" Target="media/image45.png" Id="rId60" /><Relationship Type="http://schemas.openxmlformats.org/officeDocument/2006/relationships/image" Target="media/image50.png" Id="rId65" /><Relationship Type="http://schemas.openxmlformats.org/officeDocument/2006/relationships/image" Target="media/image58.png" Id="rId73" /><Relationship Type="http://schemas.openxmlformats.org/officeDocument/2006/relationships/hyperlink" Target="https://www.abs.gov.au/methodologies/socio-economic-indexes-areas-seifa-australia-methodology/2021" TargetMode="External" Id="rId78" /><Relationship Type="http://schemas.openxmlformats.org/officeDocument/2006/relationships/image" Target="media/image63.png" Id="rId81" /><Relationship Type="http://schemas.openxmlformats.org/officeDocument/2006/relationships/image" Target="media/image68.png" Id="rId86" /><Relationship Type="http://schemas.openxmlformats.org/officeDocument/2006/relationships/hyperlink" Target="https://twitter.com/NDIS" TargetMode="External" Id="rId94" /><Relationship Type="http://schemas.openxmlformats.org/officeDocument/2006/relationships/header" Target="header1.xml" Id="rId99" /><Relationship Type="http://schemas.openxmlformats.org/officeDocument/2006/relationships/footer" Target="footer2.xml" Id="rId10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2.jpeg" Id="rId13" /><Relationship Type="http://schemas.openxmlformats.org/officeDocument/2006/relationships/image" Target="media/image4.png" Id="rId18" /><Relationship Type="http://schemas.openxmlformats.org/officeDocument/2006/relationships/image" Target="media/image24.png" Id="rId39" /><Relationship Type="http://schemas.openxmlformats.org/officeDocument/2006/relationships/image" Target="media/image19.png" Id="rId34" /><Relationship Type="http://schemas.openxmlformats.org/officeDocument/2006/relationships/image" Target="media/image35.png" Id="rId50" /><Relationship Type="http://schemas.openxmlformats.org/officeDocument/2006/relationships/image" Target="media/image40.png" Id="rId55" /><Relationship Type="http://schemas.openxmlformats.org/officeDocument/2006/relationships/hyperlink" Target="https://www.ndis.gov.au/media/1661/download?attachment" TargetMode="External" Id="rId76" /><Relationship Type="http://schemas.openxmlformats.org/officeDocument/2006/relationships/hyperlink" Target="https://www.linkedin.com/company/national-disability-insurance-agency" TargetMode="External" Id="rId97" /><Relationship Type="http://schemas.openxmlformats.org/officeDocument/2006/relationships/fontTable" Target="fontTable.xml" Id="rId104" /><Relationship Type="http://schemas.openxmlformats.org/officeDocument/2006/relationships/styles" Target="styles.xml" Id="rId7" /><Relationship Type="http://schemas.openxmlformats.org/officeDocument/2006/relationships/image" Target="media/image56.png" Id="rId71" /><Relationship Type="http://schemas.openxmlformats.org/officeDocument/2006/relationships/hyperlink" Target="http://ndis.gov.au/" TargetMode="External" Id="rId92" /><Relationship Type="http://schemas.openxmlformats.org/officeDocument/2006/relationships/customXml" Target="../customXml/item2.xml" Id="rId2" /><Relationship Type="http://schemas.openxmlformats.org/officeDocument/2006/relationships/image" Target="media/image14.png" Id="rId29" /><Relationship Type="http://schemas.openxmlformats.org/officeDocument/2006/relationships/image" Target="media/image9.png" Id="rId24" /><Relationship Type="http://schemas.openxmlformats.org/officeDocument/2006/relationships/image" Target="media/image25.png" Id="rId40" /><Relationship Type="http://schemas.openxmlformats.org/officeDocument/2006/relationships/image" Target="media/image30.png" Id="rId45" /><Relationship Type="http://schemas.openxmlformats.org/officeDocument/2006/relationships/image" Target="media/image51.png" Id="rId66" /><Relationship Type="http://schemas.openxmlformats.org/officeDocument/2006/relationships/image" Target="media/image69.png" Id="rId87" /><Relationship Type="http://schemas.openxmlformats.org/officeDocument/2006/relationships/image" Target="media/image46.png" Id="rId61" /><Relationship Type="http://schemas.openxmlformats.org/officeDocument/2006/relationships/image" Target="media/image64.png" Id="rId82" /><Relationship Type="http://schemas.openxmlformats.org/officeDocument/2006/relationships/image" Target="media/image5.jpeg" Id="rId19" /><Relationship Type="http://schemas.openxmlformats.org/officeDocument/2006/relationships/hyperlink" Target="https://www.ndis.gov.au/providers/pricing-arrangements/making-pricing-decisions/pricing-work-plan" TargetMode="External" Id="rId14" /><Relationship Type="http://schemas.openxmlformats.org/officeDocument/2006/relationships/image" Target="media/image15.png" Id="rId30" /><Relationship Type="http://schemas.openxmlformats.org/officeDocument/2006/relationships/image" Target="media/image20.png" Id="rId35" /><Relationship Type="http://schemas.openxmlformats.org/officeDocument/2006/relationships/image" Target="media/image41.png" Id="rId56" /><Relationship Type="http://schemas.openxmlformats.org/officeDocument/2006/relationships/hyperlink" Target="https://www.abs.gov.au/methodologies/socio-economic-indexes-areas-seifa-australia-methodology/2021" TargetMode="External" Id="rId77" /><Relationship Type="http://schemas.openxmlformats.org/officeDocument/2006/relationships/footer" Target="footer1.xml" Id="rId100" /><Relationship Type="http://schemas.openxmlformats.org/officeDocument/2006/relationships/theme" Target="theme/theme1.xml" Id="rId105" /><Relationship Type="http://schemas.openxmlformats.org/officeDocument/2006/relationships/settings" Target="settings.xml" Id="rId8" /><Relationship Type="http://schemas.openxmlformats.org/officeDocument/2006/relationships/image" Target="media/image36.png" Id="rId51" /><Relationship Type="http://schemas.openxmlformats.org/officeDocument/2006/relationships/image" Target="media/image57.png" Id="rId72" /><Relationship Type="http://schemas.openxmlformats.org/officeDocument/2006/relationships/hyperlink" Target="https://www.facebook.com/NDISAus" TargetMode="External" Id="rId93" /><Relationship Type="http://schemas.openxmlformats.org/officeDocument/2006/relationships/hyperlink" Target="http://relayservice.gov.au/" TargetMode="External" Id="rId98" /><Relationship Type="http://schemas.openxmlformats.org/officeDocument/2006/relationships/customXml" Target="../customXml/item3.xml" Id="rId3" /><Relationship Type="http://schemas.openxmlformats.org/officeDocument/2006/relationships/image" Target="media/image10.png" Id="rId25" /><Relationship Type="http://schemas.openxmlformats.org/officeDocument/2006/relationships/image" Target="media/image31.png" Id="rId46" /><Relationship Type="http://schemas.openxmlformats.org/officeDocument/2006/relationships/image" Target="media/image52.png" Id="rId67" /></Relationships>
</file>

<file path=word/_rels/footnotes.xml.rels><?xml version="1.0" encoding="UTF-8" standalone="yes"?>
<Relationships xmlns="http://schemas.openxmlformats.org/package/2006/relationships"><Relationship Id="rId8" Type="http://schemas.openxmlformats.org/officeDocument/2006/relationships/hyperlink" Target="https://www.abs.gov.au/statistics/economy/price-indexes-and-inflation/consumer-price-index-australia/jan-2026" TargetMode="External"/><Relationship Id="rId13" Type="http://schemas.openxmlformats.org/officeDocument/2006/relationships/hyperlink" Target="https://www.abs.gov.au/statistics/labour/employment-and-unemployment/labour-force-australia-detailed/nov-2025" TargetMode="External"/><Relationship Id="rId18" Type="http://schemas.openxmlformats.org/officeDocument/2006/relationships/hyperlink" Target="https://www.jobsandskills.gov.au/data/employment-projections" TargetMode="External"/><Relationship Id="rId3" Type="http://schemas.openxmlformats.org/officeDocument/2006/relationships/hyperlink" Target="https://www.rba.gov.au/media-releases/2026/mr-26-08.html" TargetMode="External"/><Relationship Id="rId21" Type="http://schemas.openxmlformats.org/officeDocument/2006/relationships/hyperlink" Target="https://www.abs.gov.au/statistics/economy/price-indexes-and-inflation/wage-price-index-australia/dec-2025" TargetMode="External"/><Relationship Id="rId7" Type="http://schemas.openxmlformats.org/officeDocument/2006/relationships/hyperlink" Target="https://www.rba.gov.au/media-releases/2026/mr-26-08.html" TargetMode="External"/><Relationship Id="rId12" Type="http://schemas.openxmlformats.org/officeDocument/2006/relationships/hyperlink" Target="https://www.abs.gov.au/statistics/labour/labour-accounts/labour-account-australia/dec-2025" TargetMode="External"/><Relationship Id="rId17" Type="http://schemas.openxmlformats.org/officeDocument/2006/relationships/hyperlink" Target="https://www.jobsandskills.gov.au/data/occupation-shortage" TargetMode="External"/><Relationship Id="rId25" Type="http://schemas.openxmlformats.org/officeDocument/2006/relationships/hyperlink" Target="https://experience.arcgis.com/experience/32dcbb18c1d24f4aa89caf680413c741/page/IRSD" TargetMode="External"/><Relationship Id="rId2" Type="http://schemas.openxmlformats.org/officeDocument/2006/relationships/hyperlink" Target="https://www.rba.gov.au/publications/smp/2026/feb/" TargetMode="External"/><Relationship Id="rId16" Type="http://schemas.openxmlformats.org/officeDocument/2006/relationships/hyperlink" Target="https://www.jobsandskills.gov.au/jobs-and-skills-atlas" TargetMode="External"/><Relationship Id="rId20" Type="http://schemas.openxmlformats.org/officeDocument/2006/relationships/hyperlink" Target="https://www.rba.gov.au/publications/smp/2026/feb/" TargetMode="External"/><Relationship Id="rId1" Type="http://schemas.openxmlformats.org/officeDocument/2006/relationships/hyperlink" Target="https://www.abs.gov.au/statistics/economy/national-accounts/australian-national-accounts-national-income-expenditure-and-product/dec-2025" TargetMode="External"/><Relationship Id="rId6" Type="http://schemas.openxmlformats.org/officeDocument/2006/relationships/hyperlink" Target="https://www.rba.gov.au/monetary-policy/rba-board-minutes/2026/2026-03-17.html" TargetMode="External"/><Relationship Id="rId11" Type="http://schemas.openxmlformats.org/officeDocument/2006/relationships/hyperlink" Target="https://budget.gov.au/content/myefo/download/myefo-2025-26.pdf" TargetMode="External"/><Relationship Id="rId24" Type="http://schemas.openxmlformats.org/officeDocument/2006/relationships/hyperlink" Target="https://www.psychologyboard.gov.au/About/Statistics.aspx" TargetMode="External"/><Relationship Id="rId5" Type="http://schemas.openxmlformats.org/officeDocument/2006/relationships/hyperlink" Target="https://www.rba.gov.au/publications/smp/2026/feb/" TargetMode="External"/><Relationship Id="rId15" Type="http://schemas.openxmlformats.org/officeDocument/2006/relationships/hyperlink" Target="https://www.jobsandskills.gov.au/data/internet-vacancy-index" TargetMode="External"/><Relationship Id="rId23" Type="http://schemas.openxmlformats.org/officeDocument/2006/relationships/hyperlink" Target="https://www.jobsandskills.gov.au/data/occupation-and-industry-profiles" TargetMode="External"/><Relationship Id="rId10" Type="http://schemas.openxmlformats.org/officeDocument/2006/relationships/hyperlink" Target="https://www.rba.gov.au/publications/smp/2026/feb/" TargetMode="External"/><Relationship Id="rId19" Type="http://schemas.openxmlformats.org/officeDocument/2006/relationships/hyperlink" Target="https://www.abs.gov.au/statistics/economy/price-indexes-and-inflation/wage-price-index-australia/dec-2025" TargetMode="External"/><Relationship Id="rId4" Type="http://schemas.openxmlformats.org/officeDocument/2006/relationships/hyperlink" Target="https://www.abs.gov.au/statistics/economy/price-indexes-and-inflation/consumer-price-index-australia/jan-2026" TargetMode="External"/><Relationship Id="rId9" Type="http://schemas.openxmlformats.org/officeDocument/2006/relationships/hyperlink" Target="https://www.abs.gov.au/statistics/labour/employment-and-unemployment/labour-force-australia/feb-2026" TargetMode="External"/><Relationship Id="rId14" Type="http://schemas.openxmlformats.org/officeDocument/2006/relationships/hyperlink" Target="https://www.abs.gov.au/statistics/labour/jobs/job-vacancies-australia/nov-2025" TargetMode="External"/><Relationship Id="rId22" Type="http://schemas.openxmlformats.org/officeDocument/2006/relationships/hyperlink" Target="https://www.abs.gov.au/statistics/economy/price-indexes-and-inflation/wage-price-index-australia/dec-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documenttasks/documenttasks1.xml><?xml version="1.0" encoding="utf-8"?>
<t:Tasks xmlns:t="http://schemas.microsoft.com/office/tasks/2019/documenttasks" xmlns:oel="http://schemas.microsoft.com/office/2019/extlst">
  <t:Task id="{BBD9A619-5E64-4E8D-8E19-B6B90277AEEE}">
    <t:Anchor>
      <t:Comment id="583498786"/>
    </t:Anchor>
    <t:History>
      <t:Event id="{B3003518-2269-4FE2-AF54-34AE86202048}" time="2026-05-20T21:43:51.013Z">
        <t:Attribution userId="S::kathryn.luis2@ndis.gov.au::bc026c51-fe2d-4de1-a8d0-c42c8db1ee2a" userProvider="AD" userName="Luis, Kathryn"/>
        <t:Anchor>
          <t:Comment id="583498786"/>
        </t:Anchor>
        <t:Create/>
      </t:Event>
      <t:Event id="{7011145D-BEEE-45C7-AAE0-13B182FFBEB2}" time="2026-05-20T21:43:51.013Z">
        <t:Attribution userId="S::kathryn.luis2@ndis.gov.au::bc026c51-fe2d-4de1-a8d0-c42c8db1ee2a" userProvider="AD" userName="Luis, Kathryn"/>
        <t:Anchor>
          <t:Comment id="583498786"/>
        </t:Anchor>
        <t:Assign userId="S::BEN.CHEEVER@NDIS.GOV.AU::7e9bfc80-ee1f-406b-9080-74c37adc5410" userProvider="AD" userName="Cheever, Ben"/>
      </t:Event>
      <t:Event id="{2539F90B-6634-4627-A3C0-D1E14019E017}" time="2026-05-20T21:43:51.013Z">
        <t:Attribution userId="S::kathryn.luis2@ndis.gov.au::bc026c51-fe2d-4de1-a8d0-c42c8db1ee2a" userProvider="AD" userName="Luis, Kathryn"/>
        <t:Anchor>
          <t:Comment id="583498786"/>
        </t:Anchor>
        <t:SetTitle title="@Cheever, Ben - can we discuss this wording and my proposed approach, including in connection with risk of claims reflected in the advice?"/>
      </t:Event>
    </t:History>
  </t:Task>
  <t:Task id="{4A6E5169-FB01-404A-AD1B-8B84C0389A49}">
    <t:Anchor>
      <t:Comment id="667151164"/>
    </t:Anchor>
    <t:History>
      <t:Event id="{CAE49B5D-3EF5-4A8A-8ECD-0F539F3CD717}" time="2026-03-23T05:32:03.118Z">
        <t:Attribution userId="S::belinda.williams3@ndis.gov.au::f2b64680-d3a6-4a51-a63e-bf2cc61c3cba" userProvider="AD" userName="Williams, Belinda"/>
        <t:Anchor>
          <t:Comment id="667151164"/>
        </t:Anchor>
        <t:Create/>
      </t:Event>
      <t:Event id="{48E86981-7AE5-427F-805A-650E60F69EBD}" time="2026-03-23T05:32:03.118Z">
        <t:Attribution userId="S::belinda.williams3@ndis.gov.au::f2b64680-d3a6-4a51-a63e-bf2cc61c3cba" userProvider="AD" userName="Williams, Belinda"/>
        <t:Anchor>
          <t:Comment id="667151164"/>
        </t:Anchor>
        <t:Assign userId="S::Alison.Pfeiler@ndis.gov.au::390a5340-13e1-4b4e-bf79-fc0d0e792e0c" userProvider="AD" userName="Pfeiler, Alison"/>
      </t:Event>
      <t:Event id="{0C9A5566-6C23-4F93-B16E-5834AB6D4C0D}" time="2026-03-23T05:32:03.118Z">
        <t:Attribution userId="S::belinda.williams3@ndis.gov.au::f2b64680-d3a6-4a51-a63e-bf2cc61c3cba" userProvider="AD" userName="Williams, Belinda"/>
        <t:Anchor>
          <t:Comment id="667151164"/>
        </t:Anchor>
        <t:SetTitle title="@Pfeiler, AlisonHaven't changed, just flagging in case this needs to."/>
      </t:Event>
    </t:History>
  </t:Task>
  <t:Task id="{4087924C-64EB-40AD-82F0-0526DBE38903}">
    <t:Anchor>
      <t:Comment id="1848604308"/>
    </t:Anchor>
    <t:History>
      <t:Event id="{9F79228C-3AA2-4D21-BFD7-EAEE0B4DF5F9}" time="2026-03-25T05:04:40.14Z">
        <t:Attribution userId="S::belinda.williams3@ndis.gov.au::f2b64680-d3a6-4a51-a63e-bf2cc61c3cba" userProvider="AD" userName="Williams, Belinda"/>
        <t:Anchor>
          <t:Comment id="1848604308"/>
        </t:Anchor>
        <t:Create/>
      </t:Event>
      <t:Event id="{C0B49AA0-77FC-4F1F-9D14-AAC619C6F98C}" time="2026-03-25T05:04:40.14Z">
        <t:Attribution userId="S::belinda.williams3@ndis.gov.au::f2b64680-d3a6-4a51-a63e-bf2cc61c3cba" userProvider="AD" userName="Williams, Belinda"/>
        <t:Anchor>
          <t:Comment id="1848604308"/>
        </t:Anchor>
        <t:Assign userId="S::Alison.Pfeiler@ndis.gov.au::390a5340-13e1-4b4e-bf79-fc0d0e792e0c" userProvider="AD" userName="Pfeiler, Alison"/>
      </t:Event>
      <t:Event id="{BCC0221F-9F88-4843-9633-9188292280D1}" time="2026-03-25T05:04:40.14Z">
        <t:Attribution userId="S::belinda.williams3@ndis.gov.au::f2b64680-d3a6-4a51-a63e-bf2cc61c3cba" userProvider="AD" userName="Williams, Belinda"/>
        <t:Anchor>
          <t:Comment id="1848604308"/>
        </t:Anchor>
        <t:SetTitle title="@Pfeiler, Alison I have removed numbers because I don't think we can accurately describe volume with such nuanced language included in survey free text."/>
      </t:Event>
    </t:History>
  </t:Task>
  <t:Task id="{22A06299-6468-42B8-935E-9CBEC9B5A065}">
    <t:Anchor>
      <t:Comment id="1765303827"/>
    </t:Anchor>
    <t:History>
      <t:Event id="{46643F77-A1C5-41B8-B7FF-FD2D2E4F1878}" time="2026-03-23T05:32:28.908Z">
        <t:Attribution userId="S::belinda.williams3@ndis.gov.au::f2b64680-d3a6-4a51-a63e-bf2cc61c3cba" userProvider="AD" userName="Williams, Belinda"/>
        <t:Anchor>
          <t:Comment id="1765303827"/>
        </t:Anchor>
        <t:Create/>
      </t:Event>
      <t:Event id="{6FEC7659-F97B-4ED2-A6F7-4F539FEE7786}" time="2026-03-23T05:32:28.908Z">
        <t:Attribution userId="S::belinda.williams3@ndis.gov.au::f2b64680-d3a6-4a51-a63e-bf2cc61c3cba" userProvider="AD" userName="Williams, Belinda"/>
        <t:Anchor>
          <t:Comment id="1765303827"/>
        </t:Anchor>
        <t:Assign userId="S::Alison.Pfeiler@ndis.gov.au::390a5340-13e1-4b4e-bf79-fc0d0e792e0c" userProvider="AD" userName="Pfeiler, Alison"/>
      </t:Event>
      <t:Event id="{82C1E5D1-5B94-4DCC-BD46-F7841DA14E57}" time="2026-03-23T05:32:28.908Z">
        <t:Attribution userId="S::belinda.williams3@ndis.gov.au::f2b64680-d3a6-4a51-a63e-bf2cc61c3cba" userProvider="AD" userName="Williams, Belinda"/>
        <t:Anchor>
          <t:Comment id="1765303827"/>
        </t:Anchor>
        <t:SetTitle title="@Pfeiler, Alison Haven't changed, just flagging in case this needs to."/>
      </t:Event>
    </t:History>
  </t:Task>
  <t:Task id="{78867F4C-7191-4B7D-9DE7-623960DB9B72}">
    <t:Anchor>
      <t:Comment id="1597751092"/>
    </t:Anchor>
    <t:History>
      <t:Event id="{9DE827A8-CB5C-4DEC-9A09-2A309B492C4A}" time="2026-03-25T04:19:21.542Z">
        <t:Attribution userId="S::belinda.williams3@ndis.gov.au::f2b64680-d3a6-4a51-a63e-bf2cc61c3cba" userProvider="AD" userName="Williams, Belinda"/>
        <t:Anchor>
          <t:Comment id="1597751092"/>
        </t:Anchor>
        <t:Create/>
      </t:Event>
      <t:Event id="{97462761-8680-496C-A029-EC9AD23259A7}" time="2026-03-25T04:19:21.542Z">
        <t:Attribution userId="S::belinda.williams3@ndis.gov.au::f2b64680-d3a6-4a51-a63e-bf2cc61c3cba" userProvider="AD" userName="Williams, Belinda"/>
        <t:Anchor>
          <t:Comment id="1597751092"/>
        </t:Anchor>
        <t:Assign userId="S::Alison.Pfeiler@ndis.gov.au::390a5340-13e1-4b4e-bf79-fc0d0e792e0c" userProvider="AD" userName="Pfeiler, Alison"/>
      </t:Event>
      <t:Event id="{DD062919-5AAE-43DC-9910-FAA273B89A43}" time="2026-03-25T04:19:21.542Z">
        <t:Attribution userId="S::belinda.williams3@ndis.gov.au::f2b64680-d3a6-4a51-a63e-bf2cc61c3cba" userProvider="AD" userName="Williams, Belinda"/>
        <t:Anchor>
          <t:Comment id="1597751092"/>
        </t:Anchor>
        <t:SetTitle title="@Pfeiler, Alison for review"/>
      </t:Event>
      <t:Event id="{EA9E8381-0C25-4540-BCC9-D012893E8076}" time="2026-03-25T04:19:27.023Z">
        <t:Attribution userId="S::belinda.williams3@ndis.gov.au::f2b64680-d3a6-4a51-a63e-bf2cc61c3cba" userProvider="AD" userName="Williams, Belinda"/>
        <t:Progress percentComplete="100"/>
      </t:Event>
      <t:Event id="{F7858253-124B-43C2-8E64-BDA817906D9B}" time="2026-03-25T04:19:34.792Z">
        <t:Attribution userId="S::belinda.williams3@ndis.gov.au::f2b64680-d3a6-4a51-a63e-bf2cc61c3cba" userProvider="AD" userName="Williams, Belinda"/>
        <t:Progress percentComplete="0"/>
      </t:Event>
    </t:History>
  </t:Task>
  <t:Task id="{CC7EB7E2-F676-4280-A9E6-BECD5E6F1771}">
    <t:Anchor>
      <t:Comment id="1106531542"/>
    </t:Anchor>
    <t:History>
      <t:Event id="{678E091E-BD64-4CBF-A144-BE6E2BD3C9CE}" time="2026-03-26T23:33:33.763Z">
        <t:Attribution userId="S::belinda.williams3@ndis.gov.au::f2b64680-d3a6-4a51-a63e-bf2cc61c3cba" userProvider="AD" userName="Williams, Belinda"/>
        <t:Anchor>
          <t:Comment id="1106531542"/>
        </t:Anchor>
        <t:Create/>
      </t:Event>
      <t:Event id="{791F7039-98B2-4A14-B398-12390F215D4D}" time="2026-03-26T23:33:33.763Z">
        <t:Attribution userId="S::belinda.williams3@ndis.gov.au::f2b64680-d3a6-4a51-a63e-bf2cc61c3cba" userProvider="AD" userName="Williams, Belinda"/>
        <t:Anchor>
          <t:Comment id="1106531542"/>
        </t:Anchor>
        <t:Assign userId="S::Alison.Pfeiler@ndis.gov.au::390a5340-13e1-4b4e-bf79-fc0d0e792e0c" userProvider="AD" userName="Pfeiler, Alison"/>
      </t:Event>
      <t:Event id="{A61EBBCB-8B00-48C3-94EC-F594DC894CDE}" time="2026-03-26T23:33:33.763Z">
        <t:Attribution userId="S::belinda.williams3@ndis.gov.au::f2b64680-d3a6-4a51-a63e-bf2cc61c3cba" userProvider="AD" userName="Williams, Belinda"/>
        <t:Anchor>
          <t:Comment id="1106531542"/>
        </t:Anchor>
        <t:SetTitle title="@Pfeiler, Alison This question is not about exit, it's about deregistration. Providers can deregister and still support participants."/>
      </t:Event>
    </t:History>
  </t:Task>
  <t:Task id="{6E8B43AE-73ED-413D-BCC6-4625A1245A5A}">
    <t:Anchor>
      <t:Comment id="1510997145"/>
    </t:Anchor>
    <t:History>
      <t:Event id="{FC8489E5-7FEB-4FA7-AF27-838AB0258B24}" time="2026-03-25T04:51:43Z">
        <t:Attribution userId="S::belinda.williams3@ndis.gov.au::f2b64680-d3a6-4a51-a63e-bf2cc61c3cba" userProvider="AD" userName="Williams, Belinda"/>
        <t:Anchor>
          <t:Comment id="1510997145"/>
        </t:Anchor>
        <t:Create/>
      </t:Event>
      <t:Event id="{4F2FC685-90B0-406F-AFBB-737CE3375C68}" time="2026-03-25T04:51:43Z">
        <t:Attribution userId="S::belinda.williams3@ndis.gov.au::f2b64680-d3a6-4a51-a63e-bf2cc61c3cba" userProvider="AD" userName="Williams, Belinda"/>
        <t:Anchor>
          <t:Comment id="1510997145"/>
        </t:Anchor>
        <t:Assign userId="S::Alison.Pfeiler@ndis.gov.au::390a5340-13e1-4b4e-bf79-fc0d0e792e0c" userProvider="AD" userName="Pfeiler, Alison"/>
      </t:Event>
      <t:Event id="{796AFE3D-CFF4-4DF2-B084-1FF96641B800}" time="2026-03-25T04:51:43Z">
        <t:Attribution userId="S::belinda.williams3@ndis.gov.au::f2b64680-d3a6-4a51-a63e-bf2cc61c3cba" userProvider="AD" userName="Williams, Belinda"/>
        <t:Anchor>
          <t:Comment id="1510997145"/>
        </t:Anchor>
        <t:SetTitle title="@Pfeiler, Alison I don't think we specified what the hybrid would be?"/>
      </t:Event>
    </t:History>
  </t:Task>
  <t:Task id="{B9A56DC4-FE1F-415B-A8B0-24F29824ADA0}">
    <t:Anchor>
      <t:Comment id="1585320793"/>
    </t:Anchor>
    <t:History>
      <t:Event id="{3FC8A905-FE6D-4465-AAD5-D089E4BDA914}" time="2026-03-26T23:16:44.606Z">
        <t:Attribution userId="S::belinda.williams3@ndis.gov.au::f2b64680-d3a6-4a51-a63e-bf2cc61c3cba" userProvider="AD" userName="Williams, Belinda"/>
        <t:Anchor>
          <t:Comment id="1585320793"/>
        </t:Anchor>
        <t:Create/>
      </t:Event>
      <t:Event id="{E4949F4E-F7CA-4F44-A7FE-385B1C792C4A}" time="2026-03-26T23:16:44.606Z">
        <t:Attribution userId="S::belinda.williams3@ndis.gov.au::f2b64680-d3a6-4a51-a63e-bf2cc61c3cba" userProvider="AD" userName="Williams, Belinda"/>
        <t:Anchor>
          <t:Comment id="1585320793"/>
        </t:Anchor>
        <t:Assign userId="S::Alison.Pfeiler@ndis.gov.au::390a5340-13e1-4b4e-bf79-fc0d0e792e0c" userProvider="AD" userName="Pfeiler, Alison"/>
      </t:Event>
      <t:Event id="{91BF21E4-9458-4AB6-8B09-C616AD333CA8}" time="2026-03-26T23:16:44.606Z">
        <t:Attribution userId="S::belinda.williams3@ndis.gov.au::f2b64680-d3a6-4a51-a63e-bf2cc61c3cba" userProvider="AD" userName="Williams, Belinda"/>
        <t:Anchor>
          <t:Comment id="1585320793"/>
        </t:Anchor>
        <t:SetTitle title="@Pfeiler, Alison Of the 294 SCCP respondents were given an opportunity to respond to this question (remembering only SCCP could respond to this question in the survey): 0–5%: 2 (0.7%) 5–10%: 35 (11.9%) 10–15%: 65 (22.1%) &gt;15%: 101 (34.4%) No Q60 …"/>
      </t:Event>
    </t:History>
  </t:Task>
</t:Tasks>
</file>

<file path=word/theme/theme1.xml><?xml version="1.0" encoding="utf-8"?>
<a:theme xmlns:a="http://schemas.openxmlformats.org/drawingml/2006/main" xmlns:thm15="http://schemas.microsoft.com/office/thememl/2012/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www.imanage.com/work/xmlschema">
  <documentid>DOCUMENTS!69257857.3</documentid>
  <senderid>CAUSEL</senderid>
  <senderemail>LAUREN.CAUSER@AGS.GOV.AU</senderemail>
  <lastmodified>2026-05-28T16:52:00.0000000+10:00</lastmodified>
  <database>DOCUMENTS</database>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B0F5B4545B074B9BB20E86B31A01BD" ma:contentTypeVersion="15" ma:contentTypeDescription="Create a new document." ma:contentTypeScope="" ma:versionID="be66d04a5e26bfb61f3a2d9a715b7183">
  <xsd:schema xmlns:xsd="http://www.w3.org/2001/XMLSchema" xmlns:xs="http://www.w3.org/2001/XMLSchema" xmlns:p="http://schemas.microsoft.com/office/2006/metadata/properties" xmlns:ns2="3bae013f-344a-4c85-9e73-44924942f49a" xmlns:ns3="f342fd56-cf46-4005-a110-775bcaf991f5" targetNamespace="http://schemas.microsoft.com/office/2006/metadata/properties" ma:root="true" ma:fieldsID="ed57bed0d2341a8027e1e8996c057a80" ns2:_="" ns3:_="">
    <xsd:import namespace="3bae013f-344a-4c85-9e73-44924942f49a"/>
    <xsd:import namespace="f342fd56-cf46-4005-a110-775bcaf991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e013f-344a-4c85-9e73-44924942f4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 ma:index="20" nillable="true" ma:displayName="Date" ma:default="[today]"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42fd56-cf46-4005-a110-775bcaf991f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905918-e842-4795-a889-9ef98f152290}" ma:internalName="TaxCatchAll" ma:showField="CatchAllData" ma:web="f342fd56-cf46-4005-a110-775bcaf99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342fd56-cf46-4005-a110-775bcaf991f5" xsi:nil="true"/>
    <lcf76f155ced4ddcb4097134ff3c332f xmlns="3bae013f-344a-4c85-9e73-44924942f49a">
      <Terms xmlns="http://schemas.microsoft.com/office/infopath/2007/PartnerControls"/>
    </lcf76f155ced4ddcb4097134ff3c332f>
    <Date xmlns="3bae013f-344a-4c85-9e73-44924942f49a">2026-06-16T07:20:08+00:00</Dat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6AF1B606-7BD3-4B0B-860A-06370037D8FF}">
  <ds:schemaRefs>
    <ds:schemaRef ds:uri="http://www.imanage.com/work/xmlschema"/>
  </ds:schemaRefs>
</ds:datastoreItem>
</file>

<file path=customXml/itemProps3.xml><?xml version="1.0" encoding="utf-8"?>
<ds:datastoreItem xmlns:ds="http://schemas.openxmlformats.org/officeDocument/2006/customXml" ds:itemID="{93107824-FBB8-41F0-ACEB-F7B615738BEC}"/>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82c079e0-a3d7-461b-a747-3443c4b3f471"/>
    <ds:schemaRef ds:uri="bd001574-b8b4-4d20-a997-fad47af0f4b0"/>
  </ds:schemaRefs>
</ds:datastoreItem>
</file>

<file path=customXml/itemProps5.xml><?xml version="1.0" encoding="utf-8"?>
<ds:datastoreItem xmlns:ds="http://schemas.openxmlformats.org/officeDocument/2006/customXml" ds:itemID="{89A69E3B-2E69-4E76-90FF-9674736F98CA}">
  <ds:schemaRefs>
    <ds:schemaRef ds:uri="http://schemas.microsoft.com/sharepoint/v3/contenttype/forms"/>
  </ds:schemaRefs>
</ds:datastoreItem>
</file>

<file path=docMetadata/LabelInfo.xml><?xml version="1.0" encoding="utf-8"?>
<clbl:labelList xmlns:clbl="http://schemas.microsoft.com/office/2020/mipLabelMetadata">
  <clbl:label id="{f0de9133-d75d-4f5a-a08e-0a9f079bd7f3}" enabled="1" method="Privileged" siteId="{5d2dd196-0646-4419-8922-440f7d464cf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NDIS report template - branded purple.dotx</ap:Template>
  <ap:Application>Microsoft Word for the web</ap:Application>
  <ap:DocSecurity>0</ap:DocSecurity>
  <ap:ScaleCrop>false</ap:ScaleCrop>
  <ap:Company>FaHCSIA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Annual Pricing Review for 2026–27 prices</dc:title>
  <dc:subject/>
  <dc:creator>The National Disability Insurance Agency (NDIA)</dc:creator>
  <keywords/>
  <dc:description/>
  <lastModifiedBy>Melendez, Mike</lastModifiedBy>
  <revision>6</revision>
  <lastPrinted>2026-06-04T01:02:00.0000000Z</lastPrinted>
  <dcterms:created xsi:type="dcterms:W3CDTF">2026-06-16T05:26:00.0000000Z</dcterms:created>
  <dcterms:modified xsi:type="dcterms:W3CDTF">2026-06-18T02:27:02.3614113Z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0x01010033B0F5B4545B074B9BB20E86B31A01BD</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2023-02-13T04:53:41Z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9b9d9541-d3b1-4b4c-9833-1ea6362b69d8</vt:lpwstr>
  </property>
  <property fmtid="{D5CDD505-2E9C-101B-9397-08002B2CF9AE}" pid="26" name="MSIP_Label_2b83f8d7-e91f-4eee-a336-52a8061c0503_ContentBits">
    <vt:lpwstr>0</vt:lpwstr>
  </property>
  <property fmtid="{D5CDD505-2E9C-101B-9397-08002B2CF9AE}" pid="27" name="MediaServiceImageTags">
    <vt:lpwstr/>
  </property>
  <property fmtid="{D5CDD505-2E9C-101B-9397-08002B2CF9AE}" pid="28" name="docLang">
    <vt:lpwstr>en</vt:lpwstr>
  </property>
  <property fmtid="{D5CDD505-2E9C-101B-9397-08002B2CF9AE}" pid="29" name="checkforsharepointfields">
    <vt:lpwstr>True</vt:lpwstr>
  </property>
  <property fmtid="{D5CDD505-2E9C-101B-9397-08002B2CF9AE}" pid="30" name="Template Filename">
    <vt:lpwstr/>
  </property>
</Properties>
</file>