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themeColor="background1"/>
  <w:body>
    <w:p w14:paraId="655FE03B" w14:textId="5167481E" w:rsidR="00E77043" w:rsidRDefault="00B052F0" w:rsidP="00E77043">
      <w:pPr>
        <w:pStyle w:val="Heading1"/>
        <w:spacing w:before="2520" w:after="600"/>
        <w:rPr>
          <w:noProof/>
        </w:rPr>
      </w:pPr>
      <w:bookmarkStart w:id="0" w:name="_Toc122689907"/>
      <w:bookmarkStart w:id="1" w:name="_Toc157528057"/>
      <w:bookmarkStart w:id="2" w:name="_Toc157528252"/>
      <w:bookmarkStart w:id="3" w:name="_Toc157529519"/>
      <w:bookmarkStart w:id="4" w:name="_Toc157529657"/>
      <w:bookmarkStart w:id="5" w:name="_Toc157679812"/>
      <w:bookmarkStart w:id="6" w:name="_Toc157682116"/>
      <w:bookmarkStart w:id="7" w:name="_Toc201845443"/>
      <w:r w:rsidRPr="00313BFF">
        <w:rPr>
          <w:noProof/>
        </w:rPr>
        <w:drawing>
          <wp:anchor distT="0" distB="0" distL="114300" distR="114300" simplePos="0" relativeHeight="251660290" behindDoc="1" locked="1" layoutInCell="1" allowOverlap="1" wp14:anchorId="4328A6BB" wp14:editId="471AA5E3">
            <wp:simplePos x="0" y="0"/>
            <wp:positionH relativeFrom="page">
              <wp:align>left</wp:align>
            </wp:positionH>
            <wp:positionV relativeFrom="page">
              <wp:align>top</wp:align>
            </wp:positionV>
            <wp:extent cx="7552800" cy="10684800"/>
            <wp:effectExtent l="0" t="0" r="0" b="0"/>
            <wp:wrapNone/>
            <wp:docPr id="333670025" name="Picture 3336700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7267" name="Picture 4296726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page">
              <wp14:pctWidth>0</wp14:pctWidth>
            </wp14:sizeRelH>
            <wp14:sizeRelV relativeFrom="page">
              <wp14:pctHeight>0</wp14:pctHeight>
            </wp14:sizeRelV>
          </wp:anchor>
        </w:drawing>
      </w:r>
      <w:bookmarkEnd w:id="0"/>
      <w:r w:rsidR="006D779C">
        <w:rPr>
          <w:noProof/>
        </w:rPr>
        <w:t>Compliance and Enforc</w:t>
      </w:r>
      <w:r w:rsidR="000479F1">
        <w:rPr>
          <w:noProof/>
        </w:rPr>
        <w:t>e</w:t>
      </w:r>
      <w:r w:rsidR="006D779C">
        <w:rPr>
          <w:noProof/>
        </w:rPr>
        <w:t>ment Framework</w:t>
      </w:r>
    </w:p>
    <w:p w14:paraId="0383A0A3" w14:textId="5A0B5DC6" w:rsidR="00901C0E" w:rsidRDefault="00901C0E" w:rsidP="00901C0E">
      <w:pPr>
        <w:rPr>
          <w:b/>
          <w:bCs/>
          <w:color w:val="F9F9F9" w:themeColor="background1"/>
        </w:rPr>
      </w:pPr>
      <w:r w:rsidRPr="00901C0E">
        <w:rPr>
          <w:b/>
          <w:bCs/>
          <w:color w:val="F9F9F9" w:themeColor="background1"/>
        </w:rPr>
        <w:t>January 2026</w:t>
      </w:r>
    </w:p>
    <w:p w14:paraId="2F824F91" w14:textId="7AE5D396" w:rsidR="0072073E" w:rsidRDefault="0072073E" w:rsidP="00901C0E">
      <w:pPr>
        <w:rPr>
          <w:b/>
          <w:bCs/>
          <w:color w:val="F9F9F9" w:themeColor="background1"/>
        </w:rPr>
      </w:pPr>
      <w:r>
        <w:rPr>
          <w:b/>
          <w:bCs/>
          <w:color w:val="F9F9F9" w:themeColor="background1"/>
        </w:rPr>
        <w:br w:type="page"/>
      </w:r>
    </w:p>
    <w:p w14:paraId="0074AD08" w14:textId="52387577" w:rsidR="00AA07FC" w:rsidRDefault="005F5CE9" w:rsidP="000824DE">
      <w:pPr>
        <w:pStyle w:val="Heading2"/>
        <w:numPr>
          <w:ilvl w:val="0"/>
          <w:numId w:val="0"/>
        </w:numPr>
        <w:ind w:left="720" w:hanging="720"/>
      </w:pPr>
      <w:bookmarkStart w:id="8" w:name="_Toc227059916"/>
      <w:bookmarkStart w:id="9" w:name="_Toc227061350"/>
      <w:bookmarkStart w:id="10" w:name="_Toc227061838"/>
      <w:r w:rsidRPr="00965145">
        <w:lastRenderedPageBreak/>
        <w:t>Contents</w:t>
      </w:r>
      <w:bookmarkEnd w:id="1"/>
      <w:bookmarkEnd w:id="2"/>
      <w:bookmarkEnd w:id="3"/>
      <w:bookmarkEnd w:id="4"/>
      <w:bookmarkEnd w:id="5"/>
      <w:bookmarkEnd w:id="6"/>
      <w:bookmarkEnd w:id="7"/>
      <w:bookmarkEnd w:id="8"/>
      <w:bookmarkEnd w:id="9"/>
      <w:bookmarkEnd w:id="10"/>
    </w:p>
    <w:p w14:paraId="7C530692" w14:textId="5339E968" w:rsidR="008805AB" w:rsidRDefault="00AA07FC">
      <w:pPr>
        <w:pStyle w:val="TOC1"/>
        <w:rPr>
          <w:rFonts w:eastAsiaTheme="minorEastAsia" w:cstheme="minorBidi"/>
          <w:iCs w:val="0"/>
          <w:noProof/>
          <w:kern w:val="2"/>
          <w:szCs w:val="24"/>
          <w14:ligatures w14:val="standardContextual"/>
        </w:rPr>
      </w:pPr>
      <w:r>
        <w:fldChar w:fldCharType="begin"/>
      </w:r>
      <w:r>
        <w:instrText xml:space="preserve"> TOC \h \z \t "Heading 2,1,Heading 3,2,Heading 4,3" </w:instrText>
      </w:r>
      <w:r>
        <w:fldChar w:fldCharType="separate"/>
      </w:r>
      <w:hyperlink w:anchor="_Toc227061839" w:history="1">
        <w:r w:rsidR="008805AB" w:rsidRPr="00F575E6">
          <w:rPr>
            <w:rStyle w:val="Hyperlink"/>
            <w:noProof/>
          </w:rPr>
          <w:t>1.</w:t>
        </w:r>
        <w:r w:rsidR="008805AB">
          <w:rPr>
            <w:rFonts w:eastAsiaTheme="minorEastAsia" w:cstheme="minorBidi"/>
            <w:iCs w:val="0"/>
            <w:noProof/>
            <w:kern w:val="2"/>
            <w:szCs w:val="24"/>
            <w14:ligatures w14:val="standardContextual"/>
          </w:rPr>
          <w:tab/>
        </w:r>
        <w:r w:rsidR="008805AB" w:rsidRPr="00F575E6">
          <w:rPr>
            <w:rStyle w:val="Hyperlink"/>
            <w:noProof/>
          </w:rPr>
          <w:t>Compliance and Enforcement Framework</w:t>
        </w:r>
        <w:r w:rsidR="008805AB">
          <w:rPr>
            <w:noProof/>
            <w:webHidden/>
          </w:rPr>
          <w:tab/>
        </w:r>
        <w:r w:rsidR="008805AB">
          <w:rPr>
            <w:noProof/>
            <w:webHidden/>
          </w:rPr>
          <w:fldChar w:fldCharType="begin"/>
        </w:r>
        <w:r w:rsidR="008805AB">
          <w:rPr>
            <w:noProof/>
            <w:webHidden/>
          </w:rPr>
          <w:instrText xml:space="preserve"> PAGEREF _Toc227061839 \h </w:instrText>
        </w:r>
        <w:r w:rsidR="008805AB">
          <w:rPr>
            <w:noProof/>
            <w:webHidden/>
          </w:rPr>
        </w:r>
        <w:r w:rsidR="008805AB">
          <w:rPr>
            <w:noProof/>
            <w:webHidden/>
          </w:rPr>
          <w:fldChar w:fldCharType="separate"/>
        </w:r>
        <w:r w:rsidR="003F7620">
          <w:rPr>
            <w:noProof/>
            <w:webHidden/>
          </w:rPr>
          <w:t>4</w:t>
        </w:r>
        <w:r w:rsidR="008805AB">
          <w:rPr>
            <w:noProof/>
            <w:webHidden/>
          </w:rPr>
          <w:fldChar w:fldCharType="end"/>
        </w:r>
      </w:hyperlink>
    </w:p>
    <w:p w14:paraId="182FFCD0" w14:textId="08A4CDE4" w:rsidR="008805AB" w:rsidRDefault="008805AB">
      <w:pPr>
        <w:pStyle w:val="TOC2"/>
        <w:rPr>
          <w:rFonts w:eastAsiaTheme="minorEastAsia" w:cstheme="minorBidi"/>
          <w:iCs w:val="0"/>
          <w:kern w:val="2"/>
          <w:szCs w:val="24"/>
          <w14:ligatures w14:val="standardContextual"/>
        </w:rPr>
      </w:pPr>
      <w:hyperlink w:anchor="_Toc227061840" w:history="1">
        <w:r w:rsidRPr="00F575E6">
          <w:rPr>
            <w:rStyle w:val="Hyperlink"/>
          </w:rPr>
          <w:t>1.1</w:t>
        </w:r>
        <w:r>
          <w:rPr>
            <w:rFonts w:eastAsiaTheme="minorEastAsia" w:cstheme="minorBidi"/>
            <w:iCs w:val="0"/>
            <w:kern w:val="2"/>
            <w:szCs w:val="24"/>
            <w14:ligatures w14:val="standardContextual"/>
          </w:rPr>
          <w:tab/>
        </w:r>
        <w:r w:rsidRPr="00F575E6">
          <w:rPr>
            <w:rStyle w:val="Hyperlink"/>
          </w:rPr>
          <w:t>Purpose</w:t>
        </w:r>
        <w:r>
          <w:rPr>
            <w:webHidden/>
          </w:rPr>
          <w:tab/>
        </w:r>
        <w:r>
          <w:rPr>
            <w:webHidden/>
          </w:rPr>
          <w:fldChar w:fldCharType="begin"/>
        </w:r>
        <w:r>
          <w:rPr>
            <w:webHidden/>
          </w:rPr>
          <w:instrText xml:space="preserve"> PAGEREF _Toc227061840 \h </w:instrText>
        </w:r>
        <w:r>
          <w:rPr>
            <w:webHidden/>
          </w:rPr>
        </w:r>
        <w:r>
          <w:rPr>
            <w:webHidden/>
          </w:rPr>
          <w:fldChar w:fldCharType="separate"/>
        </w:r>
        <w:r w:rsidR="003F7620">
          <w:rPr>
            <w:webHidden/>
          </w:rPr>
          <w:t>5</w:t>
        </w:r>
        <w:r>
          <w:rPr>
            <w:webHidden/>
          </w:rPr>
          <w:fldChar w:fldCharType="end"/>
        </w:r>
      </w:hyperlink>
    </w:p>
    <w:p w14:paraId="04026F17" w14:textId="5569F8AF" w:rsidR="008805AB" w:rsidRDefault="008805AB">
      <w:pPr>
        <w:pStyle w:val="TOC2"/>
        <w:rPr>
          <w:rFonts w:eastAsiaTheme="minorEastAsia" w:cstheme="minorBidi"/>
          <w:iCs w:val="0"/>
          <w:kern w:val="2"/>
          <w:szCs w:val="24"/>
          <w14:ligatures w14:val="standardContextual"/>
        </w:rPr>
      </w:pPr>
      <w:hyperlink w:anchor="_Toc227061841" w:history="1">
        <w:r w:rsidRPr="00F575E6">
          <w:rPr>
            <w:rStyle w:val="Hyperlink"/>
          </w:rPr>
          <w:t>1.2</w:t>
        </w:r>
        <w:r>
          <w:rPr>
            <w:rFonts w:eastAsiaTheme="minorEastAsia" w:cstheme="minorBidi"/>
            <w:iCs w:val="0"/>
            <w:kern w:val="2"/>
            <w:szCs w:val="24"/>
            <w14:ligatures w14:val="standardContextual"/>
          </w:rPr>
          <w:tab/>
        </w:r>
        <w:r w:rsidRPr="00F575E6">
          <w:rPr>
            <w:rStyle w:val="Hyperlink"/>
          </w:rPr>
          <w:t>Scheme requirements</w:t>
        </w:r>
        <w:r>
          <w:rPr>
            <w:webHidden/>
          </w:rPr>
          <w:tab/>
        </w:r>
        <w:r>
          <w:rPr>
            <w:webHidden/>
          </w:rPr>
          <w:fldChar w:fldCharType="begin"/>
        </w:r>
        <w:r>
          <w:rPr>
            <w:webHidden/>
          </w:rPr>
          <w:instrText xml:space="preserve"> PAGEREF _Toc227061841 \h </w:instrText>
        </w:r>
        <w:r>
          <w:rPr>
            <w:webHidden/>
          </w:rPr>
        </w:r>
        <w:r>
          <w:rPr>
            <w:webHidden/>
          </w:rPr>
          <w:fldChar w:fldCharType="separate"/>
        </w:r>
        <w:r w:rsidR="003F7620">
          <w:rPr>
            <w:webHidden/>
          </w:rPr>
          <w:t>5</w:t>
        </w:r>
        <w:r>
          <w:rPr>
            <w:webHidden/>
          </w:rPr>
          <w:fldChar w:fldCharType="end"/>
        </w:r>
      </w:hyperlink>
    </w:p>
    <w:p w14:paraId="6C6C6952" w14:textId="1949D4BC" w:rsidR="008805AB" w:rsidRDefault="008805AB">
      <w:pPr>
        <w:pStyle w:val="TOC2"/>
        <w:rPr>
          <w:rFonts w:eastAsiaTheme="minorEastAsia" w:cstheme="minorBidi"/>
          <w:iCs w:val="0"/>
          <w:kern w:val="2"/>
          <w:szCs w:val="24"/>
          <w14:ligatures w14:val="standardContextual"/>
        </w:rPr>
      </w:pPr>
      <w:hyperlink w:anchor="_Toc227061842" w:history="1">
        <w:r w:rsidRPr="00F575E6">
          <w:rPr>
            <w:rStyle w:val="Hyperlink"/>
          </w:rPr>
          <w:t>1.3</w:t>
        </w:r>
        <w:r>
          <w:rPr>
            <w:rFonts w:eastAsiaTheme="minorEastAsia" w:cstheme="minorBidi"/>
            <w:iCs w:val="0"/>
            <w:kern w:val="2"/>
            <w:szCs w:val="24"/>
            <w14:ligatures w14:val="standardContextual"/>
          </w:rPr>
          <w:tab/>
        </w:r>
        <w:r w:rsidRPr="00F575E6">
          <w:rPr>
            <w:rStyle w:val="Hyperlink"/>
          </w:rPr>
          <w:t>Legislative requirements</w:t>
        </w:r>
        <w:r>
          <w:rPr>
            <w:webHidden/>
          </w:rPr>
          <w:tab/>
        </w:r>
        <w:r>
          <w:rPr>
            <w:webHidden/>
          </w:rPr>
          <w:fldChar w:fldCharType="begin"/>
        </w:r>
        <w:r>
          <w:rPr>
            <w:webHidden/>
          </w:rPr>
          <w:instrText xml:space="preserve"> PAGEREF _Toc227061842 \h </w:instrText>
        </w:r>
        <w:r>
          <w:rPr>
            <w:webHidden/>
          </w:rPr>
        </w:r>
        <w:r>
          <w:rPr>
            <w:webHidden/>
          </w:rPr>
          <w:fldChar w:fldCharType="separate"/>
        </w:r>
        <w:r w:rsidR="003F7620">
          <w:rPr>
            <w:webHidden/>
          </w:rPr>
          <w:t>5</w:t>
        </w:r>
        <w:r>
          <w:rPr>
            <w:webHidden/>
          </w:rPr>
          <w:fldChar w:fldCharType="end"/>
        </w:r>
      </w:hyperlink>
    </w:p>
    <w:p w14:paraId="16114FD3" w14:textId="1431223E" w:rsidR="008805AB" w:rsidRDefault="008805AB">
      <w:pPr>
        <w:pStyle w:val="TOC1"/>
        <w:rPr>
          <w:rFonts w:eastAsiaTheme="minorEastAsia" w:cstheme="minorBidi"/>
          <w:iCs w:val="0"/>
          <w:noProof/>
          <w:kern w:val="2"/>
          <w:szCs w:val="24"/>
          <w14:ligatures w14:val="standardContextual"/>
        </w:rPr>
      </w:pPr>
      <w:hyperlink w:anchor="_Toc227061843" w:history="1">
        <w:r w:rsidRPr="00F575E6">
          <w:rPr>
            <w:rStyle w:val="Hyperlink"/>
            <w:noProof/>
          </w:rPr>
          <w:t>2.</w:t>
        </w:r>
        <w:r>
          <w:rPr>
            <w:rFonts w:eastAsiaTheme="minorEastAsia" w:cstheme="minorBidi"/>
            <w:iCs w:val="0"/>
            <w:noProof/>
            <w:kern w:val="2"/>
            <w:szCs w:val="24"/>
            <w14:ligatures w14:val="standardContextual"/>
          </w:rPr>
          <w:tab/>
        </w:r>
        <w:r w:rsidRPr="00F575E6">
          <w:rPr>
            <w:rStyle w:val="Hyperlink"/>
            <w:noProof/>
          </w:rPr>
          <w:t>Our approach to compliance and enforcement</w:t>
        </w:r>
        <w:r>
          <w:rPr>
            <w:noProof/>
            <w:webHidden/>
          </w:rPr>
          <w:tab/>
        </w:r>
        <w:r>
          <w:rPr>
            <w:noProof/>
            <w:webHidden/>
          </w:rPr>
          <w:fldChar w:fldCharType="begin"/>
        </w:r>
        <w:r>
          <w:rPr>
            <w:noProof/>
            <w:webHidden/>
          </w:rPr>
          <w:instrText xml:space="preserve"> PAGEREF _Toc227061843 \h </w:instrText>
        </w:r>
        <w:r>
          <w:rPr>
            <w:noProof/>
            <w:webHidden/>
          </w:rPr>
        </w:r>
        <w:r>
          <w:rPr>
            <w:noProof/>
            <w:webHidden/>
          </w:rPr>
          <w:fldChar w:fldCharType="separate"/>
        </w:r>
        <w:r w:rsidR="003F7620">
          <w:rPr>
            <w:noProof/>
            <w:webHidden/>
          </w:rPr>
          <w:t>6</w:t>
        </w:r>
        <w:r>
          <w:rPr>
            <w:noProof/>
            <w:webHidden/>
          </w:rPr>
          <w:fldChar w:fldCharType="end"/>
        </w:r>
      </w:hyperlink>
    </w:p>
    <w:p w14:paraId="31300DD2" w14:textId="32E4DB43" w:rsidR="008805AB" w:rsidRDefault="008805AB">
      <w:pPr>
        <w:pStyle w:val="TOC2"/>
        <w:rPr>
          <w:rFonts w:eastAsiaTheme="minorEastAsia" w:cstheme="minorBidi"/>
          <w:iCs w:val="0"/>
          <w:kern w:val="2"/>
          <w:szCs w:val="24"/>
          <w14:ligatures w14:val="standardContextual"/>
        </w:rPr>
      </w:pPr>
      <w:hyperlink w:anchor="_Toc227061844" w:history="1">
        <w:r w:rsidRPr="00F575E6">
          <w:rPr>
            <w:rStyle w:val="Hyperlink"/>
          </w:rPr>
          <w:t>Table 1</w:t>
        </w:r>
        <w:r>
          <w:rPr>
            <w:webHidden/>
          </w:rPr>
          <w:tab/>
        </w:r>
        <w:r>
          <w:rPr>
            <w:webHidden/>
          </w:rPr>
          <w:fldChar w:fldCharType="begin"/>
        </w:r>
        <w:r>
          <w:rPr>
            <w:webHidden/>
          </w:rPr>
          <w:instrText xml:space="preserve"> PAGEREF _Toc227061844 \h </w:instrText>
        </w:r>
        <w:r>
          <w:rPr>
            <w:webHidden/>
          </w:rPr>
        </w:r>
        <w:r>
          <w:rPr>
            <w:webHidden/>
          </w:rPr>
          <w:fldChar w:fldCharType="separate"/>
        </w:r>
        <w:r w:rsidR="003F7620">
          <w:rPr>
            <w:webHidden/>
          </w:rPr>
          <w:t>6</w:t>
        </w:r>
        <w:r>
          <w:rPr>
            <w:webHidden/>
          </w:rPr>
          <w:fldChar w:fldCharType="end"/>
        </w:r>
      </w:hyperlink>
    </w:p>
    <w:p w14:paraId="1B8F05A9" w14:textId="264B5807" w:rsidR="008805AB" w:rsidRDefault="008805AB">
      <w:pPr>
        <w:pStyle w:val="TOC1"/>
        <w:rPr>
          <w:rFonts w:eastAsiaTheme="minorEastAsia" w:cstheme="minorBidi"/>
          <w:iCs w:val="0"/>
          <w:noProof/>
          <w:kern w:val="2"/>
          <w:szCs w:val="24"/>
          <w14:ligatures w14:val="standardContextual"/>
        </w:rPr>
      </w:pPr>
      <w:hyperlink w:anchor="_Toc227061845" w:history="1">
        <w:r w:rsidRPr="00F575E6">
          <w:rPr>
            <w:rStyle w:val="Hyperlink"/>
            <w:noProof/>
          </w:rPr>
          <w:t>3.</w:t>
        </w:r>
        <w:r>
          <w:rPr>
            <w:rFonts w:eastAsiaTheme="minorEastAsia" w:cstheme="minorBidi"/>
            <w:iCs w:val="0"/>
            <w:noProof/>
            <w:kern w:val="2"/>
            <w:szCs w:val="24"/>
            <w14:ligatures w14:val="standardContextual"/>
          </w:rPr>
          <w:tab/>
        </w:r>
        <w:r w:rsidRPr="00F575E6">
          <w:rPr>
            <w:rStyle w:val="Hyperlink"/>
            <w:noProof/>
          </w:rPr>
          <w:t>Our compliance activities</w:t>
        </w:r>
        <w:r>
          <w:rPr>
            <w:noProof/>
            <w:webHidden/>
          </w:rPr>
          <w:tab/>
        </w:r>
        <w:r>
          <w:rPr>
            <w:noProof/>
            <w:webHidden/>
          </w:rPr>
          <w:fldChar w:fldCharType="begin"/>
        </w:r>
        <w:r>
          <w:rPr>
            <w:noProof/>
            <w:webHidden/>
          </w:rPr>
          <w:instrText xml:space="preserve"> PAGEREF _Toc227061845 \h </w:instrText>
        </w:r>
        <w:r>
          <w:rPr>
            <w:noProof/>
            <w:webHidden/>
          </w:rPr>
        </w:r>
        <w:r>
          <w:rPr>
            <w:noProof/>
            <w:webHidden/>
          </w:rPr>
          <w:fldChar w:fldCharType="separate"/>
        </w:r>
        <w:r w:rsidR="003F7620">
          <w:rPr>
            <w:noProof/>
            <w:webHidden/>
          </w:rPr>
          <w:t>8</w:t>
        </w:r>
        <w:r>
          <w:rPr>
            <w:noProof/>
            <w:webHidden/>
          </w:rPr>
          <w:fldChar w:fldCharType="end"/>
        </w:r>
      </w:hyperlink>
    </w:p>
    <w:p w14:paraId="58D8EC1A" w14:textId="5358E1BA" w:rsidR="008805AB" w:rsidRDefault="008805AB">
      <w:pPr>
        <w:pStyle w:val="TOC2"/>
        <w:rPr>
          <w:rFonts w:eastAsiaTheme="minorEastAsia" w:cstheme="minorBidi"/>
          <w:iCs w:val="0"/>
          <w:kern w:val="2"/>
          <w:szCs w:val="24"/>
          <w14:ligatures w14:val="standardContextual"/>
        </w:rPr>
      </w:pPr>
      <w:hyperlink w:anchor="_Toc227061846" w:history="1">
        <w:r w:rsidRPr="00F575E6">
          <w:rPr>
            <w:rStyle w:val="Hyperlink"/>
          </w:rPr>
          <w:t>3.1</w:t>
        </w:r>
        <w:r>
          <w:rPr>
            <w:rFonts w:eastAsiaTheme="minorEastAsia" w:cstheme="minorBidi"/>
            <w:iCs w:val="0"/>
            <w:kern w:val="2"/>
            <w:szCs w:val="24"/>
            <w14:ligatures w14:val="standardContextual"/>
          </w:rPr>
          <w:tab/>
        </w:r>
        <w:r w:rsidRPr="00F575E6">
          <w:rPr>
            <w:rStyle w:val="Hyperlink"/>
          </w:rPr>
          <w:t>Prevention</w:t>
        </w:r>
        <w:r>
          <w:rPr>
            <w:webHidden/>
          </w:rPr>
          <w:tab/>
        </w:r>
        <w:r>
          <w:rPr>
            <w:webHidden/>
          </w:rPr>
          <w:fldChar w:fldCharType="begin"/>
        </w:r>
        <w:r>
          <w:rPr>
            <w:webHidden/>
          </w:rPr>
          <w:instrText xml:space="preserve"> PAGEREF _Toc227061846 \h </w:instrText>
        </w:r>
        <w:r>
          <w:rPr>
            <w:webHidden/>
          </w:rPr>
        </w:r>
        <w:r>
          <w:rPr>
            <w:webHidden/>
          </w:rPr>
          <w:fldChar w:fldCharType="separate"/>
        </w:r>
        <w:r w:rsidR="003F7620">
          <w:rPr>
            <w:webHidden/>
          </w:rPr>
          <w:t>8</w:t>
        </w:r>
        <w:r>
          <w:rPr>
            <w:webHidden/>
          </w:rPr>
          <w:fldChar w:fldCharType="end"/>
        </w:r>
      </w:hyperlink>
    </w:p>
    <w:p w14:paraId="14E674C5" w14:textId="756287DC" w:rsidR="008805AB" w:rsidRDefault="008805AB">
      <w:pPr>
        <w:pStyle w:val="TOC2"/>
        <w:rPr>
          <w:rFonts w:eastAsiaTheme="minorEastAsia" w:cstheme="minorBidi"/>
          <w:iCs w:val="0"/>
          <w:kern w:val="2"/>
          <w:szCs w:val="24"/>
          <w14:ligatures w14:val="standardContextual"/>
        </w:rPr>
      </w:pPr>
      <w:hyperlink w:anchor="_Toc227061847" w:history="1">
        <w:r w:rsidRPr="00F575E6">
          <w:rPr>
            <w:rStyle w:val="Hyperlink"/>
          </w:rPr>
          <w:t>3.2</w:t>
        </w:r>
        <w:r>
          <w:rPr>
            <w:rFonts w:eastAsiaTheme="minorEastAsia" w:cstheme="minorBidi"/>
            <w:iCs w:val="0"/>
            <w:kern w:val="2"/>
            <w:szCs w:val="24"/>
            <w14:ligatures w14:val="standardContextual"/>
          </w:rPr>
          <w:tab/>
        </w:r>
        <w:r w:rsidRPr="00F575E6">
          <w:rPr>
            <w:rStyle w:val="Hyperlink"/>
          </w:rPr>
          <w:t>Detection</w:t>
        </w:r>
        <w:r>
          <w:rPr>
            <w:webHidden/>
          </w:rPr>
          <w:tab/>
        </w:r>
        <w:r>
          <w:rPr>
            <w:webHidden/>
          </w:rPr>
          <w:fldChar w:fldCharType="begin"/>
        </w:r>
        <w:r>
          <w:rPr>
            <w:webHidden/>
          </w:rPr>
          <w:instrText xml:space="preserve"> PAGEREF _Toc227061847 \h </w:instrText>
        </w:r>
        <w:r>
          <w:rPr>
            <w:webHidden/>
          </w:rPr>
        </w:r>
        <w:r>
          <w:rPr>
            <w:webHidden/>
          </w:rPr>
          <w:fldChar w:fldCharType="separate"/>
        </w:r>
        <w:r w:rsidR="003F7620">
          <w:rPr>
            <w:webHidden/>
          </w:rPr>
          <w:t>9</w:t>
        </w:r>
        <w:r>
          <w:rPr>
            <w:webHidden/>
          </w:rPr>
          <w:fldChar w:fldCharType="end"/>
        </w:r>
      </w:hyperlink>
    </w:p>
    <w:p w14:paraId="681A5C71" w14:textId="6F53AC18" w:rsidR="008805AB" w:rsidRDefault="008805AB">
      <w:pPr>
        <w:pStyle w:val="TOC2"/>
        <w:rPr>
          <w:rFonts w:eastAsiaTheme="minorEastAsia" w:cstheme="minorBidi"/>
          <w:iCs w:val="0"/>
          <w:kern w:val="2"/>
          <w:szCs w:val="24"/>
          <w14:ligatures w14:val="standardContextual"/>
        </w:rPr>
      </w:pPr>
      <w:hyperlink w:anchor="_Toc227061848" w:history="1">
        <w:r w:rsidRPr="00F575E6">
          <w:rPr>
            <w:rStyle w:val="Hyperlink"/>
          </w:rPr>
          <w:t>3.3</w:t>
        </w:r>
        <w:r>
          <w:rPr>
            <w:rFonts w:eastAsiaTheme="minorEastAsia" w:cstheme="minorBidi"/>
            <w:iCs w:val="0"/>
            <w:kern w:val="2"/>
            <w:szCs w:val="24"/>
            <w14:ligatures w14:val="standardContextual"/>
          </w:rPr>
          <w:tab/>
        </w:r>
        <w:r w:rsidRPr="00F575E6">
          <w:rPr>
            <w:rStyle w:val="Hyperlink"/>
          </w:rPr>
          <w:t>Investigation</w:t>
        </w:r>
        <w:r>
          <w:rPr>
            <w:webHidden/>
          </w:rPr>
          <w:tab/>
        </w:r>
        <w:r>
          <w:rPr>
            <w:webHidden/>
          </w:rPr>
          <w:fldChar w:fldCharType="begin"/>
        </w:r>
        <w:r>
          <w:rPr>
            <w:webHidden/>
          </w:rPr>
          <w:instrText xml:space="preserve"> PAGEREF _Toc227061848 \h </w:instrText>
        </w:r>
        <w:r>
          <w:rPr>
            <w:webHidden/>
          </w:rPr>
        </w:r>
        <w:r>
          <w:rPr>
            <w:webHidden/>
          </w:rPr>
          <w:fldChar w:fldCharType="separate"/>
        </w:r>
        <w:r w:rsidR="003F7620">
          <w:rPr>
            <w:webHidden/>
          </w:rPr>
          <w:t>9</w:t>
        </w:r>
        <w:r>
          <w:rPr>
            <w:webHidden/>
          </w:rPr>
          <w:fldChar w:fldCharType="end"/>
        </w:r>
      </w:hyperlink>
    </w:p>
    <w:p w14:paraId="565941B4" w14:textId="6567C23E" w:rsidR="008805AB" w:rsidRDefault="008805AB">
      <w:pPr>
        <w:pStyle w:val="TOC2"/>
        <w:rPr>
          <w:rFonts w:eastAsiaTheme="minorEastAsia" w:cstheme="minorBidi"/>
          <w:iCs w:val="0"/>
          <w:kern w:val="2"/>
          <w:szCs w:val="24"/>
          <w14:ligatures w14:val="standardContextual"/>
        </w:rPr>
      </w:pPr>
      <w:hyperlink w:anchor="_Toc227061849" w:history="1">
        <w:r w:rsidRPr="00F575E6">
          <w:rPr>
            <w:rStyle w:val="Hyperlink"/>
          </w:rPr>
          <w:t>3.4</w:t>
        </w:r>
        <w:r>
          <w:rPr>
            <w:rFonts w:eastAsiaTheme="minorEastAsia" w:cstheme="minorBidi"/>
            <w:iCs w:val="0"/>
            <w:kern w:val="2"/>
            <w:szCs w:val="24"/>
            <w14:ligatures w14:val="standardContextual"/>
          </w:rPr>
          <w:tab/>
        </w:r>
        <w:r w:rsidRPr="00F575E6">
          <w:rPr>
            <w:rStyle w:val="Hyperlink"/>
          </w:rPr>
          <w:t>Response</w:t>
        </w:r>
        <w:r>
          <w:rPr>
            <w:webHidden/>
          </w:rPr>
          <w:tab/>
        </w:r>
        <w:r>
          <w:rPr>
            <w:webHidden/>
          </w:rPr>
          <w:fldChar w:fldCharType="begin"/>
        </w:r>
        <w:r>
          <w:rPr>
            <w:webHidden/>
          </w:rPr>
          <w:instrText xml:space="preserve"> PAGEREF _Toc227061849 \h </w:instrText>
        </w:r>
        <w:r>
          <w:rPr>
            <w:webHidden/>
          </w:rPr>
        </w:r>
        <w:r>
          <w:rPr>
            <w:webHidden/>
          </w:rPr>
          <w:fldChar w:fldCharType="separate"/>
        </w:r>
        <w:r w:rsidR="003F7620">
          <w:rPr>
            <w:webHidden/>
          </w:rPr>
          <w:t>10</w:t>
        </w:r>
        <w:r>
          <w:rPr>
            <w:webHidden/>
          </w:rPr>
          <w:fldChar w:fldCharType="end"/>
        </w:r>
      </w:hyperlink>
    </w:p>
    <w:p w14:paraId="393A6A63" w14:textId="32F29EAA" w:rsidR="008805AB" w:rsidRDefault="008805AB">
      <w:pPr>
        <w:pStyle w:val="TOC2"/>
        <w:rPr>
          <w:rFonts w:eastAsiaTheme="minorEastAsia" w:cstheme="minorBidi"/>
          <w:iCs w:val="0"/>
          <w:kern w:val="2"/>
          <w:szCs w:val="24"/>
          <w14:ligatures w14:val="standardContextual"/>
        </w:rPr>
      </w:pPr>
      <w:hyperlink w:anchor="_Toc227061850" w:history="1">
        <w:r w:rsidRPr="00F575E6">
          <w:rPr>
            <w:rStyle w:val="Hyperlink"/>
          </w:rPr>
          <w:t>3.5</w:t>
        </w:r>
        <w:r>
          <w:rPr>
            <w:rFonts w:eastAsiaTheme="minorEastAsia" w:cstheme="minorBidi"/>
            <w:iCs w:val="0"/>
            <w:kern w:val="2"/>
            <w:szCs w:val="24"/>
            <w14:ligatures w14:val="standardContextual"/>
          </w:rPr>
          <w:tab/>
        </w:r>
        <w:r w:rsidRPr="00F575E6">
          <w:rPr>
            <w:rStyle w:val="Hyperlink"/>
          </w:rPr>
          <w:t>Monitoring and reporting</w:t>
        </w:r>
        <w:r>
          <w:rPr>
            <w:webHidden/>
          </w:rPr>
          <w:tab/>
        </w:r>
        <w:r>
          <w:rPr>
            <w:webHidden/>
          </w:rPr>
          <w:fldChar w:fldCharType="begin"/>
        </w:r>
        <w:r>
          <w:rPr>
            <w:webHidden/>
          </w:rPr>
          <w:instrText xml:space="preserve"> PAGEREF _Toc227061850 \h </w:instrText>
        </w:r>
        <w:r>
          <w:rPr>
            <w:webHidden/>
          </w:rPr>
        </w:r>
        <w:r>
          <w:rPr>
            <w:webHidden/>
          </w:rPr>
          <w:fldChar w:fldCharType="separate"/>
        </w:r>
        <w:r w:rsidR="003F7620">
          <w:rPr>
            <w:webHidden/>
          </w:rPr>
          <w:t>11</w:t>
        </w:r>
        <w:r>
          <w:rPr>
            <w:webHidden/>
          </w:rPr>
          <w:fldChar w:fldCharType="end"/>
        </w:r>
      </w:hyperlink>
    </w:p>
    <w:p w14:paraId="11102332" w14:textId="27B44935" w:rsidR="008805AB" w:rsidRDefault="008805AB">
      <w:pPr>
        <w:pStyle w:val="TOC1"/>
        <w:rPr>
          <w:rFonts w:eastAsiaTheme="minorEastAsia" w:cstheme="minorBidi"/>
          <w:iCs w:val="0"/>
          <w:noProof/>
          <w:kern w:val="2"/>
          <w:szCs w:val="24"/>
          <w14:ligatures w14:val="standardContextual"/>
        </w:rPr>
      </w:pPr>
      <w:hyperlink w:anchor="_Toc227061851" w:history="1">
        <w:r w:rsidRPr="00F575E6">
          <w:rPr>
            <w:rStyle w:val="Hyperlink"/>
            <w:noProof/>
          </w:rPr>
          <w:t>4.</w:t>
        </w:r>
        <w:r>
          <w:rPr>
            <w:rFonts w:eastAsiaTheme="minorEastAsia" w:cstheme="minorBidi"/>
            <w:iCs w:val="0"/>
            <w:noProof/>
            <w:kern w:val="2"/>
            <w:szCs w:val="24"/>
            <w14:ligatures w14:val="standardContextual"/>
          </w:rPr>
          <w:tab/>
        </w:r>
        <w:r w:rsidRPr="00F575E6">
          <w:rPr>
            <w:rStyle w:val="Hyperlink"/>
            <w:noProof/>
          </w:rPr>
          <w:t>Further information</w:t>
        </w:r>
        <w:r>
          <w:rPr>
            <w:noProof/>
            <w:webHidden/>
          </w:rPr>
          <w:tab/>
        </w:r>
        <w:r>
          <w:rPr>
            <w:noProof/>
            <w:webHidden/>
          </w:rPr>
          <w:fldChar w:fldCharType="begin"/>
        </w:r>
        <w:r>
          <w:rPr>
            <w:noProof/>
            <w:webHidden/>
          </w:rPr>
          <w:instrText xml:space="preserve"> PAGEREF _Toc227061851 \h </w:instrText>
        </w:r>
        <w:r>
          <w:rPr>
            <w:noProof/>
            <w:webHidden/>
          </w:rPr>
        </w:r>
        <w:r>
          <w:rPr>
            <w:noProof/>
            <w:webHidden/>
          </w:rPr>
          <w:fldChar w:fldCharType="separate"/>
        </w:r>
        <w:r w:rsidR="003F7620">
          <w:rPr>
            <w:noProof/>
            <w:webHidden/>
          </w:rPr>
          <w:t>13</w:t>
        </w:r>
        <w:r>
          <w:rPr>
            <w:noProof/>
            <w:webHidden/>
          </w:rPr>
          <w:fldChar w:fldCharType="end"/>
        </w:r>
      </w:hyperlink>
    </w:p>
    <w:p w14:paraId="3322F6BA" w14:textId="41B1A2BE" w:rsidR="008805AB" w:rsidRDefault="008805AB">
      <w:pPr>
        <w:pStyle w:val="TOC2"/>
        <w:rPr>
          <w:rFonts w:eastAsiaTheme="minorEastAsia" w:cstheme="minorBidi"/>
          <w:iCs w:val="0"/>
          <w:kern w:val="2"/>
          <w:szCs w:val="24"/>
          <w14:ligatures w14:val="standardContextual"/>
        </w:rPr>
      </w:pPr>
      <w:hyperlink w:anchor="_Toc227061852" w:history="1">
        <w:r w:rsidRPr="00F575E6">
          <w:rPr>
            <w:rStyle w:val="Hyperlink"/>
          </w:rPr>
          <w:t>4.1</w:t>
        </w:r>
        <w:r>
          <w:rPr>
            <w:rFonts w:eastAsiaTheme="minorEastAsia" w:cstheme="minorBidi"/>
            <w:iCs w:val="0"/>
            <w:kern w:val="2"/>
            <w:szCs w:val="24"/>
            <w14:ligatures w14:val="standardContextual"/>
          </w:rPr>
          <w:tab/>
        </w:r>
        <w:r w:rsidRPr="00F575E6">
          <w:rPr>
            <w:rStyle w:val="Hyperlink"/>
          </w:rPr>
          <w:t>Glossary of terms</w:t>
        </w:r>
        <w:r>
          <w:rPr>
            <w:webHidden/>
          </w:rPr>
          <w:tab/>
        </w:r>
        <w:r>
          <w:rPr>
            <w:webHidden/>
          </w:rPr>
          <w:fldChar w:fldCharType="begin"/>
        </w:r>
        <w:r>
          <w:rPr>
            <w:webHidden/>
          </w:rPr>
          <w:instrText xml:space="preserve"> PAGEREF _Toc227061852 \h </w:instrText>
        </w:r>
        <w:r>
          <w:rPr>
            <w:webHidden/>
          </w:rPr>
        </w:r>
        <w:r>
          <w:rPr>
            <w:webHidden/>
          </w:rPr>
          <w:fldChar w:fldCharType="separate"/>
        </w:r>
        <w:r w:rsidR="003F7620">
          <w:rPr>
            <w:webHidden/>
          </w:rPr>
          <w:t>13</w:t>
        </w:r>
        <w:r>
          <w:rPr>
            <w:webHidden/>
          </w:rPr>
          <w:fldChar w:fldCharType="end"/>
        </w:r>
      </w:hyperlink>
    </w:p>
    <w:p w14:paraId="5F6014EF" w14:textId="2F94CCCF" w:rsidR="008805AB" w:rsidRDefault="008805AB">
      <w:pPr>
        <w:pStyle w:val="TOC1"/>
        <w:rPr>
          <w:rFonts w:eastAsiaTheme="minorEastAsia" w:cstheme="minorBidi"/>
          <w:iCs w:val="0"/>
          <w:noProof/>
          <w:kern w:val="2"/>
          <w:szCs w:val="24"/>
          <w14:ligatures w14:val="standardContextual"/>
        </w:rPr>
      </w:pPr>
      <w:hyperlink w:anchor="_Toc227061853" w:history="1">
        <w:r w:rsidRPr="00F575E6">
          <w:rPr>
            <w:rStyle w:val="Hyperlink"/>
            <w:noProof/>
          </w:rPr>
          <w:t>5.</w:t>
        </w:r>
        <w:r>
          <w:rPr>
            <w:rFonts w:eastAsiaTheme="minorEastAsia" w:cstheme="minorBidi"/>
            <w:iCs w:val="0"/>
            <w:noProof/>
            <w:kern w:val="2"/>
            <w:szCs w:val="24"/>
            <w14:ligatures w14:val="standardContextual"/>
          </w:rPr>
          <w:tab/>
        </w:r>
        <w:r w:rsidRPr="00F575E6">
          <w:rPr>
            <w:rStyle w:val="Hyperlink"/>
            <w:noProof/>
          </w:rPr>
          <w:t>References</w:t>
        </w:r>
        <w:r>
          <w:rPr>
            <w:noProof/>
            <w:webHidden/>
          </w:rPr>
          <w:tab/>
        </w:r>
        <w:r>
          <w:rPr>
            <w:noProof/>
            <w:webHidden/>
          </w:rPr>
          <w:fldChar w:fldCharType="begin"/>
        </w:r>
        <w:r>
          <w:rPr>
            <w:noProof/>
            <w:webHidden/>
          </w:rPr>
          <w:instrText xml:space="preserve"> PAGEREF _Toc227061853 \h </w:instrText>
        </w:r>
        <w:r>
          <w:rPr>
            <w:noProof/>
            <w:webHidden/>
          </w:rPr>
        </w:r>
        <w:r>
          <w:rPr>
            <w:noProof/>
            <w:webHidden/>
          </w:rPr>
          <w:fldChar w:fldCharType="separate"/>
        </w:r>
        <w:r w:rsidR="003F7620">
          <w:rPr>
            <w:noProof/>
            <w:webHidden/>
          </w:rPr>
          <w:t>14</w:t>
        </w:r>
        <w:r>
          <w:rPr>
            <w:noProof/>
            <w:webHidden/>
          </w:rPr>
          <w:fldChar w:fldCharType="end"/>
        </w:r>
      </w:hyperlink>
    </w:p>
    <w:p w14:paraId="4FC8568A" w14:textId="6D1CE311" w:rsidR="00795B69" w:rsidRDefault="00AA07FC" w:rsidP="00AA07FC">
      <w:r>
        <w:fldChar w:fldCharType="end"/>
      </w:r>
      <w:r w:rsidR="004D32B5" w:rsidRPr="00965145">
        <w:br w:type="page"/>
      </w:r>
    </w:p>
    <w:p w14:paraId="53ACB99C" w14:textId="77777777" w:rsidR="0096224E" w:rsidRDefault="0096224E" w:rsidP="00AA07FC">
      <w:pPr>
        <w:sectPr w:rsidR="0096224E" w:rsidSect="00E77043">
          <w:footerReference w:type="default" r:id="rId12"/>
          <w:headerReference w:type="first" r:id="rId13"/>
          <w:footerReference w:type="first" r:id="rId14"/>
          <w:pgSz w:w="11906" w:h="16838" w:code="9"/>
          <w:pgMar w:top="-1843" w:right="1440" w:bottom="1701" w:left="1440" w:header="737" w:footer="374" w:gutter="0"/>
          <w:cols w:space="708"/>
          <w:titlePg/>
          <w:docGrid w:linePitch="360"/>
        </w:sectPr>
      </w:pPr>
    </w:p>
    <w:p w14:paraId="24596878" w14:textId="77777777" w:rsidR="00B10295" w:rsidRPr="00352E85" w:rsidRDefault="00B10295" w:rsidP="00B10295">
      <w:pPr>
        <w:pStyle w:val="Acknowledgment"/>
      </w:pPr>
      <w:r w:rsidRPr="00352E85">
        <w:lastRenderedPageBreak/>
        <w:t>Acknowledgement of Country</w:t>
      </w:r>
    </w:p>
    <w:p w14:paraId="1509926C" w14:textId="77777777" w:rsidR="00B10295" w:rsidRPr="00D51D9D" w:rsidRDefault="00B10295" w:rsidP="00B10295">
      <w:pPr>
        <w:spacing w:before="120"/>
        <w:rPr>
          <w:color w:val="6B2876" w:themeColor="accent4"/>
        </w:rPr>
      </w:pPr>
      <w:r w:rsidRPr="00375680">
        <w:rPr>
          <w:color w:val="6B2876" w:themeColor="accent4"/>
        </w:rPr>
        <w:t>The NDIA acknowledges the Traditional Custodians of Country throughout Australia and their continuing connection to land, sea and community. We pay our respects to them and their cultures, and to Elders past, present and emerging.</w:t>
      </w:r>
    </w:p>
    <w:p w14:paraId="2B42F002" w14:textId="77777777" w:rsidR="0096224E" w:rsidRDefault="0096224E" w:rsidP="0096224E"/>
    <w:p w14:paraId="41FE4E19" w14:textId="77777777" w:rsidR="0096224E" w:rsidRDefault="0096224E" w:rsidP="0096224E">
      <w:pPr>
        <w:sectPr w:rsidR="0096224E" w:rsidSect="0096224E">
          <w:headerReference w:type="first" r:id="rId15"/>
          <w:pgSz w:w="11906" w:h="16838" w:code="9"/>
          <w:pgMar w:top="1701" w:right="1440" w:bottom="1701" w:left="1440" w:header="568" w:footer="374" w:gutter="0"/>
          <w:cols w:space="708"/>
          <w:titlePg/>
          <w:docGrid w:linePitch="360"/>
        </w:sectPr>
      </w:pPr>
    </w:p>
    <w:p w14:paraId="638D3AF5" w14:textId="77777777" w:rsidR="00630A17" w:rsidRPr="00630A17" w:rsidRDefault="00630A17" w:rsidP="00630A17">
      <w:pPr>
        <w:pStyle w:val="Heading2"/>
      </w:pPr>
      <w:bookmarkStart w:id="11" w:name="_Toc942560751"/>
      <w:bookmarkStart w:id="12" w:name="_Toc1109859166"/>
      <w:bookmarkStart w:id="13" w:name="_Toc875120015"/>
      <w:bookmarkStart w:id="14" w:name="_Toc1742039731"/>
      <w:bookmarkStart w:id="15" w:name="_Toc1773970730"/>
      <w:bookmarkStart w:id="16" w:name="_Toc432648807"/>
      <w:bookmarkStart w:id="17" w:name="_Toc218862085"/>
      <w:bookmarkStart w:id="18" w:name="_Toc227061839"/>
      <w:r w:rsidRPr="00630A17">
        <w:lastRenderedPageBreak/>
        <w:t>Compliance and Enforcement Framework</w:t>
      </w:r>
      <w:bookmarkEnd w:id="11"/>
      <w:bookmarkEnd w:id="12"/>
      <w:bookmarkEnd w:id="13"/>
      <w:bookmarkEnd w:id="14"/>
      <w:bookmarkEnd w:id="15"/>
      <w:bookmarkEnd w:id="16"/>
      <w:bookmarkEnd w:id="17"/>
      <w:bookmarkEnd w:id="18"/>
    </w:p>
    <w:p w14:paraId="31EF6722" w14:textId="0573137F" w:rsidR="00E26402" w:rsidRDefault="00E9036F" w:rsidP="00E9036F">
      <w:r>
        <w:t>The National Disability Insurance Agency (NDIA, or the Agency) compliance and enforcement activities give effect to the Agency's legal functions</w:t>
      </w:r>
      <w:r w:rsidR="001D5DEE">
        <w:t xml:space="preserve"> (</w:t>
      </w:r>
      <w:r w:rsidR="001D5DEE" w:rsidRPr="006355C0">
        <w:rPr>
          <w:i/>
          <w:iCs/>
        </w:rPr>
        <w:t>NDIS</w:t>
      </w:r>
      <w:r w:rsidR="00051FAD" w:rsidRPr="006355C0">
        <w:rPr>
          <w:i/>
          <w:iCs/>
        </w:rPr>
        <w:t xml:space="preserve"> </w:t>
      </w:r>
      <w:r w:rsidR="001D5DEE" w:rsidRPr="006355C0">
        <w:rPr>
          <w:i/>
          <w:iCs/>
        </w:rPr>
        <w:t>Act</w:t>
      </w:r>
      <w:r w:rsidR="009F6545">
        <w:t>,</w:t>
      </w:r>
      <w:r w:rsidR="001D5DEE" w:rsidRPr="001D5DEE">
        <w:t xml:space="preserve"> 2013</w:t>
      </w:r>
      <w:r w:rsidR="00400EB2">
        <w:t>:</w:t>
      </w:r>
      <w:r w:rsidR="009D3767">
        <w:t>S118</w:t>
      </w:r>
      <w:r w:rsidR="001D5DEE">
        <w:t xml:space="preserve">) </w:t>
      </w:r>
      <w:r w:rsidR="00E26402">
        <w:t xml:space="preserve">to prevent, detect, investigate and respond to misuse or abuse of, or criminal activity involving National Disability Insurance Scheme (NDIS) money. </w:t>
      </w:r>
    </w:p>
    <w:p w14:paraId="485448F6" w14:textId="2ABFAAA2" w:rsidR="00E26402" w:rsidRDefault="00E26402" w:rsidP="00E9036F">
      <w:r>
        <w:t>Australians contributed $46.35 billion for the year ending 30 June 2025 to the NDIS</w:t>
      </w:r>
      <w:r w:rsidR="009F1588">
        <w:t xml:space="preserve"> (</w:t>
      </w:r>
      <w:r w:rsidR="009F1588" w:rsidRPr="006355C0">
        <w:rPr>
          <w:i/>
          <w:iCs/>
        </w:rPr>
        <w:t>NDIA</w:t>
      </w:r>
      <w:r w:rsidR="00051FAD" w:rsidRPr="006355C0">
        <w:rPr>
          <w:i/>
          <w:iCs/>
        </w:rPr>
        <w:t xml:space="preserve"> Annual Report</w:t>
      </w:r>
      <w:r w:rsidR="004C201A">
        <w:t>, 2025</w:t>
      </w:r>
      <w:r w:rsidR="009F1588">
        <w:t>)</w:t>
      </w:r>
      <w:r>
        <w:t>. All Australians have an interest in the effective management of NDIS money by the NDIA and ensuring that everyone involved in the NDIS does the right thing.</w:t>
      </w:r>
    </w:p>
    <w:p w14:paraId="647FD564" w14:textId="5CEA6571" w:rsidR="00E26402" w:rsidRDefault="00E26402" w:rsidP="00E9036F">
      <w:r>
        <w:t>We understand that while a majority of people intend to do the right thing with NDIS money, some do not. T</w:t>
      </w:r>
      <w:r w:rsidRPr="008F2BC5">
        <w:t>he NDIA was implemented with ‘catastrophically weak’</w:t>
      </w:r>
      <w:r w:rsidR="00051FAD">
        <w:t xml:space="preserve"> (</w:t>
      </w:r>
      <w:r w:rsidR="00051FAD" w:rsidRPr="006355C0">
        <w:rPr>
          <w:i/>
          <w:iCs/>
        </w:rPr>
        <w:t>The Auditor-General</w:t>
      </w:r>
      <w:r w:rsidR="00F9604A" w:rsidRPr="006355C0">
        <w:rPr>
          <w:i/>
          <w:iCs/>
        </w:rPr>
        <w:t xml:space="preserve"> Report No. 48</w:t>
      </w:r>
      <w:r w:rsidR="00F9604A">
        <w:t>, 2025</w:t>
      </w:r>
      <w:r w:rsidR="00051FAD">
        <w:t xml:space="preserve">) </w:t>
      </w:r>
      <w:r w:rsidRPr="008F2BC5">
        <w:t>prevention controls,</w:t>
      </w:r>
      <w:r>
        <w:t xml:space="preserve"> systems and legislative architecture, and</w:t>
      </w:r>
      <w:r w:rsidRPr="008F2BC5">
        <w:t xml:space="preserve"> </w:t>
      </w:r>
      <w:r>
        <w:t>is continuing to build new systems and implement legislative reform to strengthen the NDIS.</w:t>
      </w:r>
    </w:p>
    <w:p w14:paraId="172A36DF" w14:textId="77777777" w:rsidR="00E26402" w:rsidRDefault="00E26402" w:rsidP="00E9036F">
      <w:r>
        <w:t>We are i</w:t>
      </w:r>
      <w:r w:rsidRPr="00F93FE5">
        <w:t>mprov</w:t>
      </w:r>
      <w:r>
        <w:t>ing</w:t>
      </w:r>
      <w:r w:rsidRPr="00F93FE5">
        <w:t xml:space="preserve"> integrity in the NDIS and mak</w:t>
      </w:r>
      <w:r>
        <w:t>ing</w:t>
      </w:r>
      <w:r w:rsidRPr="00F93FE5">
        <w:t xml:space="preserve"> it easier to get it right and harder to get it wrong. </w:t>
      </w:r>
      <w:r>
        <w:t>This helps to minimise risks in the NDIS, including those to participants, their nominees, their families and the broader Australian Community.</w:t>
      </w:r>
      <w:r w:rsidRPr="00FC2EDF">
        <w:t xml:space="preserve"> </w:t>
      </w:r>
    </w:p>
    <w:p w14:paraId="4987BECF" w14:textId="77777777" w:rsidR="00E26402" w:rsidRDefault="00E26402" w:rsidP="00E9036F">
      <w:r>
        <w:t xml:space="preserve">Our compliance and enforcement action is stepped, including a spectrum of treatments responding to a range of severity of non-compliant behaviour. </w:t>
      </w:r>
    </w:p>
    <w:p w14:paraId="77AFF512" w14:textId="75D3D854" w:rsidR="00E26402" w:rsidRDefault="00E26402" w:rsidP="00E9036F">
      <w:r>
        <w:t>We monitor and report on the progress of compliance and enforcement activities so that we can continue to strengthen our capability and actions.</w:t>
      </w:r>
    </w:p>
    <w:p w14:paraId="4FC12EF8" w14:textId="02777929" w:rsidR="00E26402" w:rsidRDefault="00E26402" w:rsidP="001C3C19">
      <w:pPr>
        <w:pStyle w:val="Heading3"/>
        <w:pageBreakBefore/>
        <w:spacing w:after="120"/>
        <w:ind w:left="709" w:hanging="709"/>
      </w:pPr>
      <w:bookmarkStart w:id="19" w:name="_Toc218862086"/>
      <w:bookmarkStart w:id="20" w:name="_Toc227061840"/>
      <w:r>
        <w:lastRenderedPageBreak/>
        <w:t>Purpose</w:t>
      </w:r>
      <w:bookmarkEnd w:id="19"/>
      <w:bookmarkEnd w:id="20"/>
    </w:p>
    <w:p w14:paraId="0EC4D9B1" w14:textId="77777777" w:rsidR="00E26402" w:rsidRDefault="00E26402" w:rsidP="00372197">
      <w:bookmarkStart w:id="21" w:name="_Toc219200390"/>
      <w:bookmarkStart w:id="22" w:name="_Toc219208318"/>
      <w:r>
        <w:t>The purpose of this document is to outline the Agency's approach to compliance and enforcement when someone fails to meet their legal requirements when accessing, spending, claiming or receiving NDIS money.</w:t>
      </w:r>
    </w:p>
    <w:p w14:paraId="3E7342FC" w14:textId="77777777" w:rsidR="00E26402" w:rsidRDefault="00E26402" w:rsidP="00C733DE">
      <w:pPr>
        <w:pStyle w:val="Heading3"/>
        <w:spacing w:after="120"/>
        <w:ind w:left="709" w:hanging="709"/>
      </w:pPr>
      <w:bookmarkStart w:id="23" w:name="_Toc218862087"/>
      <w:bookmarkStart w:id="24" w:name="_Toc227061841"/>
      <w:bookmarkEnd w:id="21"/>
      <w:bookmarkEnd w:id="22"/>
      <w:r>
        <w:t>Scheme requirements</w:t>
      </w:r>
      <w:bookmarkEnd w:id="23"/>
      <w:bookmarkEnd w:id="24"/>
    </w:p>
    <w:p w14:paraId="4DDDA4F9" w14:textId="77777777" w:rsidR="00E26402" w:rsidRPr="00DF4195" w:rsidRDefault="00E26402" w:rsidP="00A85AFF">
      <w:bookmarkStart w:id="25" w:name="_Toc219200391"/>
      <w:bookmarkStart w:id="26" w:name="_Toc219208322"/>
      <w:r>
        <w:t xml:space="preserve">There are a range of requirements in place to manage the integrity of the NDIS and they </w:t>
      </w:r>
      <w:proofErr w:type="gramStart"/>
      <w:r>
        <w:t>include;</w:t>
      </w:r>
      <w:proofErr w:type="gramEnd"/>
    </w:p>
    <w:p w14:paraId="4B0EC005" w14:textId="77777777" w:rsidR="00E26402" w:rsidRPr="00AF7826" w:rsidRDefault="00E26402" w:rsidP="00A85AFF">
      <w:r w:rsidRPr="42ECF1B1">
        <w:rPr>
          <w:b/>
        </w:rPr>
        <w:t xml:space="preserve">Eligibility: </w:t>
      </w:r>
      <w:r>
        <w:t>We apply eligibility criteria to determine who is eligible to claim NDIS money. This includes applying using the correct form and meeting residency requirements.</w:t>
      </w:r>
    </w:p>
    <w:p w14:paraId="0FE9584F" w14:textId="2742965D" w:rsidR="00E26402" w:rsidRPr="00B85A96" w:rsidRDefault="00E26402" w:rsidP="00A85AFF">
      <w:r>
        <w:rPr>
          <w:b/>
        </w:rPr>
        <w:t>Claiming</w:t>
      </w:r>
      <w:r w:rsidRPr="0061497F">
        <w:rPr>
          <w:b/>
        </w:rPr>
        <w:t>:</w:t>
      </w:r>
      <w:r>
        <w:t xml:space="preserve"> Claims lodged with the NDIA require that NDIS money is only spent on evidenced NDIS supports that are reasonable and necessary, in line with the participant’s plan and in line with requirements under the National Disability Insurance Scheme Amendment Bill 2024</w:t>
      </w:r>
      <w:r w:rsidR="00EA176A">
        <w:t xml:space="preserve"> (</w:t>
      </w:r>
      <w:r w:rsidR="00EA176A" w:rsidRPr="001D5DEE">
        <w:t>NDIS</w:t>
      </w:r>
      <w:r w:rsidR="00EA176A">
        <w:t xml:space="preserve"> </w:t>
      </w:r>
      <w:r w:rsidR="00EA176A" w:rsidRPr="001D5DEE">
        <w:t>Act</w:t>
      </w:r>
      <w:r w:rsidR="00EA176A">
        <w:t>,</w:t>
      </w:r>
      <w:r w:rsidR="00EA176A" w:rsidRPr="001D5DEE">
        <w:t xml:space="preserve"> 2013</w:t>
      </w:r>
      <w:r w:rsidR="00EA176A">
        <w:t>:S10, S46)</w:t>
      </w:r>
      <w:r>
        <w:t>.</w:t>
      </w:r>
      <w:bookmarkEnd w:id="25"/>
      <w:bookmarkEnd w:id="26"/>
    </w:p>
    <w:p w14:paraId="4F6751A9" w14:textId="77777777" w:rsidR="006A21BC" w:rsidDel="00B44AB1" w:rsidRDefault="006A21BC" w:rsidP="006A21BC">
      <w:pPr>
        <w:pStyle w:val="Heading3"/>
      </w:pPr>
      <w:bookmarkStart w:id="27" w:name="_Toc2074772850"/>
      <w:bookmarkStart w:id="28" w:name="_Toc288529523"/>
      <w:bookmarkStart w:id="29" w:name="_Toc900698307"/>
      <w:bookmarkStart w:id="30" w:name="_Toc1958688346"/>
      <w:bookmarkStart w:id="31" w:name="_Toc1331160278"/>
      <w:bookmarkStart w:id="32" w:name="_Toc1665573803"/>
      <w:bookmarkStart w:id="33" w:name="_Toc218862088"/>
      <w:bookmarkStart w:id="34" w:name="_Toc227061842"/>
      <w:r w:rsidRPr="00A227D9">
        <w:t>Legislative</w:t>
      </w:r>
      <w:r>
        <w:t xml:space="preserve"> </w:t>
      </w:r>
      <w:r w:rsidRPr="006A21BC">
        <w:t>requirements</w:t>
      </w:r>
      <w:bookmarkEnd w:id="27"/>
      <w:bookmarkEnd w:id="28"/>
      <w:bookmarkEnd w:id="29"/>
      <w:bookmarkEnd w:id="30"/>
      <w:bookmarkEnd w:id="31"/>
      <w:bookmarkEnd w:id="32"/>
      <w:bookmarkEnd w:id="33"/>
      <w:bookmarkEnd w:id="34"/>
    </w:p>
    <w:p w14:paraId="158E34E9" w14:textId="77777777" w:rsidR="000966BF" w:rsidRPr="006200CF" w:rsidRDefault="000966BF" w:rsidP="000966BF">
      <w:pPr>
        <w:spacing w:after="120"/>
        <w:rPr>
          <w:rFonts w:eastAsia="Arial" w:cs="Arial"/>
        </w:rPr>
      </w:pPr>
      <w:bookmarkStart w:id="35" w:name="_Toc1965718990"/>
      <w:r>
        <w:t>The Agency’s approach to compliance and enforcement is informed by a range of provisions including but not limited to:</w:t>
      </w:r>
      <w:bookmarkEnd w:id="35"/>
    </w:p>
    <w:p w14:paraId="0B9094EE" w14:textId="77777777" w:rsidR="000966BF" w:rsidRPr="000966BF" w:rsidRDefault="000966BF" w:rsidP="000966BF">
      <w:pPr>
        <w:pStyle w:val="ListParagraph"/>
        <w:numPr>
          <w:ilvl w:val="0"/>
          <w:numId w:val="32"/>
        </w:numPr>
        <w:rPr>
          <w:rFonts w:eastAsia="Arial" w:cs="Arial"/>
          <w:color w:val="6B2876" w:themeColor="text1"/>
        </w:rPr>
      </w:pPr>
      <w:hyperlink r:id="rId16">
        <w:r w:rsidRPr="000966BF">
          <w:rPr>
            <w:rStyle w:val="Hyperlink"/>
            <w:rFonts w:eastAsia="Arial" w:cs="Arial"/>
            <w:i/>
            <w:iCs/>
          </w:rPr>
          <w:t>Public Governance, Performance and Accountability Act 2013 (the PGPA Act)</w:t>
        </w:r>
      </w:hyperlink>
      <w:r w:rsidRPr="000966BF">
        <w:rPr>
          <w:rFonts w:eastAsia="Arial" w:cs="Arial"/>
          <w:color w:val="6B2876" w:themeColor="text1"/>
          <w:lang w:val="en-US"/>
        </w:rPr>
        <w:t xml:space="preserve"> </w:t>
      </w:r>
    </w:p>
    <w:p w14:paraId="44AE3079" w14:textId="77777777" w:rsidR="000966BF" w:rsidRPr="000966BF" w:rsidRDefault="000966BF" w:rsidP="000966BF">
      <w:pPr>
        <w:pStyle w:val="ListParagraph"/>
        <w:numPr>
          <w:ilvl w:val="0"/>
          <w:numId w:val="32"/>
        </w:numPr>
        <w:rPr>
          <w:rFonts w:eastAsia="Arial" w:cs="Arial"/>
          <w:color w:val="6B2876" w:themeColor="text1"/>
        </w:rPr>
      </w:pPr>
      <w:hyperlink r:id="rId17">
        <w:r w:rsidRPr="000966BF">
          <w:rPr>
            <w:rStyle w:val="Hyperlink"/>
            <w:i/>
          </w:rPr>
          <w:t>Public Governance, Performance and Accountability Rule 2014</w:t>
        </w:r>
      </w:hyperlink>
    </w:p>
    <w:p w14:paraId="69866CC5" w14:textId="77777777" w:rsidR="000966BF" w:rsidRPr="000966BF" w:rsidRDefault="000966BF" w:rsidP="000966BF">
      <w:pPr>
        <w:pStyle w:val="ListParagraph"/>
        <w:numPr>
          <w:ilvl w:val="0"/>
          <w:numId w:val="32"/>
        </w:numPr>
        <w:rPr>
          <w:rFonts w:eastAsia="Arial" w:cs="Arial"/>
          <w:color w:val="6B2876" w:themeColor="text1"/>
        </w:rPr>
      </w:pPr>
      <w:hyperlink r:id="rId18">
        <w:r w:rsidRPr="000966BF">
          <w:rPr>
            <w:rStyle w:val="Hyperlink"/>
            <w:rFonts w:eastAsia="Arial" w:cs="Arial"/>
            <w:i/>
            <w:iCs/>
          </w:rPr>
          <w:t>National Disability Insurance Scheme (NDIS) Act 2013</w:t>
        </w:r>
      </w:hyperlink>
    </w:p>
    <w:p w14:paraId="6507A119" w14:textId="77777777" w:rsidR="000966BF" w:rsidRPr="000966BF" w:rsidRDefault="000966BF" w:rsidP="000966BF">
      <w:pPr>
        <w:pStyle w:val="ListParagraph"/>
        <w:numPr>
          <w:ilvl w:val="0"/>
          <w:numId w:val="32"/>
        </w:numPr>
        <w:rPr>
          <w:rFonts w:eastAsia="Arial" w:cs="Arial"/>
          <w:color w:val="6B2876" w:themeColor="text1"/>
        </w:rPr>
      </w:pPr>
      <w:hyperlink r:id="rId19">
        <w:r w:rsidRPr="000966BF">
          <w:rPr>
            <w:rStyle w:val="Hyperlink"/>
            <w:rFonts w:eastAsia="Arial" w:cs="Arial"/>
            <w:i/>
            <w:iCs/>
            <w:lang w:val="en-US"/>
          </w:rPr>
          <w:t>NDIS Risk Management Rules 2013</w:t>
        </w:r>
      </w:hyperlink>
    </w:p>
    <w:p w14:paraId="70BC2C9F" w14:textId="77777777" w:rsidR="000966BF" w:rsidRPr="000966BF" w:rsidRDefault="000966BF" w:rsidP="000966BF">
      <w:pPr>
        <w:pStyle w:val="ListParagraph"/>
        <w:numPr>
          <w:ilvl w:val="0"/>
          <w:numId w:val="32"/>
        </w:numPr>
        <w:rPr>
          <w:rFonts w:eastAsia="Arial" w:cs="Arial"/>
          <w:color w:val="6B2876" w:themeColor="text1"/>
        </w:rPr>
      </w:pPr>
      <w:hyperlink r:id="rId20">
        <w:r w:rsidRPr="000966BF">
          <w:rPr>
            <w:rStyle w:val="Hyperlink"/>
            <w:rFonts w:eastAsia="Arial" w:cs="Arial"/>
            <w:i/>
            <w:iCs/>
          </w:rPr>
          <w:t>National Anti-Corruption Commission Act 2022</w:t>
        </w:r>
      </w:hyperlink>
    </w:p>
    <w:p w14:paraId="7E08C938" w14:textId="77777777" w:rsidR="000966BF" w:rsidRPr="000966BF" w:rsidRDefault="000966BF" w:rsidP="000966BF">
      <w:pPr>
        <w:pStyle w:val="ListParagraph"/>
        <w:numPr>
          <w:ilvl w:val="0"/>
          <w:numId w:val="32"/>
        </w:numPr>
        <w:rPr>
          <w:rFonts w:eastAsia="Arial" w:cs="Arial"/>
          <w:color w:val="6B2876" w:themeColor="text1"/>
        </w:rPr>
      </w:pPr>
      <w:hyperlink r:id="rId21">
        <w:r w:rsidRPr="000966BF">
          <w:rPr>
            <w:rStyle w:val="Hyperlink"/>
            <w:rFonts w:eastAsia="Arial" w:cs="Arial"/>
            <w:i/>
            <w:iCs/>
          </w:rPr>
          <w:t>Privacy Act 1988</w:t>
        </w:r>
      </w:hyperlink>
    </w:p>
    <w:p w14:paraId="321C541E" w14:textId="77777777" w:rsidR="000966BF" w:rsidRPr="000966BF" w:rsidRDefault="000966BF" w:rsidP="000966BF">
      <w:pPr>
        <w:pStyle w:val="ListParagraph"/>
        <w:numPr>
          <w:ilvl w:val="0"/>
          <w:numId w:val="32"/>
        </w:numPr>
        <w:rPr>
          <w:rFonts w:eastAsia="Arial" w:cs="Arial"/>
          <w:color w:val="6B2876" w:themeColor="text1"/>
        </w:rPr>
      </w:pPr>
      <w:hyperlink r:id="rId22" w:history="1">
        <w:r w:rsidRPr="000966BF">
          <w:rPr>
            <w:rStyle w:val="Hyperlink"/>
            <w:rFonts w:eastAsia="Arial" w:cs="Arial"/>
            <w:i/>
            <w:iCs/>
            <w:lang w:val="en-US"/>
          </w:rPr>
          <w:t>Criminal Code Act 1995</w:t>
        </w:r>
      </w:hyperlink>
    </w:p>
    <w:p w14:paraId="03D3D699" w14:textId="77777777" w:rsidR="000966BF" w:rsidRPr="000966BF" w:rsidRDefault="000966BF" w:rsidP="000966BF">
      <w:pPr>
        <w:pStyle w:val="ListParagraph"/>
        <w:numPr>
          <w:ilvl w:val="0"/>
          <w:numId w:val="32"/>
        </w:numPr>
        <w:rPr>
          <w:rFonts w:eastAsia="Arial" w:cs="Arial"/>
          <w:color w:val="6B2876" w:themeColor="text1"/>
        </w:rPr>
      </w:pPr>
      <w:hyperlink r:id="rId23" w:history="1">
        <w:r w:rsidRPr="000966BF">
          <w:rPr>
            <w:rStyle w:val="Hyperlink"/>
            <w:rFonts w:eastAsia="Arial" w:cs="Arial"/>
            <w:i/>
            <w:iCs/>
            <w:lang w:val="en-US"/>
          </w:rPr>
          <w:t>Crimes Act 1914</w:t>
        </w:r>
      </w:hyperlink>
      <w:r w:rsidRPr="000966BF">
        <w:rPr>
          <w:rFonts w:eastAsia="Arial" w:cs="Arial"/>
          <w:i/>
          <w:iCs/>
          <w:color w:val="6B2876" w:themeColor="text1"/>
          <w:lang w:val="en-US"/>
        </w:rPr>
        <w:t xml:space="preserve"> </w:t>
      </w:r>
    </w:p>
    <w:p w14:paraId="70DC5AEF" w14:textId="77777777" w:rsidR="000966BF" w:rsidRPr="000966BF" w:rsidRDefault="000966BF" w:rsidP="000966BF">
      <w:pPr>
        <w:pStyle w:val="ListParagraph"/>
        <w:numPr>
          <w:ilvl w:val="0"/>
          <w:numId w:val="32"/>
        </w:numPr>
        <w:rPr>
          <w:rFonts w:eastAsia="Arial" w:cs="Arial"/>
          <w:color w:val="6B2876" w:themeColor="text1"/>
        </w:rPr>
      </w:pPr>
      <w:hyperlink r:id="rId24">
        <w:r w:rsidRPr="000966BF">
          <w:rPr>
            <w:rStyle w:val="Hyperlink"/>
            <w:rFonts w:eastAsia="Arial" w:cs="Arial"/>
            <w:lang w:val="en-US"/>
          </w:rPr>
          <w:t>Commonwealth Fraud and Corruption Control Framework 2024</w:t>
        </w:r>
      </w:hyperlink>
      <w:r>
        <w:t xml:space="preserve"> </w:t>
      </w:r>
    </w:p>
    <w:p w14:paraId="50997B3C" w14:textId="77777777" w:rsidR="000966BF" w:rsidRPr="000966BF" w:rsidRDefault="000966BF" w:rsidP="000966BF">
      <w:pPr>
        <w:pStyle w:val="ListParagraph"/>
        <w:numPr>
          <w:ilvl w:val="0"/>
          <w:numId w:val="32"/>
        </w:numPr>
        <w:rPr>
          <w:rFonts w:eastAsia="Arial" w:cs="Arial"/>
          <w:color w:val="6B2876" w:themeColor="text1"/>
        </w:rPr>
      </w:pPr>
      <w:hyperlink r:id="rId25" w:history="1">
        <w:r w:rsidRPr="000966BF">
          <w:rPr>
            <w:rStyle w:val="Hyperlink"/>
            <w:rFonts w:eastAsia="Arial" w:cs="Arial"/>
            <w:i/>
            <w:iCs/>
            <w:lang w:val="en-US"/>
          </w:rPr>
          <w:t>Public Interest Disclosure Act 2013.</w:t>
        </w:r>
      </w:hyperlink>
    </w:p>
    <w:p w14:paraId="62DB4E66" w14:textId="77777777" w:rsidR="00B4726D" w:rsidRDefault="00B4726D" w:rsidP="00B4726D">
      <w:pPr>
        <w:pStyle w:val="Heading2"/>
        <w:spacing w:before="0" w:after="120"/>
      </w:pPr>
      <w:bookmarkStart w:id="36" w:name="_Toc1067456533"/>
      <w:bookmarkStart w:id="37" w:name="_Toc706197904"/>
      <w:bookmarkStart w:id="38" w:name="_Toc1514011950"/>
      <w:bookmarkStart w:id="39" w:name="_Toc2035556831"/>
      <w:bookmarkStart w:id="40" w:name="_Toc89439452"/>
      <w:bookmarkStart w:id="41" w:name="_Toc924132485"/>
      <w:bookmarkStart w:id="42" w:name="_Toc218862089"/>
      <w:bookmarkStart w:id="43" w:name="_Toc227061843"/>
      <w:r>
        <w:t>Our approach to compliance and enforcement</w:t>
      </w:r>
      <w:bookmarkEnd w:id="36"/>
      <w:bookmarkEnd w:id="37"/>
      <w:bookmarkEnd w:id="38"/>
      <w:bookmarkEnd w:id="39"/>
      <w:bookmarkEnd w:id="40"/>
      <w:bookmarkEnd w:id="41"/>
      <w:bookmarkEnd w:id="42"/>
      <w:bookmarkEnd w:id="43"/>
    </w:p>
    <w:p w14:paraId="642C58BE" w14:textId="22D33284" w:rsidR="001B420E" w:rsidRDefault="00942D40" w:rsidP="00942D40">
      <w:r>
        <w:t>NDIA aims to make it easier to do the right thing and harder to do the wrong thing. In all actions we are committed to ensuring participant safety and the continuity of genuine disability-related NDIS supports. We focus on financial risks caused by people doing the wrong thing and respond to those risks in a range of ways according to the extent and nature of the harm they cause. We focus on prevention and deterrence first</w:t>
      </w:r>
      <w:r w:rsidR="00414C00">
        <w:t>.</w:t>
      </w:r>
      <w:r>
        <w:t xml:space="preserve"> </w:t>
      </w:r>
      <w:r w:rsidR="00414C00">
        <w:t>W</w:t>
      </w:r>
      <w:r>
        <w:t>e have a full spectrum of treatments available to implement</w:t>
      </w:r>
      <w:r w:rsidR="005C13FC">
        <w:t>. Table 1 shows these actions</w:t>
      </w:r>
      <w:r>
        <w:t>.</w:t>
      </w:r>
    </w:p>
    <w:p w14:paraId="09E6F142" w14:textId="053A8877" w:rsidR="00AA2926" w:rsidRDefault="00AA2926" w:rsidP="006355C0">
      <w:pPr>
        <w:pStyle w:val="Heading3"/>
        <w:numPr>
          <w:ilvl w:val="0"/>
          <w:numId w:val="0"/>
        </w:numPr>
        <w:ind w:left="720" w:hanging="720"/>
      </w:pPr>
      <w:bookmarkStart w:id="44" w:name="_Toc227061844"/>
      <w:r>
        <w:t>Table 1</w:t>
      </w:r>
      <w:bookmarkEnd w:id="44"/>
    </w:p>
    <w:tbl>
      <w:tblPr>
        <w:tblStyle w:val="NDISTable1"/>
        <w:tblW w:w="5000" w:type="pct"/>
        <w:tblLook w:val="0420" w:firstRow="1" w:lastRow="0" w:firstColumn="0" w:lastColumn="0" w:noHBand="0" w:noVBand="1"/>
      </w:tblPr>
      <w:tblGrid>
        <w:gridCol w:w="2263"/>
        <w:gridCol w:w="2127"/>
        <w:gridCol w:w="4626"/>
      </w:tblGrid>
      <w:tr w:rsidR="00AA2926" w:rsidRPr="0080054F" w14:paraId="2E7BEFD9" w14:textId="77777777" w:rsidTr="00AA2926">
        <w:trPr>
          <w:cnfStyle w:val="100000000000" w:firstRow="1" w:lastRow="0" w:firstColumn="0" w:lastColumn="0" w:oddVBand="0" w:evenVBand="0" w:oddHBand="0" w:evenHBand="0" w:firstRowFirstColumn="0" w:firstRowLastColumn="0" w:lastRowFirstColumn="0" w:lastRowLastColumn="0"/>
        </w:trPr>
        <w:tc>
          <w:tcPr>
            <w:tcW w:w="2263" w:type="dxa"/>
          </w:tcPr>
          <w:p w14:paraId="3DBAE8B5" w14:textId="2123F3A9" w:rsidR="00AA2926" w:rsidRPr="00F327D8" w:rsidRDefault="00AA2926" w:rsidP="003718C8">
            <w:pPr>
              <w:pStyle w:val="TableBody"/>
              <w:rPr>
                <w:szCs w:val="24"/>
              </w:rPr>
            </w:pPr>
            <w:r>
              <w:rPr>
                <w:rFonts w:eastAsia="Aptos"/>
                <w:szCs w:val="24"/>
              </w:rPr>
              <w:t>Compliance posture</w:t>
            </w:r>
          </w:p>
        </w:tc>
        <w:tc>
          <w:tcPr>
            <w:tcW w:w="2127" w:type="dxa"/>
          </w:tcPr>
          <w:p w14:paraId="467E48B6" w14:textId="21343858" w:rsidR="00AA2926" w:rsidRPr="00F327D8" w:rsidRDefault="00AA2926" w:rsidP="003718C8">
            <w:pPr>
              <w:pStyle w:val="TableBody"/>
              <w:rPr>
                <w:szCs w:val="24"/>
              </w:rPr>
            </w:pPr>
            <w:r>
              <w:rPr>
                <w:rFonts w:eastAsia="Aptos"/>
                <w:szCs w:val="24"/>
              </w:rPr>
              <w:t>Description</w:t>
            </w:r>
          </w:p>
        </w:tc>
        <w:tc>
          <w:tcPr>
            <w:tcW w:w="4626" w:type="dxa"/>
          </w:tcPr>
          <w:p w14:paraId="75B8499A" w14:textId="2C1B8907" w:rsidR="00AA2926" w:rsidRPr="00F327D8" w:rsidRDefault="00AA2926" w:rsidP="003718C8">
            <w:pPr>
              <w:pStyle w:val="TableBody"/>
              <w:rPr>
                <w:szCs w:val="24"/>
              </w:rPr>
            </w:pPr>
            <w:r>
              <w:rPr>
                <w:rFonts w:eastAsia="Aptos"/>
                <w:szCs w:val="24"/>
              </w:rPr>
              <w:t>Compliance actions</w:t>
            </w:r>
          </w:p>
        </w:tc>
      </w:tr>
      <w:tr w:rsidR="00AA2926" w:rsidRPr="00965145" w14:paraId="44FD81C4" w14:textId="77777777" w:rsidTr="00AA2926">
        <w:trPr>
          <w:cnfStyle w:val="000000100000" w:firstRow="0" w:lastRow="0" w:firstColumn="0" w:lastColumn="0" w:oddVBand="0" w:evenVBand="0" w:oddHBand="1" w:evenHBand="0" w:firstRowFirstColumn="0" w:firstRowLastColumn="0" w:lastRowFirstColumn="0" w:lastRowLastColumn="0"/>
        </w:trPr>
        <w:tc>
          <w:tcPr>
            <w:tcW w:w="2263" w:type="dxa"/>
          </w:tcPr>
          <w:p w14:paraId="63AD22D5" w14:textId="74EBE998" w:rsidR="00AA2926" w:rsidRPr="001550F2" w:rsidRDefault="001550F2" w:rsidP="003718C8">
            <w:pPr>
              <w:pStyle w:val="TableBody"/>
              <w:rPr>
                <w:szCs w:val="24"/>
              </w:rPr>
            </w:pPr>
            <w:r w:rsidRPr="001550F2">
              <w:rPr>
                <w:rFonts w:eastAsia="Aptos"/>
                <w:szCs w:val="24"/>
              </w:rPr>
              <w:t>Voluntary compliance</w:t>
            </w:r>
          </w:p>
        </w:tc>
        <w:tc>
          <w:tcPr>
            <w:tcW w:w="2127" w:type="dxa"/>
          </w:tcPr>
          <w:p w14:paraId="041E3EC4" w14:textId="48A4470F" w:rsidR="00AA2926" w:rsidRPr="00F327D8" w:rsidRDefault="005272E1" w:rsidP="005272E1">
            <w:pPr>
              <w:pStyle w:val="TableBody"/>
            </w:pPr>
            <w:r w:rsidRPr="005272E1">
              <w:t>Willing to comply with obligations and requirements.</w:t>
            </w:r>
          </w:p>
        </w:tc>
        <w:tc>
          <w:tcPr>
            <w:tcW w:w="4626" w:type="dxa"/>
          </w:tcPr>
          <w:p w14:paraId="019A08D7" w14:textId="77777777" w:rsidR="00630B7B" w:rsidRPr="00630B7B" w:rsidRDefault="00630B7B" w:rsidP="00630B7B">
            <w:pPr>
              <w:pStyle w:val="TableBody"/>
              <w:numPr>
                <w:ilvl w:val="0"/>
                <w:numId w:val="33"/>
              </w:numPr>
              <w:rPr>
                <w:rFonts w:eastAsia="Aptos"/>
              </w:rPr>
            </w:pPr>
            <w:r w:rsidRPr="00630B7B">
              <w:rPr>
                <w:rFonts w:eastAsia="Aptos"/>
              </w:rPr>
              <w:t>Education</w:t>
            </w:r>
          </w:p>
          <w:p w14:paraId="0D51C0C7" w14:textId="77777777" w:rsidR="00630B7B" w:rsidRPr="00630B7B" w:rsidRDefault="00630B7B" w:rsidP="00630B7B">
            <w:pPr>
              <w:pStyle w:val="TableBody"/>
              <w:numPr>
                <w:ilvl w:val="0"/>
                <w:numId w:val="33"/>
              </w:numPr>
              <w:rPr>
                <w:rFonts w:eastAsia="Aptos"/>
              </w:rPr>
            </w:pPr>
            <w:r w:rsidRPr="00630B7B">
              <w:rPr>
                <w:rFonts w:eastAsia="Aptos"/>
              </w:rPr>
              <w:t>Engagement</w:t>
            </w:r>
          </w:p>
          <w:p w14:paraId="175AA292" w14:textId="145D58C4" w:rsidR="00AA2926" w:rsidRPr="00F327D8" w:rsidRDefault="00630B7B" w:rsidP="00630B7B">
            <w:pPr>
              <w:pStyle w:val="TableBody"/>
              <w:numPr>
                <w:ilvl w:val="0"/>
                <w:numId w:val="33"/>
              </w:numPr>
              <w:rPr>
                <w:szCs w:val="24"/>
              </w:rPr>
            </w:pPr>
            <w:r w:rsidRPr="00630B7B">
              <w:rPr>
                <w:rFonts w:eastAsia="Aptos"/>
                <w:szCs w:val="24"/>
              </w:rPr>
              <w:t>Support</w:t>
            </w:r>
          </w:p>
        </w:tc>
      </w:tr>
      <w:tr w:rsidR="00AA2926" w:rsidRPr="00965145" w14:paraId="2D51ABE5" w14:textId="77777777" w:rsidTr="00AA2926">
        <w:tc>
          <w:tcPr>
            <w:tcW w:w="2263" w:type="dxa"/>
          </w:tcPr>
          <w:p w14:paraId="4C680376" w14:textId="248948F6" w:rsidR="00AA2926" w:rsidRPr="003226F3" w:rsidRDefault="003226F3" w:rsidP="003718C8">
            <w:pPr>
              <w:pStyle w:val="TableBody"/>
              <w:rPr>
                <w:szCs w:val="24"/>
              </w:rPr>
            </w:pPr>
            <w:r w:rsidRPr="003226F3">
              <w:rPr>
                <w:rFonts w:eastAsia="Aptos"/>
                <w:szCs w:val="24"/>
              </w:rPr>
              <w:t>Inadvertent non-compliance</w:t>
            </w:r>
          </w:p>
        </w:tc>
        <w:tc>
          <w:tcPr>
            <w:tcW w:w="2127" w:type="dxa"/>
          </w:tcPr>
          <w:p w14:paraId="4D5995BE" w14:textId="17597D9B" w:rsidR="00AA2926" w:rsidRPr="00F327D8" w:rsidRDefault="005410F1" w:rsidP="003718C8">
            <w:pPr>
              <w:pStyle w:val="TableBody"/>
              <w:rPr>
                <w:szCs w:val="24"/>
              </w:rPr>
            </w:pPr>
            <w:r w:rsidRPr="005410F1">
              <w:rPr>
                <w:rFonts w:eastAsia="Aptos"/>
                <w:szCs w:val="24"/>
              </w:rPr>
              <w:t>Efforts to comply are made but are not always successful.</w:t>
            </w:r>
          </w:p>
        </w:tc>
        <w:tc>
          <w:tcPr>
            <w:tcW w:w="4626" w:type="dxa"/>
          </w:tcPr>
          <w:p w14:paraId="6679BC73" w14:textId="77777777" w:rsidR="000E32C8" w:rsidRPr="000E32C8" w:rsidRDefault="000E32C8" w:rsidP="000E32C8">
            <w:pPr>
              <w:pStyle w:val="TableBody"/>
              <w:numPr>
                <w:ilvl w:val="0"/>
                <w:numId w:val="34"/>
              </w:numPr>
              <w:rPr>
                <w:rFonts w:eastAsia="Aptos"/>
              </w:rPr>
            </w:pPr>
            <w:r w:rsidRPr="000E32C8">
              <w:rPr>
                <w:rFonts w:eastAsia="Aptos"/>
              </w:rPr>
              <w:t>Education</w:t>
            </w:r>
          </w:p>
          <w:p w14:paraId="673F655C" w14:textId="77777777" w:rsidR="000E32C8" w:rsidRPr="000E32C8" w:rsidRDefault="000E32C8" w:rsidP="000E32C8">
            <w:pPr>
              <w:pStyle w:val="TableBody"/>
              <w:numPr>
                <w:ilvl w:val="0"/>
                <w:numId w:val="34"/>
              </w:numPr>
              <w:rPr>
                <w:rFonts w:eastAsia="Aptos"/>
              </w:rPr>
            </w:pPr>
            <w:r w:rsidRPr="000E32C8">
              <w:rPr>
                <w:rFonts w:eastAsia="Aptos"/>
              </w:rPr>
              <w:t>Engagement</w:t>
            </w:r>
          </w:p>
          <w:p w14:paraId="0620759C" w14:textId="77777777" w:rsidR="000E32C8" w:rsidRPr="000E32C8" w:rsidRDefault="000E32C8" w:rsidP="000E32C8">
            <w:pPr>
              <w:pStyle w:val="TableBody"/>
              <w:numPr>
                <w:ilvl w:val="0"/>
                <w:numId w:val="34"/>
              </w:numPr>
              <w:rPr>
                <w:rFonts w:eastAsia="Aptos"/>
              </w:rPr>
            </w:pPr>
            <w:r w:rsidRPr="000E32C8">
              <w:rPr>
                <w:rFonts w:eastAsia="Aptos"/>
              </w:rPr>
              <w:t>Support</w:t>
            </w:r>
          </w:p>
          <w:p w14:paraId="264C8677" w14:textId="77777777" w:rsidR="000E32C8" w:rsidRPr="000E32C8" w:rsidRDefault="000E32C8" w:rsidP="000E32C8">
            <w:pPr>
              <w:pStyle w:val="TableBody"/>
              <w:numPr>
                <w:ilvl w:val="0"/>
                <w:numId w:val="34"/>
              </w:numPr>
              <w:rPr>
                <w:rFonts w:eastAsia="Aptos"/>
              </w:rPr>
            </w:pPr>
            <w:r w:rsidRPr="000E32C8">
              <w:rPr>
                <w:rFonts w:eastAsia="Aptos"/>
              </w:rPr>
              <w:t>Targeted engagement</w:t>
            </w:r>
          </w:p>
          <w:p w14:paraId="60CF3DD3" w14:textId="77777777" w:rsidR="000E32C8" w:rsidRPr="000E32C8" w:rsidRDefault="000E32C8" w:rsidP="000E32C8">
            <w:pPr>
              <w:pStyle w:val="TableBody"/>
              <w:numPr>
                <w:ilvl w:val="0"/>
                <w:numId w:val="34"/>
              </w:numPr>
              <w:rPr>
                <w:rFonts w:eastAsia="Aptos"/>
              </w:rPr>
            </w:pPr>
            <w:r w:rsidRPr="000E32C8">
              <w:rPr>
                <w:rFonts w:eastAsia="Aptos"/>
              </w:rPr>
              <w:t>Pre-payment reviews</w:t>
            </w:r>
          </w:p>
          <w:p w14:paraId="0983A325" w14:textId="77777777" w:rsidR="000E32C8" w:rsidRPr="000E32C8" w:rsidRDefault="000E32C8" w:rsidP="000E32C8">
            <w:pPr>
              <w:pStyle w:val="TableBody"/>
              <w:numPr>
                <w:ilvl w:val="0"/>
                <w:numId w:val="34"/>
              </w:numPr>
              <w:rPr>
                <w:rFonts w:eastAsia="Aptos"/>
              </w:rPr>
            </w:pPr>
            <w:r w:rsidRPr="000E32C8">
              <w:rPr>
                <w:rFonts w:eastAsia="Aptos"/>
              </w:rPr>
              <w:t>Post-payment reviews</w:t>
            </w:r>
          </w:p>
          <w:p w14:paraId="00D265A1" w14:textId="1A166D9A" w:rsidR="00AA2926" w:rsidRPr="00F327D8" w:rsidRDefault="000E32C8" w:rsidP="000E32C8">
            <w:pPr>
              <w:pStyle w:val="TableBody"/>
              <w:numPr>
                <w:ilvl w:val="0"/>
                <w:numId w:val="34"/>
              </w:numPr>
              <w:rPr>
                <w:szCs w:val="24"/>
              </w:rPr>
            </w:pPr>
            <w:r w:rsidRPr="000E32C8">
              <w:rPr>
                <w:rFonts w:eastAsia="Aptos"/>
                <w:szCs w:val="24"/>
              </w:rPr>
              <w:t>Requests to self-correct</w:t>
            </w:r>
          </w:p>
        </w:tc>
      </w:tr>
      <w:tr w:rsidR="00AA2926" w:rsidRPr="00965145" w14:paraId="0714474D" w14:textId="77777777" w:rsidTr="00AA2926">
        <w:trPr>
          <w:cnfStyle w:val="000000100000" w:firstRow="0" w:lastRow="0" w:firstColumn="0" w:lastColumn="0" w:oddVBand="0" w:evenVBand="0" w:oddHBand="1" w:evenHBand="0" w:firstRowFirstColumn="0" w:firstRowLastColumn="0" w:lastRowFirstColumn="0" w:lastRowLastColumn="0"/>
        </w:trPr>
        <w:tc>
          <w:tcPr>
            <w:tcW w:w="2263" w:type="dxa"/>
          </w:tcPr>
          <w:p w14:paraId="313C3520" w14:textId="5DD62938" w:rsidR="00AA2926" w:rsidRPr="00AF6709" w:rsidRDefault="00AF6709" w:rsidP="003718C8">
            <w:pPr>
              <w:pStyle w:val="TableBody"/>
              <w:rPr>
                <w:szCs w:val="24"/>
              </w:rPr>
            </w:pPr>
            <w:r w:rsidRPr="00AF6709">
              <w:rPr>
                <w:rFonts w:eastAsia="Aptos"/>
                <w:szCs w:val="24"/>
              </w:rPr>
              <w:t>Opportunistic non-compliance</w:t>
            </w:r>
          </w:p>
        </w:tc>
        <w:tc>
          <w:tcPr>
            <w:tcW w:w="2127" w:type="dxa"/>
          </w:tcPr>
          <w:p w14:paraId="6DCEEAA8" w14:textId="54C42626" w:rsidR="00AA2926" w:rsidRPr="00F327D8" w:rsidRDefault="004039D1" w:rsidP="003718C8">
            <w:pPr>
              <w:pStyle w:val="TableBody"/>
              <w:rPr>
                <w:szCs w:val="24"/>
              </w:rPr>
            </w:pPr>
            <w:r w:rsidRPr="004039D1">
              <w:rPr>
                <w:rFonts w:eastAsia="Aptos"/>
                <w:szCs w:val="24"/>
              </w:rPr>
              <w:t xml:space="preserve">Avoids complying if the opportunity </w:t>
            </w:r>
            <w:r w:rsidRPr="004039D1">
              <w:rPr>
                <w:rFonts w:eastAsia="Aptos"/>
                <w:szCs w:val="24"/>
              </w:rPr>
              <w:lastRenderedPageBreak/>
              <w:t>exists and may be categorised as careless to reckless behaviour.</w:t>
            </w:r>
          </w:p>
        </w:tc>
        <w:tc>
          <w:tcPr>
            <w:tcW w:w="4626" w:type="dxa"/>
          </w:tcPr>
          <w:p w14:paraId="454D6AF0" w14:textId="77777777" w:rsidR="007924E7" w:rsidRPr="007924E7" w:rsidRDefault="007924E7" w:rsidP="007924E7">
            <w:pPr>
              <w:pStyle w:val="TableBody"/>
              <w:numPr>
                <w:ilvl w:val="0"/>
                <w:numId w:val="35"/>
              </w:numPr>
              <w:rPr>
                <w:rFonts w:eastAsia="Aptos"/>
              </w:rPr>
            </w:pPr>
            <w:r w:rsidRPr="007924E7">
              <w:rPr>
                <w:rFonts w:eastAsia="Aptos"/>
              </w:rPr>
              <w:lastRenderedPageBreak/>
              <w:t>Campaigns</w:t>
            </w:r>
          </w:p>
          <w:p w14:paraId="460C50B4" w14:textId="77777777" w:rsidR="007924E7" w:rsidRPr="007924E7" w:rsidRDefault="007924E7" w:rsidP="007924E7">
            <w:pPr>
              <w:pStyle w:val="TableBody"/>
              <w:numPr>
                <w:ilvl w:val="0"/>
                <w:numId w:val="35"/>
              </w:numPr>
              <w:rPr>
                <w:rFonts w:eastAsia="Aptos"/>
              </w:rPr>
            </w:pPr>
            <w:r w:rsidRPr="007924E7">
              <w:rPr>
                <w:rFonts w:eastAsia="Aptos"/>
              </w:rPr>
              <w:t>Targeted engagement</w:t>
            </w:r>
          </w:p>
          <w:p w14:paraId="6180E939" w14:textId="77777777" w:rsidR="007924E7" w:rsidRPr="007924E7" w:rsidRDefault="007924E7" w:rsidP="007924E7">
            <w:pPr>
              <w:pStyle w:val="TableBody"/>
              <w:numPr>
                <w:ilvl w:val="0"/>
                <w:numId w:val="35"/>
              </w:numPr>
              <w:rPr>
                <w:rFonts w:eastAsia="Aptos"/>
              </w:rPr>
            </w:pPr>
            <w:r w:rsidRPr="007924E7">
              <w:rPr>
                <w:rFonts w:eastAsia="Aptos"/>
              </w:rPr>
              <w:lastRenderedPageBreak/>
              <w:t>Desktop reviews</w:t>
            </w:r>
          </w:p>
          <w:p w14:paraId="298015C3" w14:textId="77777777" w:rsidR="007924E7" w:rsidRPr="007924E7" w:rsidRDefault="007924E7" w:rsidP="007924E7">
            <w:pPr>
              <w:pStyle w:val="TableBody"/>
              <w:numPr>
                <w:ilvl w:val="0"/>
                <w:numId w:val="35"/>
              </w:numPr>
              <w:rPr>
                <w:rFonts w:eastAsia="Aptos"/>
              </w:rPr>
            </w:pPr>
            <w:r w:rsidRPr="007924E7">
              <w:rPr>
                <w:rFonts w:eastAsia="Aptos"/>
              </w:rPr>
              <w:t>Pre-payment reviews</w:t>
            </w:r>
          </w:p>
          <w:p w14:paraId="31CF9C74" w14:textId="77777777" w:rsidR="007924E7" w:rsidRPr="007924E7" w:rsidRDefault="007924E7" w:rsidP="007924E7">
            <w:pPr>
              <w:pStyle w:val="TableBody"/>
              <w:numPr>
                <w:ilvl w:val="0"/>
                <w:numId w:val="35"/>
              </w:numPr>
              <w:rPr>
                <w:rFonts w:eastAsia="Aptos"/>
              </w:rPr>
            </w:pPr>
            <w:r w:rsidRPr="007924E7">
              <w:rPr>
                <w:rFonts w:eastAsia="Aptos"/>
              </w:rPr>
              <w:t>Post-payment reviews</w:t>
            </w:r>
          </w:p>
          <w:p w14:paraId="04B1D3FA" w14:textId="77777777" w:rsidR="007924E7" w:rsidRPr="007924E7" w:rsidRDefault="007924E7" w:rsidP="007924E7">
            <w:pPr>
              <w:pStyle w:val="TableBody"/>
              <w:numPr>
                <w:ilvl w:val="0"/>
                <w:numId w:val="35"/>
              </w:numPr>
              <w:rPr>
                <w:rFonts w:eastAsia="Aptos"/>
              </w:rPr>
            </w:pPr>
            <w:hyperlink r:id="rId26">
              <w:r w:rsidRPr="007924E7">
                <w:rPr>
                  <w:rStyle w:val="Hyperlink"/>
                  <w:rFonts w:eastAsia="Aptos"/>
                </w:rPr>
                <w:t>Manual Payment Reviews</w:t>
              </w:r>
            </w:hyperlink>
          </w:p>
          <w:p w14:paraId="351DDC63" w14:textId="77777777" w:rsidR="007924E7" w:rsidRPr="007924E7" w:rsidRDefault="007924E7" w:rsidP="007924E7">
            <w:pPr>
              <w:pStyle w:val="TableBody"/>
              <w:numPr>
                <w:ilvl w:val="0"/>
                <w:numId w:val="35"/>
              </w:numPr>
              <w:rPr>
                <w:rFonts w:eastAsia="Aptos"/>
              </w:rPr>
            </w:pPr>
            <w:r w:rsidRPr="007924E7">
              <w:rPr>
                <w:rFonts w:eastAsia="Aptos"/>
              </w:rPr>
              <w:t>Investigations (administrative &amp; criminal)</w:t>
            </w:r>
          </w:p>
          <w:p w14:paraId="559C8F24" w14:textId="77777777" w:rsidR="007924E7" w:rsidRPr="007924E7" w:rsidRDefault="007924E7" w:rsidP="007924E7">
            <w:pPr>
              <w:pStyle w:val="TableBody"/>
              <w:numPr>
                <w:ilvl w:val="0"/>
                <w:numId w:val="35"/>
              </w:numPr>
              <w:rPr>
                <w:rFonts w:eastAsia="Aptos"/>
              </w:rPr>
            </w:pPr>
            <w:hyperlink r:id="rId27">
              <w:r w:rsidRPr="007924E7">
                <w:rPr>
                  <w:rStyle w:val="Hyperlink"/>
                  <w:rFonts w:eastAsia="Aptos"/>
                </w:rPr>
                <w:t>Debt-raising</w:t>
              </w:r>
            </w:hyperlink>
            <w:r w:rsidRPr="007924E7">
              <w:rPr>
                <w:rFonts w:eastAsia="Aptos"/>
              </w:rPr>
              <w:t xml:space="preserve"> </w:t>
            </w:r>
          </w:p>
          <w:p w14:paraId="722C355C" w14:textId="77777777" w:rsidR="007924E7" w:rsidRPr="007924E7" w:rsidRDefault="007924E7" w:rsidP="007924E7">
            <w:pPr>
              <w:pStyle w:val="TableBody"/>
              <w:numPr>
                <w:ilvl w:val="0"/>
                <w:numId w:val="35"/>
              </w:numPr>
              <w:rPr>
                <w:rFonts w:eastAsia="Aptos"/>
              </w:rPr>
            </w:pPr>
            <w:r w:rsidRPr="007924E7">
              <w:rPr>
                <w:rFonts w:eastAsia="Aptos"/>
              </w:rPr>
              <w:t>Cross-Agency collaboration or referrals</w:t>
            </w:r>
          </w:p>
          <w:p w14:paraId="360D2DA9" w14:textId="25081019" w:rsidR="00AA2926" w:rsidRPr="00F327D8" w:rsidRDefault="007924E7" w:rsidP="007924E7">
            <w:pPr>
              <w:pStyle w:val="TableBody"/>
              <w:numPr>
                <w:ilvl w:val="0"/>
                <w:numId w:val="35"/>
              </w:numPr>
              <w:rPr>
                <w:szCs w:val="24"/>
              </w:rPr>
            </w:pPr>
            <w:hyperlink r:id="rId28">
              <w:r w:rsidRPr="007924E7">
                <w:rPr>
                  <w:rStyle w:val="Hyperlink"/>
                  <w:rFonts w:eastAsia="Aptos"/>
                  <w:szCs w:val="24"/>
                </w:rPr>
                <w:t xml:space="preserve">Participant safeguarding </w:t>
              </w:r>
            </w:hyperlink>
          </w:p>
        </w:tc>
      </w:tr>
      <w:tr w:rsidR="007924E7" w:rsidRPr="00965145" w14:paraId="5F869012" w14:textId="77777777" w:rsidTr="00AA2926">
        <w:tc>
          <w:tcPr>
            <w:tcW w:w="2263" w:type="dxa"/>
          </w:tcPr>
          <w:p w14:paraId="6E38A12F" w14:textId="1B45B312" w:rsidR="007924E7" w:rsidRPr="00AF6709" w:rsidRDefault="008F15BD" w:rsidP="003718C8">
            <w:pPr>
              <w:pStyle w:val="TableBody"/>
              <w:rPr>
                <w:rFonts w:eastAsia="Aptos"/>
                <w:szCs w:val="24"/>
              </w:rPr>
            </w:pPr>
            <w:r w:rsidRPr="008F15BD">
              <w:rPr>
                <w:rFonts w:eastAsia="Aptos"/>
                <w:szCs w:val="24"/>
              </w:rPr>
              <w:lastRenderedPageBreak/>
              <w:t>Deliberate non</w:t>
            </w:r>
            <w:r w:rsidR="00414C00">
              <w:rPr>
                <w:rFonts w:eastAsia="Aptos"/>
                <w:szCs w:val="24"/>
              </w:rPr>
              <w:noBreakHyphen/>
            </w:r>
            <w:r w:rsidRPr="008F15BD">
              <w:rPr>
                <w:rFonts w:eastAsia="Aptos"/>
                <w:szCs w:val="24"/>
              </w:rPr>
              <w:t>compliance</w:t>
            </w:r>
          </w:p>
        </w:tc>
        <w:tc>
          <w:tcPr>
            <w:tcW w:w="2127" w:type="dxa"/>
          </w:tcPr>
          <w:p w14:paraId="0D8C83DC" w14:textId="47E267AD" w:rsidR="007924E7" w:rsidRPr="004039D1" w:rsidRDefault="00AF2E8B" w:rsidP="003718C8">
            <w:pPr>
              <w:pStyle w:val="TableBody"/>
              <w:rPr>
                <w:rFonts w:eastAsia="Aptos"/>
                <w:szCs w:val="24"/>
              </w:rPr>
            </w:pPr>
            <w:r w:rsidRPr="00AF2E8B">
              <w:rPr>
                <w:rFonts w:eastAsia="Aptos"/>
                <w:szCs w:val="24"/>
              </w:rPr>
              <w:t>Intentional disregard/ deliberate choices made not to comply.</w:t>
            </w:r>
          </w:p>
        </w:tc>
        <w:tc>
          <w:tcPr>
            <w:tcW w:w="4626" w:type="dxa"/>
          </w:tcPr>
          <w:p w14:paraId="3CD88D68" w14:textId="77777777" w:rsidR="00DC1AE8" w:rsidRPr="00DC1AE8" w:rsidRDefault="00DC1AE8" w:rsidP="00DC1AE8">
            <w:pPr>
              <w:pStyle w:val="TableBody"/>
              <w:numPr>
                <w:ilvl w:val="0"/>
                <w:numId w:val="30"/>
              </w:numPr>
              <w:rPr>
                <w:rFonts w:eastAsia="Aptos"/>
              </w:rPr>
            </w:pPr>
            <w:r w:rsidRPr="00DC1AE8">
              <w:rPr>
                <w:rFonts w:eastAsia="Aptos"/>
              </w:rPr>
              <w:t xml:space="preserve">Pre-payment reviews </w:t>
            </w:r>
          </w:p>
          <w:p w14:paraId="5AB5A938" w14:textId="77777777" w:rsidR="00DC1AE8" w:rsidRPr="00DC1AE8" w:rsidRDefault="00DC1AE8" w:rsidP="00DC1AE8">
            <w:pPr>
              <w:pStyle w:val="TableBody"/>
              <w:numPr>
                <w:ilvl w:val="0"/>
                <w:numId w:val="30"/>
              </w:numPr>
              <w:rPr>
                <w:rFonts w:eastAsia="Aptos"/>
              </w:rPr>
            </w:pPr>
            <w:r w:rsidRPr="00DC1AE8">
              <w:rPr>
                <w:rFonts w:eastAsia="Aptos"/>
              </w:rPr>
              <w:t>Post-payment reviews</w:t>
            </w:r>
          </w:p>
          <w:p w14:paraId="0629AC67" w14:textId="77777777" w:rsidR="00DC1AE8" w:rsidRPr="00DC1AE8" w:rsidRDefault="00DC1AE8" w:rsidP="00DC1AE8">
            <w:pPr>
              <w:pStyle w:val="TableBody"/>
              <w:numPr>
                <w:ilvl w:val="0"/>
                <w:numId w:val="30"/>
              </w:numPr>
              <w:rPr>
                <w:rFonts w:eastAsia="Aptos"/>
              </w:rPr>
            </w:pPr>
            <w:hyperlink r:id="rId29">
              <w:r w:rsidRPr="00DC1AE8">
                <w:rPr>
                  <w:rStyle w:val="Hyperlink"/>
                  <w:rFonts w:eastAsia="Aptos"/>
                </w:rPr>
                <w:t>Manual Payment Reviews</w:t>
              </w:r>
            </w:hyperlink>
          </w:p>
          <w:p w14:paraId="07C7A3D8" w14:textId="77777777" w:rsidR="00DC1AE8" w:rsidRPr="00DC1AE8" w:rsidRDefault="00DC1AE8" w:rsidP="00DC1AE8">
            <w:pPr>
              <w:pStyle w:val="TableBody"/>
              <w:numPr>
                <w:ilvl w:val="0"/>
                <w:numId w:val="30"/>
              </w:numPr>
              <w:rPr>
                <w:rFonts w:eastAsia="Aptos"/>
              </w:rPr>
            </w:pPr>
            <w:r w:rsidRPr="00DC1AE8">
              <w:rPr>
                <w:rFonts w:eastAsia="Aptos"/>
              </w:rPr>
              <w:t xml:space="preserve">Desk top reviews </w:t>
            </w:r>
          </w:p>
          <w:p w14:paraId="10E54055" w14:textId="77777777" w:rsidR="00DC1AE8" w:rsidRPr="00DC1AE8" w:rsidRDefault="00DC1AE8" w:rsidP="00DC1AE8">
            <w:pPr>
              <w:pStyle w:val="TableBody"/>
              <w:numPr>
                <w:ilvl w:val="0"/>
                <w:numId w:val="30"/>
              </w:numPr>
              <w:rPr>
                <w:rFonts w:eastAsia="Aptos"/>
              </w:rPr>
            </w:pPr>
            <w:r w:rsidRPr="00DC1AE8">
              <w:rPr>
                <w:rFonts w:eastAsia="Aptos"/>
              </w:rPr>
              <w:t>Investigations (administrative &amp; criminal)</w:t>
            </w:r>
          </w:p>
          <w:p w14:paraId="45E1AC75" w14:textId="77777777" w:rsidR="00DC1AE8" w:rsidRPr="00DC1AE8" w:rsidRDefault="00DC1AE8" w:rsidP="00DC1AE8">
            <w:pPr>
              <w:pStyle w:val="TableBody"/>
              <w:numPr>
                <w:ilvl w:val="0"/>
                <w:numId w:val="30"/>
              </w:numPr>
              <w:rPr>
                <w:rFonts w:eastAsia="Aptos"/>
              </w:rPr>
            </w:pPr>
            <w:hyperlink r:id="rId30">
              <w:r w:rsidRPr="00DC1AE8">
                <w:rPr>
                  <w:rStyle w:val="Hyperlink"/>
                  <w:rFonts w:eastAsia="Aptos"/>
                </w:rPr>
                <w:t>Debt-raising</w:t>
              </w:r>
            </w:hyperlink>
          </w:p>
          <w:p w14:paraId="7DA1EB74" w14:textId="77777777" w:rsidR="00DC1AE8" w:rsidRPr="00DC1AE8" w:rsidRDefault="00DC1AE8" w:rsidP="00DC1AE8">
            <w:pPr>
              <w:pStyle w:val="TableBody"/>
              <w:numPr>
                <w:ilvl w:val="0"/>
                <w:numId w:val="30"/>
              </w:numPr>
              <w:rPr>
                <w:rFonts w:eastAsia="Aptos"/>
              </w:rPr>
            </w:pPr>
            <w:r w:rsidRPr="00DC1AE8">
              <w:rPr>
                <w:rFonts w:eastAsia="Aptos"/>
              </w:rPr>
              <w:t>Criminal prosecution</w:t>
            </w:r>
          </w:p>
          <w:p w14:paraId="71C6A017" w14:textId="77777777" w:rsidR="00DC1AE8" w:rsidRDefault="00DC1AE8" w:rsidP="00DC1AE8">
            <w:pPr>
              <w:pStyle w:val="TableBody"/>
              <w:numPr>
                <w:ilvl w:val="0"/>
                <w:numId w:val="30"/>
              </w:numPr>
              <w:rPr>
                <w:rFonts w:eastAsia="Aptos"/>
              </w:rPr>
            </w:pPr>
            <w:r w:rsidRPr="00DC1AE8">
              <w:rPr>
                <w:rFonts w:eastAsia="Aptos"/>
              </w:rPr>
              <w:t>Cross-Agency collaboration or referrals</w:t>
            </w:r>
          </w:p>
          <w:p w14:paraId="62AB4518" w14:textId="26ADBA09" w:rsidR="007924E7" w:rsidRPr="00DC1AE8" w:rsidRDefault="00DC1AE8" w:rsidP="00DC1AE8">
            <w:pPr>
              <w:pStyle w:val="TableBody"/>
              <w:numPr>
                <w:ilvl w:val="0"/>
                <w:numId w:val="30"/>
              </w:numPr>
              <w:rPr>
                <w:rFonts w:eastAsia="Aptos"/>
              </w:rPr>
            </w:pPr>
            <w:hyperlink r:id="rId31">
              <w:r w:rsidRPr="00DC1AE8">
                <w:rPr>
                  <w:rStyle w:val="Hyperlink"/>
                  <w:rFonts w:eastAsia="Aptos"/>
                </w:rPr>
                <w:t xml:space="preserve">Participant safeguarding </w:t>
              </w:r>
            </w:hyperlink>
          </w:p>
        </w:tc>
      </w:tr>
    </w:tbl>
    <w:p w14:paraId="01CD8AE5" w14:textId="5AB60F93" w:rsidR="00041DFB" w:rsidRDefault="00FE25E0" w:rsidP="003A0978">
      <w:pPr>
        <w:pStyle w:val="Heading2"/>
        <w:pageBreakBefore/>
      </w:pPr>
      <w:bookmarkStart w:id="45" w:name="_Toc227061845"/>
      <w:bookmarkStart w:id="46" w:name="_Hlk198623720"/>
      <w:r>
        <w:lastRenderedPageBreak/>
        <w:t>Our compliance activities</w:t>
      </w:r>
      <w:bookmarkEnd w:id="45"/>
    </w:p>
    <w:p w14:paraId="65ADE594" w14:textId="54F22153" w:rsidR="00EE75C7" w:rsidRPr="00EE75C7" w:rsidRDefault="00F62618" w:rsidP="00F62618">
      <w:pPr>
        <w:pStyle w:val="Heading3"/>
      </w:pPr>
      <w:bookmarkStart w:id="47" w:name="_Toc227061846"/>
      <w:r>
        <w:t>Prevention</w:t>
      </w:r>
      <w:bookmarkEnd w:id="47"/>
    </w:p>
    <w:bookmarkEnd w:id="46"/>
    <w:p w14:paraId="310C5E31" w14:textId="77777777" w:rsidR="005D1737" w:rsidRPr="006200CF" w:rsidRDefault="005D1737" w:rsidP="005D1737">
      <w:r w:rsidRPr="006200CF">
        <w:t xml:space="preserve">We are working within the multi-Agency </w:t>
      </w:r>
      <w:hyperlink r:id="rId32" w:history="1">
        <w:r w:rsidRPr="006200CF">
          <w:rPr>
            <w:rStyle w:val="Hyperlink"/>
            <w:rFonts w:eastAsia="Arial" w:cs="Arial"/>
          </w:rPr>
          <w:t>Fraud Fusion Taskforce</w:t>
        </w:r>
      </w:hyperlink>
      <w:r w:rsidRPr="006200CF">
        <w:t xml:space="preserve"> (FFT) to design and implement better NDIA and whole-of-government systems that prevent fraud and non-compliance before harm occurs.</w:t>
      </w:r>
    </w:p>
    <w:p w14:paraId="42863ED7" w14:textId="77777777" w:rsidR="005D1737" w:rsidRPr="006200CF" w:rsidRDefault="005D1737" w:rsidP="005D1737">
      <w:pPr>
        <w:rPr>
          <w:szCs w:val="22"/>
        </w:rPr>
      </w:pPr>
      <w:r w:rsidRPr="006200CF">
        <w:rPr>
          <w:color w:val="222222"/>
          <w:szCs w:val="22"/>
        </w:rPr>
        <w:t>The safety and wellbeing of participants is our priority when we investigate or take action against fraud or non-compliance.</w:t>
      </w:r>
      <w:r w:rsidRPr="006200CF">
        <w:rPr>
          <w:szCs w:val="22"/>
        </w:rPr>
        <w:t xml:space="preserve"> Safeguarding of participants to ensure they are getting genuine support from their NDIS plan is central to the compliance and enforcement approach taken by the NDIA. </w:t>
      </w:r>
    </w:p>
    <w:p w14:paraId="33258B0F" w14:textId="77777777" w:rsidR="005D1737" w:rsidRPr="006200CF" w:rsidRDefault="005D1737" w:rsidP="005D1737">
      <w:r w:rsidRPr="006200CF">
        <w:t>We are focused on designing systems and controls that support compliant behaviour. We ensure quality and integrity is embedded into every touch point our participants, providers and other stakeholders have with the NDIS, including access, planning and claims and payments processes. Fraud controls are regularly reviewed. This ongoing improvement includes investment in data, digital and analytics programs, enhancing fraud detection in line with contemporary best practice. For example, we are strengthening payment systems to ensure non-compliant claiming is identified and stopped prior to processing.</w:t>
      </w:r>
    </w:p>
    <w:p w14:paraId="425486D5" w14:textId="77777777" w:rsidR="005D1737" w:rsidRPr="006200CF" w:rsidRDefault="005D1737" w:rsidP="005D1737">
      <w:r w:rsidRPr="006200CF">
        <w:t>We take a strategic approach that incorporates identity verification controls and cross-government data sharing to build risk profiles which strengthen fraud prevention and minimise the opportunity for error or non-compliance. A whole of government approach also enables the development of strategic prevention that leverages capability across a number of Commonwealth Agencies and partners in state and territory governments.</w:t>
      </w:r>
    </w:p>
    <w:p w14:paraId="3FC55EB0" w14:textId="77777777" w:rsidR="005D1737" w:rsidRDefault="005D1737" w:rsidP="005D1737">
      <w:r w:rsidRPr="006200CF">
        <w:t>Other prevention efforts include targeted education and engagement activities with individuals, the NDIS market, and the broader disability sector to ensure accurate community understanding of what good looks like, and how to identify potentially non-compliant and fraudulent behaviour. We utilise media to raise awareness to deter fraud and to highlight enforcement actions.</w:t>
      </w:r>
    </w:p>
    <w:p w14:paraId="4F3888B3" w14:textId="5D1EC18B" w:rsidR="005D1737" w:rsidRDefault="005D1737" w:rsidP="005D1737">
      <w:pPr>
        <w:pStyle w:val="Heading3"/>
      </w:pPr>
      <w:bookmarkStart w:id="48" w:name="_Toc227061847"/>
      <w:r>
        <w:lastRenderedPageBreak/>
        <w:t>Detection</w:t>
      </w:r>
      <w:bookmarkEnd w:id="48"/>
    </w:p>
    <w:p w14:paraId="2BE58591" w14:textId="77777777" w:rsidR="007A21BB" w:rsidRDefault="007A21BB" w:rsidP="003F1695">
      <w:r>
        <w:t>We are working within the multi-Agency FFT to share and use data to easily and quickly identify risks of non-compliance and fraud.</w:t>
      </w:r>
    </w:p>
    <w:p w14:paraId="1F41DB8D" w14:textId="77777777" w:rsidR="007A21BB" w:rsidRPr="006200CF" w:rsidRDefault="007A21BB" w:rsidP="003F1695">
      <w:pPr>
        <w:rPr>
          <w:rStyle w:val="Hyperlink"/>
          <w:rFonts w:eastAsia="Arial" w:cs="Arial"/>
          <w:lang w:val="en-US"/>
        </w:rPr>
      </w:pPr>
      <w:r w:rsidRPr="003F1695">
        <w:t>More details on the NDIA’s approach to detecting and managing fraud can be found in the Agency's</w:t>
      </w:r>
      <w:r w:rsidRPr="006200CF">
        <w:rPr>
          <w:rFonts w:eastAsia="Arial" w:cs="Arial"/>
          <w:color w:val="6B2876" w:themeColor="text1"/>
          <w:lang w:val="en-US"/>
        </w:rPr>
        <w:t xml:space="preserve"> </w:t>
      </w:r>
      <w:hyperlink r:id="rId33">
        <w:r w:rsidRPr="006200CF">
          <w:rPr>
            <w:rStyle w:val="Hyperlink"/>
            <w:rFonts w:eastAsia="Arial" w:cs="Arial"/>
            <w:lang w:val="en-US"/>
          </w:rPr>
          <w:t>Fraud Strategy Statement</w:t>
        </w:r>
      </w:hyperlink>
      <w:r>
        <w:t>.</w:t>
      </w:r>
    </w:p>
    <w:p w14:paraId="3C907BD3" w14:textId="77777777" w:rsidR="007A21BB" w:rsidRPr="006200CF" w:rsidRDefault="007A21BB" w:rsidP="003F1695">
      <w:pPr>
        <w:rPr>
          <w:rFonts w:eastAsia="Arial" w:cs="Arial"/>
        </w:rPr>
      </w:pPr>
      <w:r w:rsidRPr="003F1695">
        <w:t>Fraud detection includes the building of fraud risk profiles to analyse data and identify instances of potential fraud and corruption</w:t>
      </w:r>
      <w:r w:rsidRPr="006200CF">
        <w:rPr>
          <w:rFonts w:eastAsia="Arial" w:cs="Arial"/>
          <w:color w:val="6B2876" w:themeColor="text1"/>
        </w:rPr>
        <w:t xml:space="preserve">. </w:t>
      </w:r>
      <w:r w:rsidRPr="006200CF">
        <w:rPr>
          <w:rFonts w:eastAsia="Arial" w:cs="Arial"/>
        </w:rPr>
        <w:t>Some of the detection methods the Agency employs include:</w:t>
      </w:r>
    </w:p>
    <w:p w14:paraId="0DEB320F" w14:textId="77777777" w:rsidR="007A21BB" w:rsidRPr="003F1695" w:rsidRDefault="007A21BB" w:rsidP="003F1695">
      <w:pPr>
        <w:pStyle w:val="ListParagraph"/>
        <w:numPr>
          <w:ilvl w:val="0"/>
          <w:numId w:val="37"/>
        </w:numPr>
        <w:rPr>
          <w:rFonts w:eastAsia="Arial" w:cs="Arial"/>
        </w:rPr>
      </w:pPr>
      <w:r w:rsidRPr="003F1695">
        <w:rPr>
          <w:rFonts w:eastAsia="Arial" w:cs="Arial"/>
        </w:rPr>
        <w:t>Pre-payment detection profiles identifying risk across all daily claims.</w:t>
      </w:r>
    </w:p>
    <w:p w14:paraId="12EC2C37" w14:textId="77777777" w:rsidR="007A21BB" w:rsidRPr="003F1695" w:rsidRDefault="007A21BB" w:rsidP="003F1695">
      <w:pPr>
        <w:pStyle w:val="ListParagraph"/>
        <w:numPr>
          <w:ilvl w:val="0"/>
          <w:numId w:val="37"/>
        </w:numPr>
        <w:rPr>
          <w:rFonts w:eastAsia="Arial" w:cs="Arial"/>
        </w:rPr>
      </w:pPr>
      <w:r w:rsidRPr="003F1695">
        <w:rPr>
          <w:rFonts w:eastAsia="Arial" w:cs="Arial"/>
        </w:rPr>
        <w:t>Other proactive detection profiles across a range of data sources.</w:t>
      </w:r>
    </w:p>
    <w:p w14:paraId="0968E764" w14:textId="77777777" w:rsidR="007A21BB" w:rsidRPr="003F1695" w:rsidRDefault="007A21BB" w:rsidP="003F1695">
      <w:pPr>
        <w:pStyle w:val="ListParagraph"/>
        <w:numPr>
          <w:ilvl w:val="0"/>
          <w:numId w:val="37"/>
        </w:numPr>
        <w:rPr>
          <w:rFonts w:eastAsia="Arial" w:cs="Arial"/>
        </w:rPr>
      </w:pPr>
      <w:r w:rsidRPr="003F1695">
        <w:rPr>
          <w:rFonts w:eastAsia="Arial" w:cs="Arial"/>
        </w:rPr>
        <w:t>Analysis of tip-offs and on-going work on enhancing fraud detection systems.</w:t>
      </w:r>
    </w:p>
    <w:p w14:paraId="18819DA7" w14:textId="77777777" w:rsidR="007A21BB" w:rsidRPr="003F1695" w:rsidRDefault="007A21BB" w:rsidP="003F1695">
      <w:pPr>
        <w:pStyle w:val="ListParagraph"/>
        <w:numPr>
          <w:ilvl w:val="0"/>
          <w:numId w:val="37"/>
        </w:numPr>
        <w:rPr>
          <w:rFonts w:eastAsia="Arial" w:cs="Arial"/>
        </w:rPr>
      </w:pPr>
      <w:r w:rsidRPr="003F1695">
        <w:rPr>
          <w:rFonts w:eastAsia="Arial" w:cs="Arial"/>
        </w:rPr>
        <w:t>Facilitation of proactive data analytics and analysis of intelligence from a range of sources.</w:t>
      </w:r>
    </w:p>
    <w:p w14:paraId="3F89DD98" w14:textId="77777777" w:rsidR="007A21BB" w:rsidRPr="003F1695" w:rsidRDefault="007A21BB" w:rsidP="003F1695">
      <w:pPr>
        <w:pStyle w:val="ListParagraph"/>
        <w:numPr>
          <w:ilvl w:val="0"/>
          <w:numId w:val="37"/>
        </w:numPr>
        <w:rPr>
          <w:rFonts w:eastAsia="Arial" w:cs="Arial"/>
        </w:rPr>
      </w:pPr>
      <w:r w:rsidRPr="003F1695">
        <w:rPr>
          <w:rFonts w:eastAsia="Arial" w:cs="Arial"/>
        </w:rPr>
        <w:t>Cyber security detection profiles.</w:t>
      </w:r>
    </w:p>
    <w:p w14:paraId="2706E677" w14:textId="77777777" w:rsidR="007A21BB" w:rsidRPr="003F1695" w:rsidRDefault="007A21BB" w:rsidP="003F1695">
      <w:pPr>
        <w:pStyle w:val="ListParagraph"/>
        <w:numPr>
          <w:ilvl w:val="0"/>
          <w:numId w:val="37"/>
        </w:numPr>
        <w:rPr>
          <w:rFonts w:eastAsia="Arial" w:cs="Arial"/>
        </w:rPr>
      </w:pPr>
      <w:r w:rsidRPr="003F1695">
        <w:rPr>
          <w:rFonts w:eastAsia="Arial" w:cs="Arial"/>
        </w:rPr>
        <w:t>Strengthening existing controls around digital identity and access management.</w:t>
      </w:r>
    </w:p>
    <w:p w14:paraId="4EC41954" w14:textId="77777777" w:rsidR="007A21BB" w:rsidRPr="006200CF" w:rsidRDefault="007A21BB" w:rsidP="003F1695">
      <w:pPr>
        <w:pStyle w:val="ListParagraph"/>
        <w:numPr>
          <w:ilvl w:val="0"/>
          <w:numId w:val="37"/>
        </w:numPr>
      </w:pPr>
      <w:r w:rsidRPr="006200CF">
        <w:t xml:space="preserve">We have multiple and simple ways for any person to report a concern or make a </w:t>
      </w:r>
      <w:hyperlink r:id="rId34" w:history="1">
        <w:r w:rsidRPr="006200CF">
          <w:t>tip-off</w:t>
        </w:r>
      </w:hyperlink>
      <w:r w:rsidRPr="006200CF">
        <w:t>.</w:t>
      </w:r>
    </w:p>
    <w:p w14:paraId="08485F62" w14:textId="4D0E9A84" w:rsidR="005D1737" w:rsidRDefault="007A21BB" w:rsidP="003F1695">
      <w:r>
        <w:t>All potential instances of fraud and corruption are then validated through further investigation. Determination of fraud risk informs the type of controls and treatments to be applied.</w:t>
      </w:r>
    </w:p>
    <w:p w14:paraId="4BE0922C" w14:textId="6F988499" w:rsidR="00D82C55" w:rsidRDefault="00D82C55" w:rsidP="00D82C55">
      <w:pPr>
        <w:pStyle w:val="Heading3"/>
      </w:pPr>
      <w:bookmarkStart w:id="49" w:name="_Toc227061848"/>
      <w:r>
        <w:t>Investigation</w:t>
      </w:r>
      <w:bookmarkEnd w:id="49"/>
    </w:p>
    <w:p w14:paraId="7338A976" w14:textId="552D8BDE" w:rsidR="00D04D47" w:rsidRDefault="00D04D47" w:rsidP="00D04D47">
      <w:r>
        <w:t xml:space="preserve">We initiate and undertake administrative and criminal investigations using the </w:t>
      </w:r>
      <w:hyperlink r:id="rId35">
        <w:r w:rsidRPr="2E7A48B9">
          <w:rPr>
            <w:rStyle w:val="Hyperlink"/>
          </w:rPr>
          <w:t>Australian Government Investigation Standards</w:t>
        </w:r>
      </w:hyperlink>
      <w:r>
        <w:t xml:space="preserve"> (AGIS) as best practice guidance.</w:t>
      </w:r>
      <w:r w:rsidRPr="006200CF">
        <w:rPr>
          <w:rFonts w:eastAsia="Arial" w:cs="Arial"/>
          <w:color w:val="6B2876" w:themeColor="text1"/>
        </w:rPr>
        <w:t xml:space="preserve"> </w:t>
      </w:r>
      <w:r w:rsidRPr="00D04D47">
        <w:t>As part of the investigation process the Agency may seek evidence from independent sources including financial institutions and other providers.</w:t>
      </w:r>
    </w:p>
    <w:p w14:paraId="5FC9F8A5" w14:textId="77777777" w:rsidR="00D04D47" w:rsidRPr="00550457" w:rsidRDefault="00D04D47" w:rsidP="00D04D47">
      <w:pPr>
        <w:rPr>
          <w:b/>
        </w:rPr>
      </w:pPr>
      <w:r w:rsidRPr="5DBC1E2F">
        <w:rPr>
          <w:b/>
        </w:rPr>
        <w:lastRenderedPageBreak/>
        <w:t>Administrative investigations</w:t>
      </w:r>
    </w:p>
    <w:p w14:paraId="6254B79E" w14:textId="643C8096" w:rsidR="00D04D47" w:rsidRPr="006200CF" w:rsidRDefault="00D04D47" w:rsidP="00D04D47">
      <w:r w:rsidRPr="006200CF">
        <w:t>Suspected non-compliance is investigated through administrative investigations which can result in debts being raised where it is found that there is no entitlement to NDIS monies.</w:t>
      </w:r>
    </w:p>
    <w:p w14:paraId="671514E4" w14:textId="7640BDC3" w:rsidR="00D04D47" w:rsidRPr="006200CF" w:rsidRDefault="00D04D47" w:rsidP="00D04D47">
      <w:r w:rsidRPr="5FBDF02A">
        <w:t>NDIA will seek to recover funds obtained through non-compliant activities through administrative channels in accordance with Agency practices and available legal avenues.</w:t>
      </w:r>
    </w:p>
    <w:p w14:paraId="2ECF6FA2" w14:textId="77777777" w:rsidR="00D04D47" w:rsidRPr="00D04D47" w:rsidRDefault="00D04D47" w:rsidP="00D04D47">
      <w:pPr>
        <w:rPr>
          <w:b/>
          <w:bCs/>
        </w:rPr>
      </w:pPr>
      <w:r w:rsidRPr="00D04D47">
        <w:rPr>
          <w:b/>
          <w:bCs/>
        </w:rPr>
        <w:t>Criminal investigations</w:t>
      </w:r>
    </w:p>
    <w:p w14:paraId="66FA568B" w14:textId="77777777" w:rsidR="00D04D47" w:rsidRPr="006200CF" w:rsidRDefault="00D04D47" w:rsidP="00D04D47">
      <w:r w:rsidRPr="006200CF">
        <w:t>Alleged fraudulent activity is investigated by the NDIA with assistance of the Australian Federal Police and state and territory law enforcement partners. The NDIA will work with Commonwealth and state and territory public service agencies to ensure providers in the NDIS marketplace are high quality and have not had compliance issues in other markets. For the most serious cases NDIA will pursue asset restraint and court reparations using Commonwealth and state and territory powers to return NDIS monies fraudulently obtained.</w:t>
      </w:r>
    </w:p>
    <w:p w14:paraId="2CD6F148" w14:textId="77777777" w:rsidR="00D04D47" w:rsidRPr="00D04D47" w:rsidRDefault="00D04D47" w:rsidP="00D04D47">
      <w:pPr>
        <w:rPr>
          <w:b/>
          <w:bCs/>
        </w:rPr>
      </w:pPr>
      <w:r w:rsidRPr="00D04D47">
        <w:rPr>
          <w:b/>
          <w:bCs/>
        </w:rPr>
        <w:t>Protecting participants</w:t>
      </w:r>
    </w:p>
    <w:p w14:paraId="4CF32861" w14:textId="5BF36718" w:rsidR="00D04D47" w:rsidRPr="006200CF" w:rsidRDefault="00D04D47" w:rsidP="00D04D47">
      <w:pPr>
        <w:rPr>
          <w:rFonts w:eastAsia="Arial" w:cs="Arial"/>
          <w:color w:val="6B2876" w:themeColor="text1"/>
        </w:rPr>
      </w:pPr>
      <w:r w:rsidRPr="00D04D47">
        <w:t>Every investigation is</w:t>
      </w:r>
      <w:r w:rsidRPr="006200CF">
        <w:rPr>
          <w:rFonts w:eastAsia="Arial" w:cs="Arial"/>
          <w:color w:val="6B2876" w:themeColor="text1"/>
        </w:rPr>
        <w:t xml:space="preserve"> </w:t>
      </w:r>
      <w:r>
        <w:t>committed to ensuring participant safety and the continuity of genuine disability-related NDIS supports for NDIS participants. We undertake participant risk assessments and work with internal and external partners like the NDIS Quality and Safeguards Commission (NDIS Commission) to support participants impacted by suspected non-compliance and fraud. Priorities include</w:t>
      </w:r>
      <w:r w:rsidR="008805AB">
        <w:t>:</w:t>
      </w:r>
    </w:p>
    <w:p w14:paraId="2760E72F" w14:textId="77777777" w:rsidR="00D04D47" w:rsidRPr="00D04D47" w:rsidRDefault="00D04D47" w:rsidP="00D04D47">
      <w:pPr>
        <w:pStyle w:val="ListParagraph"/>
        <w:numPr>
          <w:ilvl w:val="0"/>
          <w:numId w:val="38"/>
        </w:numPr>
        <w:rPr>
          <w:rFonts w:eastAsia="Arial" w:cs="Arial"/>
        </w:rPr>
      </w:pPr>
      <w:r w:rsidRPr="00D04D47">
        <w:rPr>
          <w:rFonts w:eastAsia="Arial" w:cs="Arial"/>
        </w:rPr>
        <w:t>protecting the rights of people with disability</w:t>
      </w:r>
    </w:p>
    <w:p w14:paraId="4B91B6A9" w14:textId="77777777" w:rsidR="00D04D47" w:rsidRPr="00D04D47" w:rsidRDefault="00D04D47" w:rsidP="00D04D47">
      <w:pPr>
        <w:pStyle w:val="ListParagraph"/>
        <w:numPr>
          <w:ilvl w:val="0"/>
          <w:numId w:val="38"/>
        </w:numPr>
        <w:rPr>
          <w:rFonts w:eastAsia="Arial" w:cs="Arial"/>
        </w:rPr>
      </w:pPr>
      <w:r w:rsidRPr="00D04D47">
        <w:rPr>
          <w:rFonts w:eastAsia="Arial" w:cs="Arial"/>
        </w:rPr>
        <w:t>improving and regulating the quality and safety of positive behaviour support</w:t>
      </w:r>
    </w:p>
    <w:p w14:paraId="30196144" w14:textId="77777777" w:rsidR="00D04D47" w:rsidRPr="008815AD" w:rsidRDefault="00D04D47" w:rsidP="00D04D47">
      <w:pPr>
        <w:pStyle w:val="ListParagraph"/>
        <w:numPr>
          <w:ilvl w:val="0"/>
          <w:numId w:val="38"/>
        </w:numPr>
      </w:pPr>
      <w:r w:rsidRPr="00D04D47">
        <w:rPr>
          <w:rFonts w:eastAsia="Arial" w:cs="Arial"/>
        </w:rPr>
        <w:t>reducing and eliminating restrictive practices.</w:t>
      </w:r>
    </w:p>
    <w:p w14:paraId="57CBEC1F" w14:textId="7465D58E" w:rsidR="008815AD" w:rsidRDefault="008815AD" w:rsidP="008815AD">
      <w:pPr>
        <w:pStyle w:val="Heading3"/>
      </w:pPr>
      <w:bookmarkStart w:id="50" w:name="_Toc227061849"/>
      <w:r>
        <w:t>Response</w:t>
      </w:r>
      <w:bookmarkEnd w:id="50"/>
    </w:p>
    <w:p w14:paraId="6B5861BA" w14:textId="77777777" w:rsidR="00F610DC" w:rsidRPr="00F610DC" w:rsidRDefault="00F610DC" w:rsidP="00F610DC">
      <w:pPr>
        <w:rPr>
          <w:b/>
          <w:bCs/>
        </w:rPr>
      </w:pPr>
      <w:bookmarkStart w:id="51" w:name="_Toc1207983573"/>
      <w:bookmarkStart w:id="52" w:name="_Toc112485584"/>
      <w:bookmarkStart w:id="53" w:name="_Toc1489488816"/>
      <w:bookmarkStart w:id="54" w:name="_Toc30893712"/>
      <w:bookmarkStart w:id="55" w:name="_Toc1411778800"/>
      <w:bookmarkStart w:id="56" w:name="_Toc726348837"/>
      <w:r w:rsidRPr="00F610DC">
        <w:rPr>
          <w:b/>
          <w:bCs/>
        </w:rPr>
        <w:t>Targeted responses</w:t>
      </w:r>
      <w:bookmarkEnd w:id="51"/>
      <w:bookmarkEnd w:id="52"/>
      <w:bookmarkEnd w:id="53"/>
      <w:bookmarkEnd w:id="54"/>
      <w:bookmarkEnd w:id="55"/>
      <w:bookmarkEnd w:id="56"/>
    </w:p>
    <w:p w14:paraId="38AA035F" w14:textId="77777777" w:rsidR="00F610DC" w:rsidRPr="006200CF" w:rsidRDefault="00F610DC" w:rsidP="00F610DC">
      <w:pPr>
        <w:rPr>
          <w:rFonts w:eastAsia="Arial" w:cs="Arial"/>
          <w:color w:val="6B2876" w:themeColor="text1"/>
        </w:rPr>
      </w:pPr>
      <w:r w:rsidRPr="00F610DC">
        <w:lastRenderedPageBreak/>
        <w:t>We use data and intelligence to target entities (businesses or individuals) suspected of non-compliance or fraud. We may educate, monitor, engage and caution targeted entities. We may review, monitor and, at times, cease entities’ spending, claims and payments. Our reviews are a form of administrative investigation and can involve the use of the Agency's legal powers to obtain information and evidence. These reviews</w:t>
      </w:r>
      <w:r>
        <w:t xml:space="preserve"> help safeguard participants’ plans and provide a layer of integrity over high-risk providers to protect participants from being exploited. </w:t>
      </w:r>
      <w:r w:rsidRPr="00F610DC">
        <w:t>Where we detect significant issues, we may:</w:t>
      </w:r>
    </w:p>
    <w:p w14:paraId="6D503571" w14:textId="77777777" w:rsidR="00F610DC" w:rsidRPr="006200CF" w:rsidRDefault="00F610DC" w:rsidP="00F610DC">
      <w:pPr>
        <w:pStyle w:val="ListParagraph"/>
        <w:numPr>
          <w:ilvl w:val="0"/>
          <w:numId w:val="40"/>
        </w:numPr>
      </w:pPr>
      <w:r w:rsidRPr="006200CF">
        <w:t>Initiate interventions to ensure participant safeguarding.</w:t>
      </w:r>
    </w:p>
    <w:p w14:paraId="391F1967" w14:textId="77777777" w:rsidR="00F610DC" w:rsidRPr="006200CF" w:rsidRDefault="00F610DC" w:rsidP="00F610DC">
      <w:pPr>
        <w:pStyle w:val="ListParagraph"/>
        <w:numPr>
          <w:ilvl w:val="0"/>
          <w:numId w:val="40"/>
        </w:numPr>
      </w:pPr>
      <w:hyperlink r:id="rId36">
        <w:r w:rsidRPr="006200CF">
          <w:t>Raise debts</w:t>
        </w:r>
      </w:hyperlink>
      <w:r w:rsidRPr="006200CF">
        <w:t>.</w:t>
      </w:r>
    </w:p>
    <w:p w14:paraId="791E46E0" w14:textId="77777777" w:rsidR="00F610DC" w:rsidRPr="006200CF" w:rsidRDefault="00F610DC" w:rsidP="00F610DC">
      <w:pPr>
        <w:pStyle w:val="ListParagraph"/>
        <w:numPr>
          <w:ilvl w:val="0"/>
          <w:numId w:val="40"/>
        </w:numPr>
      </w:pPr>
      <w:r w:rsidRPr="006200CF">
        <w:t xml:space="preserve">Refer the entity to the NDIS Commission where compliance and enforcement tools include actions, penalties and sanctions, that come from the Commission directly or from a court ruling. For more information about commission compliance and enforcement actions please consult the NDIS Commission </w:t>
      </w:r>
      <w:hyperlink r:id="rId37">
        <w:r w:rsidRPr="00F610DC">
          <w:rPr>
            <w:rStyle w:val="Hyperlink"/>
            <w:rFonts w:eastAsia="Arial" w:cs="Arial"/>
          </w:rPr>
          <w:t>Compliance and Enforcement policy</w:t>
        </w:r>
      </w:hyperlink>
      <w:r>
        <w:t>.</w:t>
      </w:r>
    </w:p>
    <w:p w14:paraId="19920400" w14:textId="77777777" w:rsidR="00F610DC" w:rsidRPr="006200CF" w:rsidRDefault="00F610DC" w:rsidP="00F610DC">
      <w:pPr>
        <w:pStyle w:val="ListParagraph"/>
        <w:numPr>
          <w:ilvl w:val="0"/>
          <w:numId w:val="40"/>
        </w:numPr>
      </w:pPr>
      <w:r w:rsidRPr="006200CF">
        <w:t>Refer the entity to partner FFT agencies to assess and resolve potential breaches of other obligations.</w:t>
      </w:r>
    </w:p>
    <w:p w14:paraId="11B03AF6" w14:textId="77777777" w:rsidR="00F610DC" w:rsidRPr="006200CF" w:rsidRDefault="00F610DC" w:rsidP="00F610DC">
      <w:pPr>
        <w:pStyle w:val="ListParagraph"/>
        <w:numPr>
          <w:ilvl w:val="0"/>
          <w:numId w:val="40"/>
        </w:numPr>
      </w:pPr>
      <w:r w:rsidRPr="006200CF">
        <w:t>Refer relevant individuals to the Commonwealth Director of Public Prosecutions (CDPP) for consideration of criminal prosecution.</w:t>
      </w:r>
    </w:p>
    <w:p w14:paraId="30D2A35E" w14:textId="77777777" w:rsidR="00F610DC" w:rsidRPr="00F610DC" w:rsidRDefault="00F610DC" w:rsidP="00F610DC">
      <w:pPr>
        <w:rPr>
          <w:b/>
          <w:bCs/>
        </w:rPr>
      </w:pPr>
      <w:bookmarkStart w:id="57" w:name="_Toc1687426360"/>
      <w:bookmarkStart w:id="58" w:name="_Toc416527165"/>
      <w:bookmarkStart w:id="59" w:name="_Toc372358160"/>
      <w:bookmarkStart w:id="60" w:name="_Toc440229757"/>
      <w:bookmarkStart w:id="61" w:name="_Toc151881514"/>
      <w:bookmarkStart w:id="62" w:name="_Toc1860740351"/>
      <w:r w:rsidRPr="00F610DC">
        <w:rPr>
          <w:b/>
          <w:bCs/>
        </w:rPr>
        <w:t>Systemic responses</w:t>
      </w:r>
      <w:bookmarkEnd w:id="57"/>
      <w:bookmarkEnd w:id="58"/>
      <w:bookmarkEnd w:id="59"/>
      <w:bookmarkEnd w:id="60"/>
      <w:bookmarkEnd w:id="61"/>
      <w:bookmarkEnd w:id="62"/>
    </w:p>
    <w:p w14:paraId="3184BA35" w14:textId="0D8AA142" w:rsidR="008815AD" w:rsidRDefault="00F610DC" w:rsidP="00F610DC">
      <w:r w:rsidRPr="006200CF">
        <w:t>We work across government to respond to risk and harms arising in multiple settings. We use data and intelligence to identify patterns of risk and harm and take whole-of-government action to reduce risk, remediate harm and sanction unlawful behaviour. We may make referrals to other government agencies requesting they take enforcement action.</w:t>
      </w:r>
    </w:p>
    <w:p w14:paraId="59641C8A" w14:textId="239EF92E" w:rsidR="00F610DC" w:rsidRDefault="004E4CC9" w:rsidP="004E4CC9">
      <w:pPr>
        <w:pStyle w:val="Heading3"/>
      </w:pPr>
      <w:bookmarkStart w:id="63" w:name="_Toc227061850"/>
      <w:r>
        <w:t>Monitoring and reporting</w:t>
      </w:r>
      <w:bookmarkEnd w:id="63"/>
    </w:p>
    <w:p w14:paraId="5F300979" w14:textId="77777777" w:rsidR="0096245A" w:rsidRPr="006200CF" w:rsidRDefault="0096245A" w:rsidP="0096245A">
      <w:r w:rsidRPr="006200CF">
        <w:t xml:space="preserve">Keeping track of fraud prevention and detection efforts, reviewing and updating fraud control measures, and sharing insights with key stakeholders are vital to continually </w:t>
      </w:r>
      <w:r w:rsidRPr="006200CF">
        <w:lastRenderedPageBreak/>
        <w:t>strengthen our compliance and enforcement approaches and controls. Risk profiles identified during the ‘detection’ phase are collectively analysed, monitored and reported on to ensure the agency is continuously and systemically identifying and eliminating threats.  This activity provides assurance over the effectiveness of the Agency's control arrangements in preventing, detecting, and responding to fraud and corruption. The Agency's fraud reporting and monitoring includes:</w:t>
      </w:r>
    </w:p>
    <w:p w14:paraId="50E84584" w14:textId="77777777" w:rsidR="0096245A" w:rsidRPr="006200CF" w:rsidRDefault="0096245A" w:rsidP="0096245A">
      <w:pPr>
        <w:pStyle w:val="ListParagraph"/>
        <w:numPr>
          <w:ilvl w:val="0"/>
          <w:numId w:val="42"/>
        </w:numPr>
      </w:pPr>
      <w:r w:rsidRPr="006200CF">
        <w:t xml:space="preserve">Reporting significant issues that may affect the Agency to the responsible Minister or oversight agencies, annually or as required, in compliance with section 19 of the </w:t>
      </w:r>
      <w:r w:rsidRPr="0096245A">
        <w:rPr>
          <w:i/>
          <w:iCs/>
        </w:rPr>
        <w:t>Public Governance, Performance and Accountability Act 2013</w:t>
      </w:r>
      <w:r w:rsidRPr="006200CF">
        <w:t xml:space="preserve">, sections 50A and 51 of the </w:t>
      </w:r>
      <w:r w:rsidRPr="0096245A">
        <w:rPr>
          <w:i/>
          <w:iCs/>
        </w:rPr>
        <w:t>Public Interest Disclosure Act 2013, sections 33 and 35 of the National Anti-Corruption Act 2022</w:t>
      </w:r>
      <w:r w:rsidRPr="0096245A">
        <w:rPr>
          <w:rStyle w:val="CommentReference"/>
          <w:rFonts w:eastAsia="Arial" w:cs="Arial"/>
          <w:color w:val="6B2876" w:themeColor="text1"/>
          <w:sz w:val="22"/>
          <w:szCs w:val="22"/>
        </w:rPr>
        <w:t xml:space="preserve"> </w:t>
      </w:r>
      <w:r w:rsidRPr="006200CF">
        <w:t xml:space="preserve">and subsection 10(f)(iii) of the </w:t>
      </w:r>
      <w:r w:rsidRPr="0096245A">
        <w:rPr>
          <w:i/>
          <w:iCs/>
        </w:rPr>
        <w:t xml:space="preserve">Public Governance, Performance and Accountability Rule 2014 </w:t>
      </w:r>
      <w:r w:rsidRPr="006200CF">
        <w:t>(the Fraud and Corruption Rule).</w:t>
      </w:r>
    </w:p>
    <w:p w14:paraId="79BFBBA1" w14:textId="77777777" w:rsidR="0096245A" w:rsidRPr="006200CF" w:rsidRDefault="0096245A" w:rsidP="0096245A">
      <w:pPr>
        <w:pStyle w:val="ListParagraph"/>
        <w:numPr>
          <w:ilvl w:val="0"/>
          <w:numId w:val="42"/>
        </w:numPr>
      </w:pPr>
      <w:r w:rsidRPr="006200CF">
        <w:t xml:space="preserve">NDIA Audit and Risk Committee oversight in accordance with Section 45 of the </w:t>
      </w:r>
      <w:r w:rsidRPr="0096245A">
        <w:rPr>
          <w:i/>
          <w:iCs/>
        </w:rPr>
        <w:t>Public Governance, Performance and Accountability Act 2013</w:t>
      </w:r>
      <w:r w:rsidRPr="006200CF">
        <w:t>.</w:t>
      </w:r>
    </w:p>
    <w:p w14:paraId="4B8E1828" w14:textId="77777777" w:rsidR="0096245A" w:rsidRPr="006200CF" w:rsidRDefault="0096245A" w:rsidP="0096245A">
      <w:pPr>
        <w:pStyle w:val="ListParagraph"/>
        <w:numPr>
          <w:ilvl w:val="0"/>
          <w:numId w:val="42"/>
        </w:numPr>
      </w:pPr>
      <w:r w:rsidRPr="006200CF">
        <w:t xml:space="preserve">Certification of fraud control arrangements in the Agency's Annual Report in compliance with Section 17AG of the </w:t>
      </w:r>
      <w:r w:rsidRPr="0096245A">
        <w:rPr>
          <w:i/>
          <w:iCs/>
        </w:rPr>
        <w:t>Public Governance, Performance and Accountability Rule 2014</w:t>
      </w:r>
      <w:r w:rsidRPr="006200CF">
        <w:t>.</w:t>
      </w:r>
    </w:p>
    <w:p w14:paraId="25419C5C" w14:textId="77777777" w:rsidR="0096245A" w:rsidRPr="006200CF" w:rsidRDefault="0096245A" w:rsidP="0096245A">
      <w:pPr>
        <w:pStyle w:val="ListParagraph"/>
        <w:numPr>
          <w:ilvl w:val="0"/>
          <w:numId w:val="42"/>
        </w:numPr>
      </w:pPr>
      <w:r w:rsidRPr="006200CF">
        <w:t>Australian National Audit Office performance audits as required.</w:t>
      </w:r>
    </w:p>
    <w:p w14:paraId="73406E4E" w14:textId="673433B4" w:rsidR="003A0978" w:rsidRDefault="0096245A" w:rsidP="0096245A">
      <w:pPr>
        <w:pStyle w:val="ListParagraph"/>
        <w:numPr>
          <w:ilvl w:val="0"/>
          <w:numId w:val="42"/>
        </w:numPr>
      </w:pPr>
      <w:r w:rsidRPr="006200CF">
        <w:t>Internal reporting through various governance structures to ensure whole-of-Agency awareness and effort in preventing, detecting and responding to fraud and corruption.</w:t>
      </w:r>
    </w:p>
    <w:p w14:paraId="58B05C8D" w14:textId="77777777" w:rsidR="003A0978" w:rsidRDefault="003A0978">
      <w:pPr>
        <w:spacing w:before="120" w:after="120" w:line="288" w:lineRule="auto"/>
      </w:pPr>
      <w:r>
        <w:br w:type="page"/>
      </w:r>
    </w:p>
    <w:p w14:paraId="7239357D" w14:textId="4D40E911" w:rsidR="0096245A" w:rsidRDefault="0096245A" w:rsidP="00B42C32">
      <w:pPr>
        <w:pStyle w:val="Heading2"/>
      </w:pPr>
      <w:bookmarkStart w:id="64" w:name="_Toc227061851"/>
      <w:r>
        <w:lastRenderedPageBreak/>
        <w:t>Further information</w:t>
      </w:r>
      <w:bookmarkEnd w:id="64"/>
    </w:p>
    <w:p w14:paraId="0000AC6B" w14:textId="2CBCDC0D" w:rsidR="00E56007" w:rsidRDefault="00E56007" w:rsidP="00E56007">
      <w:r>
        <w:t xml:space="preserve">If you would like to report a suspected incident of fraud you can do so by using the online </w:t>
      </w:r>
      <w:hyperlink r:id="rId38">
        <w:r w:rsidRPr="25E9E44B">
          <w:rPr>
            <w:rStyle w:val="Hyperlink"/>
          </w:rPr>
          <w:t>tip-off form</w:t>
        </w:r>
      </w:hyperlink>
      <w:r>
        <w:t xml:space="preserve"> or telephoning the fraud reporting hotline on 1800 650 717.</w:t>
      </w:r>
    </w:p>
    <w:p w14:paraId="47465B61" w14:textId="6B20F564" w:rsidR="007B0098" w:rsidRDefault="00E56007" w:rsidP="00E56007">
      <w:r>
        <w:t xml:space="preserve">For general information about the Agency and the Scheme, including supporting guidance, information, and information sessions, please visit </w:t>
      </w:r>
      <w:hyperlink r:id="rId39">
        <w:r w:rsidRPr="25E9E44B">
          <w:rPr>
            <w:rStyle w:val="Hyperlink"/>
          </w:rPr>
          <w:t>ndis.gov.au</w:t>
        </w:r>
      </w:hyperlink>
      <w:r>
        <w:t>.</w:t>
      </w:r>
    </w:p>
    <w:p w14:paraId="4E21363B" w14:textId="655BD2D4" w:rsidR="00E56007" w:rsidRDefault="00E56007" w:rsidP="00F940D5">
      <w:pPr>
        <w:pStyle w:val="Heading3"/>
      </w:pPr>
      <w:bookmarkStart w:id="65" w:name="_Toc227061852"/>
      <w:r>
        <w:t>Glossary of terms</w:t>
      </w:r>
      <w:bookmarkEnd w:id="65"/>
    </w:p>
    <w:p w14:paraId="440EE9C7" w14:textId="23C6EE58" w:rsidR="002A785E" w:rsidRPr="006200CF" w:rsidRDefault="002A785E" w:rsidP="005C7861">
      <w:pPr>
        <w:rPr>
          <w:rFonts w:eastAsia="Arial"/>
        </w:rPr>
      </w:pPr>
      <w:r w:rsidRPr="006200CF">
        <w:rPr>
          <w:b/>
          <w:bCs/>
        </w:rPr>
        <w:t>Control</w:t>
      </w:r>
      <w:r w:rsidR="00D60C10" w:rsidRPr="006355C0">
        <w:rPr>
          <w:b/>
          <w:bCs/>
        </w:rPr>
        <w:t>:</w:t>
      </w:r>
      <w:r w:rsidRPr="006200CF">
        <w:t xml:space="preserve"> individual measures, processes or functions that help entities prevent, detect and respond to fraud. An integrated assembly of controls make up a control environment.</w:t>
      </w:r>
    </w:p>
    <w:p w14:paraId="0B2B5016" w14:textId="54D8BCA9" w:rsidR="002A785E" w:rsidRPr="006200CF" w:rsidRDefault="002A785E" w:rsidP="005C7861">
      <w:pPr>
        <w:rPr>
          <w:rFonts w:eastAsia="Arial"/>
        </w:rPr>
      </w:pPr>
      <w:r w:rsidRPr="006200CF">
        <w:rPr>
          <w:b/>
          <w:bCs/>
        </w:rPr>
        <w:t>Corruption</w:t>
      </w:r>
      <w:r w:rsidR="00D60C10" w:rsidRPr="006355C0">
        <w:rPr>
          <w:b/>
          <w:bCs/>
        </w:rPr>
        <w:t>:</w:t>
      </w:r>
      <w:r w:rsidRPr="006200CF">
        <w:t xml:space="preserve"> any action (plans or attempts) that undermines the integrity or fairness of public administration.</w:t>
      </w:r>
    </w:p>
    <w:p w14:paraId="17AC18D6" w14:textId="19CA74D1" w:rsidR="002A785E" w:rsidRPr="006200CF" w:rsidRDefault="002A785E" w:rsidP="005C7861">
      <w:r w:rsidRPr="006200CF">
        <w:rPr>
          <w:b/>
          <w:bCs/>
        </w:rPr>
        <w:t>Desktop review</w:t>
      </w:r>
      <w:r w:rsidR="00D60C10" w:rsidRPr="006355C0">
        <w:rPr>
          <w:b/>
          <w:bCs/>
        </w:rPr>
        <w:t>:</w:t>
      </w:r>
      <w:r w:rsidRPr="006200CF">
        <w:t xml:space="preserve"> Analysis of information readily at hand within desktop-based systems for NDIA staff.</w:t>
      </w:r>
    </w:p>
    <w:p w14:paraId="4041901A" w14:textId="06F02C1A" w:rsidR="002A785E" w:rsidRPr="006200CF" w:rsidRDefault="002A785E" w:rsidP="005C7861">
      <w:pPr>
        <w:rPr>
          <w:rFonts w:eastAsia="Arial"/>
        </w:rPr>
      </w:pPr>
      <w:r w:rsidRPr="006200CF">
        <w:rPr>
          <w:b/>
          <w:bCs/>
        </w:rPr>
        <w:t>Error</w:t>
      </w:r>
      <w:r w:rsidR="00D60C10" w:rsidRPr="006355C0">
        <w:rPr>
          <w:b/>
          <w:bCs/>
        </w:rPr>
        <w:t>:</w:t>
      </w:r>
      <w:r w:rsidRPr="006200CF">
        <w:t xml:space="preserve"> an unintentional or negligent act or omission that causes a loss and does not constitute fraud or corruption.</w:t>
      </w:r>
    </w:p>
    <w:p w14:paraId="2E41FE6D" w14:textId="46D8A16F" w:rsidR="002A785E" w:rsidRPr="006200CF" w:rsidRDefault="002A785E" w:rsidP="005C7861">
      <w:pPr>
        <w:rPr>
          <w:rFonts w:eastAsia="Arial"/>
        </w:rPr>
      </w:pPr>
      <w:r w:rsidRPr="006200CF">
        <w:rPr>
          <w:b/>
          <w:bCs/>
        </w:rPr>
        <w:t>External fraud</w:t>
      </w:r>
      <w:r w:rsidR="00D60C10">
        <w:rPr>
          <w:b/>
          <w:bCs/>
        </w:rPr>
        <w:t>:</w:t>
      </w:r>
      <w:r w:rsidRPr="006200CF">
        <w:t xml:space="preserve"> fraud committed against a Commonwealth entity by external parties. This includes members of the public and those not engaged by a Commonwealth entity.</w:t>
      </w:r>
    </w:p>
    <w:p w14:paraId="34CA724A" w14:textId="7FB5FDCE" w:rsidR="002A785E" w:rsidRPr="006200CF" w:rsidRDefault="002A785E" w:rsidP="005C7861">
      <w:r w:rsidRPr="006200CF">
        <w:rPr>
          <w:b/>
          <w:bCs/>
        </w:rPr>
        <w:t>Fraud</w:t>
      </w:r>
      <w:r w:rsidR="00D60C10">
        <w:rPr>
          <w:b/>
          <w:bCs/>
        </w:rPr>
        <w:t>:</w:t>
      </w:r>
      <w:r w:rsidRPr="006200CF">
        <w:t xml:space="preserve"> dishonest behaviour intended to gain a benefit or cause a loss. It can include theft, falsifying documents, or misusing information for personal gain.</w:t>
      </w:r>
    </w:p>
    <w:p w14:paraId="558F60CA" w14:textId="620CD612" w:rsidR="002A785E" w:rsidRPr="006200CF" w:rsidRDefault="002A785E" w:rsidP="005C7861">
      <w:pPr>
        <w:rPr>
          <w:rFonts w:eastAsia="Arial"/>
        </w:rPr>
      </w:pPr>
      <w:r w:rsidRPr="006200CF">
        <w:rPr>
          <w:b/>
          <w:bCs/>
        </w:rPr>
        <w:t>Fraud Fusion Taskforce (FFT)</w:t>
      </w:r>
      <w:r w:rsidR="00D60C10">
        <w:rPr>
          <w:b/>
          <w:bCs/>
        </w:rPr>
        <w:t>:</w:t>
      </w:r>
      <w:r w:rsidRPr="006200CF">
        <w:t xml:space="preserve"> The Fraud Fusion Taskforce, led by the NDIA and Services Australia, started in November 2022, and has 24 Agencies in its membership (as </w:t>
      </w:r>
      <w:proofErr w:type="gramStart"/>
      <w:r w:rsidRPr="006200CF">
        <w:t>at</w:t>
      </w:r>
      <w:proofErr w:type="gramEnd"/>
      <w:r w:rsidRPr="006200CF">
        <w:t xml:space="preserve"> November 2025).</w:t>
      </w:r>
    </w:p>
    <w:p w14:paraId="78811266" w14:textId="217D55FF" w:rsidR="002A785E" w:rsidRPr="006200CF" w:rsidRDefault="002A785E" w:rsidP="005C7861">
      <w:pPr>
        <w:rPr>
          <w:rFonts w:eastAsia="Arial"/>
        </w:rPr>
      </w:pPr>
      <w:r w:rsidRPr="006200CF">
        <w:rPr>
          <w:b/>
          <w:bCs/>
        </w:rPr>
        <w:lastRenderedPageBreak/>
        <w:t>Identity fraud</w:t>
      </w:r>
      <w:r w:rsidR="00D60C10">
        <w:rPr>
          <w:b/>
          <w:bCs/>
        </w:rPr>
        <w:t>:</w:t>
      </w:r>
      <w:r w:rsidRPr="006200CF">
        <w:t xml:space="preserve"> the gaining of money, goods, services or other benefits, or the avoidance of obligations through the use of fabricated, manipulated, stolen or otherwise fraudulently assumed identity.</w:t>
      </w:r>
    </w:p>
    <w:p w14:paraId="0AABDE46" w14:textId="491EAD16" w:rsidR="002A785E" w:rsidRPr="006200CF" w:rsidRDefault="002A785E" w:rsidP="005C7861">
      <w:pPr>
        <w:rPr>
          <w:rFonts w:eastAsia="Arial"/>
        </w:rPr>
      </w:pPr>
      <w:r w:rsidRPr="006200CF">
        <w:rPr>
          <w:b/>
          <w:bCs/>
        </w:rPr>
        <w:t>NDIA</w:t>
      </w:r>
      <w:r w:rsidR="00C26B13">
        <w:rPr>
          <w:b/>
          <w:bCs/>
        </w:rPr>
        <w:t>:</w:t>
      </w:r>
      <w:r w:rsidRPr="006200CF">
        <w:t xml:space="preserve"> The National Disability Insurance Agency (NDIA) is an independent statutory Agency. Its role is to implement the National Disability Insurance Scheme.</w:t>
      </w:r>
    </w:p>
    <w:p w14:paraId="7E7AE9C9" w14:textId="788D7515" w:rsidR="002A785E" w:rsidRPr="006200CF" w:rsidRDefault="002A785E" w:rsidP="005C7861">
      <w:pPr>
        <w:rPr>
          <w:rFonts w:eastAsia="Arial"/>
        </w:rPr>
      </w:pPr>
      <w:r w:rsidRPr="006200CF">
        <w:rPr>
          <w:b/>
          <w:bCs/>
        </w:rPr>
        <w:t>NDIS</w:t>
      </w:r>
      <w:r w:rsidR="00C26B13">
        <w:rPr>
          <w:b/>
          <w:bCs/>
        </w:rPr>
        <w:t>:</w:t>
      </w:r>
      <w:r w:rsidRPr="006200CF">
        <w:t xml:space="preserve"> The NDIS provides funding to eligible people with disability to gain more time with family and friends, greater independence, access to new skills, jobs, or volunteering in their community, and an improved quality of life.</w:t>
      </w:r>
    </w:p>
    <w:p w14:paraId="4C67B35D" w14:textId="65D18F4D" w:rsidR="002A785E" w:rsidRPr="006200CF" w:rsidRDefault="002A785E" w:rsidP="005C7861">
      <w:pPr>
        <w:rPr>
          <w:rFonts w:eastAsia="Arial"/>
        </w:rPr>
      </w:pPr>
      <w:r w:rsidRPr="006200CF">
        <w:rPr>
          <w:b/>
          <w:bCs/>
        </w:rPr>
        <w:t>Non-compliance</w:t>
      </w:r>
      <w:r w:rsidR="00C26B13">
        <w:rPr>
          <w:b/>
          <w:bCs/>
        </w:rPr>
        <w:t>:</w:t>
      </w:r>
      <w:r w:rsidRPr="006200CF">
        <w:t xml:space="preserve"> Any failure to meet obligations under applicable laws, regulations, agreements, contracts or other requirements, either intentionally or unintentionally.</w:t>
      </w:r>
    </w:p>
    <w:p w14:paraId="4158CDA1" w14:textId="337373BC" w:rsidR="002A785E" w:rsidRPr="006200CF" w:rsidRDefault="002A785E" w:rsidP="005C7861">
      <w:pPr>
        <w:rPr>
          <w:rFonts w:eastAsia="Arial"/>
        </w:rPr>
      </w:pPr>
      <w:r w:rsidRPr="006200CF">
        <w:rPr>
          <w:b/>
          <w:bCs/>
        </w:rPr>
        <w:t>Risk</w:t>
      </w:r>
      <w:r w:rsidR="00C26B13">
        <w:rPr>
          <w:b/>
          <w:bCs/>
        </w:rPr>
        <w:t>:</w:t>
      </w:r>
      <w:r w:rsidRPr="006200CF">
        <w:t xml:space="preserve"> the effect of uncertainty on objectives. An effect is a deviation from the expected positive and/or negative. Risk is often expressed in terms of a combination of the consequences of an event and the associated likelihood of occurrence.</w:t>
      </w:r>
    </w:p>
    <w:p w14:paraId="7C57CABD" w14:textId="6F2BC950" w:rsidR="00797A3E" w:rsidRDefault="002A785E" w:rsidP="005C7861">
      <w:r w:rsidRPr="006200CF">
        <w:rPr>
          <w:b/>
          <w:bCs/>
        </w:rPr>
        <w:t>Scam</w:t>
      </w:r>
      <w:r w:rsidR="00C26B13">
        <w:rPr>
          <w:b/>
          <w:bCs/>
        </w:rPr>
        <w:t>:</w:t>
      </w:r>
      <w:r w:rsidRPr="006200CF">
        <w:t xml:space="preserve"> an illegal trick. Scams usually try to get money illegally from people. A scam is a type of fraud.</w:t>
      </w:r>
    </w:p>
    <w:p w14:paraId="4D484799" w14:textId="6C57979B" w:rsidR="00C26B13" w:rsidRDefault="00C26B13" w:rsidP="006355C0">
      <w:pPr>
        <w:pStyle w:val="Heading2"/>
      </w:pPr>
      <w:bookmarkStart w:id="66" w:name="_Toc227061853"/>
      <w:r>
        <w:t>References</w:t>
      </w:r>
      <w:bookmarkEnd w:id="66"/>
    </w:p>
    <w:p w14:paraId="7B3EB5D4" w14:textId="66F6723B" w:rsidR="003B714A" w:rsidRDefault="003B714A" w:rsidP="006355C0">
      <w:pPr>
        <w:pStyle w:val="Bullet1"/>
      </w:pPr>
      <w:r>
        <w:t xml:space="preserve">The Auditor-General, Australian National Audit Office, </w:t>
      </w:r>
      <w:hyperlink r:id="rId40" w:history="1">
        <w:r w:rsidRPr="006355C0">
          <w:rPr>
            <w:rStyle w:val="Hyperlink"/>
            <w:i/>
            <w:iCs/>
          </w:rPr>
          <w:t>Auditor-General Report No.48 2024-25 Performance Audit -</w:t>
        </w:r>
        <w:r w:rsidRPr="00F9604A">
          <w:rPr>
            <w:rStyle w:val="Hyperlink"/>
          </w:rPr>
          <w:t xml:space="preserve"> </w:t>
        </w:r>
        <w:r w:rsidRPr="00030F05">
          <w:rPr>
            <w:rStyle w:val="Hyperlink"/>
            <w:i/>
            <w:iCs/>
          </w:rPr>
          <w:t>National Disability Insurance Agency’s Management of Claimant Compliance with National Disability Insurance Scheme Claim Requirements</w:t>
        </w:r>
      </w:hyperlink>
      <w:r>
        <w:t>, 25 June 2025</w:t>
      </w:r>
    </w:p>
    <w:p w14:paraId="16D97279" w14:textId="1586620D" w:rsidR="00F9604A" w:rsidRDefault="00F9604A" w:rsidP="006355C0">
      <w:pPr>
        <w:pStyle w:val="Bullet1"/>
        <w:rPr>
          <w:i/>
          <w:iCs/>
        </w:rPr>
      </w:pPr>
      <w:r>
        <w:t xml:space="preserve">National Disability Insurance Agency, </w:t>
      </w:r>
      <w:hyperlink r:id="rId41" w:history="1">
        <w:r w:rsidRPr="00030F05">
          <w:rPr>
            <w:rStyle w:val="Hyperlink"/>
            <w:i/>
            <w:iCs/>
          </w:rPr>
          <w:t>NDIA 2024-25 Annual Report</w:t>
        </w:r>
      </w:hyperlink>
      <w:r>
        <w:t>, 5</w:t>
      </w:r>
      <w:r w:rsidR="00C66492">
        <w:t> </w:t>
      </w:r>
      <w:r>
        <w:t>November 2025</w:t>
      </w:r>
    </w:p>
    <w:p w14:paraId="5E0EB596" w14:textId="6D3F8FD7" w:rsidR="00776A61" w:rsidRDefault="00776A61" w:rsidP="006355C0">
      <w:pPr>
        <w:pStyle w:val="Bullet1"/>
      </w:pPr>
      <w:hyperlink r:id="rId42" w:history="1">
        <w:r w:rsidRPr="006355C0">
          <w:rPr>
            <w:rStyle w:val="Hyperlink"/>
            <w:i/>
            <w:iCs/>
          </w:rPr>
          <w:t>National Disability Insurance Scheme Act</w:t>
        </w:r>
      </w:hyperlink>
      <w:r w:rsidR="00400EB2">
        <w:t>,</w:t>
      </w:r>
      <w:r>
        <w:t xml:space="preserve"> 2013</w:t>
      </w:r>
    </w:p>
    <w:p w14:paraId="62DE83BB" w14:textId="5422F051" w:rsidR="00776A61" w:rsidRPr="00776A61" w:rsidRDefault="00776A61" w:rsidP="00776A61"/>
    <w:sectPr w:rsidR="00776A61" w:rsidRPr="00776A61" w:rsidSect="00B10295">
      <w:headerReference w:type="default" r:id="rId43"/>
      <w:pgSz w:w="11906" w:h="16838" w:code="9"/>
      <w:pgMar w:top="1701" w:right="1440" w:bottom="1701"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CAE0" w14:textId="77777777" w:rsidR="007807BC" w:rsidRPr="00965145" w:rsidRDefault="007807BC" w:rsidP="00042A45">
      <w:r w:rsidRPr="00965145">
        <w:separator/>
      </w:r>
    </w:p>
    <w:p w14:paraId="526BF347" w14:textId="77777777" w:rsidR="007807BC" w:rsidRPr="00965145" w:rsidRDefault="007807BC" w:rsidP="00042A45"/>
    <w:p w14:paraId="1260C708" w14:textId="77777777" w:rsidR="007807BC" w:rsidRPr="00965145" w:rsidRDefault="007807BC" w:rsidP="00042A45"/>
    <w:p w14:paraId="25C04863" w14:textId="77777777" w:rsidR="007807BC" w:rsidRPr="00965145" w:rsidRDefault="007807BC" w:rsidP="00042A45"/>
    <w:p w14:paraId="5CA5C692" w14:textId="77777777" w:rsidR="007807BC" w:rsidRPr="00965145" w:rsidRDefault="007807BC" w:rsidP="00042A45"/>
    <w:p w14:paraId="5EBFA940" w14:textId="77777777" w:rsidR="007807BC" w:rsidRPr="00965145" w:rsidRDefault="007807BC" w:rsidP="00042A45"/>
    <w:p w14:paraId="79CCF0C3" w14:textId="77777777" w:rsidR="007807BC" w:rsidRPr="00965145" w:rsidRDefault="007807BC" w:rsidP="00042A45"/>
    <w:p w14:paraId="463D53FD" w14:textId="77777777" w:rsidR="007807BC" w:rsidRPr="00965145" w:rsidRDefault="007807BC" w:rsidP="00042A45"/>
    <w:p w14:paraId="39CBE129" w14:textId="77777777" w:rsidR="007807BC" w:rsidRPr="00965145" w:rsidRDefault="007807BC" w:rsidP="00042A45"/>
    <w:p w14:paraId="5D89A9F9" w14:textId="77777777" w:rsidR="007807BC" w:rsidRPr="00965145" w:rsidRDefault="007807BC" w:rsidP="00042A45"/>
    <w:p w14:paraId="054AAB9F" w14:textId="77777777" w:rsidR="007807BC" w:rsidRPr="00965145" w:rsidRDefault="007807BC" w:rsidP="00042A45"/>
    <w:p w14:paraId="1CA6B766" w14:textId="77777777" w:rsidR="007807BC" w:rsidRDefault="007807BC"/>
    <w:p w14:paraId="42D68637" w14:textId="77777777" w:rsidR="007807BC" w:rsidRDefault="007807BC"/>
  </w:endnote>
  <w:endnote w:type="continuationSeparator" w:id="0">
    <w:p w14:paraId="6AD8E139" w14:textId="77777777" w:rsidR="007807BC" w:rsidRPr="00965145" w:rsidRDefault="007807BC" w:rsidP="00042A45">
      <w:r w:rsidRPr="00965145">
        <w:continuationSeparator/>
      </w:r>
    </w:p>
    <w:p w14:paraId="1D453900" w14:textId="77777777" w:rsidR="007807BC" w:rsidRPr="00965145" w:rsidRDefault="007807BC" w:rsidP="00042A45"/>
    <w:p w14:paraId="03A8810E" w14:textId="77777777" w:rsidR="007807BC" w:rsidRPr="00965145" w:rsidRDefault="007807BC" w:rsidP="00042A45"/>
    <w:p w14:paraId="726BB792" w14:textId="77777777" w:rsidR="007807BC" w:rsidRPr="00965145" w:rsidRDefault="007807BC" w:rsidP="00042A45"/>
    <w:p w14:paraId="296E52CD" w14:textId="77777777" w:rsidR="007807BC" w:rsidRPr="00965145" w:rsidRDefault="007807BC" w:rsidP="00042A45"/>
    <w:p w14:paraId="086B5892" w14:textId="77777777" w:rsidR="007807BC" w:rsidRPr="00965145" w:rsidRDefault="007807BC" w:rsidP="00042A45"/>
    <w:p w14:paraId="19318134" w14:textId="77777777" w:rsidR="007807BC" w:rsidRPr="00965145" w:rsidRDefault="007807BC" w:rsidP="00042A45"/>
    <w:p w14:paraId="1B366928" w14:textId="77777777" w:rsidR="007807BC" w:rsidRPr="00965145" w:rsidRDefault="007807BC" w:rsidP="00042A45"/>
    <w:p w14:paraId="116CDF07" w14:textId="77777777" w:rsidR="007807BC" w:rsidRPr="00965145" w:rsidRDefault="007807BC" w:rsidP="00042A45"/>
    <w:p w14:paraId="18B4CB90" w14:textId="77777777" w:rsidR="007807BC" w:rsidRPr="00965145" w:rsidRDefault="007807BC" w:rsidP="00042A45"/>
    <w:p w14:paraId="6AF219BE" w14:textId="77777777" w:rsidR="007807BC" w:rsidRPr="00965145" w:rsidRDefault="007807BC" w:rsidP="00042A45"/>
    <w:p w14:paraId="64D28455" w14:textId="77777777" w:rsidR="007807BC" w:rsidRDefault="007807BC"/>
    <w:p w14:paraId="7B2BA9E3" w14:textId="77777777" w:rsidR="007807BC" w:rsidRDefault="007807BC"/>
  </w:endnote>
  <w:endnote w:type="continuationNotice" w:id="1">
    <w:p w14:paraId="7A226201" w14:textId="77777777" w:rsidR="007807BC" w:rsidRDefault="007807BC">
      <w:pPr>
        <w:spacing w:after="0" w:line="240" w:lineRule="auto"/>
      </w:pPr>
    </w:p>
    <w:p w14:paraId="1416C54A" w14:textId="77777777" w:rsidR="007807BC" w:rsidRDefault="00780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rPr>
      <w:id w:val="-572040320"/>
      <w:docPartObj>
        <w:docPartGallery w:val="Page Numbers (Bottom of Page)"/>
        <w:docPartUnique/>
      </w:docPartObj>
    </w:sdtPr>
    <w:sdtEndPr/>
    <w:sdtContent>
      <w:p w14:paraId="63463F4E" w14:textId="76AAC735" w:rsidR="008917C5" w:rsidRDefault="00EE1BC9" w:rsidP="006355C0">
        <w:pPr>
          <w:pStyle w:val="Footer"/>
          <w:tabs>
            <w:tab w:val="clear" w:pos="4513"/>
            <w:tab w:val="center" w:pos="4962"/>
          </w:tabs>
        </w:pPr>
        <w:r w:rsidRPr="00965145">
          <w:t xml:space="preserve">ndis.gov.au </w:t>
        </w:r>
        <w:r w:rsidRPr="00965145">
          <w:tab/>
        </w:r>
        <w:r w:rsidR="0072073E">
          <w:rPr>
            <w:b w:val="0"/>
            <w:bCs w:val="0"/>
          </w:rPr>
          <w:t>January</w:t>
        </w:r>
        <w:r w:rsidR="00B96E8C">
          <w:rPr>
            <w:b w:val="0"/>
            <w:bCs w:val="0"/>
          </w:rPr>
          <w:t xml:space="preserve"> 2026</w:t>
        </w:r>
        <w:r w:rsidRPr="00965145">
          <w:rPr>
            <w:b w:val="0"/>
            <w:bCs w:val="0"/>
          </w:rPr>
          <w:t xml:space="preserve"> | </w:t>
        </w:r>
        <w:r w:rsidR="00B97610">
          <w:rPr>
            <w:b w:val="0"/>
            <w:bCs w:val="0"/>
          </w:rPr>
          <w:t>Compliance and Enforcement Framework</w:t>
        </w:r>
        <w:r w:rsidRPr="00965145">
          <w:tab/>
        </w:r>
        <w:r w:rsidRPr="00965145">
          <w:rPr>
            <w:b w:val="0"/>
            <w:bCs w:val="0"/>
          </w:rPr>
          <w:fldChar w:fldCharType="begin"/>
        </w:r>
        <w:r w:rsidRPr="00965145">
          <w:instrText xml:space="preserve"> PAGE </w:instrText>
        </w:r>
        <w:r w:rsidRPr="00965145">
          <w:rPr>
            <w:b w:val="0"/>
            <w:bCs w:val="0"/>
          </w:rPr>
          <w:fldChar w:fldCharType="separate"/>
        </w:r>
        <w:r w:rsidRPr="00965145">
          <w:t>1</w:t>
        </w:r>
        <w:r w:rsidRPr="00965145">
          <w:rPr>
            <w:b w:val="0"/>
            <w:bCs w:val="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95B3" w14:textId="77777777" w:rsidR="009B2942" w:rsidRPr="00DA6E0F" w:rsidRDefault="009B2942" w:rsidP="009B2942">
    <w:pPr>
      <w:pStyle w:val="Header"/>
      <w:spacing w:before="0" w:after="200"/>
      <w:rPr>
        <w:color w:val="F9F9F9" w:themeColor="background1"/>
      </w:rPr>
    </w:pPr>
    <w:r w:rsidRPr="00DA6E0F">
      <w:rPr>
        <w:color w:val="F9F9F9" w:themeColor="background1"/>
      </w:rPr>
      <w:t>OFFICIAL, OFFICIAL: SENSITIVE, or UNOFFICIAL</w:t>
    </w:r>
  </w:p>
  <w:sdt>
    <w:sdtPr>
      <w:id w:val="1726405002"/>
      <w:docPartObj>
        <w:docPartGallery w:val="Page Numbers (Bottom of Page)"/>
        <w:docPartUnique/>
      </w:docPartObj>
    </w:sdtPr>
    <w:sdtEndPr/>
    <w:sdtContent>
      <w:p w14:paraId="15A4D8F5" w14:textId="77777777" w:rsidR="00834863" w:rsidRPr="00965145" w:rsidRDefault="009B2942" w:rsidP="009B2942">
        <w:pPr>
          <w:pStyle w:val="Footer"/>
        </w:pPr>
        <w:r w:rsidRPr="00965145">
          <w:t xml:space="preserve">ndis.gov.au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7A12" w14:textId="77777777" w:rsidR="007807BC" w:rsidRDefault="007807BC" w:rsidP="0046351B">
      <w:pPr>
        <w:spacing w:after="0"/>
      </w:pPr>
      <w:r w:rsidRPr="00965145">
        <w:separator/>
      </w:r>
    </w:p>
  </w:footnote>
  <w:footnote w:type="continuationSeparator" w:id="0">
    <w:p w14:paraId="54BF4DB2" w14:textId="77777777" w:rsidR="007807BC" w:rsidRPr="00965145" w:rsidRDefault="007807BC" w:rsidP="00042A45">
      <w:r w:rsidRPr="00965145">
        <w:continuationSeparator/>
      </w:r>
    </w:p>
    <w:p w14:paraId="4A1490BC" w14:textId="77777777" w:rsidR="007807BC" w:rsidRPr="00965145" w:rsidRDefault="007807BC" w:rsidP="00042A45"/>
    <w:p w14:paraId="12016BCB" w14:textId="77777777" w:rsidR="007807BC" w:rsidRPr="00965145" w:rsidRDefault="007807BC" w:rsidP="00042A45"/>
    <w:p w14:paraId="5B910903" w14:textId="77777777" w:rsidR="007807BC" w:rsidRPr="00965145" w:rsidRDefault="007807BC" w:rsidP="00042A45"/>
    <w:p w14:paraId="66138FC1" w14:textId="77777777" w:rsidR="007807BC" w:rsidRPr="00965145" w:rsidRDefault="007807BC" w:rsidP="00042A45"/>
    <w:p w14:paraId="177ECCE3" w14:textId="77777777" w:rsidR="007807BC" w:rsidRPr="00965145" w:rsidRDefault="007807BC" w:rsidP="00042A45"/>
    <w:p w14:paraId="7686D7E9" w14:textId="77777777" w:rsidR="007807BC" w:rsidRPr="00965145" w:rsidRDefault="007807BC" w:rsidP="00042A45"/>
    <w:p w14:paraId="2E15EF5F" w14:textId="77777777" w:rsidR="007807BC" w:rsidRPr="00965145" w:rsidRDefault="007807BC" w:rsidP="00042A45"/>
    <w:p w14:paraId="1A8CCE61" w14:textId="77777777" w:rsidR="007807BC" w:rsidRPr="00965145" w:rsidRDefault="007807BC" w:rsidP="00042A45"/>
    <w:p w14:paraId="26D621ED" w14:textId="77777777" w:rsidR="007807BC" w:rsidRPr="00965145" w:rsidRDefault="007807BC" w:rsidP="00042A45"/>
    <w:p w14:paraId="7FE04DE5" w14:textId="77777777" w:rsidR="007807BC" w:rsidRPr="00965145" w:rsidRDefault="007807BC" w:rsidP="00042A45"/>
    <w:p w14:paraId="5B19515C" w14:textId="77777777" w:rsidR="007807BC" w:rsidRDefault="007807BC"/>
    <w:p w14:paraId="75532A55" w14:textId="77777777" w:rsidR="007807BC" w:rsidRDefault="007807BC"/>
  </w:footnote>
  <w:footnote w:type="continuationNotice" w:id="1">
    <w:p w14:paraId="1FC2BA95" w14:textId="77777777" w:rsidR="007807BC" w:rsidRDefault="007807BC">
      <w:pPr>
        <w:spacing w:after="0" w:line="240" w:lineRule="auto"/>
      </w:pPr>
    </w:p>
    <w:p w14:paraId="0C7CAB37" w14:textId="77777777" w:rsidR="007807BC" w:rsidRDefault="00780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1EAC" w14:textId="77777777" w:rsidR="00834863" w:rsidRPr="00965145" w:rsidRDefault="00834863" w:rsidP="00E77043">
    <w:pPr>
      <w:pStyle w:val="Header"/>
      <w:spacing w:before="0"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4DFF" w14:textId="77777777" w:rsidR="0096224E" w:rsidRPr="00965145" w:rsidRDefault="0096224E" w:rsidP="0096224E">
    <w:pPr>
      <w:pStyle w:val="Header"/>
      <w:spacing w:before="0" w:after="200"/>
    </w:pPr>
    <w:r w:rsidRPr="00965145">
      <w:t>OFFICIAL, OFFICIAL: SENSITIVE, or UNOFFICIAL</w:t>
    </w:r>
  </w:p>
  <w:p w14:paraId="01530F06" w14:textId="77777777" w:rsidR="0096224E" w:rsidRPr="0096224E" w:rsidRDefault="00B10295" w:rsidP="0096224E">
    <w:pPr>
      <w:pStyle w:val="Header"/>
      <w:jc w:val="left"/>
    </w:pPr>
    <w:r w:rsidRPr="00B10295">
      <w:rPr>
        <w:rFonts w:eastAsia="Times New Roman"/>
        <w:noProof/>
        <w:color w:val="auto"/>
        <w:lang w:val="en-US" w:eastAsia="ja-JP"/>
      </w:rPr>
      <w:drawing>
        <wp:anchor distT="0" distB="0" distL="114300" distR="114300" simplePos="0" relativeHeight="251664385" behindDoc="0" locked="1" layoutInCell="1" allowOverlap="1" wp14:anchorId="19FD47F7" wp14:editId="09F4D101">
          <wp:simplePos x="0" y="0"/>
          <wp:positionH relativeFrom="page">
            <wp:align>left</wp:align>
          </wp:positionH>
          <wp:positionV relativeFrom="page">
            <wp:align>top</wp:align>
          </wp:positionV>
          <wp:extent cx="7556400" cy="10688400"/>
          <wp:effectExtent l="0" t="0" r="0" b="0"/>
          <wp:wrapNone/>
          <wp:docPr id="2431882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8821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F574" w14:textId="77777777" w:rsidR="009A4A14" w:rsidRPr="008F47A3" w:rsidRDefault="009A4A14">
    <w:pP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63F2"/>
    <w:multiLevelType w:val="hybridMultilevel"/>
    <w:tmpl w:val="FFFFFFFF"/>
    <w:lvl w:ilvl="0" w:tplc="1F881C7E">
      <w:start w:val="1"/>
      <w:numFmt w:val="bullet"/>
      <w:lvlText w:val=""/>
      <w:lvlJc w:val="left"/>
      <w:pPr>
        <w:ind w:left="720" w:hanging="360"/>
      </w:pPr>
      <w:rPr>
        <w:rFonts w:ascii="Symbol" w:hAnsi="Symbol" w:hint="default"/>
      </w:rPr>
    </w:lvl>
    <w:lvl w:ilvl="1" w:tplc="6FE2D006">
      <w:start w:val="1"/>
      <w:numFmt w:val="bullet"/>
      <w:lvlText w:val="o"/>
      <w:lvlJc w:val="left"/>
      <w:pPr>
        <w:ind w:left="1440" w:hanging="360"/>
      </w:pPr>
      <w:rPr>
        <w:rFonts w:ascii="Courier New" w:hAnsi="Courier New" w:hint="default"/>
      </w:rPr>
    </w:lvl>
    <w:lvl w:ilvl="2" w:tplc="ED580306">
      <w:start w:val="1"/>
      <w:numFmt w:val="bullet"/>
      <w:lvlText w:val=""/>
      <w:lvlJc w:val="left"/>
      <w:pPr>
        <w:ind w:left="2160" w:hanging="360"/>
      </w:pPr>
      <w:rPr>
        <w:rFonts w:ascii="Wingdings" w:hAnsi="Wingdings" w:hint="default"/>
      </w:rPr>
    </w:lvl>
    <w:lvl w:ilvl="3" w:tplc="544EA886">
      <w:start w:val="1"/>
      <w:numFmt w:val="bullet"/>
      <w:lvlText w:val=""/>
      <w:lvlJc w:val="left"/>
      <w:pPr>
        <w:ind w:left="2880" w:hanging="360"/>
      </w:pPr>
      <w:rPr>
        <w:rFonts w:ascii="Symbol" w:hAnsi="Symbol" w:hint="default"/>
      </w:rPr>
    </w:lvl>
    <w:lvl w:ilvl="4" w:tplc="9A6ED8B4">
      <w:start w:val="1"/>
      <w:numFmt w:val="bullet"/>
      <w:lvlText w:val="o"/>
      <w:lvlJc w:val="left"/>
      <w:pPr>
        <w:ind w:left="3600" w:hanging="360"/>
      </w:pPr>
      <w:rPr>
        <w:rFonts w:ascii="Courier New" w:hAnsi="Courier New" w:hint="default"/>
      </w:rPr>
    </w:lvl>
    <w:lvl w:ilvl="5" w:tplc="EBA0118A">
      <w:start w:val="1"/>
      <w:numFmt w:val="bullet"/>
      <w:lvlText w:val=""/>
      <w:lvlJc w:val="left"/>
      <w:pPr>
        <w:ind w:left="4320" w:hanging="360"/>
      </w:pPr>
      <w:rPr>
        <w:rFonts w:ascii="Wingdings" w:hAnsi="Wingdings" w:hint="default"/>
      </w:rPr>
    </w:lvl>
    <w:lvl w:ilvl="6" w:tplc="4CCEE46C">
      <w:start w:val="1"/>
      <w:numFmt w:val="bullet"/>
      <w:lvlText w:val=""/>
      <w:lvlJc w:val="left"/>
      <w:pPr>
        <w:ind w:left="5040" w:hanging="360"/>
      </w:pPr>
      <w:rPr>
        <w:rFonts w:ascii="Symbol" w:hAnsi="Symbol" w:hint="default"/>
      </w:rPr>
    </w:lvl>
    <w:lvl w:ilvl="7" w:tplc="987C65FA">
      <w:start w:val="1"/>
      <w:numFmt w:val="bullet"/>
      <w:lvlText w:val="o"/>
      <w:lvlJc w:val="left"/>
      <w:pPr>
        <w:ind w:left="5760" w:hanging="360"/>
      </w:pPr>
      <w:rPr>
        <w:rFonts w:ascii="Courier New" w:hAnsi="Courier New" w:hint="default"/>
      </w:rPr>
    </w:lvl>
    <w:lvl w:ilvl="8" w:tplc="96EA243C">
      <w:start w:val="1"/>
      <w:numFmt w:val="bullet"/>
      <w:lvlText w:val=""/>
      <w:lvlJc w:val="left"/>
      <w:pPr>
        <w:ind w:left="6480" w:hanging="360"/>
      </w:pPr>
      <w:rPr>
        <w:rFonts w:ascii="Wingdings" w:hAnsi="Wingdings" w:hint="default"/>
      </w:rPr>
    </w:lvl>
  </w:abstractNum>
  <w:abstractNum w:abstractNumId="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41CE7"/>
    <w:multiLevelType w:val="hybridMultilevel"/>
    <w:tmpl w:val="ED0C8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22C15"/>
    <w:multiLevelType w:val="hybridMultilevel"/>
    <w:tmpl w:val="5A84DD56"/>
    <w:lvl w:ilvl="0" w:tplc="1E4EE0C0">
      <w:start w:val="1"/>
      <w:numFmt w:val="bullet"/>
      <w:lvlText w:val=""/>
      <w:lvlJc w:val="left"/>
      <w:pPr>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055FF"/>
    <w:multiLevelType w:val="multilevel"/>
    <w:tmpl w:val="BE183858"/>
    <w:lvl w:ilvl="0">
      <w:start w:val="1"/>
      <w:numFmt w:val="bullet"/>
      <w:pStyle w:val="Bullet1"/>
      <w:lvlText w:val=""/>
      <w:lvlJc w:val="left"/>
      <w:pPr>
        <w:ind w:left="714" w:hanging="357"/>
      </w:pPr>
      <w:rPr>
        <w:rFonts w:ascii="Symbol" w:hAnsi="Symbol" w:hint="default"/>
      </w:rPr>
    </w:lvl>
    <w:lvl w:ilvl="1">
      <w:start w:val="1"/>
      <w:numFmt w:val="bullet"/>
      <w:lvlText w:val=""/>
      <w:lvlJc w:val="left"/>
      <w:pPr>
        <w:ind w:left="1071" w:hanging="357"/>
      </w:pPr>
      <w:rPr>
        <w:rFonts w:ascii="Symbol" w:hAnsi="Symbol"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6" w15:restartNumberingAfterBreak="0">
    <w:nsid w:val="21C9494F"/>
    <w:multiLevelType w:val="hybridMultilevel"/>
    <w:tmpl w:val="0B342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946B92"/>
    <w:multiLevelType w:val="hybridMultilevel"/>
    <w:tmpl w:val="1500E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E267BC"/>
    <w:multiLevelType w:val="hybridMultilevel"/>
    <w:tmpl w:val="BE28B44C"/>
    <w:lvl w:ilvl="0" w:tplc="7C94ADB8">
      <w:start w:val="1"/>
      <w:numFmt w:val="bullet"/>
      <w:pStyle w:val="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8210B2F"/>
    <w:multiLevelType w:val="multilevel"/>
    <w:tmpl w:val="85F8EB40"/>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B557B3D"/>
    <w:multiLevelType w:val="hybridMultilevel"/>
    <w:tmpl w:val="95F2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14654E"/>
    <w:multiLevelType w:val="hybridMultilevel"/>
    <w:tmpl w:val="5A3C0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2260CF"/>
    <w:multiLevelType w:val="hybridMultilevel"/>
    <w:tmpl w:val="53BA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B03423"/>
    <w:multiLevelType w:val="hybridMultilevel"/>
    <w:tmpl w:val="B614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A43523"/>
    <w:multiLevelType w:val="hybridMultilevel"/>
    <w:tmpl w:val="663EB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C62B7B"/>
    <w:multiLevelType w:val="hybridMultilevel"/>
    <w:tmpl w:val="7988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AF964B"/>
    <w:multiLevelType w:val="hybridMultilevel"/>
    <w:tmpl w:val="8278AFA4"/>
    <w:lvl w:ilvl="0" w:tplc="1E4EE0C0">
      <w:start w:val="1"/>
      <w:numFmt w:val="bullet"/>
      <w:lvlText w:val=""/>
      <w:lvlJc w:val="left"/>
      <w:pPr>
        <w:ind w:left="780" w:hanging="360"/>
      </w:pPr>
      <w:rPr>
        <w:rFonts w:ascii="Symbol" w:hAnsi="Symbol" w:hint="default"/>
      </w:rPr>
    </w:lvl>
    <w:lvl w:ilvl="1" w:tplc="ADC28F78">
      <w:start w:val="1"/>
      <w:numFmt w:val="bullet"/>
      <w:lvlText w:val="o"/>
      <w:lvlJc w:val="left"/>
      <w:pPr>
        <w:ind w:left="1440" w:hanging="360"/>
      </w:pPr>
      <w:rPr>
        <w:rFonts w:ascii="Courier New" w:hAnsi="Courier New" w:hint="default"/>
      </w:rPr>
    </w:lvl>
    <w:lvl w:ilvl="2" w:tplc="58EE05A6">
      <w:start w:val="1"/>
      <w:numFmt w:val="bullet"/>
      <w:lvlText w:val=""/>
      <w:lvlJc w:val="left"/>
      <w:pPr>
        <w:ind w:left="2160" w:hanging="360"/>
      </w:pPr>
      <w:rPr>
        <w:rFonts w:ascii="Wingdings" w:hAnsi="Wingdings" w:hint="default"/>
      </w:rPr>
    </w:lvl>
    <w:lvl w:ilvl="3" w:tplc="F8322D66">
      <w:start w:val="1"/>
      <w:numFmt w:val="bullet"/>
      <w:lvlText w:val=""/>
      <w:lvlJc w:val="left"/>
      <w:pPr>
        <w:ind w:left="2880" w:hanging="360"/>
      </w:pPr>
      <w:rPr>
        <w:rFonts w:ascii="Symbol" w:hAnsi="Symbol" w:hint="default"/>
      </w:rPr>
    </w:lvl>
    <w:lvl w:ilvl="4" w:tplc="092A03C4">
      <w:start w:val="1"/>
      <w:numFmt w:val="bullet"/>
      <w:lvlText w:val="o"/>
      <w:lvlJc w:val="left"/>
      <w:pPr>
        <w:ind w:left="3600" w:hanging="360"/>
      </w:pPr>
      <w:rPr>
        <w:rFonts w:ascii="Courier New" w:hAnsi="Courier New" w:hint="default"/>
      </w:rPr>
    </w:lvl>
    <w:lvl w:ilvl="5" w:tplc="EAA8C5F0">
      <w:start w:val="1"/>
      <w:numFmt w:val="bullet"/>
      <w:lvlText w:val=""/>
      <w:lvlJc w:val="left"/>
      <w:pPr>
        <w:ind w:left="4320" w:hanging="360"/>
      </w:pPr>
      <w:rPr>
        <w:rFonts w:ascii="Wingdings" w:hAnsi="Wingdings" w:hint="default"/>
      </w:rPr>
    </w:lvl>
    <w:lvl w:ilvl="6" w:tplc="45CE7078">
      <w:start w:val="1"/>
      <w:numFmt w:val="bullet"/>
      <w:lvlText w:val=""/>
      <w:lvlJc w:val="left"/>
      <w:pPr>
        <w:ind w:left="5040" w:hanging="360"/>
      </w:pPr>
      <w:rPr>
        <w:rFonts w:ascii="Symbol" w:hAnsi="Symbol" w:hint="default"/>
      </w:rPr>
    </w:lvl>
    <w:lvl w:ilvl="7" w:tplc="0D889DB6">
      <w:start w:val="1"/>
      <w:numFmt w:val="bullet"/>
      <w:lvlText w:val="o"/>
      <w:lvlJc w:val="left"/>
      <w:pPr>
        <w:ind w:left="5760" w:hanging="360"/>
      </w:pPr>
      <w:rPr>
        <w:rFonts w:ascii="Courier New" w:hAnsi="Courier New" w:hint="default"/>
      </w:rPr>
    </w:lvl>
    <w:lvl w:ilvl="8" w:tplc="C3D8BB9A">
      <w:start w:val="1"/>
      <w:numFmt w:val="bullet"/>
      <w:lvlText w:val=""/>
      <w:lvlJc w:val="left"/>
      <w:pPr>
        <w:ind w:left="6480" w:hanging="360"/>
      </w:pPr>
      <w:rPr>
        <w:rFonts w:ascii="Wingdings" w:hAnsi="Wingdings" w:hint="default"/>
      </w:rPr>
    </w:lvl>
  </w:abstractNum>
  <w:abstractNum w:abstractNumId="19" w15:restartNumberingAfterBreak="0">
    <w:nsid w:val="4F1B0DBC"/>
    <w:multiLevelType w:val="hybridMultilevel"/>
    <w:tmpl w:val="B7EC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BA68DF"/>
    <w:multiLevelType w:val="hybridMultilevel"/>
    <w:tmpl w:val="F6222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F01224"/>
    <w:multiLevelType w:val="multilevel"/>
    <w:tmpl w:val="09B012BA"/>
    <w:lvl w:ilvl="0">
      <w:start w:val="5"/>
      <w:numFmt w:val="decimal"/>
      <w:lvlText w:val="%1"/>
      <w:lvlJc w:val="left"/>
      <w:pPr>
        <w:ind w:left="420" w:hanging="420"/>
      </w:pPr>
      <w:rPr>
        <w:rFonts w:hint="default"/>
        <w:color w:val="6A2875"/>
        <w:lang w:val="en-AU" w:eastAsia="en-US" w:bidi="ar-SA"/>
      </w:rPr>
    </w:lvl>
    <w:lvl w:ilvl="1">
      <w:start w:val="1"/>
      <w:numFmt w:val="decimal"/>
      <w:lvlText w:val="%1.%2"/>
      <w:lvlJc w:val="left"/>
      <w:pPr>
        <w:ind w:left="720" w:hanging="720"/>
      </w:pPr>
      <w:rPr>
        <w:rFonts w:hint="default"/>
        <w:color w:val="6A2875"/>
        <w:lang w:val="en-AU" w:eastAsia="en-US" w:bidi="ar-SA"/>
      </w:rPr>
    </w:lvl>
    <w:lvl w:ilvl="2">
      <w:start w:val="1"/>
      <w:numFmt w:val="decimal"/>
      <w:pStyle w:val="FCCPHeading4"/>
      <w:lvlText w:val="%1.%2.%3"/>
      <w:lvlJc w:val="left"/>
      <w:pPr>
        <w:ind w:left="720" w:hanging="720"/>
      </w:pPr>
      <w:rPr>
        <w:rFonts w:hint="default"/>
        <w:b/>
        <w:bCs/>
        <w:i w:val="0"/>
        <w:iCs w:val="0"/>
        <w:color w:val="6A2875"/>
        <w:spacing w:val="-2"/>
        <w:w w:val="99"/>
        <w:sz w:val="24"/>
        <w:szCs w:val="24"/>
        <w:lang w:val="en-AU" w:eastAsia="en-US" w:bidi="ar-SA"/>
      </w:rPr>
    </w:lvl>
    <w:lvl w:ilvl="3">
      <w:start w:val="1"/>
      <w:numFmt w:val="decimal"/>
      <w:lvlText w:val="%1.%2.%3.%4"/>
      <w:lvlJc w:val="left"/>
      <w:pPr>
        <w:ind w:left="1080" w:hanging="1080"/>
      </w:pPr>
      <w:rPr>
        <w:rFonts w:hint="default"/>
        <w:color w:val="6A2875"/>
        <w:lang w:val="en-AU" w:eastAsia="en-US" w:bidi="ar-SA"/>
      </w:rPr>
    </w:lvl>
    <w:lvl w:ilvl="4">
      <w:start w:val="1"/>
      <w:numFmt w:val="decimal"/>
      <w:lvlText w:val="%1.%2.%3.%4.%5"/>
      <w:lvlJc w:val="left"/>
      <w:pPr>
        <w:ind w:left="1440" w:hanging="1440"/>
      </w:pPr>
      <w:rPr>
        <w:rFonts w:hint="default"/>
        <w:color w:val="6A2875"/>
        <w:lang w:val="en-AU" w:eastAsia="en-US" w:bidi="ar-SA"/>
      </w:rPr>
    </w:lvl>
    <w:lvl w:ilvl="5">
      <w:start w:val="1"/>
      <w:numFmt w:val="decimal"/>
      <w:lvlText w:val="%1.%2.%3.%4.%5.%6"/>
      <w:lvlJc w:val="left"/>
      <w:pPr>
        <w:ind w:left="1440" w:hanging="1440"/>
      </w:pPr>
      <w:rPr>
        <w:rFonts w:hint="default"/>
        <w:color w:val="6A2875"/>
        <w:lang w:val="en-AU" w:eastAsia="en-US" w:bidi="ar-SA"/>
      </w:rPr>
    </w:lvl>
    <w:lvl w:ilvl="6">
      <w:start w:val="1"/>
      <w:numFmt w:val="decimal"/>
      <w:lvlText w:val="%1.%2.%3.%4.%5.%6.%7"/>
      <w:lvlJc w:val="left"/>
      <w:pPr>
        <w:ind w:left="1800" w:hanging="1800"/>
      </w:pPr>
      <w:rPr>
        <w:rFonts w:hint="default"/>
        <w:color w:val="6A2875"/>
        <w:lang w:val="en-AU" w:eastAsia="en-US" w:bidi="ar-SA"/>
      </w:rPr>
    </w:lvl>
    <w:lvl w:ilvl="7">
      <w:start w:val="1"/>
      <w:numFmt w:val="decimal"/>
      <w:lvlText w:val="%1.%2.%3.%4.%5.%6.%7.%8"/>
      <w:lvlJc w:val="left"/>
      <w:pPr>
        <w:ind w:left="2160" w:hanging="2160"/>
      </w:pPr>
      <w:rPr>
        <w:rFonts w:hint="default"/>
        <w:color w:val="6A2875"/>
        <w:lang w:val="en-AU" w:eastAsia="en-US" w:bidi="ar-SA"/>
      </w:rPr>
    </w:lvl>
    <w:lvl w:ilvl="8">
      <w:start w:val="1"/>
      <w:numFmt w:val="decimal"/>
      <w:lvlText w:val="%1.%2.%3.%4.%5.%6.%7.%8.%9"/>
      <w:lvlJc w:val="left"/>
      <w:pPr>
        <w:ind w:left="2520" w:hanging="2520"/>
      </w:pPr>
      <w:rPr>
        <w:rFonts w:hint="default"/>
        <w:color w:val="6A2875"/>
        <w:lang w:val="en-AU" w:eastAsia="en-US" w:bidi="ar-SA"/>
      </w:rPr>
    </w:lvl>
  </w:abstractNum>
  <w:abstractNum w:abstractNumId="22" w15:restartNumberingAfterBreak="0">
    <w:nsid w:val="56CB707F"/>
    <w:multiLevelType w:val="hybridMultilevel"/>
    <w:tmpl w:val="EE04A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557E12"/>
    <w:multiLevelType w:val="hybridMultilevel"/>
    <w:tmpl w:val="9E5CB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FEE4A"/>
    <w:multiLevelType w:val="hybridMultilevel"/>
    <w:tmpl w:val="FFFFFFFF"/>
    <w:lvl w:ilvl="0" w:tplc="FA4CE07C">
      <w:start w:val="1"/>
      <w:numFmt w:val="bullet"/>
      <w:lvlText w:val=""/>
      <w:lvlJc w:val="left"/>
      <w:pPr>
        <w:ind w:left="780" w:hanging="360"/>
      </w:pPr>
      <w:rPr>
        <w:rFonts w:ascii="Symbol" w:hAnsi="Symbol" w:hint="default"/>
      </w:rPr>
    </w:lvl>
    <w:lvl w:ilvl="1" w:tplc="82429D12">
      <w:start w:val="1"/>
      <w:numFmt w:val="bullet"/>
      <w:lvlText w:val="o"/>
      <w:lvlJc w:val="left"/>
      <w:pPr>
        <w:ind w:left="1440" w:hanging="360"/>
      </w:pPr>
      <w:rPr>
        <w:rFonts w:ascii="Courier New" w:hAnsi="Courier New" w:hint="default"/>
      </w:rPr>
    </w:lvl>
    <w:lvl w:ilvl="2" w:tplc="5AFE4684">
      <w:start w:val="1"/>
      <w:numFmt w:val="bullet"/>
      <w:lvlText w:val=""/>
      <w:lvlJc w:val="left"/>
      <w:pPr>
        <w:ind w:left="2160" w:hanging="360"/>
      </w:pPr>
      <w:rPr>
        <w:rFonts w:ascii="Wingdings" w:hAnsi="Wingdings" w:hint="default"/>
      </w:rPr>
    </w:lvl>
    <w:lvl w:ilvl="3" w:tplc="C6D0CF78">
      <w:start w:val="1"/>
      <w:numFmt w:val="bullet"/>
      <w:lvlText w:val=""/>
      <w:lvlJc w:val="left"/>
      <w:pPr>
        <w:ind w:left="2880" w:hanging="360"/>
      </w:pPr>
      <w:rPr>
        <w:rFonts w:ascii="Symbol" w:hAnsi="Symbol" w:hint="default"/>
      </w:rPr>
    </w:lvl>
    <w:lvl w:ilvl="4" w:tplc="AF807414">
      <w:start w:val="1"/>
      <w:numFmt w:val="bullet"/>
      <w:lvlText w:val="o"/>
      <w:lvlJc w:val="left"/>
      <w:pPr>
        <w:ind w:left="3600" w:hanging="360"/>
      </w:pPr>
      <w:rPr>
        <w:rFonts w:ascii="Courier New" w:hAnsi="Courier New" w:hint="default"/>
      </w:rPr>
    </w:lvl>
    <w:lvl w:ilvl="5" w:tplc="BBC0407C">
      <w:start w:val="1"/>
      <w:numFmt w:val="bullet"/>
      <w:lvlText w:val=""/>
      <w:lvlJc w:val="left"/>
      <w:pPr>
        <w:ind w:left="4320" w:hanging="360"/>
      </w:pPr>
      <w:rPr>
        <w:rFonts w:ascii="Wingdings" w:hAnsi="Wingdings" w:hint="default"/>
      </w:rPr>
    </w:lvl>
    <w:lvl w:ilvl="6" w:tplc="4C8AE0AC">
      <w:start w:val="1"/>
      <w:numFmt w:val="bullet"/>
      <w:lvlText w:val=""/>
      <w:lvlJc w:val="left"/>
      <w:pPr>
        <w:ind w:left="5040" w:hanging="360"/>
      </w:pPr>
      <w:rPr>
        <w:rFonts w:ascii="Symbol" w:hAnsi="Symbol" w:hint="default"/>
      </w:rPr>
    </w:lvl>
    <w:lvl w:ilvl="7" w:tplc="BB869CD0">
      <w:start w:val="1"/>
      <w:numFmt w:val="bullet"/>
      <w:lvlText w:val="o"/>
      <w:lvlJc w:val="left"/>
      <w:pPr>
        <w:ind w:left="5760" w:hanging="360"/>
      </w:pPr>
      <w:rPr>
        <w:rFonts w:ascii="Courier New" w:hAnsi="Courier New" w:hint="default"/>
      </w:rPr>
    </w:lvl>
    <w:lvl w:ilvl="8" w:tplc="6AEA065E">
      <w:start w:val="1"/>
      <w:numFmt w:val="bullet"/>
      <w:lvlText w:val=""/>
      <w:lvlJc w:val="left"/>
      <w:pPr>
        <w:ind w:left="6480" w:hanging="360"/>
      </w:pPr>
      <w:rPr>
        <w:rFonts w:ascii="Wingdings" w:hAnsi="Wingdings" w:hint="default"/>
      </w:rPr>
    </w:lvl>
  </w:abstractNum>
  <w:abstractNum w:abstractNumId="25" w15:restartNumberingAfterBreak="0">
    <w:nsid w:val="58F44CED"/>
    <w:multiLevelType w:val="hybridMultilevel"/>
    <w:tmpl w:val="CC324ED2"/>
    <w:lvl w:ilvl="0" w:tplc="FFFFFFFF">
      <w:start w:val="1"/>
      <w:numFmt w:val="bullet"/>
      <w:lvlText w:val=""/>
      <w:lvlJc w:val="left"/>
      <w:pPr>
        <w:ind w:left="720" w:hanging="360"/>
      </w:pPr>
      <w:rPr>
        <w:rFonts w:ascii="Symbol" w:hAnsi="Symbol" w:hint="default"/>
      </w:rPr>
    </w:lvl>
    <w:lvl w:ilvl="1" w:tplc="A2400F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EF3B73"/>
    <w:multiLevelType w:val="multilevel"/>
    <w:tmpl w:val="3EF48A86"/>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27" w15:restartNumberingAfterBreak="0">
    <w:nsid w:val="5B4A7F61"/>
    <w:multiLevelType w:val="hybridMultilevel"/>
    <w:tmpl w:val="DBF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D05D5C"/>
    <w:multiLevelType w:val="hybridMultilevel"/>
    <w:tmpl w:val="AF388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CF5BEA"/>
    <w:multiLevelType w:val="hybridMultilevel"/>
    <w:tmpl w:val="BEA07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AC4026"/>
    <w:multiLevelType w:val="hybridMultilevel"/>
    <w:tmpl w:val="48E6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C35099"/>
    <w:multiLevelType w:val="hybridMultilevel"/>
    <w:tmpl w:val="6A746BCE"/>
    <w:lvl w:ilvl="0" w:tplc="FFFFFFFF">
      <w:start w:val="1"/>
      <w:numFmt w:val="bullet"/>
      <w:lvlText w:val=""/>
      <w:lvlJc w:val="left"/>
      <w:pPr>
        <w:ind w:left="720" w:hanging="360"/>
      </w:pPr>
      <w:rPr>
        <w:rFonts w:ascii="Symbol" w:hAnsi="Symbol" w:hint="default"/>
      </w:rPr>
    </w:lvl>
    <w:lvl w:ilvl="1" w:tplc="A2400F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753B17"/>
    <w:multiLevelType w:val="hybridMultilevel"/>
    <w:tmpl w:val="1C96F3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34" w15:restartNumberingAfterBreak="0">
    <w:nsid w:val="71A21E77"/>
    <w:multiLevelType w:val="hybridMultilevel"/>
    <w:tmpl w:val="0B1E0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AC2F05"/>
    <w:multiLevelType w:val="hybridMultilevel"/>
    <w:tmpl w:val="2D3A6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B96BFB"/>
    <w:multiLevelType w:val="hybridMultilevel"/>
    <w:tmpl w:val="BB345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247D06"/>
    <w:multiLevelType w:val="hybridMultilevel"/>
    <w:tmpl w:val="1CA099B8"/>
    <w:lvl w:ilvl="0" w:tplc="FFFFFFFF">
      <w:start w:val="1"/>
      <w:numFmt w:val="bullet"/>
      <w:lvlText w:val=""/>
      <w:lvlJc w:val="left"/>
      <w:pPr>
        <w:ind w:left="720" w:hanging="360"/>
      </w:pPr>
      <w:rPr>
        <w:rFonts w:ascii="Symbol" w:hAnsi="Symbol" w:hint="default"/>
      </w:rPr>
    </w:lvl>
    <w:lvl w:ilvl="1" w:tplc="A2400F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7C1102"/>
    <w:multiLevelType w:val="hybridMultilevel"/>
    <w:tmpl w:val="375C3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C31FA3"/>
    <w:multiLevelType w:val="hybridMultilevel"/>
    <w:tmpl w:val="EBB0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611780">
    <w:abstractNumId w:val="11"/>
  </w:num>
  <w:num w:numId="2" w16cid:durableId="862402279">
    <w:abstractNumId w:val="1"/>
  </w:num>
  <w:num w:numId="3" w16cid:durableId="1991639433">
    <w:abstractNumId w:val="5"/>
  </w:num>
  <w:num w:numId="4" w16cid:durableId="739518056">
    <w:abstractNumId w:val="40"/>
  </w:num>
  <w:num w:numId="5" w16cid:durableId="145901810">
    <w:abstractNumId w:val="8"/>
  </w:num>
  <w:num w:numId="6" w16cid:durableId="2084796931">
    <w:abstractNumId w:val="3"/>
  </w:num>
  <w:num w:numId="7" w16cid:durableId="1617567124">
    <w:abstractNumId w:val="7"/>
  </w:num>
  <w:num w:numId="8" w16cid:durableId="1605306177">
    <w:abstractNumId w:val="35"/>
  </w:num>
  <w:num w:numId="9" w16cid:durableId="561142459">
    <w:abstractNumId w:val="26"/>
  </w:num>
  <w:num w:numId="10" w16cid:durableId="163791364">
    <w:abstractNumId w:val="33"/>
  </w:num>
  <w:num w:numId="11" w16cid:durableId="2132817907">
    <w:abstractNumId w:val="10"/>
  </w:num>
  <w:num w:numId="12" w16cid:durableId="1733850565">
    <w:abstractNumId w:val="20"/>
  </w:num>
  <w:num w:numId="13" w16cid:durableId="508759192">
    <w:abstractNumId w:val="27"/>
  </w:num>
  <w:num w:numId="14" w16cid:durableId="1885017129">
    <w:abstractNumId w:val="6"/>
  </w:num>
  <w:num w:numId="15" w16cid:durableId="940649863">
    <w:abstractNumId w:val="13"/>
  </w:num>
  <w:num w:numId="16" w16cid:durableId="1771730724">
    <w:abstractNumId w:val="25"/>
  </w:num>
  <w:num w:numId="17" w16cid:durableId="1228955445">
    <w:abstractNumId w:val="12"/>
  </w:num>
  <w:num w:numId="18" w16cid:durableId="135806399">
    <w:abstractNumId w:val="21"/>
  </w:num>
  <w:num w:numId="19" w16cid:durableId="649871594">
    <w:abstractNumId w:val="32"/>
  </w:num>
  <w:num w:numId="20" w16cid:durableId="138426864">
    <w:abstractNumId w:val="39"/>
  </w:num>
  <w:num w:numId="21" w16cid:durableId="1117875309">
    <w:abstractNumId w:val="19"/>
  </w:num>
  <w:num w:numId="22" w16cid:durableId="1818912076">
    <w:abstractNumId w:val="29"/>
  </w:num>
  <w:num w:numId="23" w16cid:durableId="1537767051">
    <w:abstractNumId w:val="41"/>
  </w:num>
  <w:num w:numId="24" w16cid:durableId="491062789">
    <w:abstractNumId w:val="9"/>
  </w:num>
  <w:num w:numId="25" w16cid:durableId="147864419">
    <w:abstractNumId w:val="2"/>
  </w:num>
  <w:num w:numId="26" w16cid:durableId="1594123078">
    <w:abstractNumId w:val="16"/>
  </w:num>
  <w:num w:numId="27" w16cid:durableId="1428691196">
    <w:abstractNumId w:val="31"/>
  </w:num>
  <w:num w:numId="28" w16cid:durableId="534119620">
    <w:abstractNumId w:val="38"/>
  </w:num>
  <w:num w:numId="29" w16cid:durableId="1787195149">
    <w:abstractNumId w:val="0"/>
  </w:num>
  <w:num w:numId="30" w16cid:durableId="1330598185">
    <w:abstractNumId w:val="22"/>
  </w:num>
  <w:num w:numId="31" w16cid:durableId="2063168152">
    <w:abstractNumId w:val="24"/>
  </w:num>
  <w:num w:numId="32" w16cid:durableId="246312553">
    <w:abstractNumId w:val="37"/>
  </w:num>
  <w:num w:numId="33" w16cid:durableId="921718361">
    <w:abstractNumId w:val="34"/>
  </w:num>
  <w:num w:numId="34" w16cid:durableId="378282264">
    <w:abstractNumId w:val="14"/>
  </w:num>
  <w:num w:numId="35" w16cid:durableId="993876420">
    <w:abstractNumId w:val="36"/>
  </w:num>
  <w:num w:numId="36" w16cid:durableId="955796713">
    <w:abstractNumId w:val="18"/>
  </w:num>
  <w:num w:numId="37" w16cid:durableId="1076898874">
    <w:abstractNumId w:val="30"/>
  </w:num>
  <w:num w:numId="38" w16cid:durableId="13501754">
    <w:abstractNumId w:val="17"/>
  </w:num>
  <w:num w:numId="39" w16cid:durableId="1938293234">
    <w:abstractNumId w:val="15"/>
  </w:num>
  <w:num w:numId="40" w16cid:durableId="1118600696">
    <w:abstractNumId w:val="28"/>
  </w:num>
  <w:num w:numId="41" w16cid:durableId="772364694">
    <w:abstractNumId w:val="4"/>
  </w:num>
  <w:num w:numId="42" w16cid:durableId="213466827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A1"/>
    <w:rsid w:val="000005DE"/>
    <w:rsid w:val="00000BB0"/>
    <w:rsid w:val="0000128B"/>
    <w:rsid w:val="00002898"/>
    <w:rsid w:val="00004BC9"/>
    <w:rsid w:val="00011BDB"/>
    <w:rsid w:val="00012A0D"/>
    <w:rsid w:val="000231B1"/>
    <w:rsid w:val="00030609"/>
    <w:rsid w:val="0003356E"/>
    <w:rsid w:val="00041DFB"/>
    <w:rsid w:val="000422F3"/>
    <w:rsid w:val="00042A45"/>
    <w:rsid w:val="0004449B"/>
    <w:rsid w:val="000479F1"/>
    <w:rsid w:val="0005017B"/>
    <w:rsid w:val="00051FAD"/>
    <w:rsid w:val="000527D9"/>
    <w:rsid w:val="00053A22"/>
    <w:rsid w:val="000616A2"/>
    <w:rsid w:val="00061B0A"/>
    <w:rsid w:val="000624B2"/>
    <w:rsid w:val="00063848"/>
    <w:rsid w:val="0006487E"/>
    <w:rsid w:val="00066362"/>
    <w:rsid w:val="00066632"/>
    <w:rsid w:val="000733EF"/>
    <w:rsid w:val="00074BED"/>
    <w:rsid w:val="00082346"/>
    <w:rsid w:val="000824DE"/>
    <w:rsid w:val="00084E5D"/>
    <w:rsid w:val="00091C66"/>
    <w:rsid w:val="00092783"/>
    <w:rsid w:val="00094AC7"/>
    <w:rsid w:val="000966BF"/>
    <w:rsid w:val="00097F0B"/>
    <w:rsid w:val="000A22C1"/>
    <w:rsid w:val="000A6EE8"/>
    <w:rsid w:val="000A7A46"/>
    <w:rsid w:val="000B0AA1"/>
    <w:rsid w:val="000B5FCA"/>
    <w:rsid w:val="000B7C0E"/>
    <w:rsid w:val="000C17FE"/>
    <w:rsid w:val="000C5838"/>
    <w:rsid w:val="000C5994"/>
    <w:rsid w:val="000C7075"/>
    <w:rsid w:val="000C7F33"/>
    <w:rsid w:val="000D73AB"/>
    <w:rsid w:val="000E32C8"/>
    <w:rsid w:val="000F2D56"/>
    <w:rsid w:val="00102A1D"/>
    <w:rsid w:val="001072D0"/>
    <w:rsid w:val="00114365"/>
    <w:rsid w:val="001215BB"/>
    <w:rsid w:val="001227F3"/>
    <w:rsid w:val="00122E39"/>
    <w:rsid w:val="00127458"/>
    <w:rsid w:val="00141178"/>
    <w:rsid w:val="0014207A"/>
    <w:rsid w:val="001438E1"/>
    <w:rsid w:val="00143A50"/>
    <w:rsid w:val="001465FF"/>
    <w:rsid w:val="00147198"/>
    <w:rsid w:val="001508D1"/>
    <w:rsid w:val="00150D2A"/>
    <w:rsid w:val="001534CD"/>
    <w:rsid w:val="001550F2"/>
    <w:rsid w:val="001559F8"/>
    <w:rsid w:val="00156899"/>
    <w:rsid w:val="00157A3E"/>
    <w:rsid w:val="00164714"/>
    <w:rsid w:val="001665A1"/>
    <w:rsid w:val="001670D4"/>
    <w:rsid w:val="00170D45"/>
    <w:rsid w:val="00170EEF"/>
    <w:rsid w:val="001722B1"/>
    <w:rsid w:val="00172532"/>
    <w:rsid w:val="00175B32"/>
    <w:rsid w:val="001809B3"/>
    <w:rsid w:val="00180D51"/>
    <w:rsid w:val="00187EA6"/>
    <w:rsid w:val="00192D14"/>
    <w:rsid w:val="001953AE"/>
    <w:rsid w:val="001A084F"/>
    <w:rsid w:val="001A15AB"/>
    <w:rsid w:val="001A3901"/>
    <w:rsid w:val="001A5BDA"/>
    <w:rsid w:val="001B1583"/>
    <w:rsid w:val="001B420E"/>
    <w:rsid w:val="001B4767"/>
    <w:rsid w:val="001B4886"/>
    <w:rsid w:val="001C29E1"/>
    <w:rsid w:val="001C383D"/>
    <w:rsid w:val="001C3C19"/>
    <w:rsid w:val="001D0C1E"/>
    <w:rsid w:val="001D1418"/>
    <w:rsid w:val="001D188A"/>
    <w:rsid w:val="001D1F3E"/>
    <w:rsid w:val="001D5DEE"/>
    <w:rsid w:val="001D7BFB"/>
    <w:rsid w:val="001E16BC"/>
    <w:rsid w:val="001E2CC6"/>
    <w:rsid w:val="001E50A3"/>
    <w:rsid w:val="001E561C"/>
    <w:rsid w:val="001E630D"/>
    <w:rsid w:val="001F2303"/>
    <w:rsid w:val="001F35A6"/>
    <w:rsid w:val="001F6FB7"/>
    <w:rsid w:val="0020077A"/>
    <w:rsid w:val="00203DEE"/>
    <w:rsid w:val="00207F90"/>
    <w:rsid w:val="00212762"/>
    <w:rsid w:val="00213949"/>
    <w:rsid w:val="00213A1E"/>
    <w:rsid w:val="0021437E"/>
    <w:rsid w:val="00215051"/>
    <w:rsid w:val="0021557F"/>
    <w:rsid w:val="00217569"/>
    <w:rsid w:val="00225353"/>
    <w:rsid w:val="002321EA"/>
    <w:rsid w:val="00234A80"/>
    <w:rsid w:val="0023603F"/>
    <w:rsid w:val="00237F5D"/>
    <w:rsid w:val="00250CFB"/>
    <w:rsid w:val="00254C83"/>
    <w:rsid w:val="0025684C"/>
    <w:rsid w:val="00260556"/>
    <w:rsid w:val="002612AE"/>
    <w:rsid w:val="00261FC2"/>
    <w:rsid w:val="00262429"/>
    <w:rsid w:val="00264E2C"/>
    <w:rsid w:val="00275EDC"/>
    <w:rsid w:val="00277603"/>
    <w:rsid w:val="002804DE"/>
    <w:rsid w:val="00283807"/>
    <w:rsid w:val="00294BDA"/>
    <w:rsid w:val="00295F2F"/>
    <w:rsid w:val="002A30E0"/>
    <w:rsid w:val="002A785E"/>
    <w:rsid w:val="002B41BB"/>
    <w:rsid w:val="002B755E"/>
    <w:rsid w:val="002C1DFA"/>
    <w:rsid w:val="002C5C1C"/>
    <w:rsid w:val="002C78B5"/>
    <w:rsid w:val="002D052C"/>
    <w:rsid w:val="002D3767"/>
    <w:rsid w:val="002D37A1"/>
    <w:rsid w:val="002D50E1"/>
    <w:rsid w:val="002D5E5C"/>
    <w:rsid w:val="002E016A"/>
    <w:rsid w:val="002E4768"/>
    <w:rsid w:val="002E5010"/>
    <w:rsid w:val="002E75F1"/>
    <w:rsid w:val="002F0B43"/>
    <w:rsid w:val="002F34D5"/>
    <w:rsid w:val="002F436F"/>
    <w:rsid w:val="002F5BB3"/>
    <w:rsid w:val="00300424"/>
    <w:rsid w:val="003073B5"/>
    <w:rsid w:val="00313B3B"/>
    <w:rsid w:val="00313BFF"/>
    <w:rsid w:val="003147DC"/>
    <w:rsid w:val="003226F3"/>
    <w:rsid w:val="00323BB7"/>
    <w:rsid w:val="003242D5"/>
    <w:rsid w:val="00325ADB"/>
    <w:rsid w:val="00335442"/>
    <w:rsid w:val="00335B02"/>
    <w:rsid w:val="00340F6E"/>
    <w:rsid w:val="00341478"/>
    <w:rsid w:val="00342035"/>
    <w:rsid w:val="00343D34"/>
    <w:rsid w:val="003445DA"/>
    <w:rsid w:val="00344AAB"/>
    <w:rsid w:val="00344D22"/>
    <w:rsid w:val="00346316"/>
    <w:rsid w:val="00347046"/>
    <w:rsid w:val="003479B7"/>
    <w:rsid w:val="00350212"/>
    <w:rsid w:val="00352238"/>
    <w:rsid w:val="00354A62"/>
    <w:rsid w:val="00360F21"/>
    <w:rsid w:val="003619B4"/>
    <w:rsid w:val="003622D9"/>
    <w:rsid w:val="00365497"/>
    <w:rsid w:val="003711AA"/>
    <w:rsid w:val="00372197"/>
    <w:rsid w:val="00372519"/>
    <w:rsid w:val="0038071B"/>
    <w:rsid w:val="00380E79"/>
    <w:rsid w:val="00381736"/>
    <w:rsid w:val="003820DF"/>
    <w:rsid w:val="0038213D"/>
    <w:rsid w:val="00386608"/>
    <w:rsid w:val="00394A2C"/>
    <w:rsid w:val="003A0978"/>
    <w:rsid w:val="003A2793"/>
    <w:rsid w:val="003A3FCC"/>
    <w:rsid w:val="003A5104"/>
    <w:rsid w:val="003A60EF"/>
    <w:rsid w:val="003A617F"/>
    <w:rsid w:val="003B10B9"/>
    <w:rsid w:val="003B2BB8"/>
    <w:rsid w:val="003B3F1F"/>
    <w:rsid w:val="003B6091"/>
    <w:rsid w:val="003B6C65"/>
    <w:rsid w:val="003B714A"/>
    <w:rsid w:val="003D34FF"/>
    <w:rsid w:val="003E4509"/>
    <w:rsid w:val="003F081B"/>
    <w:rsid w:val="003F1695"/>
    <w:rsid w:val="003F2DA2"/>
    <w:rsid w:val="003F5A24"/>
    <w:rsid w:val="003F6ED7"/>
    <w:rsid w:val="003F7620"/>
    <w:rsid w:val="0040062A"/>
    <w:rsid w:val="00400EB2"/>
    <w:rsid w:val="004039D1"/>
    <w:rsid w:val="0040538A"/>
    <w:rsid w:val="00410844"/>
    <w:rsid w:val="00413299"/>
    <w:rsid w:val="00414C00"/>
    <w:rsid w:val="0042201A"/>
    <w:rsid w:val="00423D25"/>
    <w:rsid w:val="004307E9"/>
    <w:rsid w:val="0043540D"/>
    <w:rsid w:val="00435CBA"/>
    <w:rsid w:val="00436774"/>
    <w:rsid w:val="0044452C"/>
    <w:rsid w:val="00446794"/>
    <w:rsid w:val="004467BB"/>
    <w:rsid w:val="00457E41"/>
    <w:rsid w:val="0046351B"/>
    <w:rsid w:val="00464040"/>
    <w:rsid w:val="00466168"/>
    <w:rsid w:val="00466A8D"/>
    <w:rsid w:val="00466BF8"/>
    <w:rsid w:val="00467EB7"/>
    <w:rsid w:val="00477708"/>
    <w:rsid w:val="0048002C"/>
    <w:rsid w:val="0048478F"/>
    <w:rsid w:val="004861C3"/>
    <w:rsid w:val="004876FD"/>
    <w:rsid w:val="00491916"/>
    <w:rsid w:val="004A0D9A"/>
    <w:rsid w:val="004B31F3"/>
    <w:rsid w:val="004B54CA"/>
    <w:rsid w:val="004B5CD1"/>
    <w:rsid w:val="004C143B"/>
    <w:rsid w:val="004C201A"/>
    <w:rsid w:val="004C2D9C"/>
    <w:rsid w:val="004C3A89"/>
    <w:rsid w:val="004C5567"/>
    <w:rsid w:val="004D32B5"/>
    <w:rsid w:val="004E1864"/>
    <w:rsid w:val="004E18E6"/>
    <w:rsid w:val="004E1FCF"/>
    <w:rsid w:val="004E2E71"/>
    <w:rsid w:val="004E3405"/>
    <w:rsid w:val="004E461E"/>
    <w:rsid w:val="004E4CC9"/>
    <w:rsid w:val="004E5CBF"/>
    <w:rsid w:val="004F0179"/>
    <w:rsid w:val="004F436A"/>
    <w:rsid w:val="0050450D"/>
    <w:rsid w:val="00514CAC"/>
    <w:rsid w:val="00515AB6"/>
    <w:rsid w:val="00520A7A"/>
    <w:rsid w:val="00523580"/>
    <w:rsid w:val="005272E1"/>
    <w:rsid w:val="005303D1"/>
    <w:rsid w:val="005311B5"/>
    <w:rsid w:val="00531E4B"/>
    <w:rsid w:val="00531F1E"/>
    <w:rsid w:val="00536133"/>
    <w:rsid w:val="00536F48"/>
    <w:rsid w:val="0053770B"/>
    <w:rsid w:val="0053780A"/>
    <w:rsid w:val="00537A29"/>
    <w:rsid w:val="005410F1"/>
    <w:rsid w:val="00542AEA"/>
    <w:rsid w:val="00553144"/>
    <w:rsid w:val="0055358F"/>
    <w:rsid w:val="0055492D"/>
    <w:rsid w:val="00554ABE"/>
    <w:rsid w:val="0055560D"/>
    <w:rsid w:val="00556FC3"/>
    <w:rsid w:val="00560B8E"/>
    <w:rsid w:val="00562D8C"/>
    <w:rsid w:val="00564AE2"/>
    <w:rsid w:val="0056526B"/>
    <w:rsid w:val="005674BD"/>
    <w:rsid w:val="00570781"/>
    <w:rsid w:val="00570A06"/>
    <w:rsid w:val="005717E9"/>
    <w:rsid w:val="0057255F"/>
    <w:rsid w:val="00573D0A"/>
    <w:rsid w:val="00574D04"/>
    <w:rsid w:val="00574D13"/>
    <w:rsid w:val="005756BA"/>
    <w:rsid w:val="00576162"/>
    <w:rsid w:val="005820CE"/>
    <w:rsid w:val="00582246"/>
    <w:rsid w:val="00585455"/>
    <w:rsid w:val="00586B2A"/>
    <w:rsid w:val="00592871"/>
    <w:rsid w:val="0059298F"/>
    <w:rsid w:val="005938B8"/>
    <w:rsid w:val="00593C73"/>
    <w:rsid w:val="00594958"/>
    <w:rsid w:val="005957FF"/>
    <w:rsid w:val="00595D1D"/>
    <w:rsid w:val="005A0EA4"/>
    <w:rsid w:val="005A1743"/>
    <w:rsid w:val="005A39D4"/>
    <w:rsid w:val="005A4A26"/>
    <w:rsid w:val="005A4D71"/>
    <w:rsid w:val="005A6312"/>
    <w:rsid w:val="005A633A"/>
    <w:rsid w:val="005B3885"/>
    <w:rsid w:val="005B717B"/>
    <w:rsid w:val="005C13FC"/>
    <w:rsid w:val="005C3AA9"/>
    <w:rsid w:val="005C7861"/>
    <w:rsid w:val="005D0CB0"/>
    <w:rsid w:val="005D1737"/>
    <w:rsid w:val="005D18E8"/>
    <w:rsid w:val="005D72FC"/>
    <w:rsid w:val="005E0E88"/>
    <w:rsid w:val="005E5A97"/>
    <w:rsid w:val="005F1E0F"/>
    <w:rsid w:val="005F5CE9"/>
    <w:rsid w:val="005F5DFE"/>
    <w:rsid w:val="00604FFC"/>
    <w:rsid w:val="00605267"/>
    <w:rsid w:val="00605F8D"/>
    <w:rsid w:val="00614E86"/>
    <w:rsid w:val="00614FB8"/>
    <w:rsid w:val="00620749"/>
    <w:rsid w:val="0062652E"/>
    <w:rsid w:val="00630A17"/>
    <w:rsid w:val="00630B7B"/>
    <w:rsid w:val="00633338"/>
    <w:rsid w:val="006355C0"/>
    <w:rsid w:val="0063775B"/>
    <w:rsid w:val="00641449"/>
    <w:rsid w:val="00641A02"/>
    <w:rsid w:val="00645007"/>
    <w:rsid w:val="006453A0"/>
    <w:rsid w:val="00651CCB"/>
    <w:rsid w:val="0065442B"/>
    <w:rsid w:val="00656AB6"/>
    <w:rsid w:val="006577CF"/>
    <w:rsid w:val="00664E61"/>
    <w:rsid w:val="006765FF"/>
    <w:rsid w:val="00681404"/>
    <w:rsid w:val="00683992"/>
    <w:rsid w:val="0068765A"/>
    <w:rsid w:val="006908B4"/>
    <w:rsid w:val="00692BEB"/>
    <w:rsid w:val="006A21BC"/>
    <w:rsid w:val="006A45B5"/>
    <w:rsid w:val="006A4CE7"/>
    <w:rsid w:val="006A5C9A"/>
    <w:rsid w:val="006A6D57"/>
    <w:rsid w:val="006B46BC"/>
    <w:rsid w:val="006C28F0"/>
    <w:rsid w:val="006C5C18"/>
    <w:rsid w:val="006D169F"/>
    <w:rsid w:val="006D2C20"/>
    <w:rsid w:val="006D779C"/>
    <w:rsid w:val="006E464C"/>
    <w:rsid w:val="006E53C7"/>
    <w:rsid w:val="00704707"/>
    <w:rsid w:val="00705AD7"/>
    <w:rsid w:val="00707029"/>
    <w:rsid w:val="00710F7A"/>
    <w:rsid w:val="0071118E"/>
    <w:rsid w:val="0072073E"/>
    <w:rsid w:val="007219F1"/>
    <w:rsid w:val="00721AD1"/>
    <w:rsid w:val="0072334A"/>
    <w:rsid w:val="00726D76"/>
    <w:rsid w:val="00735EDC"/>
    <w:rsid w:val="00740E15"/>
    <w:rsid w:val="007447D3"/>
    <w:rsid w:val="00745EA5"/>
    <w:rsid w:val="00746CF9"/>
    <w:rsid w:val="0075092C"/>
    <w:rsid w:val="00751ABE"/>
    <w:rsid w:val="00752073"/>
    <w:rsid w:val="0075350F"/>
    <w:rsid w:val="00753A6A"/>
    <w:rsid w:val="00764323"/>
    <w:rsid w:val="00764E75"/>
    <w:rsid w:val="00765549"/>
    <w:rsid w:val="00767166"/>
    <w:rsid w:val="007677D9"/>
    <w:rsid w:val="007704DB"/>
    <w:rsid w:val="00771929"/>
    <w:rsid w:val="00776A61"/>
    <w:rsid w:val="00777FC1"/>
    <w:rsid w:val="007807BC"/>
    <w:rsid w:val="00780925"/>
    <w:rsid w:val="007822F2"/>
    <w:rsid w:val="00784132"/>
    <w:rsid w:val="00784C2F"/>
    <w:rsid w:val="00784EF5"/>
    <w:rsid w:val="00785261"/>
    <w:rsid w:val="00791CE9"/>
    <w:rsid w:val="007924E7"/>
    <w:rsid w:val="00794C0B"/>
    <w:rsid w:val="00795B69"/>
    <w:rsid w:val="00797357"/>
    <w:rsid w:val="00797A3E"/>
    <w:rsid w:val="007A21BB"/>
    <w:rsid w:val="007A2767"/>
    <w:rsid w:val="007A3A75"/>
    <w:rsid w:val="007A47B3"/>
    <w:rsid w:val="007B0098"/>
    <w:rsid w:val="007B0256"/>
    <w:rsid w:val="007B4627"/>
    <w:rsid w:val="007B55A1"/>
    <w:rsid w:val="007B7373"/>
    <w:rsid w:val="007B7460"/>
    <w:rsid w:val="007C2C29"/>
    <w:rsid w:val="007C4C99"/>
    <w:rsid w:val="007C52FF"/>
    <w:rsid w:val="007C53C5"/>
    <w:rsid w:val="007C79C7"/>
    <w:rsid w:val="007D001B"/>
    <w:rsid w:val="007D04FF"/>
    <w:rsid w:val="007D39CC"/>
    <w:rsid w:val="007D51E1"/>
    <w:rsid w:val="007E10B2"/>
    <w:rsid w:val="007E180C"/>
    <w:rsid w:val="007E2E94"/>
    <w:rsid w:val="007E6105"/>
    <w:rsid w:val="007E6C06"/>
    <w:rsid w:val="007E7B8A"/>
    <w:rsid w:val="007F1DC0"/>
    <w:rsid w:val="007F4017"/>
    <w:rsid w:val="007F4280"/>
    <w:rsid w:val="007F632F"/>
    <w:rsid w:val="007F66C8"/>
    <w:rsid w:val="007F6C84"/>
    <w:rsid w:val="007F7ACF"/>
    <w:rsid w:val="0080054F"/>
    <w:rsid w:val="00801A64"/>
    <w:rsid w:val="00802737"/>
    <w:rsid w:val="00814499"/>
    <w:rsid w:val="00814641"/>
    <w:rsid w:val="00817654"/>
    <w:rsid w:val="00823D11"/>
    <w:rsid w:val="008242E3"/>
    <w:rsid w:val="008273A0"/>
    <w:rsid w:val="008275E5"/>
    <w:rsid w:val="00830A50"/>
    <w:rsid w:val="00834863"/>
    <w:rsid w:val="00837F85"/>
    <w:rsid w:val="00841EA4"/>
    <w:rsid w:val="008465D8"/>
    <w:rsid w:val="008476F0"/>
    <w:rsid w:val="008478E2"/>
    <w:rsid w:val="0085393C"/>
    <w:rsid w:val="008542BE"/>
    <w:rsid w:val="008557ED"/>
    <w:rsid w:val="008561C0"/>
    <w:rsid w:val="00860ADC"/>
    <w:rsid w:val="00863C7F"/>
    <w:rsid w:val="008660BE"/>
    <w:rsid w:val="00866E25"/>
    <w:rsid w:val="008700CC"/>
    <w:rsid w:val="00870EDC"/>
    <w:rsid w:val="00873117"/>
    <w:rsid w:val="00873D9C"/>
    <w:rsid w:val="00876E46"/>
    <w:rsid w:val="008805AB"/>
    <w:rsid w:val="008815AD"/>
    <w:rsid w:val="00887867"/>
    <w:rsid w:val="008917C5"/>
    <w:rsid w:val="0089253B"/>
    <w:rsid w:val="00893F72"/>
    <w:rsid w:val="00897D8C"/>
    <w:rsid w:val="008A19C2"/>
    <w:rsid w:val="008A344B"/>
    <w:rsid w:val="008A5704"/>
    <w:rsid w:val="008A7233"/>
    <w:rsid w:val="008B02F5"/>
    <w:rsid w:val="008B18B6"/>
    <w:rsid w:val="008B1C43"/>
    <w:rsid w:val="008B3911"/>
    <w:rsid w:val="008B419B"/>
    <w:rsid w:val="008C7E4D"/>
    <w:rsid w:val="008D0BDF"/>
    <w:rsid w:val="008D4B76"/>
    <w:rsid w:val="008D62DB"/>
    <w:rsid w:val="008E03DD"/>
    <w:rsid w:val="008E4FDF"/>
    <w:rsid w:val="008F057F"/>
    <w:rsid w:val="008F15BD"/>
    <w:rsid w:val="008F3A25"/>
    <w:rsid w:val="008F47A3"/>
    <w:rsid w:val="00901776"/>
    <w:rsid w:val="00901C0E"/>
    <w:rsid w:val="00905783"/>
    <w:rsid w:val="00910BE3"/>
    <w:rsid w:val="00911B6E"/>
    <w:rsid w:val="00914A06"/>
    <w:rsid w:val="009152E8"/>
    <w:rsid w:val="00921B82"/>
    <w:rsid w:val="009225F0"/>
    <w:rsid w:val="00923ED2"/>
    <w:rsid w:val="0092545B"/>
    <w:rsid w:val="00925EAF"/>
    <w:rsid w:val="009307B5"/>
    <w:rsid w:val="009312B2"/>
    <w:rsid w:val="00933B2A"/>
    <w:rsid w:val="00937CFF"/>
    <w:rsid w:val="00940AC8"/>
    <w:rsid w:val="0094173E"/>
    <w:rsid w:val="00942D40"/>
    <w:rsid w:val="009442B9"/>
    <w:rsid w:val="009466D2"/>
    <w:rsid w:val="00950F57"/>
    <w:rsid w:val="00951608"/>
    <w:rsid w:val="00954343"/>
    <w:rsid w:val="0095533A"/>
    <w:rsid w:val="00961B4E"/>
    <w:rsid w:val="0096224E"/>
    <w:rsid w:val="0096245A"/>
    <w:rsid w:val="00965145"/>
    <w:rsid w:val="00965252"/>
    <w:rsid w:val="009661E0"/>
    <w:rsid w:val="009676E8"/>
    <w:rsid w:val="0097307E"/>
    <w:rsid w:val="00975869"/>
    <w:rsid w:val="0097684E"/>
    <w:rsid w:val="00977080"/>
    <w:rsid w:val="00977963"/>
    <w:rsid w:val="00982C46"/>
    <w:rsid w:val="00986B0F"/>
    <w:rsid w:val="00994045"/>
    <w:rsid w:val="00994623"/>
    <w:rsid w:val="009A01D4"/>
    <w:rsid w:val="009A0531"/>
    <w:rsid w:val="009A0DDA"/>
    <w:rsid w:val="009A1613"/>
    <w:rsid w:val="009A25CF"/>
    <w:rsid w:val="009A2966"/>
    <w:rsid w:val="009A3A36"/>
    <w:rsid w:val="009A4A14"/>
    <w:rsid w:val="009A6155"/>
    <w:rsid w:val="009B0928"/>
    <w:rsid w:val="009B2942"/>
    <w:rsid w:val="009B3CBD"/>
    <w:rsid w:val="009B6A86"/>
    <w:rsid w:val="009C0606"/>
    <w:rsid w:val="009C57DD"/>
    <w:rsid w:val="009D3767"/>
    <w:rsid w:val="009D7C43"/>
    <w:rsid w:val="009E7F5A"/>
    <w:rsid w:val="009F1588"/>
    <w:rsid w:val="009F18AD"/>
    <w:rsid w:val="009F63E1"/>
    <w:rsid w:val="009F6545"/>
    <w:rsid w:val="009F68B4"/>
    <w:rsid w:val="00A0035B"/>
    <w:rsid w:val="00A00B96"/>
    <w:rsid w:val="00A0201D"/>
    <w:rsid w:val="00A04826"/>
    <w:rsid w:val="00A052D6"/>
    <w:rsid w:val="00A0613A"/>
    <w:rsid w:val="00A07FAC"/>
    <w:rsid w:val="00A13FA3"/>
    <w:rsid w:val="00A21351"/>
    <w:rsid w:val="00A219FF"/>
    <w:rsid w:val="00A23FFD"/>
    <w:rsid w:val="00A27D99"/>
    <w:rsid w:val="00A345E1"/>
    <w:rsid w:val="00A35155"/>
    <w:rsid w:val="00A353A1"/>
    <w:rsid w:val="00A40487"/>
    <w:rsid w:val="00A43B5D"/>
    <w:rsid w:val="00A47174"/>
    <w:rsid w:val="00A50041"/>
    <w:rsid w:val="00A50CA7"/>
    <w:rsid w:val="00A56FDB"/>
    <w:rsid w:val="00A61A7C"/>
    <w:rsid w:val="00A61E7C"/>
    <w:rsid w:val="00A63C5B"/>
    <w:rsid w:val="00A646C6"/>
    <w:rsid w:val="00A67062"/>
    <w:rsid w:val="00A7139E"/>
    <w:rsid w:val="00A71751"/>
    <w:rsid w:val="00A71856"/>
    <w:rsid w:val="00A7704D"/>
    <w:rsid w:val="00A776EC"/>
    <w:rsid w:val="00A85AFF"/>
    <w:rsid w:val="00A866EB"/>
    <w:rsid w:val="00A90449"/>
    <w:rsid w:val="00A91591"/>
    <w:rsid w:val="00A9315A"/>
    <w:rsid w:val="00A932B8"/>
    <w:rsid w:val="00A95077"/>
    <w:rsid w:val="00AA07FC"/>
    <w:rsid w:val="00AA0E0F"/>
    <w:rsid w:val="00AA13C0"/>
    <w:rsid w:val="00AA2926"/>
    <w:rsid w:val="00AA2CE3"/>
    <w:rsid w:val="00AA38DB"/>
    <w:rsid w:val="00AA3AA9"/>
    <w:rsid w:val="00AA6762"/>
    <w:rsid w:val="00AB0FCA"/>
    <w:rsid w:val="00AB1356"/>
    <w:rsid w:val="00AB36B9"/>
    <w:rsid w:val="00AB3D24"/>
    <w:rsid w:val="00AB5DE9"/>
    <w:rsid w:val="00AC2FF7"/>
    <w:rsid w:val="00AC7605"/>
    <w:rsid w:val="00AD3ABB"/>
    <w:rsid w:val="00AE26F0"/>
    <w:rsid w:val="00AE64C3"/>
    <w:rsid w:val="00AF2E8B"/>
    <w:rsid w:val="00AF6709"/>
    <w:rsid w:val="00B052F0"/>
    <w:rsid w:val="00B0697A"/>
    <w:rsid w:val="00B078E1"/>
    <w:rsid w:val="00B10295"/>
    <w:rsid w:val="00B1295A"/>
    <w:rsid w:val="00B16A22"/>
    <w:rsid w:val="00B2335D"/>
    <w:rsid w:val="00B2524F"/>
    <w:rsid w:val="00B26A6F"/>
    <w:rsid w:val="00B3345A"/>
    <w:rsid w:val="00B33867"/>
    <w:rsid w:val="00B33F13"/>
    <w:rsid w:val="00B352C2"/>
    <w:rsid w:val="00B35D49"/>
    <w:rsid w:val="00B449F1"/>
    <w:rsid w:val="00B45F6C"/>
    <w:rsid w:val="00B46CDF"/>
    <w:rsid w:val="00B4726D"/>
    <w:rsid w:val="00B53EC9"/>
    <w:rsid w:val="00B57047"/>
    <w:rsid w:val="00B64029"/>
    <w:rsid w:val="00B65943"/>
    <w:rsid w:val="00B67119"/>
    <w:rsid w:val="00B70CB6"/>
    <w:rsid w:val="00B71828"/>
    <w:rsid w:val="00B7218E"/>
    <w:rsid w:val="00B73DA2"/>
    <w:rsid w:val="00B743CB"/>
    <w:rsid w:val="00B750DC"/>
    <w:rsid w:val="00B8199A"/>
    <w:rsid w:val="00B8491B"/>
    <w:rsid w:val="00B86011"/>
    <w:rsid w:val="00B86F80"/>
    <w:rsid w:val="00B902F0"/>
    <w:rsid w:val="00B90DAD"/>
    <w:rsid w:val="00B91A34"/>
    <w:rsid w:val="00B94E66"/>
    <w:rsid w:val="00B95903"/>
    <w:rsid w:val="00B96E8C"/>
    <w:rsid w:val="00B97610"/>
    <w:rsid w:val="00B97A26"/>
    <w:rsid w:val="00BA082A"/>
    <w:rsid w:val="00BA2B0B"/>
    <w:rsid w:val="00BA2DB9"/>
    <w:rsid w:val="00BA3F12"/>
    <w:rsid w:val="00BA5656"/>
    <w:rsid w:val="00BA56AF"/>
    <w:rsid w:val="00BB0F99"/>
    <w:rsid w:val="00BB253E"/>
    <w:rsid w:val="00BB51D0"/>
    <w:rsid w:val="00BC2783"/>
    <w:rsid w:val="00BC6B27"/>
    <w:rsid w:val="00BC7320"/>
    <w:rsid w:val="00BD3460"/>
    <w:rsid w:val="00BD5E4E"/>
    <w:rsid w:val="00BD5EAA"/>
    <w:rsid w:val="00BE01CE"/>
    <w:rsid w:val="00BE0652"/>
    <w:rsid w:val="00BE5808"/>
    <w:rsid w:val="00BE632A"/>
    <w:rsid w:val="00BE7148"/>
    <w:rsid w:val="00BF1A6F"/>
    <w:rsid w:val="00BF265E"/>
    <w:rsid w:val="00BF2AE0"/>
    <w:rsid w:val="00C03624"/>
    <w:rsid w:val="00C04384"/>
    <w:rsid w:val="00C0444B"/>
    <w:rsid w:val="00C05A58"/>
    <w:rsid w:val="00C07425"/>
    <w:rsid w:val="00C107E1"/>
    <w:rsid w:val="00C10BEA"/>
    <w:rsid w:val="00C13028"/>
    <w:rsid w:val="00C14140"/>
    <w:rsid w:val="00C2250E"/>
    <w:rsid w:val="00C244A1"/>
    <w:rsid w:val="00C26B13"/>
    <w:rsid w:val="00C27827"/>
    <w:rsid w:val="00C33F50"/>
    <w:rsid w:val="00C33FAD"/>
    <w:rsid w:val="00C340F9"/>
    <w:rsid w:val="00C342D2"/>
    <w:rsid w:val="00C36246"/>
    <w:rsid w:val="00C369CF"/>
    <w:rsid w:val="00C41AF5"/>
    <w:rsid w:val="00C4288C"/>
    <w:rsid w:val="00C42E49"/>
    <w:rsid w:val="00C44611"/>
    <w:rsid w:val="00C4471B"/>
    <w:rsid w:val="00C461E8"/>
    <w:rsid w:val="00C50E73"/>
    <w:rsid w:val="00C54B33"/>
    <w:rsid w:val="00C57EFE"/>
    <w:rsid w:val="00C63D82"/>
    <w:rsid w:val="00C64C04"/>
    <w:rsid w:val="00C66422"/>
    <w:rsid w:val="00C66492"/>
    <w:rsid w:val="00C714FA"/>
    <w:rsid w:val="00C7150A"/>
    <w:rsid w:val="00C71EA5"/>
    <w:rsid w:val="00C72AE0"/>
    <w:rsid w:val="00C733DE"/>
    <w:rsid w:val="00C7411D"/>
    <w:rsid w:val="00C760B9"/>
    <w:rsid w:val="00C844BE"/>
    <w:rsid w:val="00C91232"/>
    <w:rsid w:val="00C971DB"/>
    <w:rsid w:val="00CA6BC2"/>
    <w:rsid w:val="00CB1A61"/>
    <w:rsid w:val="00CB1ED4"/>
    <w:rsid w:val="00CB2835"/>
    <w:rsid w:val="00CB3C93"/>
    <w:rsid w:val="00CB5F59"/>
    <w:rsid w:val="00CC102F"/>
    <w:rsid w:val="00CC168E"/>
    <w:rsid w:val="00CC5843"/>
    <w:rsid w:val="00CC5D78"/>
    <w:rsid w:val="00CC658E"/>
    <w:rsid w:val="00CC702D"/>
    <w:rsid w:val="00CD3111"/>
    <w:rsid w:val="00CD3DF5"/>
    <w:rsid w:val="00CE016D"/>
    <w:rsid w:val="00CE2CE0"/>
    <w:rsid w:val="00CE3FB4"/>
    <w:rsid w:val="00CE6C76"/>
    <w:rsid w:val="00CE720A"/>
    <w:rsid w:val="00CF348E"/>
    <w:rsid w:val="00CF74D3"/>
    <w:rsid w:val="00D001A6"/>
    <w:rsid w:val="00D04D47"/>
    <w:rsid w:val="00D06004"/>
    <w:rsid w:val="00D0767E"/>
    <w:rsid w:val="00D101F0"/>
    <w:rsid w:val="00D12D99"/>
    <w:rsid w:val="00D165D2"/>
    <w:rsid w:val="00D16751"/>
    <w:rsid w:val="00D20864"/>
    <w:rsid w:val="00D21A5C"/>
    <w:rsid w:val="00D22D52"/>
    <w:rsid w:val="00D240F6"/>
    <w:rsid w:val="00D338C6"/>
    <w:rsid w:val="00D35FF8"/>
    <w:rsid w:val="00D40337"/>
    <w:rsid w:val="00D407C7"/>
    <w:rsid w:val="00D47774"/>
    <w:rsid w:val="00D541D4"/>
    <w:rsid w:val="00D60C10"/>
    <w:rsid w:val="00D71A62"/>
    <w:rsid w:val="00D7230D"/>
    <w:rsid w:val="00D73B2C"/>
    <w:rsid w:val="00D81E37"/>
    <w:rsid w:val="00D8247A"/>
    <w:rsid w:val="00D82C55"/>
    <w:rsid w:val="00D86D71"/>
    <w:rsid w:val="00D87A0F"/>
    <w:rsid w:val="00D9194F"/>
    <w:rsid w:val="00D92EEC"/>
    <w:rsid w:val="00DA6E0F"/>
    <w:rsid w:val="00DB125A"/>
    <w:rsid w:val="00DB1ACF"/>
    <w:rsid w:val="00DB36D0"/>
    <w:rsid w:val="00DB3A0C"/>
    <w:rsid w:val="00DB5769"/>
    <w:rsid w:val="00DB7626"/>
    <w:rsid w:val="00DB77E9"/>
    <w:rsid w:val="00DB7C31"/>
    <w:rsid w:val="00DC1AE8"/>
    <w:rsid w:val="00DC715A"/>
    <w:rsid w:val="00DD37BC"/>
    <w:rsid w:val="00DD3D47"/>
    <w:rsid w:val="00DD501B"/>
    <w:rsid w:val="00DD6D8D"/>
    <w:rsid w:val="00DE3193"/>
    <w:rsid w:val="00DE3B5E"/>
    <w:rsid w:val="00E07062"/>
    <w:rsid w:val="00E12833"/>
    <w:rsid w:val="00E221BD"/>
    <w:rsid w:val="00E26402"/>
    <w:rsid w:val="00E27889"/>
    <w:rsid w:val="00E30002"/>
    <w:rsid w:val="00E301AD"/>
    <w:rsid w:val="00E30608"/>
    <w:rsid w:val="00E336AC"/>
    <w:rsid w:val="00E35112"/>
    <w:rsid w:val="00E45904"/>
    <w:rsid w:val="00E47C91"/>
    <w:rsid w:val="00E51E58"/>
    <w:rsid w:val="00E56007"/>
    <w:rsid w:val="00E60EF8"/>
    <w:rsid w:val="00E6296A"/>
    <w:rsid w:val="00E64C18"/>
    <w:rsid w:val="00E7423C"/>
    <w:rsid w:val="00E77043"/>
    <w:rsid w:val="00E77E81"/>
    <w:rsid w:val="00E85FB1"/>
    <w:rsid w:val="00E9036F"/>
    <w:rsid w:val="00E95A9E"/>
    <w:rsid w:val="00E97A0E"/>
    <w:rsid w:val="00EA176A"/>
    <w:rsid w:val="00EA2117"/>
    <w:rsid w:val="00EA2E20"/>
    <w:rsid w:val="00EA34E2"/>
    <w:rsid w:val="00EA6B74"/>
    <w:rsid w:val="00EB1E21"/>
    <w:rsid w:val="00EB6B2F"/>
    <w:rsid w:val="00EB7EC4"/>
    <w:rsid w:val="00EC4364"/>
    <w:rsid w:val="00EC6361"/>
    <w:rsid w:val="00ED0E0A"/>
    <w:rsid w:val="00EE1BC9"/>
    <w:rsid w:val="00EE54E1"/>
    <w:rsid w:val="00EE75C7"/>
    <w:rsid w:val="00EF6E0F"/>
    <w:rsid w:val="00F03C00"/>
    <w:rsid w:val="00F0492A"/>
    <w:rsid w:val="00F04C8D"/>
    <w:rsid w:val="00F04FD6"/>
    <w:rsid w:val="00F10F04"/>
    <w:rsid w:val="00F1127F"/>
    <w:rsid w:val="00F12401"/>
    <w:rsid w:val="00F155BE"/>
    <w:rsid w:val="00F268A9"/>
    <w:rsid w:val="00F327D8"/>
    <w:rsid w:val="00F32FCD"/>
    <w:rsid w:val="00F364E1"/>
    <w:rsid w:val="00F36974"/>
    <w:rsid w:val="00F40526"/>
    <w:rsid w:val="00F4099E"/>
    <w:rsid w:val="00F411F2"/>
    <w:rsid w:val="00F41702"/>
    <w:rsid w:val="00F418CC"/>
    <w:rsid w:val="00F42583"/>
    <w:rsid w:val="00F43194"/>
    <w:rsid w:val="00F444F3"/>
    <w:rsid w:val="00F44988"/>
    <w:rsid w:val="00F45D45"/>
    <w:rsid w:val="00F46459"/>
    <w:rsid w:val="00F50546"/>
    <w:rsid w:val="00F5083B"/>
    <w:rsid w:val="00F510A0"/>
    <w:rsid w:val="00F527EB"/>
    <w:rsid w:val="00F52E6B"/>
    <w:rsid w:val="00F578C9"/>
    <w:rsid w:val="00F610DC"/>
    <w:rsid w:val="00F61182"/>
    <w:rsid w:val="00F62618"/>
    <w:rsid w:val="00F655D2"/>
    <w:rsid w:val="00F675FE"/>
    <w:rsid w:val="00F707B2"/>
    <w:rsid w:val="00F70D7D"/>
    <w:rsid w:val="00F74D70"/>
    <w:rsid w:val="00F7549A"/>
    <w:rsid w:val="00F811B8"/>
    <w:rsid w:val="00F87766"/>
    <w:rsid w:val="00F907C4"/>
    <w:rsid w:val="00F926AC"/>
    <w:rsid w:val="00F940D5"/>
    <w:rsid w:val="00F957B7"/>
    <w:rsid w:val="00F9604A"/>
    <w:rsid w:val="00FA21EC"/>
    <w:rsid w:val="00FA334F"/>
    <w:rsid w:val="00FA7AC3"/>
    <w:rsid w:val="00FB0083"/>
    <w:rsid w:val="00FB5514"/>
    <w:rsid w:val="00FB7599"/>
    <w:rsid w:val="00FC0786"/>
    <w:rsid w:val="00FC1105"/>
    <w:rsid w:val="00FC73FE"/>
    <w:rsid w:val="00FD0EA8"/>
    <w:rsid w:val="00FD1288"/>
    <w:rsid w:val="00FD13AB"/>
    <w:rsid w:val="00FD376B"/>
    <w:rsid w:val="00FD490C"/>
    <w:rsid w:val="00FD4A05"/>
    <w:rsid w:val="00FE25E0"/>
    <w:rsid w:val="00FE3582"/>
    <w:rsid w:val="00FE5A36"/>
    <w:rsid w:val="00FF40BF"/>
    <w:rsid w:val="0BBBEC7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4A9D"/>
  <w15:docId w15:val="{07BF585F-2384-49EA-9E58-51626284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FSMePro" w:hAnsi="Arial" w:cs="Times New Roman"/>
        <w:sz w:val="24"/>
        <w:szCs w:val="24"/>
        <w:lang w:val="en-AU" w:eastAsia="en-AU"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A1"/>
    <w:pPr>
      <w:spacing w:before="0" w:after="240" w:line="360" w:lineRule="auto"/>
    </w:pPr>
  </w:style>
  <w:style w:type="paragraph" w:styleId="Heading1">
    <w:name w:val="heading 1"/>
    <w:basedOn w:val="Normal"/>
    <w:next w:val="Normal"/>
    <w:link w:val="Heading1Char"/>
    <w:uiPriority w:val="3"/>
    <w:qFormat/>
    <w:rsid w:val="00313BFF"/>
    <w:pPr>
      <w:spacing w:before="800" w:after="400"/>
      <w:outlineLvl w:val="0"/>
    </w:pPr>
    <w:rPr>
      <w:rFonts w:cs="Arial"/>
      <w:b/>
      <w:color w:val="FFFFFF"/>
      <w:sz w:val="60"/>
      <w:szCs w:val="60"/>
    </w:rPr>
  </w:style>
  <w:style w:type="paragraph" w:styleId="Heading2">
    <w:name w:val="heading 2"/>
    <w:basedOn w:val="Normal"/>
    <w:next w:val="Normal"/>
    <w:link w:val="Heading2Char"/>
    <w:uiPriority w:val="9"/>
    <w:qFormat/>
    <w:rsid w:val="00B70CB6"/>
    <w:pPr>
      <w:numPr>
        <w:numId w:val="1"/>
      </w:numPr>
      <w:spacing w:before="600"/>
      <w:ind w:left="720"/>
      <w:outlineLvl w:val="1"/>
    </w:pPr>
    <w:rPr>
      <w:b/>
      <w:bCs/>
      <w:color w:val="6B2976"/>
      <w:sz w:val="36"/>
      <w:szCs w:val="36"/>
    </w:rPr>
  </w:style>
  <w:style w:type="paragraph" w:styleId="Heading3">
    <w:name w:val="heading 3"/>
    <w:basedOn w:val="Normal"/>
    <w:next w:val="Normal"/>
    <w:link w:val="Heading3Char"/>
    <w:uiPriority w:val="9"/>
    <w:qFormat/>
    <w:rsid w:val="00B70CB6"/>
    <w:pPr>
      <w:numPr>
        <w:ilvl w:val="1"/>
        <w:numId w:val="1"/>
      </w:numPr>
      <w:spacing w:before="400"/>
      <w:ind w:left="720"/>
      <w:outlineLvl w:val="2"/>
    </w:pPr>
    <w:rPr>
      <w:b/>
      <w:color w:val="6B2976"/>
      <w:sz w:val="32"/>
      <w:szCs w:val="32"/>
    </w:rPr>
  </w:style>
  <w:style w:type="paragraph" w:styleId="Heading4">
    <w:name w:val="heading 4"/>
    <w:basedOn w:val="Normal"/>
    <w:next w:val="Normal"/>
    <w:link w:val="Heading4Char"/>
    <w:uiPriority w:val="9"/>
    <w:qFormat/>
    <w:rsid w:val="00175B32"/>
    <w:pPr>
      <w:outlineLvl w:val="3"/>
    </w:pPr>
    <w:rPr>
      <w:b/>
      <w:color w:val="6B2876" w:themeColor="text1"/>
      <w:sz w:val="28"/>
      <w:szCs w:val="28"/>
    </w:rPr>
  </w:style>
  <w:style w:type="paragraph" w:styleId="Heading5">
    <w:name w:val="heading 5"/>
    <w:basedOn w:val="Normal"/>
    <w:next w:val="Normal"/>
    <w:link w:val="Heading5Char"/>
    <w:uiPriority w:val="7"/>
    <w:qFormat/>
    <w:rsid w:val="003B6C65"/>
    <w:pPr>
      <w:spacing w:before="360"/>
      <w:outlineLvl w:val="4"/>
    </w:pPr>
    <w:rPr>
      <w:b/>
    </w:rPr>
  </w:style>
  <w:style w:type="paragraph" w:styleId="Heading6">
    <w:name w:val="heading 6"/>
    <w:basedOn w:val="Normal"/>
    <w:next w:val="Normal"/>
    <w:link w:val="Heading6Char"/>
    <w:uiPriority w:val="99"/>
    <w:semiHidden/>
    <w:rsid w:val="00380E79"/>
    <w:pPr>
      <w:spacing w:before="360"/>
      <w:outlineLvl w:val="5"/>
    </w:pPr>
    <w:rPr>
      <w:iCs/>
      <w:sz w:val="26"/>
      <w:shd w:val="clear" w:color="auto" w:fill="FFFFFF"/>
    </w:rPr>
  </w:style>
  <w:style w:type="paragraph" w:styleId="Heading7">
    <w:name w:val="heading 7"/>
    <w:basedOn w:val="Normal"/>
    <w:next w:val="Normal"/>
    <w:link w:val="Heading7Char"/>
    <w:uiPriority w:val="99"/>
    <w:semiHidden/>
    <w:rsid w:val="004B54CA"/>
    <w:pPr>
      <w:spacing w:after="0"/>
      <w:outlineLvl w:val="6"/>
    </w:pPr>
    <w:rPr>
      <w:i/>
      <w:iCs/>
    </w:rPr>
  </w:style>
  <w:style w:type="paragraph" w:styleId="Heading8">
    <w:name w:val="heading 8"/>
    <w:basedOn w:val="Normal"/>
    <w:next w:val="Normal"/>
    <w:link w:val="Heading8Char"/>
    <w:uiPriority w:val="99"/>
    <w:semiHidden/>
    <w:rsid w:val="004B54CA"/>
    <w:pPr>
      <w:spacing w:after="0"/>
      <w:outlineLvl w:val="7"/>
    </w:pPr>
    <w:rPr>
      <w:sz w:val="20"/>
      <w:szCs w:val="20"/>
    </w:rPr>
  </w:style>
  <w:style w:type="paragraph" w:styleId="Heading9">
    <w:name w:val="heading 9"/>
    <w:basedOn w:val="Normal"/>
    <w:next w:val="Normal"/>
    <w:link w:val="Heading9Char"/>
    <w:uiPriority w:val="99"/>
    <w:semiHidden/>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313BFF"/>
    <w:rPr>
      <w:rFonts w:cs="Arial"/>
      <w:b/>
      <w:color w:val="FFFFFF"/>
      <w:sz w:val="60"/>
      <w:szCs w:val="60"/>
    </w:rPr>
  </w:style>
  <w:style w:type="character" w:customStyle="1" w:styleId="Heading2Char">
    <w:name w:val="Heading 2 Char"/>
    <w:link w:val="Heading2"/>
    <w:uiPriority w:val="9"/>
    <w:rsid w:val="00E95A9E"/>
    <w:rPr>
      <w:b/>
      <w:bCs/>
      <w:color w:val="6B2976"/>
      <w:sz w:val="36"/>
      <w:szCs w:val="36"/>
    </w:rPr>
  </w:style>
  <w:style w:type="paragraph" w:customStyle="1" w:styleId="Tablebullet">
    <w:name w:val="Table bullet"/>
    <w:uiPriority w:val="10"/>
    <w:qFormat/>
    <w:rsid w:val="00BD5E4E"/>
    <w:pPr>
      <w:numPr>
        <w:numId w:val="8"/>
      </w:numPr>
      <w:spacing w:before="100" w:after="100"/>
      <w:ind w:left="357" w:hanging="357"/>
      <w:contextualSpacing/>
    </w:pPr>
    <w:rPr>
      <w:rFonts w:eastAsia="Times New Roman"/>
      <w:lang w:eastAsia="ja-JP"/>
    </w:rPr>
  </w:style>
  <w:style w:type="character" w:customStyle="1" w:styleId="Heading3Char">
    <w:name w:val="Heading 3 Char"/>
    <w:link w:val="Heading3"/>
    <w:uiPriority w:val="9"/>
    <w:rsid w:val="00E95A9E"/>
    <w:rPr>
      <w:b/>
      <w:color w:val="6B2976"/>
      <w:sz w:val="32"/>
      <w:szCs w:val="32"/>
    </w:rPr>
  </w:style>
  <w:style w:type="character" w:customStyle="1" w:styleId="Heading4Char">
    <w:name w:val="Heading 4 Char"/>
    <w:link w:val="Heading4"/>
    <w:uiPriority w:val="6"/>
    <w:rsid w:val="00E95A9E"/>
    <w:rPr>
      <w:b/>
      <w:color w:val="6B2876" w:themeColor="text1"/>
      <w:sz w:val="28"/>
      <w:szCs w:val="28"/>
    </w:rPr>
  </w:style>
  <w:style w:type="character" w:customStyle="1" w:styleId="Heading5Char">
    <w:name w:val="Heading 5 Char"/>
    <w:link w:val="Heading5"/>
    <w:uiPriority w:val="7"/>
    <w:rsid w:val="003B6C65"/>
    <w:rPr>
      <w:b/>
    </w:rPr>
  </w:style>
  <w:style w:type="character" w:customStyle="1" w:styleId="Heading6Char">
    <w:name w:val="Heading 6 Char"/>
    <w:link w:val="Heading6"/>
    <w:uiPriority w:val="99"/>
    <w:semiHidden/>
    <w:rsid w:val="00E95A9E"/>
    <w:rPr>
      <w:iCs/>
      <w:sz w:val="26"/>
    </w:rPr>
  </w:style>
  <w:style w:type="character" w:customStyle="1" w:styleId="Heading7Char">
    <w:name w:val="Heading 7 Char"/>
    <w:link w:val="Heading7"/>
    <w:uiPriority w:val="99"/>
    <w:semiHidden/>
    <w:rsid w:val="00E95A9E"/>
    <w:rPr>
      <w:i/>
      <w:iCs/>
    </w:rPr>
  </w:style>
  <w:style w:type="character" w:customStyle="1" w:styleId="Heading8Char">
    <w:name w:val="Heading 8 Char"/>
    <w:link w:val="Heading8"/>
    <w:uiPriority w:val="99"/>
    <w:semiHidden/>
    <w:rsid w:val="00E95A9E"/>
    <w:rPr>
      <w:sz w:val="20"/>
      <w:szCs w:val="20"/>
    </w:rPr>
  </w:style>
  <w:style w:type="character" w:customStyle="1" w:styleId="Heading9Char">
    <w:name w:val="Heading 9 Char"/>
    <w:link w:val="Heading9"/>
    <w:uiPriority w:val="99"/>
    <w:semiHidden/>
    <w:rsid w:val="00E95A9E"/>
    <w:rPr>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unhideWhenUsed/>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E95A9E"/>
    <w:rPr>
      <w:b/>
      <w:color w:val="C00000"/>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after="200" w:line="240" w:lineRule="auto"/>
    </w:pPr>
    <w:rPr>
      <w:b/>
      <w:bCs/>
      <w:color w:val="6B2976"/>
    </w:rPr>
  </w:style>
  <w:style w:type="character" w:customStyle="1" w:styleId="FooterChar">
    <w:name w:val="Footer Char"/>
    <w:link w:val="Footer"/>
    <w:uiPriority w:val="99"/>
    <w:rsid w:val="00E95A9E"/>
    <w:rPr>
      <w:b/>
      <w:bCs/>
      <w:color w:val="6B2976"/>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
    <w:name w:val="Bullet 1"/>
    <w:basedOn w:val="ListParagraph"/>
    <w:uiPriority w:val="1"/>
    <w:qFormat/>
    <w:rsid w:val="00084E5D"/>
    <w:pPr>
      <w:numPr>
        <w:numId w:val="3"/>
      </w:numPr>
    </w:pPr>
  </w:style>
  <w:style w:type="table" w:styleId="LightShading-Accent4">
    <w:name w:val="Light Shading Accent 4"/>
    <w:aliases w:val="NDIS purple table"/>
    <w:basedOn w:val="TableNormal"/>
    <w:uiPriority w:val="60"/>
    <w:rsid w:val="00192D14"/>
    <w:pPr>
      <w:keepLines/>
      <w:spacing w:after="80"/>
      <w:ind w:left="113" w:right="113"/>
    </w:pPr>
    <w:rPr>
      <w:rFonts w:eastAsia="Times New Roman"/>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semiHidden/>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TOC2"/>
    <w:next w:val="Normal"/>
    <w:uiPriority w:val="39"/>
    <w:unhideWhenUsed/>
    <w:rsid w:val="000824DE"/>
    <w:pPr>
      <w:spacing w:before="120"/>
      <w:ind w:left="0"/>
    </w:pPr>
    <w:rPr>
      <w:noProof w:val="0"/>
    </w:rPr>
  </w:style>
  <w:style w:type="paragraph" w:styleId="TOC2">
    <w:name w:val="toc 2"/>
    <w:basedOn w:val="Normal"/>
    <w:next w:val="Normal"/>
    <w:uiPriority w:val="39"/>
    <w:unhideWhenUsed/>
    <w:rsid w:val="000824DE"/>
    <w:pPr>
      <w:tabs>
        <w:tab w:val="left" w:pos="426"/>
        <w:tab w:val="left" w:pos="851"/>
        <w:tab w:val="right" w:leader="dot" w:pos="9016"/>
      </w:tabs>
      <w:spacing w:after="200"/>
      <w:ind w:left="425"/>
    </w:pPr>
    <w:rPr>
      <w:rFonts w:asciiTheme="minorHAnsi" w:hAnsiTheme="minorHAnsi" w:cstheme="minorHAnsi"/>
      <w:iCs/>
      <w:noProof/>
      <w:szCs w:val="20"/>
    </w:rPr>
  </w:style>
  <w:style w:type="paragraph" w:styleId="TOC3">
    <w:name w:val="toc 3"/>
    <w:basedOn w:val="Normal"/>
    <w:next w:val="Normal"/>
    <w:uiPriority w:val="39"/>
    <w:unhideWhenUsed/>
    <w:rsid w:val="000824DE"/>
    <w:pPr>
      <w:tabs>
        <w:tab w:val="left" w:pos="993"/>
        <w:tab w:val="right" w:leader="dot" w:pos="9016"/>
      </w:tabs>
      <w:spacing w:after="200"/>
      <w:ind w:left="851"/>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uiPriority w:val="99"/>
    <w:semiHidden/>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99"/>
    <w:semiHidden/>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uiPriority w:val="14"/>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uiPriority w:val="99"/>
    <w:semiHidden/>
    <w:rsid w:val="00380E79"/>
    <w:pPr>
      <w:spacing w:before="360"/>
    </w:pPr>
    <w:rPr>
      <w:bCs/>
    </w:rPr>
  </w:style>
  <w:style w:type="character" w:customStyle="1" w:styleId="TableDescriptionChar">
    <w:name w:val="Table Description Char"/>
    <w:link w:val="TableDescription"/>
    <w:uiPriority w:val="99"/>
    <w:semiHidden/>
    <w:rsid w:val="00BE5808"/>
    <w:rPr>
      <w:bCs/>
    </w:rPr>
  </w:style>
  <w:style w:type="character" w:customStyle="1" w:styleId="SecurityinformationChar">
    <w:name w:val="Security information Char"/>
    <w:link w:val="Securityinformation"/>
    <w:uiPriority w:val="14"/>
    <w:rsid w:val="00D0767E"/>
    <w:rPr>
      <w:b/>
      <w:color w:val="C00000"/>
      <w:sz w:val="28"/>
      <w:szCs w:val="28"/>
    </w:rPr>
  </w:style>
  <w:style w:type="table" w:customStyle="1" w:styleId="Coverpagetable">
    <w:name w:val="Cover page table"/>
    <w:basedOn w:val="TableNormal"/>
    <w:uiPriority w:val="99"/>
    <w:rsid w:val="00192D14"/>
    <w:rPr>
      <w:rFonts w:eastAsiaTheme="minorHAnsi" w:cs="Times New Roman (Body CS)"/>
      <w:color w:val="000000" w:themeColor="accent6"/>
      <w:lang w:eastAsia="en-US"/>
    </w:rPr>
    <w:tblPr/>
  </w:style>
  <w:style w:type="table" w:styleId="ListTable4">
    <w:name w:val="List Table 4"/>
    <w:basedOn w:val="TableNormal"/>
    <w:uiPriority w:val="49"/>
    <w:rsid w:val="005957FF"/>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D0767E"/>
    <w:rPr>
      <w:sz w:val="20"/>
      <w:szCs w:val="20"/>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ListParagraph"/>
    <w:uiPriority w:val="2"/>
    <w:qFormat/>
    <w:rsid w:val="00C33F50"/>
    <w:pPr>
      <w:numPr>
        <w:numId w:val="11"/>
      </w:numPr>
      <w:ind w:left="1071" w:hanging="357"/>
    </w:pPr>
  </w:style>
  <w:style w:type="numbering" w:customStyle="1" w:styleId="Bulletlist">
    <w:name w:val="Bullet list"/>
    <w:uiPriority w:val="99"/>
    <w:rsid w:val="00791CE9"/>
    <w:pPr>
      <w:numPr>
        <w:numId w:val="9"/>
      </w:numPr>
    </w:pPr>
  </w:style>
  <w:style w:type="paragraph" w:customStyle="1" w:styleId="BoardBrief-Paragraph2">
    <w:name w:val="Board Brief - Paragraph 2"/>
    <w:basedOn w:val="Normal"/>
    <w:uiPriority w:val="99"/>
    <w:semiHidden/>
    <w:qFormat/>
    <w:rsid w:val="00B743CB"/>
    <w:pPr>
      <w:numPr>
        <w:ilvl w:val="2"/>
        <w:numId w:val="7"/>
      </w:numPr>
    </w:pPr>
    <w:rPr>
      <w:rFonts w:eastAsiaTheme="minorHAnsi" w:cs="Arial"/>
      <w:szCs w:val="22"/>
    </w:rPr>
  </w:style>
  <w:style w:type="paragraph" w:customStyle="1" w:styleId="11Section-Parapraph">
    <w:name w:val="1.1 Section - Parapraph"/>
    <w:basedOn w:val="ListParagraph"/>
    <w:uiPriority w:val="99"/>
    <w:semiHidden/>
    <w:qFormat/>
    <w:rsid w:val="00B743CB"/>
    <w:pPr>
      <w:numPr>
        <w:ilvl w:val="1"/>
        <w:numId w:val="7"/>
      </w:numPr>
      <w:spacing w:before="240"/>
      <w:contextualSpacing w:val="0"/>
    </w:pPr>
    <w:rPr>
      <w:rFonts w:eastAsiaTheme="minorHAnsi" w:cs="Arial"/>
      <w:szCs w:val="22"/>
    </w:rPr>
  </w:style>
  <w:style w:type="character" w:styleId="FollowedHyperlink">
    <w:name w:val="FollowedHyperlink"/>
    <w:basedOn w:val="DefaultParagraphFont"/>
    <w:uiPriority w:val="99"/>
    <w:semiHidden/>
    <w:unhideWhenUsed/>
    <w:rsid w:val="00705AD7"/>
    <w:rPr>
      <w:color w:val="954F72"/>
      <w:u w:val="single"/>
    </w:rPr>
  </w:style>
  <w:style w:type="paragraph" w:styleId="Caption">
    <w:name w:val="caption"/>
    <w:basedOn w:val="Normal"/>
    <w:next w:val="Normal"/>
    <w:uiPriority w:val="35"/>
    <w:unhideWhenUsed/>
    <w:qFormat/>
    <w:rsid w:val="00042A45"/>
    <w:pPr>
      <w:keepNext/>
      <w:spacing w:after="200" w:line="240" w:lineRule="auto"/>
    </w:pPr>
    <w:rPr>
      <w:b/>
      <w:bCs/>
      <w:color w:val="6B2876" w:themeColor="text2"/>
    </w:rPr>
  </w:style>
  <w:style w:type="paragraph" w:styleId="TOCHeading">
    <w:name w:val="TOC Heading"/>
    <w:basedOn w:val="Heading1"/>
    <w:next w:val="Normal"/>
    <w:uiPriority w:val="99"/>
    <w:semiHidden/>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99"/>
    <w:semiHidden/>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99"/>
    <w:semiHidden/>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99"/>
    <w:semiHidden/>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99"/>
    <w:semiHidden/>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uiPriority w:val="99"/>
    <w:semiHidden/>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uiPriority w:val="8"/>
    <w:qFormat/>
    <w:rsid w:val="00AA38DB"/>
    <w:rPr>
      <w:bCs/>
      <w:color w:val="6B2876" w:themeColor="text1"/>
      <w:sz w:val="28"/>
      <w:szCs w:val="28"/>
    </w:rPr>
  </w:style>
  <w:style w:type="paragraph" w:customStyle="1" w:styleId="Pull-out-Heading">
    <w:name w:val="Pull-out - Heading"/>
    <w:basedOn w:val="Heading2"/>
    <w:uiPriority w:val="13"/>
    <w:qFormat/>
    <w:rsid w:val="001B1583"/>
    <w:pPr>
      <w:numPr>
        <w:numId w:val="0"/>
      </w:num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spacing w:before="400"/>
    </w:pPr>
    <w:rPr>
      <w:sz w:val="32"/>
      <w:szCs w:val="20"/>
    </w:rPr>
  </w:style>
  <w:style w:type="paragraph" w:customStyle="1" w:styleId="Pull-out-Body">
    <w:name w:val="Pull-out - Body"/>
    <w:basedOn w:val="Normal"/>
    <w:uiPriority w:val="12"/>
    <w:qFormat/>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uiPriority w:val="99"/>
    <w:semiHidden/>
    <w:qFormat/>
    <w:rsid w:val="00BD5E4E"/>
    <w:pPr>
      <w:tabs>
        <w:tab w:val="num" w:pos="360"/>
      </w:tabs>
      <w:spacing w:line="240" w:lineRule="auto"/>
    </w:pPr>
    <w:rPr>
      <w:rFonts w:eastAsia="MS Mincho" w:cs="FSMe-Bold"/>
      <w:spacing w:val="-2"/>
      <w:szCs w:val="20"/>
      <w:lang w:eastAsia="en-US"/>
    </w:rPr>
  </w:style>
  <w:style w:type="paragraph" w:customStyle="1" w:styleId="TableBody">
    <w:name w:val="Table Body"/>
    <w:basedOn w:val="Normal"/>
    <w:uiPriority w:val="9"/>
    <w:qFormat/>
    <w:rsid w:val="00277603"/>
    <w:pPr>
      <w:spacing w:before="100" w:after="100"/>
    </w:pPr>
    <w:rPr>
      <w:rFonts w:eastAsia="MS Mincho" w:cs="Arial"/>
      <w:szCs w:val="22"/>
    </w:rPr>
  </w:style>
  <w:style w:type="table" w:styleId="GridTable5Dark">
    <w:name w:val="Grid Table 5 Dark"/>
    <w:basedOn w:val="TableNormal"/>
    <w:uiPriority w:val="50"/>
    <w:rsid w:val="00BE01CE"/>
    <w:pPr>
      <w:spacing w:after="0" w:line="240" w:lineRule="auto"/>
    </w:pPr>
    <w:tblPr>
      <w:tblStyleRowBandSize w:val="1"/>
      <w:tblStyleColBandSize w:val="1"/>
      <w:tblBorders>
        <w:top w:val="single" w:sz="4" w:space="0" w:color="F9F9F9" w:themeColor="background1"/>
        <w:left w:val="single" w:sz="4" w:space="0" w:color="F9F9F9" w:themeColor="background1"/>
        <w:bottom w:val="single" w:sz="4" w:space="0" w:color="F9F9F9" w:themeColor="background1"/>
        <w:right w:val="single" w:sz="4" w:space="0" w:color="F9F9F9" w:themeColor="background1"/>
        <w:insideH w:val="single" w:sz="4" w:space="0" w:color="F9F9F9" w:themeColor="background1"/>
        <w:insideV w:val="single" w:sz="4" w:space="0" w:color="F9F9F9" w:themeColor="background1"/>
      </w:tblBorders>
    </w:tblPr>
    <w:tcPr>
      <w:shd w:val="clear" w:color="auto" w:fill="E8CAED" w:themeFill="text1" w:themeFillTint="33"/>
    </w:tcPr>
    <w:tblStylePr w:type="firstRow">
      <w:rPr>
        <w:b/>
        <w:bCs/>
        <w:color w:val="F9F9F9" w:themeColor="background1"/>
      </w:rPr>
      <w:tblPr/>
      <w:tcPr>
        <w:tcBorders>
          <w:top w:val="single" w:sz="4" w:space="0" w:color="F9F9F9" w:themeColor="background1"/>
          <w:left w:val="single" w:sz="4" w:space="0" w:color="F9F9F9" w:themeColor="background1"/>
          <w:right w:val="single" w:sz="4" w:space="0" w:color="F9F9F9" w:themeColor="background1"/>
          <w:insideH w:val="nil"/>
          <w:insideV w:val="nil"/>
        </w:tcBorders>
        <w:shd w:val="clear" w:color="auto" w:fill="6B2876" w:themeFill="text1"/>
      </w:tcPr>
    </w:tblStylePr>
    <w:tblStylePr w:type="lastRow">
      <w:rPr>
        <w:b/>
        <w:bCs/>
        <w:color w:val="F9F9F9" w:themeColor="background1"/>
      </w:rPr>
      <w:tblPr/>
      <w:tcPr>
        <w:tcBorders>
          <w:left w:val="single" w:sz="4" w:space="0" w:color="F9F9F9" w:themeColor="background1"/>
          <w:bottom w:val="single" w:sz="4" w:space="0" w:color="F9F9F9" w:themeColor="background1"/>
          <w:right w:val="single" w:sz="4" w:space="0" w:color="F9F9F9" w:themeColor="background1"/>
          <w:insideH w:val="nil"/>
          <w:insideV w:val="nil"/>
        </w:tcBorders>
        <w:shd w:val="clear" w:color="auto" w:fill="6B2876" w:themeFill="text1"/>
      </w:tcPr>
    </w:tblStylePr>
    <w:tblStylePr w:type="firstCol">
      <w:rPr>
        <w:b/>
        <w:bCs/>
        <w:color w:val="F9F9F9" w:themeColor="background1"/>
      </w:rPr>
      <w:tblPr/>
      <w:tcPr>
        <w:tcBorders>
          <w:top w:val="single" w:sz="4" w:space="0" w:color="F9F9F9" w:themeColor="background1"/>
          <w:left w:val="single" w:sz="4" w:space="0" w:color="F9F9F9" w:themeColor="background1"/>
          <w:bottom w:val="single" w:sz="4" w:space="0" w:color="F9F9F9" w:themeColor="background1"/>
          <w:insideV w:val="nil"/>
        </w:tcBorders>
        <w:shd w:val="clear" w:color="auto" w:fill="6B2876" w:themeFill="text1"/>
      </w:tcPr>
    </w:tblStylePr>
    <w:tblStylePr w:type="lastCol">
      <w:rPr>
        <w:b/>
        <w:bCs/>
        <w:color w:val="F9F9F9" w:themeColor="background1"/>
      </w:rPr>
      <w:tblPr/>
      <w:tcPr>
        <w:tcBorders>
          <w:top w:val="single" w:sz="4" w:space="0" w:color="F9F9F9" w:themeColor="background1"/>
          <w:bottom w:val="single" w:sz="4" w:space="0" w:color="F9F9F9" w:themeColor="background1"/>
          <w:right w:val="single" w:sz="4" w:space="0" w:color="F9F9F9" w:themeColor="background1"/>
          <w:insideV w:val="nil"/>
        </w:tcBorders>
        <w:shd w:val="clear" w:color="auto" w:fill="6B2876" w:themeFill="text1"/>
      </w:tcPr>
    </w:tblStylePr>
    <w:tblStylePr w:type="band1Vert">
      <w:tblPr/>
      <w:tcPr>
        <w:shd w:val="clear" w:color="auto" w:fill="D195DB" w:themeFill="text1" w:themeFillTint="66"/>
      </w:tcPr>
    </w:tblStylePr>
    <w:tblStylePr w:type="band1Horz">
      <w:tblPr/>
      <w:tcPr>
        <w:shd w:val="clear" w:color="auto" w:fill="D195DB" w:themeFill="text1" w:themeFillTint="66"/>
      </w:tcPr>
    </w:tblStylePr>
  </w:style>
  <w:style w:type="table" w:customStyle="1" w:styleId="NDISTable1">
    <w:name w:val="NDIS Table 1"/>
    <w:basedOn w:val="TableNormal"/>
    <w:uiPriority w:val="99"/>
    <w:rsid w:val="00BB253E"/>
    <w:pPr>
      <w:spacing w:before="100" w:after="100"/>
    </w:pPr>
    <w:tblPr>
      <w:tblStyleRow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band1Horz">
      <w:tblPr/>
      <w:tcPr>
        <w:shd w:val="clear" w:color="auto" w:fill="F7EEF7"/>
      </w:tcPr>
    </w:tblStyle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21"/>
    <w:unhideWhenUsed/>
    <w:rsid w:val="008C7E4D"/>
    <w:pPr>
      <w:spacing w:line="240" w:lineRule="auto"/>
    </w:pPr>
    <w:rPr>
      <w:sz w:val="20"/>
      <w:szCs w:val="20"/>
    </w:rPr>
  </w:style>
  <w:style w:type="character" w:customStyle="1" w:styleId="CommentTextChar">
    <w:name w:val="Comment Text Char"/>
    <w:basedOn w:val="DefaultParagraphFont"/>
    <w:link w:val="CommentText"/>
    <w:uiPriority w:val="21"/>
    <w:rsid w:val="00D0767E"/>
    <w:rPr>
      <w:sz w:val="20"/>
      <w:szCs w:val="20"/>
    </w:rPr>
  </w:style>
  <w:style w:type="paragraph" w:customStyle="1" w:styleId="Numberedlist">
    <w:name w:val="Numbered list"/>
    <w:basedOn w:val="Bullet1"/>
    <w:uiPriority w:val="99"/>
    <w:semiHidden/>
    <w:qFormat/>
    <w:rsid w:val="004B5CD1"/>
    <w:pPr>
      <w:numPr>
        <w:numId w:val="10"/>
      </w:numPr>
      <w:ind w:left="714" w:hanging="357"/>
    </w:pPr>
  </w:style>
  <w:style w:type="paragraph" w:styleId="Revision">
    <w:name w:val="Revision"/>
    <w:hidden/>
    <w:uiPriority w:val="99"/>
    <w:semiHidden/>
    <w:rsid w:val="00870EDC"/>
    <w:rPr>
      <w:rFonts w:eastAsia="Times New Roman"/>
      <w:lang w:val="en-US" w:eastAsia="ja-JP"/>
    </w:rPr>
  </w:style>
  <w:style w:type="paragraph" w:styleId="CommentSubject">
    <w:name w:val="annotation subject"/>
    <w:basedOn w:val="CommentText"/>
    <w:next w:val="CommentText"/>
    <w:link w:val="CommentSubjectChar"/>
    <w:uiPriority w:val="99"/>
    <w:semiHidden/>
    <w:unhideWhenUsed/>
    <w:rsid w:val="00870EDC"/>
    <w:rPr>
      <w:b/>
      <w:bCs/>
    </w:rPr>
  </w:style>
  <w:style w:type="character" w:customStyle="1" w:styleId="CommentSubjectChar">
    <w:name w:val="Comment Subject Char"/>
    <w:basedOn w:val="CommentTextChar"/>
    <w:link w:val="CommentSubject"/>
    <w:uiPriority w:val="99"/>
    <w:semiHidden/>
    <w:rsid w:val="00870EDC"/>
    <w:rPr>
      <w:rFonts w:ascii="Arial" w:eastAsia="Times New Roman" w:hAnsi="Arial"/>
      <w:b/>
      <w:bCs/>
      <w:sz w:val="20"/>
      <w:szCs w:val="20"/>
      <w:lang w:val="en-US" w:eastAsia="ja-JP"/>
    </w:rPr>
  </w:style>
  <w:style w:type="paragraph" w:styleId="NoSpacing">
    <w:name w:val="No Spacing"/>
    <w:link w:val="NoSpacingChar"/>
    <w:uiPriority w:val="99"/>
    <w:semiHidden/>
    <w:qFormat/>
    <w:rsid w:val="009312B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semiHidden/>
    <w:rsid w:val="00BE5808"/>
    <w:rPr>
      <w:rFonts w:asciiTheme="minorHAnsi" w:eastAsiaTheme="minorEastAsia" w:hAnsiTheme="minorHAnsi" w:cstheme="minorBidi"/>
      <w:sz w:val="22"/>
      <w:szCs w:val="22"/>
    </w:rPr>
  </w:style>
  <w:style w:type="paragraph" w:customStyle="1" w:styleId="Tablenotes">
    <w:name w:val="Table notes"/>
    <w:basedOn w:val="FootnoteText"/>
    <w:link w:val="TablenotesChar"/>
    <w:uiPriority w:val="11"/>
    <w:qFormat/>
    <w:rsid w:val="006577CF"/>
    <w:pPr>
      <w:tabs>
        <w:tab w:val="left" w:pos="284"/>
      </w:tabs>
      <w:spacing w:before="120" w:after="240" w:line="288" w:lineRule="auto"/>
      <w:contextualSpacing/>
    </w:pPr>
  </w:style>
  <w:style w:type="character" w:customStyle="1" w:styleId="TablenotesChar">
    <w:name w:val="Table notes Char"/>
    <w:basedOn w:val="FootnoteTextChar"/>
    <w:link w:val="Tablenotes"/>
    <w:uiPriority w:val="11"/>
    <w:rsid w:val="006577CF"/>
    <w:rPr>
      <w:sz w:val="20"/>
      <w:szCs w:val="20"/>
    </w:rPr>
  </w:style>
  <w:style w:type="paragraph" w:customStyle="1" w:styleId="Acknowledgment">
    <w:name w:val="Acknowledgment"/>
    <w:basedOn w:val="Heading3"/>
    <w:qFormat/>
    <w:rsid w:val="00B10295"/>
    <w:pPr>
      <w:numPr>
        <w:ilvl w:val="0"/>
        <w:numId w:val="0"/>
      </w:numPr>
      <w:spacing w:before="2880" w:after="120"/>
    </w:pPr>
    <w:rPr>
      <w:rFonts w:eastAsia="Times New Roman"/>
      <w:sz w:val="30"/>
      <w:szCs w:val="30"/>
      <w:lang w:val="en-US" w:eastAsia="ja-JP"/>
    </w:rPr>
  </w:style>
  <w:style w:type="paragraph" w:customStyle="1" w:styleId="FCCPHeading4">
    <w:name w:val="FCCP Heading 4"/>
    <w:basedOn w:val="Normal"/>
    <w:autoRedefine/>
    <w:qFormat/>
    <w:rsid w:val="00041DFB"/>
    <w:pPr>
      <w:numPr>
        <w:ilvl w:val="2"/>
        <w:numId w:val="18"/>
      </w:numPr>
      <w:spacing w:after="160" w:line="259" w:lineRule="auto"/>
    </w:pPr>
    <w:rPr>
      <w:rFonts w:eastAsiaTheme="minorHAnsi" w:cs="Arial"/>
      <w:b/>
      <w:bCs/>
      <w:color w:val="6A2875"/>
      <w:kern w:val="2"/>
      <w:szCs w:val="22"/>
      <w:lang w:eastAsia="en-US" w:bidi="th-TH"/>
      <w14:ligatures w14:val="standardContextual"/>
    </w:rPr>
  </w:style>
  <w:style w:type="paragraph" w:styleId="EndnoteText">
    <w:name w:val="endnote text"/>
    <w:basedOn w:val="Normal"/>
    <w:link w:val="EndnoteTextChar"/>
    <w:uiPriority w:val="99"/>
    <w:unhideWhenUsed/>
    <w:rsid w:val="00E9036F"/>
    <w:pPr>
      <w:spacing w:after="0" w:line="240" w:lineRule="auto"/>
    </w:pPr>
    <w:rPr>
      <w:rFonts w:eastAsiaTheme="minorEastAsia" w:cstheme="minorBidi"/>
      <w:sz w:val="20"/>
      <w:szCs w:val="20"/>
      <w:lang w:eastAsia="ja-JP"/>
    </w:rPr>
  </w:style>
  <w:style w:type="character" w:customStyle="1" w:styleId="EndnoteTextChar">
    <w:name w:val="Endnote Text Char"/>
    <w:basedOn w:val="DefaultParagraphFont"/>
    <w:link w:val="EndnoteText"/>
    <w:uiPriority w:val="99"/>
    <w:rsid w:val="00E9036F"/>
    <w:rPr>
      <w:rFonts w:eastAsiaTheme="minorEastAsia" w:cstheme="minorBidi"/>
      <w:sz w:val="20"/>
      <w:szCs w:val="20"/>
      <w:lang w:eastAsia="ja-JP"/>
    </w:rPr>
  </w:style>
  <w:style w:type="character" w:styleId="EndnoteReference">
    <w:name w:val="endnote reference"/>
    <w:basedOn w:val="DefaultParagraphFont"/>
    <w:uiPriority w:val="99"/>
    <w:semiHidden/>
    <w:unhideWhenUsed/>
    <w:rsid w:val="00E9036F"/>
    <w:rPr>
      <w:vertAlign w:val="superscript"/>
    </w:r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09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0682">
      <w:bodyDiv w:val="1"/>
      <w:marLeft w:val="0"/>
      <w:marRight w:val="0"/>
      <w:marTop w:val="0"/>
      <w:marBottom w:val="0"/>
      <w:divBdr>
        <w:top w:val="none" w:sz="0" w:space="0" w:color="auto"/>
        <w:left w:val="none" w:sz="0" w:space="0" w:color="auto"/>
        <w:bottom w:val="none" w:sz="0" w:space="0" w:color="auto"/>
        <w:right w:val="none" w:sz="0" w:space="0" w:color="auto"/>
      </w:divBdr>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C2013A00020/latest/text" TargetMode="External"/><Relationship Id="rId26" Type="http://schemas.openxmlformats.org/officeDocument/2006/relationships/hyperlink" Target="https://aus01.safelinks.protection.outlook.com/?url=https%3A%2F%2Fwww.ndis.gov.au%2Fabout-us%2Fimproving-integrity-and-preventing-fraud%2Fmanual-payment-reviews&amp;data=05%7C02%7CLeisa.Spears%40ndis.gov.au%7Cc13f33da91e94ced32c008de426cb1b2%7Ccd778b65752d454a87cfb9990fe58993%7C0%7C0%7C639021231966525653%7CUnknown%7CTWFpbGZsb3d8eyJFbXB0eU1hcGkiOnRydWUsIlYiOiIwLjAuMDAwMCIsIlAiOiJXaW4zMiIsIkFOIjoiTWFpbCIsIldUIjoyfQ%3D%3D%7C0%7C%7C%7C&amp;sdata=fU%2F55JUsT3eW%2B7rnRjNffzkj00IHMYJxx0bYaxzttnA%3D&amp;reserved=0" TargetMode="External"/><Relationship Id="rId39" Type="http://schemas.openxmlformats.org/officeDocument/2006/relationships/hyperlink" Target="https://www.ndis.gov.au/" TargetMode="External"/><Relationship Id="rId21" Type="http://schemas.openxmlformats.org/officeDocument/2006/relationships/hyperlink" Target="https://www.legislation.gov.au/C2013A00123/latest/versions" TargetMode="External"/><Relationship Id="rId34" Type="http://schemas.openxmlformats.org/officeDocument/2006/relationships/hyperlink" Target="https://www.ndis.gov.au/contact/fraud-reporting-form" TargetMode="External"/><Relationship Id="rId42" Type="http://schemas.openxmlformats.org/officeDocument/2006/relationships/hyperlink" Target="https://www.ndis.gov.au/governance/legisl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C2013A00123/latest/versions" TargetMode="External"/><Relationship Id="rId29" Type="http://schemas.openxmlformats.org/officeDocument/2006/relationships/hyperlink" Target="https://aus01.safelinks.protection.outlook.com/?url=https%3A%2F%2Fwww.ndis.gov.au%2Fabout-us%2Fimproving-integrity-and-preventing-fraud%2Fmanual-payment-reviews&amp;data=05%7C02%7CLeisa.Spears%40ndis.gov.au%7Cc13f33da91e94ced32c008de426cb1b2%7Ccd778b65752d454a87cfb9990fe58993%7C0%7C0%7C639021231966525653%7CUnknown%7CTWFpbGZsb3d8eyJFbXB0eU1hcGkiOnRydWUsIlYiOiIwLjAuMDAwMCIsIlAiOiJXaW4zMiIsIkFOIjoiTWFpbCIsIldUIjoyfQ%3D%3D%7C0%7C%7C%7C&amp;sdata=fU%2F55JUsT3eW%2B7rnRjNffzkj00IHMYJxx0bYaxzttn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unterfraud.gov.au/sites/default/files/2024-06/cfpc-framework-2024.pdf" TargetMode="External"/><Relationship Id="rId32" Type="http://schemas.openxmlformats.org/officeDocument/2006/relationships/hyperlink" Target="https://www.ndis.gov.au/about-us/improving-integrity-and-preventing-fraud/fraud-fusion-taskforce" TargetMode="External"/><Relationship Id="rId37" Type="http://schemas.openxmlformats.org/officeDocument/2006/relationships/hyperlink" Target="https://www.ndiscommission.gov.au/about-us/legislation-rules-and-policies/compliance-and-enforcement-policy" TargetMode="External"/><Relationship Id="rId40" Type="http://schemas.openxmlformats.org/officeDocument/2006/relationships/hyperlink" Target="https://www.anao.gov.au/work/performance-audit/ndia-management-of-claimant-compliance-with-ndis-claim-requirement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gov.au/C1914A00012/latest/text" TargetMode="External"/><Relationship Id="rId28" Type="http://schemas.openxmlformats.org/officeDocument/2006/relationships/hyperlink" Target="https://www.ndis.gov.au/participantsafeguarding" TargetMode="External"/><Relationship Id="rId36" Type="http://schemas.openxmlformats.org/officeDocument/2006/relationships/hyperlink" Target="https://www.ndis.gov.au/about-us/improving-integrity-and-preventing-fraud/debt-assessment-management-and-recovery" TargetMode="External"/><Relationship Id="rId10" Type="http://schemas.openxmlformats.org/officeDocument/2006/relationships/endnotes" Target="endnotes.xml"/><Relationship Id="rId19" Type="http://schemas.openxmlformats.org/officeDocument/2006/relationships/hyperlink" Target="https://www.legislation.gov.au/F2013L01183/latest/text" TargetMode="External"/><Relationship Id="rId31" Type="http://schemas.openxmlformats.org/officeDocument/2006/relationships/hyperlink" Target="https://www.ndis.gov.au/participantsafeguardin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au/C2004A04868/latest/text" TargetMode="External"/><Relationship Id="rId27" Type="http://schemas.openxmlformats.org/officeDocument/2006/relationships/hyperlink" Target="https://www.ndis.gov.au/about-us/improving-integrity-and-preventing-fraud/debt-assessment-management-and-recovery" TargetMode="External"/><Relationship Id="rId30" Type="http://schemas.openxmlformats.org/officeDocument/2006/relationships/hyperlink" Target="https://www.ndis.gov.au/about-us/improving-integrity-and-preventing-fraud/debt-assessment-management-and-recovery" TargetMode="External"/><Relationship Id="rId35" Type="http://schemas.openxmlformats.org/officeDocument/2006/relationships/hyperlink" Target="https://www.afp.gov.au/sites/default/files/2023-09/Australian-Government-Investigations-Standard-2022.pdf"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au/F2014L00911/latest/text" TargetMode="External"/><Relationship Id="rId25" Type="http://schemas.openxmlformats.org/officeDocument/2006/relationships/hyperlink" Target="https://www.legislation.gov.au/C2013A00133/latest/text" TargetMode="External"/><Relationship Id="rId33" Type="http://schemas.openxmlformats.org/officeDocument/2006/relationships/hyperlink" Target="https://www.ndis.gov.au/about-us/improving-integrity-and-preventing-fraud/fraud-strategy-statement" TargetMode="External"/><Relationship Id="rId38" Type="http://schemas.openxmlformats.org/officeDocument/2006/relationships/hyperlink" Target="https://www.ndis.gov.au/contact/fraud-reporting-form" TargetMode="External"/><Relationship Id="rId20" Type="http://schemas.openxmlformats.org/officeDocument/2006/relationships/hyperlink" Target="https://www.legislation.gov.au/C2022A00088/latest/text" TargetMode="External"/><Relationship Id="rId41" Type="http://schemas.openxmlformats.org/officeDocument/2006/relationships/hyperlink" Target="https://www.ndis.gov.au/publications/annual-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N436\OneDrive%20-%20ndis.gov.au\Documents\Personal\Jira\10320%20-%20Tyson\NDIA%20Fraud%20and%20Corruption%20Control%20Plan-1%20EDIT.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ND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c999db-bc1a-4c52-90f1-9ba441e224be" xsi:nil="true"/>
    <lcf76f155ced4ddcb4097134ff3c332f xmlns="404f1df2-4c6e-4636-97fa-08fcf4b11244">
      <Terms xmlns="http://schemas.microsoft.com/office/infopath/2007/PartnerControls"/>
    </lcf76f155ced4ddcb4097134ff3c332f>
    <Text xmlns="404f1df2-4c6e-4636-97fa-08fcf4b11244" xsi:nil="true"/>
    <Status xmlns="404f1df2-4c6e-4636-97fa-08fcf4b11244" xsi:nil="true"/>
    <_Flow_SignoffStatus xmlns="404f1df2-4c6e-4636-97fa-08fcf4b11244" xsi:nil="true"/>
    <Hyperlink xmlns="404f1df2-4c6e-4636-97fa-08fcf4b11244">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D74DA11AB68C4C80EC2DD3C30072D1" ma:contentTypeVersion="24" ma:contentTypeDescription="Create a new document." ma:contentTypeScope="" ma:versionID="14ecf50506e0ac3270b951c885e7ec18">
  <xsd:schema xmlns:xsd="http://www.w3.org/2001/XMLSchema" xmlns:xs="http://www.w3.org/2001/XMLSchema" xmlns:p="http://schemas.microsoft.com/office/2006/metadata/properties" xmlns:ns2="404f1df2-4c6e-4636-97fa-08fcf4b11244" xmlns:ns3="7ac999db-bc1a-4c52-90f1-9ba441e224be" targetNamespace="http://schemas.microsoft.com/office/2006/metadata/properties" ma:root="true" ma:fieldsID="51d71b644206ab2a113c62235f7aa706" ns2:_="" ns3:_="">
    <xsd:import namespace="404f1df2-4c6e-4636-97fa-08fcf4b11244"/>
    <xsd:import namespace="7ac999db-bc1a-4c52-90f1-9ba441e224be"/>
    <xsd:element name="properties">
      <xsd:complexType>
        <xsd:sequence>
          <xsd:element name="documentManagement">
            <xsd:complexType>
              <xsd:all>
                <xsd:element ref="ns2:_Flow_SignoffStatus" minOccurs="0"/>
                <xsd:element ref="ns2:Text" minOccurs="0"/>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Status" minOccurs="0"/>
                <xsd:element ref="ns2:MediaServiceBillingMetadata"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f1df2-4c6e-4636-97fa-08fcf4b11244"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xt" ma:index="4" nillable="true" ma:displayName="Text" ma:format="Dropdown" ma:internalName="Text"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Status" ma:index="25" nillable="true" ma:displayName="Status" ma:format="Dropdown" ma:internalName="Statu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999db-bc1a-4c52-90f1-9ba441e224be"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473ef87-bede-43c3-aceb-5e7e4b67ba3c}" ma:internalName="TaxCatchAll" ma:readOnly="false" ma:showField="CatchAllData" ma:web="7ac999db-bc1a-4c52-90f1-9ba441e22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89B0D-D11F-46D6-8965-1D744A93D2D1}">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404f1df2-4c6e-4636-97fa-08fcf4b11244"/>
    <ds:schemaRef ds:uri="http://www.w3.org/XML/1998/namespace"/>
    <ds:schemaRef ds:uri="http://schemas.openxmlformats.org/package/2006/metadata/core-properties"/>
    <ds:schemaRef ds:uri="7ac999db-bc1a-4c52-90f1-9ba441e224be"/>
    <ds:schemaRef ds:uri="http://purl.org/dc/dcmitype/"/>
    <ds:schemaRef ds:uri="http://purl.org/dc/terms/"/>
  </ds:schemaRefs>
</ds:datastoreItem>
</file>

<file path=customXml/itemProps2.xml><?xml version="1.0" encoding="utf-8"?>
<ds:datastoreItem xmlns:ds="http://schemas.openxmlformats.org/officeDocument/2006/customXml" ds:itemID="{60A81DB5-D26A-4D4C-BCF6-36C217ED9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f1df2-4c6e-4636-97fa-08fcf4b11244"/>
    <ds:schemaRef ds:uri="7ac999db-bc1a-4c52-90f1-9ba441e22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NDIA Fraud and Corruption Control Plan-1 EDIT.dotx</Template>
  <TotalTime>1</TotalTime>
  <Pages>14</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20511</CharactersWithSpaces>
  <SharedDoc>false</SharedDoc>
  <HLinks>
    <vt:vector size="156" baseType="variant">
      <vt:variant>
        <vt:i4>5374027</vt:i4>
      </vt:variant>
      <vt:variant>
        <vt:i4>120</vt:i4>
      </vt:variant>
      <vt:variant>
        <vt:i4>0</vt:i4>
      </vt:variant>
      <vt:variant>
        <vt:i4>5</vt:i4>
      </vt:variant>
      <vt:variant>
        <vt:lpwstr>https://www.accesshub.gov.au/</vt:lpwstr>
      </vt:variant>
      <vt:variant>
        <vt:lpwstr/>
      </vt:variant>
      <vt:variant>
        <vt:i4>1310729</vt:i4>
      </vt:variant>
      <vt:variant>
        <vt:i4>117</vt:i4>
      </vt:variant>
      <vt:variant>
        <vt:i4>0</vt:i4>
      </vt:variant>
      <vt:variant>
        <vt:i4>5</vt:i4>
      </vt:variant>
      <vt:variant>
        <vt:lpwstr>https://www.linkedin.com/company/national-disability-insurance-agency</vt:lpwstr>
      </vt:variant>
      <vt:variant>
        <vt:lpwstr/>
      </vt:variant>
      <vt:variant>
        <vt:i4>2228349</vt:i4>
      </vt:variant>
      <vt:variant>
        <vt:i4>114</vt:i4>
      </vt:variant>
      <vt:variant>
        <vt:i4>0</vt:i4>
      </vt:variant>
      <vt:variant>
        <vt:i4>5</vt:i4>
      </vt:variant>
      <vt:variant>
        <vt:lpwstr>https://www.youtube.com/user/DisabilityCare</vt:lpwstr>
      </vt:variant>
      <vt:variant>
        <vt:lpwstr/>
      </vt:variant>
      <vt:variant>
        <vt:i4>4194427</vt:i4>
      </vt:variant>
      <vt:variant>
        <vt:i4>111</vt:i4>
      </vt:variant>
      <vt:variant>
        <vt:i4>0</vt:i4>
      </vt:variant>
      <vt:variant>
        <vt:i4>5</vt:i4>
      </vt:variant>
      <vt:variant>
        <vt:lpwstr>https://www.instagram.com/ndis_australia/</vt:lpwstr>
      </vt:variant>
      <vt:variant>
        <vt:lpwstr/>
      </vt:variant>
      <vt:variant>
        <vt:i4>5439556</vt:i4>
      </vt:variant>
      <vt:variant>
        <vt:i4>108</vt:i4>
      </vt:variant>
      <vt:variant>
        <vt:i4>0</vt:i4>
      </vt:variant>
      <vt:variant>
        <vt:i4>5</vt:i4>
      </vt:variant>
      <vt:variant>
        <vt:lpwstr>https://www.facebook.com/NDISAus</vt:lpwstr>
      </vt:variant>
      <vt:variant>
        <vt:lpwstr/>
      </vt:variant>
      <vt:variant>
        <vt:i4>2162737</vt:i4>
      </vt:variant>
      <vt:variant>
        <vt:i4>105</vt:i4>
      </vt:variant>
      <vt:variant>
        <vt:i4>0</vt:i4>
      </vt:variant>
      <vt:variant>
        <vt:i4>5</vt:i4>
      </vt:variant>
      <vt:variant>
        <vt:lpwstr>https://ndis.gov.au/contact</vt:lpwstr>
      </vt:variant>
      <vt:variant>
        <vt:lpwstr/>
      </vt:variant>
      <vt:variant>
        <vt:i4>3539054</vt:i4>
      </vt:variant>
      <vt:variant>
        <vt:i4>102</vt:i4>
      </vt:variant>
      <vt:variant>
        <vt:i4>0</vt:i4>
      </vt:variant>
      <vt:variant>
        <vt:i4>5</vt:i4>
      </vt:variant>
      <vt:variant>
        <vt:lpwstr>http://ndis.gov.au/</vt:lpwstr>
      </vt:variant>
      <vt:variant>
        <vt:lpwstr/>
      </vt:variant>
      <vt:variant>
        <vt:i4>86</vt:i4>
      </vt:variant>
      <vt:variant>
        <vt:i4>99</vt:i4>
      </vt:variant>
      <vt:variant>
        <vt:i4>0</vt:i4>
      </vt:variant>
      <vt:variant>
        <vt:i4>5</vt:i4>
      </vt:variant>
      <vt:variant>
        <vt:lpwstr>https://intranet.ndiastaff.ndia.gov.au/corporate-services/accessibility/Pages/Accessibility.aspx</vt:lpwstr>
      </vt:variant>
      <vt:variant>
        <vt:lpwstr/>
      </vt:variant>
      <vt:variant>
        <vt:i4>1245265</vt:i4>
      </vt:variant>
      <vt:variant>
        <vt:i4>96</vt:i4>
      </vt:variant>
      <vt:variant>
        <vt:i4>0</vt:i4>
      </vt:variant>
      <vt:variant>
        <vt:i4>5</vt:i4>
      </vt:variant>
      <vt:variant>
        <vt:lpwstr>https://intranet.ndiastaff.ndia.gov.au/corporate-services/communications-media/Documents/Brand Guidelines.pdf</vt:lpwstr>
      </vt:variant>
      <vt:variant>
        <vt:lpwstr/>
      </vt:variant>
      <vt:variant>
        <vt:i4>721021</vt:i4>
      </vt:variant>
      <vt:variant>
        <vt:i4>93</vt:i4>
      </vt:variant>
      <vt:variant>
        <vt:i4>0</vt:i4>
      </vt:variant>
      <vt:variant>
        <vt:i4>5</vt:i4>
      </vt:variant>
      <vt:variant>
        <vt:lpwstr>mailto:marketing@ndis.gov.au</vt:lpwstr>
      </vt:variant>
      <vt:variant>
        <vt:lpwstr/>
      </vt:variant>
      <vt:variant>
        <vt:i4>6488112</vt:i4>
      </vt:variant>
      <vt:variant>
        <vt:i4>90</vt:i4>
      </vt:variant>
      <vt:variant>
        <vt:i4>0</vt:i4>
      </vt:variant>
      <vt:variant>
        <vt:i4>5</vt:i4>
      </vt:variant>
      <vt:variant>
        <vt:lpwstr>https://aus01.safelinks.protection.outlook.com/?url=https%3A%2F%2Fcommunicationslibrary.com.au%2Flogin&amp;data=05%7C01%7CJeremy.Heng-Carter%40ndis.gov.au%7C27018b34ddc24a84754e08dab87877a3%7Ccd778b65752d454a87cfb9990fe58993%7C0%7C0%7C638025124909810656%7CUnknown%7CTWFpbGZsb3d8eyJWIjoiMC4wLjAwMDAiLCJQIjoiV2luMzIiLCJBTiI6Ik1haWwiLCJXVCI6Mn0%3D%7C3000%7C%7C%7C&amp;sdata=TOqGELh8DiyLrAingGtgqutpkDS02lWaENcSFy4Pn0A%3D&amp;reserved=0</vt:lpwstr>
      </vt:variant>
      <vt:variant>
        <vt:lpwstr/>
      </vt:variant>
      <vt:variant>
        <vt:i4>4456531</vt:i4>
      </vt:variant>
      <vt:variant>
        <vt:i4>87</vt:i4>
      </vt:variant>
      <vt:variant>
        <vt:i4>0</vt:i4>
      </vt:variant>
      <vt:variant>
        <vt:i4>5</vt:i4>
      </vt:variant>
      <vt:variant>
        <vt:lpwstr>https://intranet.ndiastaff.ndia.gov.au/corporate-services/communications-media/Pages/Tools-and-templates.aspx</vt:lpwstr>
      </vt:variant>
      <vt:variant>
        <vt:lpwstr/>
      </vt:variant>
      <vt:variant>
        <vt:i4>4259851</vt:i4>
      </vt:variant>
      <vt:variant>
        <vt:i4>84</vt:i4>
      </vt:variant>
      <vt:variant>
        <vt:i4>0</vt:i4>
      </vt:variant>
      <vt:variant>
        <vt:i4>5</vt:i4>
      </vt:variant>
      <vt:variant>
        <vt:lpwstr>https://www.stylemanual.gov.au/structuring-content/lists</vt:lpwstr>
      </vt:variant>
      <vt:variant>
        <vt:lpwstr/>
      </vt:variant>
      <vt:variant>
        <vt:i4>7929980</vt:i4>
      </vt:variant>
      <vt:variant>
        <vt:i4>81</vt:i4>
      </vt:variant>
      <vt:variant>
        <vt:i4>0</vt:i4>
      </vt:variant>
      <vt:variant>
        <vt:i4>5</vt:i4>
      </vt:variant>
      <vt:variant>
        <vt:lpwstr>https://intranet.ndiastaff.ndia.gov.au/corporate-services/accessibility/Pages/MS-Word.aspx</vt:lpwstr>
      </vt:variant>
      <vt:variant>
        <vt:lpwstr/>
      </vt:variant>
      <vt:variant>
        <vt:i4>1638460</vt:i4>
      </vt:variant>
      <vt:variant>
        <vt:i4>68</vt:i4>
      </vt:variant>
      <vt:variant>
        <vt:i4>0</vt:i4>
      </vt:variant>
      <vt:variant>
        <vt:i4>5</vt:i4>
      </vt:variant>
      <vt:variant>
        <vt:lpwstr/>
      </vt:variant>
      <vt:variant>
        <vt:lpwstr>_Toc198716465</vt:lpwstr>
      </vt:variant>
      <vt:variant>
        <vt:i4>1638460</vt:i4>
      </vt:variant>
      <vt:variant>
        <vt:i4>62</vt:i4>
      </vt:variant>
      <vt:variant>
        <vt:i4>0</vt:i4>
      </vt:variant>
      <vt:variant>
        <vt:i4>5</vt:i4>
      </vt:variant>
      <vt:variant>
        <vt:lpwstr/>
      </vt:variant>
      <vt:variant>
        <vt:lpwstr>_Toc198716464</vt:lpwstr>
      </vt:variant>
      <vt:variant>
        <vt:i4>1638460</vt:i4>
      </vt:variant>
      <vt:variant>
        <vt:i4>56</vt:i4>
      </vt:variant>
      <vt:variant>
        <vt:i4>0</vt:i4>
      </vt:variant>
      <vt:variant>
        <vt:i4>5</vt:i4>
      </vt:variant>
      <vt:variant>
        <vt:lpwstr/>
      </vt:variant>
      <vt:variant>
        <vt:lpwstr>_Toc198716463</vt:lpwstr>
      </vt:variant>
      <vt:variant>
        <vt:i4>1638460</vt:i4>
      </vt:variant>
      <vt:variant>
        <vt:i4>50</vt:i4>
      </vt:variant>
      <vt:variant>
        <vt:i4>0</vt:i4>
      </vt:variant>
      <vt:variant>
        <vt:i4>5</vt:i4>
      </vt:variant>
      <vt:variant>
        <vt:lpwstr/>
      </vt:variant>
      <vt:variant>
        <vt:lpwstr>_Toc198716462</vt:lpwstr>
      </vt:variant>
      <vt:variant>
        <vt:i4>1638460</vt:i4>
      </vt:variant>
      <vt:variant>
        <vt:i4>44</vt:i4>
      </vt:variant>
      <vt:variant>
        <vt:i4>0</vt:i4>
      </vt:variant>
      <vt:variant>
        <vt:i4>5</vt:i4>
      </vt:variant>
      <vt:variant>
        <vt:lpwstr/>
      </vt:variant>
      <vt:variant>
        <vt:lpwstr>_Toc198716461</vt:lpwstr>
      </vt:variant>
      <vt:variant>
        <vt:i4>1638460</vt:i4>
      </vt:variant>
      <vt:variant>
        <vt:i4>38</vt:i4>
      </vt:variant>
      <vt:variant>
        <vt:i4>0</vt:i4>
      </vt:variant>
      <vt:variant>
        <vt:i4>5</vt:i4>
      </vt:variant>
      <vt:variant>
        <vt:lpwstr/>
      </vt:variant>
      <vt:variant>
        <vt:lpwstr>_Toc198716460</vt:lpwstr>
      </vt:variant>
      <vt:variant>
        <vt:i4>1703996</vt:i4>
      </vt:variant>
      <vt:variant>
        <vt:i4>32</vt:i4>
      </vt:variant>
      <vt:variant>
        <vt:i4>0</vt:i4>
      </vt:variant>
      <vt:variant>
        <vt:i4>5</vt:i4>
      </vt:variant>
      <vt:variant>
        <vt:lpwstr/>
      </vt:variant>
      <vt:variant>
        <vt:lpwstr>_Toc198716459</vt:lpwstr>
      </vt:variant>
      <vt:variant>
        <vt:i4>1703996</vt:i4>
      </vt:variant>
      <vt:variant>
        <vt:i4>26</vt:i4>
      </vt:variant>
      <vt:variant>
        <vt:i4>0</vt:i4>
      </vt:variant>
      <vt:variant>
        <vt:i4>5</vt:i4>
      </vt:variant>
      <vt:variant>
        <vt:lpwstr/>
      </vt:variant>
      <vt:variant>
        <vt:lpwstr>_Toc198716458</vt:lpwstr>
      </vt:variant>
      <vt:variant>
        <vt:i4>1703996</vt:i4>
      </vt:variant>
      <vt:variant>
        <vt:i4>20</vt:i4>
      </vt:variant>
      <vt:variant>
        <vt:i4>0</vt:i4>
      </vt:variant>
      <vt:variant>
        <vt:i4>5</vt:i4>
      </vt:variant>
      <vt:variant>
        <vt:lpwstr/>
      </vt:variant>
      <vt:variant>
        <vt:lpwstr>_Toc198716457</vt:lpwstr>
      </vt:variant>
      <vt:variant>
        <vt:i4>1703996</vt:i4>
      </vt:variant>
      <vt:variant>
        <vt:i4>14</vt:i4>
      </vt:variant>
      <vt:variant>
        <vt:i4>0</vt:i4>
      </vt:variant>
      <vt:variant>
        <vt:i4>5</vt:i4>
      </vt:variant>
      <vt:variant>
        <vt:lpwstr/>
      </vt:variant>
      <vt:variant>
        <vt:lpwstr>_Toc198716456</vt:lpwstr>
      </vt:variant>
      <vt:variant>
        <vt:i4>1703996</vt:i4>
      </vt:variant>
      <vt:variant>
        <vt:i4>8</vt:i4>
      </vt:variant>
      <vt:variant>
        <vt:i4>0</vt:i4>
      </vt:variant>
      <vt:variant>
        <vt:i4>5</vt:i4>
      </vt:variant>
      <vt:variant>
        <vt:lpwstr/>
      </vt:variant>
      <vt:variant>
        <vt:lpwstr>_Toc198716455</vt:lpwstr>
      </vt:variant>
      <vt:variant>
        <vt:i4>1703996</vt:i4>
      </vt:variant>
      <vt:variant>
        <vt:i4>2</vt:i4>
      </vt:variant>
      <vt:variant>
        <vt:i4>0</vt:i4>
      </vt:variant>
      <vt:variant>
        <vt:i4>5</vt:i4>
      </vt:variant>
      <vt:variant>
        <vt:lpwstr/>
      </vt:variant>
      <vt:variant>
        <vt:lpwstr>_Toc198716454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Terence</dc:creator>
  <cp:keywords/>
  <dc:description/>
  <cp:lastModifiedBy>Dakin, Petrina</cp:lastModifiedBy>
  <cp:revision>2</cp:revision>
  <cp:lastPrinted>2026-04-16T05:31:00Z</cp:lastPrinted>
  <dcterms:created xsi:type="dcterms:W3CDTF">2026-04-20T00:00:00Z</dcterms:created>
  <dcterms:modified xsi:type="dcterms:W3CDTF">2026-04-20T00:00:00Z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0x010100B2D74DA11AB68C4C80EC2DD3C30072D1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ies>
</file>