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9F9" w:themeColor="background1"/>
  <w:body>
    <w:p w14:paraId="655FE03B" w14:textId="0F91BCE5" w:rsidR="00E77043" w:rsidRPr="00E77043" w:rsidRDefault="00B052F0" w:rsidP="00E77043">
      <w:pPr>
        <w:pStyle w:val="Heading1"/>
        <w:spacing w:before="2520" w:after="600"/>
        <w:rPr>
          <w:sz w:val="80"/>
          <w:szCs w:val="80"/>
        </w:rPr>
      </w:pPr>
      <w:bookmarkStart w:id="0" w:name="_Toc122689907"/>
      <w:bookmarkStart w:id="1" w:name="_Toc157528057"/>
      <w:bookmarkStart w:id="2" w:name="_Toc157528252"/>
      <w:bookmarkStart w:id="3" w:name="_Toc157529519"/>
      <w:bookmarkStart w:id="4" w:name="_Toc157529657"/>
      <w:bookmarkStart w:id="5" w:name="_Toc157679812"/>
      <w:bookmarkStart w:id="6" w:name="_Toc157682116"/>
      <w:bookmarkStart w:id="7" w:name="_Toc201845443"/>
      <w:r w:rsidRPr="00313BFF">
        <w:rPr>
          <w:noProof/>
        </w:rPr>
        <w:drawing>
          <wp:anchor distT="0" distB="0" distL="114300" distR="114300" simplePos="0" relativeHeight="251660290" behindDoc="1" locked="1" layoutInCell="1" allowOverlap="1" wp14:anchorId="4328A6BB" wp14:editId="471AA5E3">
            <wp:simplePos x="0" y="0"/>
            <wp:positionH relativeFrom="page">
              <wp:align>left</wp:align>
            </wp:positionH>
            <wp:positionV relativeFrom="page">
              <wp:align>top</wp:align>
            </wp:positionV>
            <wp:extent cx="7552800" cy="10684800"/>
            <wp:effectExtent l="0" t="0" r="0" b="0"/>
            <wp:wrapNone/>
            <wp:docPr id="333670025" name="Picture 3336700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7267" name="Picture 4296726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2800" cy="10684800"/>
                    </a:xfrm>
                    <a:prstGeom prst="rect">
                      <a:avLst/>
                    </a:prstGeom>
                  </pic:spPr>
                </pic:pic>
              </a:graphicData>
            </a:graphic>
            <wp14:sizeRelH relativeFrom="page">
              <wp14:pctWidth>0</wp14:pctWidth>
            </wp14:sizeRelH>
            <wp14:sizeRelV relativeFrom="page">
              <wp14:pctHeight>0</wp14:pctHeight>
            </wp14:sizeRelV>
          </wp:anchor>
        </w:drawing>
      </w:r>
      <w:bookmarkEnd w:id="0"/>
      <w:r w:rsidR="00A353A1">
        <w:rPr>
          <w:noProof/>
        </w:rPr>
        <w:t>National Disability Insurance Agency Fraud and Corruption Control Plan</w:t>
      </w:r>
    </w:p>
    <w:p w14:paraId="3BDBF5E2" w14:textId="695CD63D" w:rsidR="00E77043" w:rsidRDefault="00B7381C" w:rsidP="00A353A1">
      <w:pPr>
        <w:pStyle w:val="Securityinformation"/>
        <w:rPr>
          <w:color w:val="FFFFFF"/>
        </w:rPr>
      </w:pPr>
      <w:r>
        <w:rPr>
          <w:color w:val="FFFFFF"/>
        </w:rPr>
        <w:t>March 2026</w:t>
      </w:r>
    </w:p>
    <w:p w14:paraId="287705EF" w14:textId="6E54A47B" w:rsidR="00B7381C" w:rsidRDefault="00B7381C" w:rsidP="00A353A1">
      <w:pPr>
        <w:pStyle w:val="Securityinformation"/>
        <w:rPr>
          <w:color w:val="FFFFFF"/>
        </w:rPr>
      </w:pPr>
      <w:r>
        <w:rPr>
          <w:color w:val="FFFFFF"/>
        </w:rPr>
        <w:br w:type="page"/>
      </w:r>
    </w:p>
    <w:p w14:paraId="0074AD08" w14:textId="52387577" w:rsidR="00AA07FC" w:rsidRDefault="005F5CE9" w:rsidP="000824DE">
      <w:pPr>
        <w:pStyle w:val="Heading2"/>
        <w:numPr>
          <w:ilvl w:val="0"/>
          <w:numId w:val="0"/>
        </w:numPr>
        <w:ind w:left="720" w:hanging="720"/>
      </w:pPr>
      <w:bookmarkStart w:id="8" w:name="_Toc227061764"/>
      <w:r w:rsidRPr="00965145">
        <w:lastRenderedPageBreak/>
        <w:t>Contents</w:t>
      </w:r>
      <w:bookmarkEnd w:id="1"/>
      <w:bookmarkEnd w:id="2"/>
      <w:bookmarkEnd w:id="3"/>
      <w:bookmarkEnd w:id="4"/>
      <w:bookmarkEnd w:id="5"/>
      <w:bookmarkEnd w:id="6"/>
      <w:bookmarkEnd w:id="7"/>
      <w:bookmarkEnd w:id="8"/>
    </w:p>
    <w:p w14:paraId="0BDEA717" w14:textId="7C120238" w:rsidR="0006183C" w:rsidRDefault="00AA07FC">
      <w:pPr>
        <w:pStyle w:val="TOC1"/>
        <w:rPr>
          <w:rFonts w:eastAsiaTheme="minorEastAsia" w:cstheme="minorBidi"/>
          <w:iCs w:val="0"/>
          <w:noProof/>
          <w:kern w:val="2"/>
          <w:szCs w:val="24"/>
          <w14:ligatures w14:val="standardContextual"/>
        </w:rPr>
      </w:pPr>
      <w:r>
        <w:fldChar w:fldCharType="begin"/>
      </w:r>
      <w:r>
        <w:instrText xml:space="preserve"> TOC \h \z \t "Heading 2,1,Heading 3,2,Heading 4,3" </w:instrText>
      </w:r>
      <w:r>
        <w:fldChar w:fldCharType="separate"/>
      </w:r>
      <w:hyperlink w:anchor="_Toc227061765" w:history="1">
        <w:r w:rsidR="0006183C" w:rsidRPr="008E5B32">
          <w:rPr>
            <w:rStyle w:val="Hyperlink"/>
            <w:noProof/>
          </w:rPr>
          <w:t>1.</w:t>
        </w:r>
        <w:r w:rsidR="0006183C">
          <w:rPr>
            <w:rFonts w:eastAsiaTheme="minorEastAsia" w:cstheme="minorBidi"/>
            <w:iCs w:val="0"/>
            <w:noProof/>
            <w:kern w:val="2"/>
            <w:szCs w:val="24"/>
            <w14:ligatures w14:val="standardContextual"/>
          </w:rPr>
          <w:tab/>
        </w:r>
        <w:r w:rsidR="0006183C" w:rsidRPr="008E5B32">
          <w:rPr>
            <w:rStyle w:val="Hyperlink"/>
            <w:noProof/>
          </w:rPr>
          <w:t>Introduction</w:t>
        </w:r>
        <w:r w:rsidR="0006183C">
          <w:rPr>
            <w:noProof/>
            <w:webHidden/>
          </w:rPr>
          <w:tab/>
        </w:r>
        <w:r w:rsidR="0006183C">
          <w:rPr>
            <w:noProof/>
            <w:webHidden/>
          </w:rPr>
          <w:fldChar w:fldCharType="begin"/>
        </w:r>
        <w:r w:rsidR="0006183C">
          <w:rPr>
            <w:noProof/>
            <w:webHidden/>
          </w:rPr>
          <w:instrText xml:space="preserve"> PAGEREF _Toc227061765 \h </w:instrText>
        </w:r>
        <w:r w:rsidR="0006183C">
          <w:rPr>
            <w:noProof/>
            <w:webHidden/>
          </w:rPr>
        </w:r>
        <w:r w:rsidR="0006183C">
          <w:rPr>
            <w:noProof/>
            <w:webHidden/>
          </w:rPr>
          <w:fldChar w:fldCharType="separate"/>
        </w:r>
        <w:r w:rsidR="00DB69C2">
          <w:rPr>
            <w:noProof/>
            <w:webHidden/>
          </w:rPr>
          <w:t>4</w:t>
        </w:r>
        <w:r w:rsidR="0006183C">
          <w:rPr>
            <w:noProof/>
            <w:webHidden/>
          </w:rPr>
          <w:fldChar w:fldCharType="end"/>
        </w:r>
      </w:hyperlink>
    </w:p>
    <w:p w14:paraId="77BCDF37" w14:textId="206B4562" w:rsidR="0006183C" w:rsidRDefault="0006183C">
      <w:pPr>
        <w:pStyle w:val="TOC2"/>
        <w:rPr>
          <w:rFonts w:eastAsiaTheme="minorEastAsia" w:cstheme="minorBidi"/>
          <w:iCs w:val="0"/>
          <w:kern w:val="2"/>
          <w:szCs w:val="24"/>
          <w14:ligatures w14:val="standardContextual"/>
        </w:rPr>
      </w:pPr>
      <w:hyperlink w:anchor="_Toc227061766" w:history="1">
        <w:r w:rsidRPr="008E5B32">
          <w:rPr>
            <w:rStyle w:val="Hyperlink"/>
          </w:rPr>
          <w:t>1.1</w:t>
        </w:r>
        <w:r>
          <w:rPr>
            <w:rFonts w:eastAsiaTheme="minorEastAsia" w:cstheme="minorBidi"/>
            <w:iCs w:val="0"/>
            <w:kern w:val="2"/>
            <w:szCs w:val="24"/>
            <w14:ligatures w14:val="standardContextual"/>
          </w:rPr>
          <w:tab/>
        </w:r>
        <w:r w:rsidRPr="008E5B32">
          <w:rPr>
            <w:rStyle w:val="Hyperlink"/>
          </w:rPr>
          <w:t>Commonwealth Fraud and Corruption Control Framework</w:t>
        </w:r>
        <w:r>
          <w:rPr>
            <w:webHidden/>
          </w:rPr>
          <w:tab/>
        </w:r>
        <w:r>
          <w:rPr>
            <w:webHidden/>
          </w:rPr>
          <w:fldChar w:fldCharType="begin"/>
        </w:r>
        <w:r>
          <w:rPr>
            <w:webHidden/>
          </w:rPr>
          <w:instrText xml:space="preserve"> PAGEREF _Toc227061766 \h </w:instrText>
        </w:r>
        <w:r>
          <w:rPr>
            <w:webHidden/>
          </w:rPr>
        </w:r>
        <w:r>
          <w:rPr>
            <w:webHidden/>
          </w:rPr>
          <w:fldChar w:fldCharType="separate"/>
        </w:r>
        <w:r w:rsidR="00DB69C2">
          <w:rPr>
            <w:webHidden/>
          </w:rPr>
          <w:t>5</w:t>
        </w:r>
        <w:r>
          <w:rPr>
            <w:webHidden/>
          </w:rPr>
          <w:fldChar w:fldCharType="end"/>
        </w:r>
      </w:hyperlink>
    </w:p>
    <w:p w14:paraId="23CC3439" w14:textId="27B09FFD" w:rsidR="0006183C" w:rsidRDefault="0006183C">
      <w:pPr>
        <w:pStyle w:val="TOC2"/>
        <w:rPr>
          <w:rFonts w:eastAsiaTheme="minorEastAsia" w:cstheme="minorBidi"/>
          <w:iCs w:val="0"/>
          <w:kern w:val="2"/>
          <w:szCs w:val="24"/>
          <w14:ligatures w14:val="standardContextual"/>
        </w:rPr>
      </w:pPr>
      <w:hyperlink w:anchor="_Toc227061767" w:history="1">
        <w:r w:rsidRPr="008E5B32">
          <w:rPr>
            <w:rStyle w:val="Hyperlink"/>
          </w:rPr>
          <w:t>1.2</w:t>
        </w:r>
        <w:r>
          <w:rPr>
            <w:rFonts w:eastAsiaTheme="minorEastAsia" w:cstheme="minorBidi"/>
            <w:iCs w:val="0"/>
            <w:kern w:val="2"/>
            <w:szCs w:val="24"/>
            <w14:ligatures w14:val="standardContextual"/>
          </w:rPr>
          <w:tab/>
        </w:r>
        <w:r w:rsidRPr="008E5B32">
          <w:rPr>
            <w:rStyle w:val="Hyperlink"/>
          </w:rPr>
          <w:t>NDIA Fraud and Corruption Control System</w:t>
        </w:r>
        <w:r>
          <w:rPr>
            <w:webHidden/>
          </w:rPr>
          <w:tab/>
        </w:r>
        <w:r>
          <w:rPr>
            <w:webHidden/>
          </w:rPr>
          <w:fldChar w:fldCharType="begin"/>
        </w:r>
        <w:r>
          <w:rPr>
            <w:webHidden/>
          </w:rPr>
          <w:instrText xml:space="preserve"> PAGEREF _Toc227061767 \h </w:instrText>
        </w:r>
        <w:r>
          <w:rPr>
            <w:webHidden/>
          </w:rPr>
        </w:r>
        <w:r>
          <w:rPr>
            <w:webHidden/>
          </w:rPr>
          <w:fldChar w:fldCharType="separate"/>
        </w:r>
        <w:r w:rsidR="00DB69C2">
          <w:rPr>
            <w:webHidden/>
          </w:rPr>
          <w:t>5</w:t>
        </w:r>
        <w:r>
          <w:rPr>
            <w:webHidden/>
          </w:rPr>
          <w:fldChar w:fldCharType="end"/>
        </w:r>
      </w:hyperlink>
    </w:p>
    <w:p w14:paraId="6BFC3044" w14:textId="333AE0D7" w:rsidR="0006183C" w:rsidRDefault="0006183C">
      <w:pPr>
        <w:pStyle w:val="TOC2"/>
        <w:rPr>
          <w:rFonts w:eastAsiaTheme="minorEastAsia" w:cstheme="minorBidi"/>
          <w:iCs w:val="0"/>
          <w:kern w:val="2"/>
          <w:szCs w:val="24"/>
          <w14:ligatures w14:val="standardContextual"/>
        </w:rPr>
      </w:pPr>
      <w:hyperlink w:anchor="_Toc227061768" w:history="1">
        <w:r w:rsidRPr="008E5B32">
          <w:rPr>
            <w:rStyle w:val="Hyperlink"/>
          </w:rPr>
          <w:t>1.3</w:t>
        </w:r>
        <w:r>
          <w:rPr>
            <w:rFonts w:eastAsiaTheme="minorEastAsia" w:cstheme="minorBidi"/>
            <w:iCs w:val="0"/>
            <w:kern w:val="2"/>
            <w:szCs w:val="24"/>
            <w14:ligatures w14:val="standardContextual"/>
          </w:rPr>
          <w:tab/>
        </w:r>
        <w:r w:rsidRPr="008E5B32">
          <w:rPr>
            <w:rStyle w:val="Hyperlink"/>
          </w:rPr>
          <w:t>Definitions</w:t>
        </w:r>
        <w:r>
          <w:rPr>
            <w:webHidden/>
          </w:rPr>
          <w:tab/>
        </w:r>
        <w:r>
          <w:rPr>
            <w:webHidden/>
          </w:rPr>
          <w:fldChar w:fldCharType="begin"/>
        </w:r>
        <w:r>
          <w:rPr>
            <w:webHidden/>
          </w:rPr>
          <w:instrText xml:space="preserve"> PAGEREF _Toc227061768 \h </w:instrText>
        </w:r>
        <w:r>
          <w:rPr>
            <w:webHidden/>
          </w:rPr>
        </w:r>
        <w:r>
          <w:rPr>
            <w:webHidden/>
          </w:rPr>
          <w:fldChar w:fldCharType="separate"/>
        </w:r>
        <w:r w:rsidR="00DB69C2">
          <w:rPr>
            <w:webHidden/>
          </w:rPr>
          <w:t>7</w:t>
        </w:r>
        <w:r>
          <w:rPr>
            <w:webHidden/>
          </w:rPr>
          <w:fldChar w:fldCharType="end"/>
        </w:r>
      </w:hyperlink>
    </w:p>
    <w:p w14:paraId="2BCEDA5F" w14:textId="7A51725C" w:rsidR="0006183C" w:rsidRDefault="0006183C" w:rsidP="00F03BBA">
      <w:pPr>
        <w:pStyle w:val="TOC1"/>
        <w:rPr>
          <w:rFonts w:eastAsiaTheme="minorEastAsia" w:cstheme="minorBidi"/>
          <w:iCs w:val="0"/>
          <w:noProof/>
          <w:kern w:val="2"/>
          <w:szCs w:val="24"/>
          <w14:ligatures w14:val="standardContextual"/>
        </w:rPr>
      </w:pPr>
      <w:hyperlink w:anchor="_Toc227061769" w:history="1">
        <w:r w:rsidRPr="008E5B32">
          <w:rPr>
            <w:rStyle w:val="Hyperlink"/>
            <w:noProof/>
          </w:rPr>
          <w:t>2.</w:t>
        </w:r>
        <w:r>
          <w:rPr>
            <w:rFonts w:eastAsiaTheme="minorEastAsia" w:cstheme="minorBidi"/>
            <w:iCs w:val="0"/>
            <w:noProof/>
            <w:kern w:val="2"/>
            <w:szCs w:val="24"/>
            <w14:ligatures w14:val="standardContextual"/>
          </w:rPr>
          <w:tab/>
        </w:r>
        <w:r w:rsidRPr="008E5B32">
          <w:rPr>
            <w:rStyle w:val="Hyperlink"/>
            <w:noProof/>
          </w:rPr>
          <w:t>Fraud and corruption risks assessments and control plans</w:t>
        </w:r>
        <w:r>
          <w:rPr>
            <w:noProof/>
            <w:webHidden/>
          </w:rPr>
          <w:tab/>
        </w:r>
        <w:r>
          <w:rPr>
            <w:noProof/>
            <w:webHidden/>
          </w:rPr>
          <w:fldChar w:fldCharType="begin"/>
        </w:r>
        <w:r>
          <w:rPr>
            <w:noProof/>
            <w:webHidden/>
          </w:rPr>
          <w:instrText xml:space="preserve"> PAGEREF _Toc227061769 \h </w:instrText>
        </w:r>
        <w:r>
          <w:rPr>
            <w:noProof/>
            <w:webHidden/>
          </w:rPr>
        </w:r>
        <w:r>
          <w:rPr>
            <w:noProof/>
            <w:webHidden/>
          </w:rPr>
          <w:fldChar w:fldCharType="separate"/>
        </w:r>
        <w:r w:rsidR="00DB69C2">
          <w:rPr>
            <w:noProof/>
            <w:webHidden/>
          </w:rPr>
          <w:t>10</w:t>
        </w:r>
        <w:r>
          <w:rPr>
            <w:noProof/>
            <w:webHidden/>
          </w:rPr>
          <w:fldChar w:fldCharType="end"/>
        </w:r>
      </w:hyperlink>
    </w:p>
    <w:p w14:paraId="399C4461" w14:textId="275C4CAA" w:rsidR="0006183C" w:rsidRDefault="0006183C">
      <w:pPr>
        <w:pStyle w:val="TOC1"/>
        <w:rPr>
          <w:rFonts w:eastAsiaTheme="minorEastAsia" w:cstheme="minorBidi"/>
          <w:iCs w:val="0"/>
          <w:noProof/>
          <w:kern w:val="2"/>
          <w:szCs w:val="24"/>
          <w14:ligatures w14:val="standardContextual"/>
        </w:rPr>
      </w:pPr>
      <w:hyperlink w:anchor="_Toc227061771" w:history="1">
        <w:r w:rsidRPr="008E5B32">
          <w:rPr>
            <w:rStyle w:val="Hyperlink"/>
            <w:noProof/>
          </w:rPr>
          <w:t>3.</w:t>
        </w:r>
        <w:r>
          <w:rPr>
            <w:rFonts w:eastAsiaTheme="minorEastAsia" w:cstheme="minorBidi"/>
            <w:iCs w:val="0"/>
            <w:noProof/>
            <w:kern w:val="2"/>
            <w:szCs w:val="24"/>
            <w14:ligatures w14:val="standardContextual"/>
          </w:rPr>
          <w:tab/>
        </w:r>
        <w:r w:rsidRPr="008E5B32">
          <w:rPr>
            <w:rStyle w:val="Hyperlink"/>
            <w:noProof/>
          </w:rPr>
          <w:t>Agency mechanisms for Fraud and Corruption Control</w:t>
        </w:r>
        <w:r>
          <w:rPr>
            <w:noProof/>
            <w:webHidden/>
          </w:rPr>
          <w:tab/>
        </w:r>
        <w:r>
          <w:rPr>
            <w:noProof/>
            <w:webHidden/>
          </w:rPr>
          <w:fldChar w:fldCharType="begin"/>
        </w:r>
        <w:r>
          <w:rPr>
            <w:noProof/>
            <w:webHidden/>
          </w:rPr>
          <w:instrText xml:space="preserve"> PAGEREF _Toc227061771 \h </w:instrText>
        </w:r>
        <w:r>
          <w:rPr>
            <w:noProof/>
            <w:webHidden/>
          </w:rPr>
        </w:r>
        <w:r>
          <w:rPr>
            <w:noProof/>
            <w:webHidden/>
          </w:rPr>
          <w:fldChar w:fldCharType="separate"/>
        </w:r>
        <w:r w:rsidR="00DB69C2">
          <w:rPr>
            <w:noProof/>
            <w:webHidden/>
          </w:rPr>
          <w:t>12</w:t>
        </w:r>
        <w:r>
          <w:rPr>
            <w:noProof/>
            <w:webHidden/>
          </w:rPr>
          <w:fldChar w:fldCharType="end"/>
        </w:r>
      </w:hyperlink>
    </w:p>
    <w:p w14:paraId="5B85E155" w14:textId="6809B159" w:rsidR="0006183C" w:rsidRDefault="0006183C" w:rsidP="00F03BBA">
      <w:pPr>
        <w:pStyle w:val="TOC1"/>
        <w:rPr>
          <w:rFonts w:eastAsiaTheme="minorEastAsia" w:cstheme="minorBidi"/>
          <w:iCs w:val="0"/>
          <w:noProof/>
          <w:kern w:val="2"/>
          <w:szCs w:val="24"/>
          <w14:ligatures w14:val="standardContextual"/>
        </w:rPr>
      </w:pPr>
      <w:hyperlink w:anchor="_Toc227061772" w:history="1">
        <w:r w:rsidRPr="008E5B32">
          <w:rPr>
            <w:rStyle w:val="Hyperlink"/>
            <w:noProof/>
          </w:rPr>
          <w:t>4.</w:t>
        </w:r>
        <w:r>
          <w:rPr>
            <w:rFonts w:eastAsiaTheme="minorEastAsia" w:cstheme="minorBidi"/>
            <w:iCs w:val="0"/>
            <w:noProof/>
            <w:kern w:val="2"/>
            <w:szCs w:val="24"/>
            <w14:ligatures w14:val="standardContextual"/>
          </w:rPr>
          <w:tab/>
        </w:r>
        <w:r w:rsidRPr="008E5B32">
          <w:rPr>
            <w:rStyle w:val="Hyperlink"/>
            <w:noProof/>
          </w:rPr>
          <w:t>Governance</w:t>
        </w:r>
        <w:r>
          <w:rPr>
            <w:noProof/>
            <w:webHidden/>
          </w:rPr>
          <w:tab/>
        </w:r>
        <w:r>
          <w:rPr>
            <w:noProof/>
            <w:webHidden/>
          </w:rPr>
          <w:fldChar w:fldCharType="begin"/>
        </w:r>
        <w:r>
          <w:rPr>
            <w:noProof/>
            <w:webHidden/>
          </w:rPr>
          <w:instrText xml:space="preserve"> PAGEREF _Toc227061772 \h </w:instrText>
        </w:r>
        <w:r>
          <w:rPr>
            <w:noProof/>
            <w:webHidden/>
          </w:rPr>
        </w:r>
        <w:r>
          <w:rPr>
            <w:noProof/>
            <w:webHidden/>
          </w:rPr>
          <w:fldChar w:fldCharType="separate"/>
        </w:r>
        <w:r w:rsidR="00DB69C2">
          <w:rPr>
            <w:noProof/>
            <w:webHidden/>
          </w:rPr>
          <w:t>12</w:t>
        </w:r>
        <w:r>
          <w:rPr>
            <w:noProof/>
            <w:webHidden/>
          </w:rPr>
          <w:fldChar w:fldCharType="end"/>
        </w:r>
      </w:hyperlink>
    </w:p>
    <w:p w14:paraId="3A225A9D" w14:textId="3E5BA302" w:rsidR="0006183C" w:rsidRDefault="0006183C">
      <w:pPr>
        <w:pStyle w:val="TOC1"/>
        <w:rPr>
          <w:rFonts w:eastAsiaTheme="minorEastAsia" w:cstheme="minorBidi"/>
          <w:iCs w:val="0"/>
          <w:noProof/>
          <w:kern w:val="2"/>
          <w:szCs w:val="24"/>
          <w14:ligatures w14:val="standardContextual"/>
        </w:rPr>
      </w:pPr>
      <w:hyperlink w:anchor="_Toc227061774" w:history="1">
        <w:r w:rsidRPr="008E5B32">
          <w:rPr>
            <w:rStyle w:val="Hyperlink"/>
            <w:noProof/>
          </w:rPr>
          <w:t>5.</w:t>
        </w:r>
        <w:r>
          <w:rPr>
            <w:rFonts w:eastAsiaTheme="minorEastAsia" w:cstheme="minorBidi"/>
            <w:iCs w:val="0"/>
            <w:noProof/>
            <w:kern w:val="2"/>
            <w:szCs w:val="24"/>
            <w14:ligatures w14:val="standardContextual"/>
          </w:rPr>
          <w:tab/>
        </w:r>
        <w:r w:rsidRPr="008E5B32">
          <w:rPr>
            <w:rStyle w:val="Hyperlink"/>
            <w:noProof/>
          </w:rPr>
          <w:t>Roles and Responsibilities</w:t>
        </w:r>
        <w:r>
          <w:rPr>
            <w:noProof/>
            <w:webHidden/>
          </w:rPr>
          <w:tab/>
        </w:r>
        <w:r>
          <w:rPr>
            <w:noProof/>
            <w:webHidden/>
          </w:rPr>
          <w:fldChar w:fldCharType="begin"/>
        </w:r>
        <w:r>
          <w:rPr>
            <w:noProof/>
            <w:webHidden/>
          </w:rPr>
          <w:instrText xml:space="preserve"> PAGEREF _Toc227061774 \h </w:instrText>
        </w:r>
        <w:r>
          <w:rPr>
            <w:noProof/>
            <w:webHidden/>
          </w:rPr>
        </w:r>
        <w:r>
          <w:rPr>
            <w:noProof/>
            <w:webHidden/>
          </w:rPr>
          <w:fldChar w:fldCharType="separate"/>
        </w:r>
        <w:r w:rsidR="00DB69C2">
          <w:rPr>
            <w:noProof/>
            <w:webHidden/>
          </w:rPr>
          <w:t>14</w:t>
        </w:r>
        <w:r>
          <w:rPr>
            <w:noProof/>
            <w:webHidden/>
          </w:rPr>
          <w:fldChar w:fldCharType="end"/>
        </w:r>
      </w:hyperlink>
    </w:p>
    <w:p w14:paraId="70858225" w14:textId="1CC8F5FF" w:rsidR="0006183C" w:rsidRDefault="0006183C">
      <w:pPr>
        <w:pStyle w:val="TOC1"/>
        <w:rPr>
          <w:rFonts w:eastAsiaTheme="minorEastAsia" w:cstheme="minorBidi"/>
          <w:iCs w:val="0"/>
          <w:noProof/>
          <w:kern w:val="2"/>
          <w:szCs w:val="24"/>
          <w14:ligatures w14:val="standardContextual"/>
        </w:rPr>
      </w:pPr>
      <w:hyperlink w:anchor="_Toc227061784" w:history="1">
        <w:r w:rsidRPr="008E5B32">
          <w:rPr>
            <w:rStyle w:val="Hyperlink"/>
            <w:noProof/>
          </w:rPr>
          <w:t>6.</w:t>
        </w:r>
        <w:r>
          <w:rPr>
            <w:rFonts w:eastAsiaTheme="minorEastAsia" w:cstheme="minorBidi"/>
            <w:iCs w:val="0"/>
            <w:noProof/>
            <w:kern w:val="2"/>
            <w:szCs w:val="24"/>
            <w14:ligatures w14:val="standardContextual"/>
          </w:rPr>
          <w:tab/>
        </w:r>
        <w:r w:rsidRPr="008E5B32">
          <w:rPr>
            <w:rStyle w:val="Hyperlink"/>
            <w:noProof/>
          </w:rPr>
          <w:t>Fraud and Corruption Reporting Channels</w:t>
        </w:r>
        <w:r>
          <w:rPr>
            <w:noProof/>
            <w:webHidden/>
          </w:rPr>
          <w:tab/>
        </w:r>
        <w:r>
          <w:rPr>
            <w:noProof/>
            <w:webHidden/>
          </w:rPr>
          <w:fldChar w:fldCharType="begin"/>
        </w:r>
        <w:r>
          <w:rPr>
            <w:noProof/>
            <w:webHidden/>
          </w:rPr>
          <w:instrText xml:space="preserve"> PAGEREF _Toc227061784 \h </w:instrText>
        </w:r>
        <w:r>
          <w:rPr>
            <w:noProof/>
            <w:webHidden/>
          </w:rPr>
        </w:r>
        <w:r>
          <w:rPr>
            <w:noProof/>
            <w:webHidden/>
          </w:rPr>
          <w:fldChar w:fldCharType="separate"/>
        </w:r>
        <w:r w:rsidR="00DB69C2">
          <w:rPr>
            <w:noProof/>
            <w:webHidden/>
          </w:rPr>
          <w:t>17</w:t>
        </w:r>
        <w:r>
          <w:rPr>
            <w:noProof/>
            <w:webHidden/>
          </w:rPr>
          <w:fldChar w:fldCharType="end"/>
        </w:r>
      </w:hyperlink>
    </w:p>
    <w:p w14:paraId="4CDEBD8D" w14:textId="4FFAC66B" w:rsidR="0006183C" w:rsidRDefault="0006183C">
      <w:pPr>
        <w:pStyle w:val="TOC1"/>
        <w:rPr>
          <w:rFonts w:eastAsiaTheme="minorEastAsia" w:cstheme="minorBidi"/>
          <w:iCs w:val="0"/>
          <w:noProof/>
          <w:kern w:val="2"/>
          <w:szCs w:val="24"/>
          <w14:ligatures w14:val="standardContextual"/>
        </w:rPr>
      </w:pPr>
      <w:hyperlink w:anchor="_Toc227061785" w:history="1">
        <w:r w:rsidRPr="008E5B32">
          <w:rPr>
            <w:rStyle w:val="Hyperlink"/>
            <w:noProof/>
          </w:rPr>
          <w:t>7.</w:t>
        </w:r>
        <w:r>
          <w:rPr>
            <w:rFonts w:eastAsiaTheme="minorEastAsia" w:cstheme="minorBidi"/>
            <w:iCs w:val="0"/>
            <w:noProof/>
            <w:kern w:val="2"/>
            <w:szCs w:val="24"/>
            <w14:ligatures w14:val="standardContextual"/>
          </w:rPr>
          <w:tab/>
        </w:r>
        <w:r w:rsidRPr="008E5B32">
          <w:rPr>
            <w:rStyle w:val="Hyperlink"/>
            <w:noProof/>
          </w:rPr>
          <w:t>References</w:t>
        </w:r>
        <w:r>
          <w:rPr>
            <w:noProof/>
            <w:webHidden/>
          </w:rPr>
          <w:tab/>
        </w:r>
        <w:r>
          <w:rPr>
            <w:noProof/>
            <w:webHidden/>
          </w:rPr>
          <w:fldChar w:fldCharType="begin"/>
        </w:r>
        <w:r>
          <w:rPr>
            <w:noProof/>
            <w:webHidden/>
          </w:rPr>
          <w:instrText xml:space="preserve"> PAGEREF _Toc227061785 \h </w:instrText>
        </w:r>
        <w:r>
          <w:rPr>
            <w:noProof/>
            <w:webHidden/>
          </w:rPr>
        </w:r>
        <w:r>
          <w:rPr>
            <w:noProof/>
            <w:webHidden/>
          </w:rPr>
          <w:fldChar w:fldCharType="separate"/>
        </w:r>
        <w:r w:rsidR="00DB69C2">
          <w:rPr>
            <w:noProof/>
            <w:webHidden/>
          </w:rPr>
          <w:t>18</w:t>
        </w:r>
        <w:r>
          <w:rPr>
            <w:noProof/>
            <w:webHidden/>
          </w:rPr>
          <w:fldChar w:fldCharType="end"/>
        </w:r>
      </w:hyperlink>
    </w:p>
    <w:p w14:paraId="4FC8568A" w14:textId="6AB22844" w:rsidR="00795B69" w:rsidRDefault="00AA07FC" w:rsidP="00AA07FC">
      <w:r>
        <w:fldChar w:fldCharType="end"/>
      </w:r>
      <w:r w:rsidR="004D32B5" w:rsidRPr="00965145">
        <w:br w:type="page"/>
      </w:r>
    </w:p>
    <w:p w14:paraId="53ACB99C" w14:textId="77777777" w:rsidR="0096224E" w:rsidRDefault="0096224E" w:rsidP="00AA07FC">
      <w:pPr>
        <w:sectPr w:rsidR="0096224E" w:rsidSect="00E77043">
          <w:footerReference w:type="default" r:id="rId12"/>
          <w:headerReference w:type="first" r:id="rId13"/>
          <w:footerReference w:type="first" r:id="rId14"/>
          <w:pgSz w:w="11906" w:h="16838" w:code="9"/>
          <w:pgMar w:top="-1843" w:right="1440" w:bottom="1701" w:left="1440" w:header="737" w:footer="374" w:gutter="0"/>
          <w:cols w:space="708"/>
          <w:titlePg/>
          <w:docGrid w:linePitch="360"/>
        </w:sectPr>
      </w:pPr>
    </w:p>
    <w:p w14:paraId="24596878" w14:textId="77777777" w:rsidR="00B10295" w:rsidRPr="00352E85" w:rsidRDefault="00B10295" w:rsidP="00B10295">
      <w:pPr>
        <w:pStyle w:val="Acknowledgment"/>
      </w:pPr>
      <w:r w:rsidRPr="00352E85">
        <w:lastRenderedPageBreak/>
        <w:t>Acknowledgement of Country</w:t>
      </w:r>
    </w:p>
    <w:p w14:paraId="1509926C" w14:textId="77777777" w:rsidR="00B10295" w:rsidRPr="00D51D9D" w:rsidRDefault="00B10295" w:rsidP="00B10295">
      <w:pPr>
        <w:spacing w:before="120"/>
        <w:rPr>
          <w:color w:val="6B2876" w:themeColor="accent4"/>
        </w:rPr>
      </w:pPr>
      <w:r w:rsidRPr="00375680">
        <w:rPr>
          <w:color w:val="6B2876" w:themeColor="accent4"/>
        </w:rPr>
        <w:t>The NDIA acknowledges the Traditional Custodians of Country throughout Australia and their continuing connection to land, sea and community. We pay our respects to them and their cultures, and to Elders past, present and emerging.</w:t>
      </w:r>
    </w:p>
    <w:p w14:paraId="2B42F002" w14:textId="77777777" w:rsidR="0096224E" w:rsidRDefault="0096224E" w:rsidP="0096224E"/>
    <w:p w14:paraId="41FE4E19" w14:textId="77777777" w:rsidR="0096224E" w:rsidRDefault="0096224E" w:rsidP="0096224E">
      <w:pPr>
        <w:sectPr w:rsidR="0096224E" w:rsidSect="0096224E">
          <w:headerReference w:type="first" r:id="rId15"/>
          <w:pgSz w:w="11906" w:h="16838" w:code="9"/>
          <w:pgMar w:top="1701" w:right="1440" w:bottom="1701" w:left="1440" w:header="568" w:footer="374" w:gutter="0"/>
          <w:cols w:space="708"/>
          <w:titlePg/>
          <w:docGrid w:linePitch="360"/>
        </w:sectPr>
      </w:pPr>
    </w:p>
    <w:p w14:paraId="5406F8F6" w14:textId="1D06A4A8" w:rsidR="004D32B5" w:rsidRDefault="00A353A1" w:rsidP="00042A45">
      <w:pPr>
        <w:pStyle w:val="Heading2"/>
      </w:pPr>
      <w:bookmarkStart w:id="9" w:name="_Toc227061765"/>
      <w:r>
        <w:lastRenderedPageBreak/>
        <w:t>Introduction</w:t>
      </w:r>
      <w:bookmarkEnd w:id="9"/>
    </w:p>
    <w:p w14:paraId="70F5858E" w14:textId="77777777" w:rsidR="00A353A1" w:rsidRPr="00836F11" w:rsidRDefault="00A353A1" w:rsidP="00A353A1">
      <w:r w:rsidRPr="00290B5C">
        <w:t>Th</w:t>
      </w:r>
      <w:r>
        <w:t>e</w:t>
      </w:r>
      <w:r w:rsidRPr="00290B5C">
        <w:t xml:space="preserve"> Fraud and Corruption Control Plan (</w:t>
      </w:r>
      <w:r w:rsidRPr="00981698">
        <w:rPr>
          <w:b/>
          <w:bCs/>
        </w:rPr>
        <w:t>FCCP</w:t>
      </w:r>
      <w:r w:rsidRPr="00290B5C">
        <w:t>) outlines the National Disability Insurance Agency</w:t>
      </w:r>
      <w:r>
        <w:t>’s</w:t>
      </w:r>
      <w:r w:rsidRPr="00290B5C">
        <w:t xml:space="preserve"> (</w:t>
      </w:r>
      <w:r w:rsidRPr="00981698">
        <w:rPr>
          <w:b/>
          <w:bCs/>
        </w:rPr>
        <w:t xml:space="preserve">NDIA </w:t>
      </w:r>
      <w:r w:rsidRPr="00290B5C">
        <w:t>or</w:t>
      </w:r>
      <w:r>
        <w:t xml:space="preserve"> </w:t>
      </w:r>
      <w:r w:rsidRPr="00981698">
        <w:rPr>
          <w:b/>
          <w:bCs/>
        </w:rPr>
        <w:t>Agency</w:t>
      </w:r>
      <w:r w:rsidRPr="00290B5C">
        <w:t xml:space="preserve">) </w:t>
      </w:r>
      <w:r>
        <w:t xml:space="preserve">approach to </w:t>
      </w:r>
      <w:r w:rsidRPr="00290B5C">
        <w:t>manag</w:t>
      </w:r>
      <w:r>
        <w:t>ing</w:t>
      </w:r>
      <w:r w:rsidRPr="00290B5C">
        <w:t xml:space="preserve"> </w:t>
      </w:r>
      <w:r w:rsidRPr="00994286">
        <w:t>fraud and corruption risks for the Agency and the National Disability Insurance Scheme (</w:t>
      </w:r>
      <w:r w:rsidRPr="00981698">
        <w:rPr>
          <w:b/>
          <w:bCs/>
        </w:rPr>
        <w:t>NDIS</w:t>
      </w:r>
      <w:r w:rsidRPr="00994286">
        <w:t xml:space="preserve"> or </w:t>
      </w:r>
      <w:r w:rsidRPr="00981698">
        <w:rPr>
          <w:b/>
          <w:bCs/>
        </w:rPr>
        <w:t>Scheme</w:t>
      </w:r>
      <w:r w:rsidRPr="00994286">
        <w:t xml:space="preserve">). The FCCP contains a fraud and corruption risk assessment and plans that support the Agency to achieve its purposes and objectives </w:t>
      </w:r>
      <w:r>
        <w:t xml:space="preserve">as </w:t>
      </w:r>
      <w:r w:rsidRPr="00994286">
        <w:t xml:space="preserve">outlined in the </w:t>
      </w:r>
      <w:hyperlink r:id="rId16" w:history="1">
        <w:r w:rsidRPr="00994286">
          <w:rPr>
            <w:rStyle w:val="Hyperlink"/>
          </w:rPr>
          <w:t>NDIA Corporate Plan</w:t>
        </w:r>
      </w:hyperlink>
      <w:r w:rsidRPr="00994286">
        <w:t>.</w:t>
      </w:r>
    </w:p>
    <w:p w14:paraId="16117C78" w14:textId="7C6E1E9D" w:rsidR="00A353A1" w:rsidRPr="00B42003" w:rsidRDefault="00A353A1" w:rsidP="00A353A1">
      <w:r>
        <w:t xml:space="preserve">The FCCP has been prepared for section 10 of the </w:t>
      </w:r>
      <w:hyperlink r:id="rId17" w:history="1">
        <w:r w:rsidRPr="008452D0">
          <w:rPr>
            <w:rStyle w:val="Hyperlink"/>
            <w:i/>
            <w:iCs/>
          </w:rPr>
          <w:t>Public Governance, Performance and Accountability Rule 2014</w:t>
        </w:r>
      </w:hyperlink>
      <w:r>
        <w:rPr>
          <w:i/>
          <w:iCs/>
        </w:rPr>
        <w:t xml:space="preserve"> </w:t>
      </w:r>
      <w:r w:rsidRPr="006717F5">
        <w:t>(PGPA Rule)</w:t>
      </w:r>
      <w:r>
        <w:t xml:space="preserve"> and explains how the Agency controls fraud and corruption.</w:t>
      </w:r>
    </w:p>
    <w:p w14:paraId="37E0C004" w14:textId="5665131C" w:rsidR="00A353A1" w:rsidRDefault="00A353A1" w:rsidP="00A353A1">
      <w:r w:rsidRPr="00BB53DC">
        <w:t xml:space="preserve">The </w:t>
      </w:r>
      <w:r>
        <w:t>NDIA Board is the accountable authority of the NDIA which manages and delivers the NDIS</w:t>
      </w:r>
      <w:r w:rsidR="00A27131">
        <w:t xml:space="preserve"> (</w:t>
      </w:r>
      <w:r w:rsidR="00A27131" w:rsidRPr="006717F5">
        <w:rPr>
          <w:i/>
          <w:iCs/>
        </w:rPr>
        <w:t xml:space="preserve">Public Governance, Performance and </w:t>
      </w:r>
      <w:r w:rsidR="00A27131" w:rsidRPr="00073DA9">
        <w:rPr>
          <w:i/>
          <w:iCs/>
        </w:rPr>
        <w:t>Accountability</w:t>
      </w:r>
      <w:r w:rsidR="00A27131" w:rsidRPr="006717F5">
        <w:rPr>
          <w:i/>
          <w:iCs/>
        </w:rPr>
        <w:t xml:space="preserve"> Act</w:t>
      </w:r>
      <w:r w:rsidR="00631F84">
        <w:t>, 2013:S12</w:t>
      </w:r>
      <w:r w:rsidR="00A27131">
        <w:t>)</w:t>
      </w:r>
      <w:r w:rsidR="008452D0">
        <w:t>.</w:t>
      </w:r>
      <w:r>
        <w:t xml:space="preserve"> The Board provides an annual risk appetite statement for Integrity Risks which includes fraud and corruption risk. The Board has Conservative (low) appetite for fraud and corruption and takes deliberate measures to prevent, detect and respond to fraud and corruption risks. The Board has instructed the Agency and its officials to make</w:t>
      </w:r>
      <w:r w:rsidRPr="00E22D3E">
        <w:t xml:space="preserve"> </w:t>
      </w:r>
      <w:r>
        <w:t xml:space="preserve">all </w:t>
      </w:r>
      <w:r w:rsidRPr="006717F5">
        <w:t>reasonable efforts to protect the Agency, the Scheme and our participants from fraud and corruption.</w:t>
      </w:r>
    </w:p>
    <w:p w14:paraId="44332AAD" w14:textId="77777777" w:rsidR="00A353A1" w:rsidRPr="0028790B" w:rsidRDefault="00A353A1" w:rsidP="00A353A1">
      <w:r w:rsidRPr="0028790B">
        <w:t>As outlined in the Auditor</w:t>
      </w:r>
      <w:r w:rsidRPr="0028790B">
        <w:noBreakHyphen/>
        <w:t xml:space="preserve">General’s Report tabled in June 2025, the NDIA was established with </w:t>
      </w:r>
      <w:r w:rsidRPr="008C18BC">
        <w:t>“catastrophically weak” prevention controls, systems and legislative architecture</w:t>
      </w:r>
      <w:r w:rsidRPr="0028790B">
        <w:t xml:space="preserve">, </w:t>
      </w:r>
      <w:r w:rsidRPr="009E409E">
        <w:t xml:space="preserve">and is continuing to build new systems and implement legislative reform to strengthen the NDIS. </w:t>
      </w:r>
      <w:r w:rsidRPr="0028790B">
        <w:t xml:space="preserve">The Agency has </w:t>
      </w:r>
      <w:r>
        <w:t>been on</w:t>
      </w:r>
      <w:r w:rsidRPr="0028790B">
        <w:t xml:space="preserve"> a significant maturity journey, and this work remains critical to improving integrity, transparency and control effectiveness across payments, providers and participant interactions.</w:t>
      </w:r>
    </w:p>
    <w:p w14:paraId="43E4A4B8" w14:textId="0B4440FF" w:rsidR="00A353A1" w:rsidRPr="00A353A1" w:rsidRDefault="00A353A1" w:rsidP="00A353A1">
      <w:r w:rsidRPr="0028790B">
        <w:t xml:space="preserve">To support this </w:t>
      </w:r>
      <w:r>
        <w:t>activity</w:t>
      </w:r>
      <w:r w:rsidRPr="0028790B">
        <w:t xml:space="preserve">, the NDIA </w:t>
      </w:r>
      <w:r w:rsidRPr="008C18BC">
        <w:t>continue</w:t>
      </w:r>
      <w:r>
        <w:t>s</w:t>
      </w:r>
      <w:r w:rsidRPr="008C18BC">
        <w:t xml:space="preserve"> to </w:t>
      </w:r>
      <w:r>
        <w:t>integrate i</w:t>
      </w:r>
      <w:r w:rsidRPr="008C18BC">
        <w:t xml:space="preserve">ntegrity </w:t>
      </w:r>
      <w:r>
        <w:t xml:space="preserve">principles into its </w:t>
      </w:r>
      <w:r w:rsidRPr="008C18BC">
        <w:t>processes</w:t>
      </w:r>
      <w:r>
        <w:t xml:space="preserve"> and risk assessments and embed</w:t>
      </w:r>
      <w:r w:rsidRPr="0028790B">
        <w:t xml:space="preserve"> prevent</w:t>
      </w:r>
      <w:r>
        <w:t>ative</w:t>
      </w:r>
      <w:r w:rsidRPr="0028790B">
        <w:t xml:space="preserve"> </w:t>
      </w:r>
      <w:r>
        <w:t>controls</w:t>
      </w:r>
      <w:r w:rsidRPr="0028790B">
        <w:t xml:space="preserve"> across the Scheme</w:t>
      </w:r>
      <w:r>
        <w:t xml:space="preserve">, </w:t>
      </w:r>
      <w:r w:rsidRPr="0028790B">
        <w:t xml:space="preserve">improving compliance with the </w:t>
      </w:r>
      <w:r>
        <w:t xml:space="preserve">Commonwealth </w:t>
      </w:r>
      <w:r w:rsidRPr="008C18BC">
        <w:t xml:space="preserve">Fraud and Corruption Control </w:t>
      </w:r>
      <w:r>
        <w:t>Framework</w:t>
      </w:r>
      <w:r w:rsidRPr="0028790B">
        <w:t xml:space="preserve">, with an initial emphasis on meeting </w:t>
      </w:r>
      <w:r>
        <w:t xml:space="preserve">binding </w:t>
      </w:r>
      <w:r w:rsidRPr="0028790B">
        <w:t xml:space="preserve">obligations under </w:t>
      </w:r>
      <w:r w:rsidRPr="0028790B">
        <w:lastRenderedPageBreak/>
        <w:t xml:space="preserve">the </w:t>
      </w:r>
      <w:r>
        <w:t xml:space="preserve">section 10 of the PGPA </w:t>
      </w:r>
      <w:r w:rsidRPr="008C18BC">
        <w:t>Rule</w:t>
      </w:r>
      <w:r>
        <w:t>,</w:t>
      </w:r>
      <w:r w:rsidRPr="008C18BC">
        <w:t xml:space="preserve"> </w:t>
      </w:r>
      <w:r w:rsidRPr="0028790B">
        <w:t xml:space="preserve">and undertaking structured </w:t>
      </w:r>
      <w:r w:rsidRPr="008C18BC">
        <w:t xml:space="preserve">maturity assessment </w:t>
      </w:r>
      <w:r>
        <w:t>based on the Commonwealth Farud and Prevention Centre criteria</w:t>
      </w:r>
      <w:r w:rsidRPr="0028790B">
        <w:t>.</w:t>
      </w:r>
    </w:p>
    <w:p w14:paraId="2422B443" w14:textId="693F9380" w:rsidR="00A353A1" w:rsidRDefault="00A353A1" w:rsidP="00A353A1">
      <w:pPr>
        <w:pStyle w:val="Heading3"/>
      </w:pPr>
      <w:bookmarkStart w:id="10" w:name="_Toc219200390"/>
      <w:bookmarkStart w:id="11" w:name="_Toc219208318"/>
      <w:bookmarkStart w:id="12" w:name="_Toc227061766"/>
      <w:r w:rsidRPr="00994286">
        <w:t>Commonwealth Fraud and Corruption Control Framework</w:t>
      </w:r>
      <w:bookmarkEnd w:id="10"/>
      <w:bookmarkEnd w:id="11"/>
      <w:bookmarkEnd w:id="12"/>
    </w:p>
    <w:p w14:paraId="4723D610" w14:textId="77777777" w:rsidR="00A353A1" w:rsidRDefault="00A353A1" w:rsidP="00A353A1">
      <w:pPr>
        <w:tabs>
          <w:tab w:val="left" w:pos="880"/>
          <w:tab w:val="left" w:pos="881"/>
        </w:tabs>
        <w:spacing w:line="300" w:lineRule="auto"/>
        <w:ind w:right="578"/>
      </w:pPr>
      <w:r w:rsidRPr="00EB3AA2">
        <w:t xml:space="preserve">The </w:t>
      </w:r>
      <w:r>
        <w:t>Commonwealth</w:t>
      </w:r>
      <w:r w:rsidRPr="00E54ADA">
        <w:t xml:space="preserve"> Fraud and Corruption </w:t>
      </w:r>
      <w:r>
        <w:t>Control Framework 2024 is designed to support Australian Government entities to the effectively manage risks of fraud and corruption and consists of 3 parts:</w:t>
      </w:r>
    </w:p>
    <w:p w14:paraId="44D7F8B5" w14:textId="77777777" w:rsidR="00A353A1" w:rsidRDefault="00A353A1" w:rsidP="0056526B">
      <w:pPr>
        <w:pStyle w:val="ListParagraph"/>
        <w:numPr>
          <w:ilvl w:val="0"/>
          <w:numId w:val="12"/>
        </w:numPr>
      </w:pPr>
      <w:bookmarkStart w:id="13" w:name="_Toc219208319"/>
      <w:r w:rsidRPr="00C91232">
        <w:rPr>
          <w:b/>
          <w:bCs/>
        </w:rPr>
        <w:t>Section 10 of the PGPA Rule 2014</w:t>
      </w:r>
      <w:bookmarkEnd w:id="13"/>
      <w:r w:rsidRPr="00C91232">
        <w:rPr>
          <w:b/>
          <w:bCs/>
        </w:rPr>
        <w:t>.</w:t>
      </w:r>
      <w:r>
        <w:t xml:space="preserve"> </w:t>
      </w:r>
      <w:r w:rsidRPr="00473D03">
        <w:t>T</w:t>
      </w:r>
      <w:r w:rsidRPr="006717F5">
        <w:t xml:space="preserve">he Fraud and Corruption Rule is a legislative instrument binding for all </w:t>
      </w:r>
      <w:r w:rsidRPr="00981698">
        <w:t>Public Governance, Performance and Accountability</w:t>
      </w:r>
      <w:r w:rsidRPr="00C91232">
        <w:rPr>
          <w:i/>
          <w:iCs/>
        </w:rPr>
        <w:t xml:space="preserve"> </w:t>
      </w:r>
      <w:r>
        <w:t>(</w:t>
      </w:r>
      <w:r w:rsidRPr="00C91232">
        <w:rPr>
          <w:b/>
          <w:bCs/>
        </w:rPr>
        <w:t>PGPA</w:t>
      </w:r>
      <w:r>
        <w:t>)</w:t>
      </w:r>
      <w:r w:rsidRPr="006717F5">
        <w:t xml:space="preserve"> Act entities. It sets out the minimum standards for accountable authorities of PGPA Act entities in relation to managing the risk and incidents of fraud and corruption relating to their entity.</w:t>
      </w:r>
    </w:p>
    <w:p w14:paraId="2C6D09E0" w14:textId="77777777" w:rsidR="00A353A1" w:rsidRDefault="00A353A1" w:rsidP="0056526B">
      <w:pPr>
        <w:pStyle w:val="ListParagraph"/>
        <w:numPr>
          <w:ilvl w:val="0"/>
          <w:numId w:val="12"/>
        </w:numPr>
      </w:pPr>
      <w:bookmarkStart w:id="14" w:name="_Toc219208320"/>
      <w:r w:rsidRPr="00C91232">
        <w:rPr>
          <w:b/>
          <w:bCs/>
        </w:rPr>
        <w:t>The Commonwealth Fraud and Corruption Policy</w:t>
      </w:r>
      <w:bookmarkEnd w:id="14"/>
      <w:r w:rsidRPr="00C91232">
        <w:rPr>
          <w:b/>
          <w:bCs/>
        </w:rPr>
        <w:t>.</w:t>
      </w:r>
      <w:r>
        <w:t xml:space="preserve"> The Fraud and Corruption Policy sets </w:t>
      </w:r>
      <w:r w:rsidRPr="00EF1A8C">
        <w:t xml:space="preserve">out </w:t>
      </w:r>
      <w:r w:rsidRPr="006717F5">
        <w:t>procedural requirements entities must implement in relation to specific areas of fraud and corruption control such as investigations and reporting.</w:t>
      </w:r>
      <w:r>
        <w:t xml:space="preserve"> The NDIA Board has decided to adopt the Commonwealth Fraud and Corruption Policy as best practice.</w:t>
      </w:r>
    </w:p>
    <w:p w14:paraId="77B71EC1" w14:textId="384D81B4" w:rsidR="00A353A1" w:rsidRPr="00A353A1" w:rsidRDefault="00A353A1" w:rsidP="0056526B">
      <w:pPr>
        <w:pStyle w:val="ListParagraph"/>
        <w:numPr>
          <w:ilvl w:val="0"/>
          <w:numId w:val="12"/>
        </w:numPr>
      </w:pPr>
      <w:bookmarkStart w:id="15" w:name="_Toc219208321"/>
      <w:r w:rsidRPr="00C91232">
        <w:rPr>
          <w:b/>
          <w:bCs/>
        </w:rPr>
        <w:t>Resource Management Guide (RMG) 201: Preventing, detecting and dealing with fraud and corruption</w:t>
      </w:r>
      <w:bookmarkEnd w:id="15"/>
      <w:r>
        <w:t xml:space="preserve"> </w:t>
      </w:r>
      <w:r w:rsidRPr="006717F5">
        <w:t>–</w:t>
      </w:r>
      <w:r>
        <w:t xml:space="preserve"> The </w:t>
      </w:r>
      <w:r w:rsidRPr="006717F5">
        <w:t>Resource Management Guide 201 provides further practical guidance on the fraud and corruption control arrangements for all Commonwealth entities.</w:t>
      </w:r>
      <w:r>
        <w:t xml:space="preserve"> The NDIA Board has decided to adopt the guidance as best practice.</w:t>
      </w:r>
    </w:p>
    <w:p w14:paraId="6F552E9F" w14:textId="77777777" w:rsidR="00C91232" w:rsidRDefault="00C91232" w:rsidP="00C91232">
      <w:pPr>
        <w:pStyle w:val="Heading3"/>
      </w:pPr>
      <w:bookmarkStart w:id="16" w:name="_Toc219200391"/>
      <w:bookmarkStart w:id="17" w:name="_Toc219208322"/>
      <w:bookmarkStart w:id="18" w:name="_Toc227061767"/>
      <w:r>
        <w:t>NDIA Fraud and Corruption Control System</w:t>
      </w:r>
      <w:bookmarkEnd w:id="16"/>
      <w:bookmarkEnd w:id="17"/>
      <w:bookmarkEnd w:id="18"/>
    </w:p>
    <w:p w14:paraId="3F6ADD80" w14:textId="77777777" w:rsidR="00C91232" w:rsidRDefault="00C91232" w:rsidP="00C91232">
      <w:r>
        <w:t>The Agency’s Fraud and Corruption Control System details how Agency activities meet the requirements of the Commonwealth Fraud and Corruption Control Framework.</w:t>
      </w:r>
    </w:p>
    <w:p w14:paraId="01C03ED6" w14:textId="5850F021" w:rsidR="00C91232" w:rsidRDefault="00C91232" w:rsidP="00C91232">
      <w:bookmarkStart w:id="19" w:name="_Toc219208323"/>
      <w:r w:rsidRPr="00C91232">
        <w:rPr>
          <w:b/>
          <w:bCs/>
        </w:rPr>
        <w:t>National Disability Insurance Scheme Act 2013.</w:t>
      </w:r>
      <w:bookmarkEnd w:id="19"/>
      <w:r>
        <w:rPr>
          <w:b/>
          <w:bCs/>
        </w:rPr>
        <w:t xml:space="preserve"> </w:t>
      </w:r>
      <w:r>
        <w:t xml:space="preserve">Details the functions of the NDIA as a Corporate Commonwealth Entity and establishes the Board as the Accountable </w:t>
      </w:r>
      <w:r>
        <w:lastRenderedPageBreak/>
        <w:t>Authority. The NDIA is responsible for preventing, detecting, investigating and responding to misuse or abuse of, or criminal activity involving, the NDIS amounts, funding of supports, and participant information.</w:t>
      </w:r>
    </w:p>
    <w:p w14:paraId="47374838" w14:textId="34190D23" w:rsidR="00C91232" w:rsidRPr="00FD5415" w:rsidRDefault="00C91232" w:rsidP="00C91232">
      <w:bookmarkStart w:id="20" w:name="_Toc219208324"/>
      <w:r w:rsidRPr="00C91232">
        <w:rPr>
          <w:b/>
          <w:bCs/>
        </w:rPr>
        <w:t>NDIA Corporate Plan.</w:t>
      </w:r>
      <w:bookmarkEnd w:id="20"/>
      <w:r>
        <w:rPr>
          <w:b/>
          <w:bCs/>
        </w:rPr>
        <w:t xml:space="preserve"> </w:t>
      </w:r>
      <w:r>
        <w:t>The Corporate Plan is endorsed by the Board and sets out the objectives and strategies to achieve the purposes of the NDIA (including its functions).</w:t>
      </w:r>
    </w:p>
    <w:p w14:paraId="29008825" w14:textId="77777777" w:rsidR="00C91232" w:rsidRDefault="00C91232" w:rsidP="00C91232">
      <w:bookmarkStart w:id="21" w:name="_Toc219208325"/>
      <w:r w:rsidRPr="00C91232">
        <w:rPr>
          <w:b/>
          <w:bCs/>
        </w:rPr>
        <w:t>NDIA Accountable Authority Instructions.</w:t>
      </w:r>
      <w:bookmarkEnd w:id="21"/>
      <w:r>
        <w:rPr>
          <w:b/>
          <w:bCs/>
        </w:rPr>
        <w:t xml:space="preserve"> </w:t>
      </w:r>
      <w:r w:rsidRPr="006717F5">
        <w:t>Section 1</w:t>
      </w:r>
      <w:r>
        <w:t xml:space="preserve"> of the instructions</w:t>
      </w:r>
      <w:r w:rsidRPr="00555215">
        <w:t xml:space="preserve"> </w:t>
      </w:r>
      <w:r>
        <w:t>details</w:t>
      </w:r>
      <w:r w:rsidRPr="00555215">
        <w:t xml:space="preserve"> the duties and responsibilities of officials </w:t>
      </w:r>
      <w:r w:rsidRPr="006717F5">
        <w:t xml:space="preserve">to comply with the finance law, which includes the PGPA Act, the PGPA Rule, any other instruments made under the PGPA Act (including these instructions), and an Appropriation Act. </w:t>
      </w:r>
      <w:r>
        <w:t>The instructions</w:t>
      </w:r>
      <w:r w:rsidRPr="006717F5">
        <w:t xml:space="preserve"> are applicable to officials of the Agency and </w:t>
      </w:r>
      <w:r w:rsidRPr="009E6686">
        <w:t>officials</w:t>
      </w:r>
      <w:r w:rsidRPr="006717F5">
        <w:t xml:space="preserve"> of other entities that use or </w:t>
      </w:r>
      <w:r w:rsidRPr="009E6686">
        <w:t>manage</w:t>
      </w:r>
      <w:r w:rsidRPr="006717F5">
        <w:t xml:space="preserve"> public resources for which the Board of the Agency is responsible. </w:t>
      </w:r>
      <w:r>
        <w:t>Section 2 instructs:</w:t>
      </w:r>
    </w:p>
    <w:p w14:paraId="1473AECA" w14:textId="77777777" w:rsidR="00C91232" w:rsidRDefault="00C91232" w:rsidP="0056526B">
      <w:pPr>
        <w:pStyle w:val="ListParagraph"/>
        <w:numPr>
          <w:ilvl w:val="0"/>
          <w:numId w:val="13"/>
        </w:numPr>
      </w:pPr>
      <w:r>
        <w:t xml:space="preserve">all officials to </w:t>
      </w:r>
      <w:r w:rsidRPr="006717F5">
        <w:t>act in accordance with the Agency’s risk management framework to ensure that risk management practices are aligned to the Agency’s risk appetite and tolerance for risk, and consistent with the Agency’s methodology to assess and treat risks</w:t>
      </w:r>
      <w:r>
        <w:t>.</w:t>
      </w:r>
    </w:p>
    <w:p w14:paraId="136BF732" w14:textId="77777777" w:rsidR="00C91232" w:rsidRDefault="00C91232" w:rsidP="0056526B">
      <w:pPr>
        <w:pStyle w:val="ListParagraph"/>
        <w:numPr>
          <w:ilvl w:val="0"/>
          <w:numId w:val="13"/>
        </w:numPr>
      </w:pPr>
      <w:r>
        <w:t xml:space="preserve">all </w:t>
      </w:r>
      <w:r w:rsidRPr="00022C56">
        <w:t xml:space="preserve">officials </w:t>
      </w:r>
      <w:r w:rsidRPr="006717F5">
        <w:t>must act in accordance with the Agency’s Fraud and Corruption Control Plan.</w:t>
      </w:r>
    </w:p>
    <w:p w14:paraId="47C431CF" w14:textId="77777777" w:rsidR="00C91232" w:rsidRPr="00A10F4E" w:rsidRDefault="00C91232" w:rsidP="000D73AB">
      <w:pPr>
        <w:rPr>
          <w:rStyle w:val="Heading4Char"/>
        </w:rPr>
      </w:pPr>
      <w:bookmarkStart w:id="22" w:name="_Toc219208326"/>
      <w:r w:rsidRPr="00C91232">
        <w:rPr>
          <w:b/>
          <w:bCs/>
        </w:rPr>
        <w:t>NDIA Risk Management Framework.</w:t>
      </w:r>
      <w:r w:rsidRPr="00A10F4E">
        <w:rPr>
          <w:rStyle w:val="Heading4Char"/>
        </w:rPr>
        <w:t xml:space="preserve"> </w:t>
      </w:r>
      <w:r w:rsidRPr="00C91232">
        <w:t>The NDIA Risk Management Framework comprises key policy documents and is supported by a range of risk management guidance materials to help officials to identify, manage and report risks.</w:t>
      </w:r>
      <w:bookmarkEnd w:id="22"/>
    </w:p>
    <w:p w14:paraId="4CB7A764" w14:textId="77777777" w:rsidR="00C91232" w:rsidRDefault="00C91232" w:rsidP="00C91232">
      <w:bookmarkStart w:id="23" w:name="_Toc219208327"/>
      <w:r w:rsidRPr="00C91232">
        <w:rPr>
          <w:b/>
          <w:bCs/>
        </w:rPr>
        <w:t>NDIA Fraud and Corruption Control Plan.</w:t>
      </w:r>
      <w:bookmarkEnd w:id="23"/>
      <w:r w:rsidRPr="00C91232">
        <w:rPr>
          <w:b/>
          <w:bCs/>
        </w:rPr>
        <w:t xml:space="preserve"> </w:t>
      </w:r>
      <w:r w:rsidRPr="006717F5">
        <w:t>The FCCP</w:t>
      </w:r>
      <w:r w:rsidRPr="00C91232">
        <w:rPr>
          <w:b/>
          <w:bCs/>
        </w:rPr>
        <w:t xml:space="preserve"> </w:t>
      </w:r>
      <w:r>
        <w:t>a</w:t>
      </w:r>
      <w:r w:rsidRPr="006717F5">
        <w:t>ssists the Agency to</w:t>
      </w:r>
      <w:r w:rsidRPr="00C91232">
        <w:rPr>
          <w:b/>
          <w:bCs/>
        </w:rPr>
        <w:t xml:space="preserve"> </w:t>
      </w:r>
      <w:r>
        <w:t>document and communicate how the NDIA and the Board align to and satisfies the obligations under the Commonwealth Fraud and Corruption Framework, and how it will manage and monitor current or planned activities to manage and assess fraud and corruption risks.</w:t>
      </w:r>
    </w:p>
    <w:p w14:paraId="3C9D9553" w14:textId="77777777" w:rsidR="00C91232" w:rsidRPr="00C91232" w:rsidRDefault="00C91232" w:rsidP="00C91232">
      <w:pPr>
        <w:rPr>
          <w:rStyle w:val="Heading4Char"/>
          <w:b w:val="0"/>
          <w:bCs/>
          <w:sz w:val="22"/>
          <w:szCs w:val="22"/>
        </w:rPr>
      </w:pPr>
      <w:bookmarkStart w:id="24" w:name="_Toc219208328"/>
      <w:r w:rsidRPr="00C91232">
        <w:rPr>
          <w:b/>
          <w:bCs/>
        </w:rPr>
        <w:t>NDIA Compliance and Enforcement Framework.</w:t>
      </w:r>
      <w:r>
        <w:rPr>
          <w:rStyle w:val="Heading4Char"/>
        </w:rPr>
        <w:t xml:space="preserve"> </w:t>
      </w:r>
      <w:r w:rsidRPr="00C91232">
        <w:t xml:space="preserve">The Compliance and Enforcement Framework details how the NDIA implements its approach for </w:t>
      </w:r>
      <w:r w:rsidRPr="00C91232">
        <w:lastRenderedPageBreak/>
        <w:t>prevention, detection, investigation, response, monitoring and reporting of fraud and corruption.</w:t>
      </w:r>
      <w:bookmarkEnd w:id="24"/>
    </w:p>
    <w:p w14:paraId="76D78A21" w14:textId="77777777" w:rsidR="00C91232" w:rsidRDefault="00C91232" w:rsidP="00C91232">
      <w:bookmarkStart w:id="25" w:name="_Toc219208329"/>
      <w:r w:rsidRPr="00C91232">
        <w:rPr>
          <w:b/>
          <w:bCs/>
        </w:rPr>
        <w:t>Fraud Fusion Taskforce</w:t>
      </w:r>
      <w:bookmarkEnd w:id="25"/>
      <w:r w:rsidRPr="00C91232">
        <w:rPr>
          <w:b/>
          <w:bCs/>
        </w:rPr>
        <w:t>.</w:t>
      </w:r>
      <w:r w:rsidRPr="00A10F4E">
        <w:t xml:space="preserve"> </w:t>
      </w:r>
      <w:r w:rsidRPr="00DC309D">
        <w:t xml:space="preserve">The </w:t>
      </w:r>
      <w:r w:rsidRPr="00366ABB">
        <w:t>Fraud Fusion Taskforce</w:t>
      </w:r>
      <w:r w:rsidRPr="00DC309D">
        <w:t xml:space="preserve">, jointly led by the NDIA and Services Australia, was established in </w:t>
      </w:r>
      <w:r w:rsidRPr="00366ABB">
        <w:t>November 2022</w:t>
      </w:r>
      <w:r w:rsidRPr="00DC309D">
        <w:t xml:space="preserve"> to strengthen the Commonwealth’s coordinated response to fraud affecting the NDIS. The Taskforce brings together intelligence, compliance and enforcement capabilities from across government to identify, disrupt and </w:t>
      </w:r>
      <w:proofErr w:type="gramStart"/>
      <w:r w:rsidRPr="00DC309D">
        <w:t>take action</w:t>
      </w:r>
      <w:proofErr w:type="gramEnd"/>
      <w:r w:rsidRPr="00DC309D">
        <w:t xml:space="preserve"> against individuals and businesses seeking to exploit the Scheme.</w:t>
      </w:r>
    </w:p>
    <w:p w14:paraId="595F48A4" w14:textId="4E12695A" w:rsidR="00C91232" w:rsidRDefault="000D73AB" w:rsidP="00C91232">
      <w:pPr>
        <w:pStyle w:val="Heading3"/>
      </w:pPr>
      <w:bookmarkStart w:id="26" w:name="_Toc227061768"/>
      <w:r>
        <w:t>Definitions</w:t>
      </w:r>
      <w:bookmarkEnd w:id="26"/>
    </w:p>
    <w:p w14:paraId="32C7E20A" w14:textId="77777777" w:rsidR="00C91232" w:rsidRPr="006717F5" w:rsidRDefault="00C91232" w:rsidP="0056526B">
      <w:pPr>
        <w:pStyle w:val="ListParagraph"/>
        <w:numPr>
          <w:ilvl w:val="0"/>
          <w:numId w:val="15"/>
        </w:numPr>
        <w:rPr>
          <w:lang w:bidi="th-TH"/>
        </w:rPr>
      </w:pPr>
      <w:r w:rsidRPr="00C91232">
        <w:rPr>
          <w:b/>
          <w:bCs/>
          <w:lang w:bidi="th-TH"/>
        </w:rPr>
        <w:t>Bribery –</w:t>
      </w:r>
      <w:r w:rsidRPr="006717F5">
        <w:rPr>
          <w:lang w:bidi="th-TH"/>
        </w:rPr>
        <w:t xml:space="preserve"> </w:t>
      </w:r>
      <w:r>
        <w:rPr>
          <w:lang w:bidi="th-TH"/>
        </w:rPr>
        <w:t>I</w:t>
      </w:r>
      <w:r w:rsidRPr="006717F5">
        <w:rPr>
          <w:lang w:bidi="th-TH"/>
        </w:rPr>
        <w:t xml:space="preserve">ncludes conduct covered by the Commonwealth </w:t>
      </w:r>
      <w:hyperlink r:id="rId18" w:history="1">
        <w:r w:rsidRPr="0085032A">
          <w:rPr>
            <w:lang w:bidi="th-TH"/>
          </w:rPr>
          <w:t>Criminal Code Act 1995</w:t>
        </w:r>
      </w:hyperlink>
      <w:r w:rsidRPr="0085032A">
        <w:rPr>
          <w:lang w:bidi="th-TH"/>
        </w:rPr>
        <w:t xml:space="preserve"> sections </w:t>
      </w:r>
      <w:r w:rsidRPr="006717F5">
        <w:rPr>
          <w:lang w:bidi="th-TH"/>
        </w:rPr>
        <w:t>70.2, 141.1, and 142.1 (domestic and foreign bribery).</w:t>
      </w:r>
      <w:r w:rsidRPr="00C91232">
        <w:rPr>
          <w:b/>
          <w:bCs/>
          <w:lang w:bidi="th-TH"/>
        </w:rPr>
        <w:t>  </w:t>
      </w:r>
      <w:r w:rsidRPr="006717F5">
        <w:rPr>
          <w:lang w:bidi="th-TH"/>
        </w:rPr>
        <w:t> </w:t>
      </w:r>
    </w:p>
    <w:p w14:paraId="393760AA" w14:textId="77777777" w:rsidR="00C91232" w:rsidRDefault="00C91232" w:rsidP="0056526B">
      <w:pPr>
        <w:pStyle w:val="ListParagraph"/>
        <w:numPr>
          <w:ilvl w:val="0"/>
          <w:numId w:val="15"/>
        </w:numPr>
        <w:rPr>
          <w:lang w:bidi="th-TH"/>
        </w:rPr>
      </w:pPr>
      <w:r w:rsidRPr="00C91232">
        <w:rPr>
          <w:b/>
          <w:bCs/>
          <w:lang w:bidi="th-TH"/>
        </w:rPr>
        <w:t>Control</w:t>
      </w:r>
      <w:r w:rsidRPr="006717F5">
        <w:rPr>
          <w:lang w:bidi="th-TH"/>
        </w:rPr>
        <w:t xml:space="preserve"> – </w:t>
      </w:r>
      <w:r>
        <w:rPr>
          <w:lang w:bidi="th-TH"/>
        </w:rPr>
        <w:t>I</w:t>
      </w:r>
      <w:r w:rsidRPr="006717F5">
        <w:rPr>
          <w:lang w:bidi="th-TH"/>
        </w:rPr>
        <w:t>ndividual measures, processes or functions that help entities prevent, detect and respond to fraud. An integrated assembly of controls make up a control environment.</w:t>
      </w:r>
    </w:p>
    <w:p w14:paraId="1C843B18" w14:textId="77777777" w:rsidR="00C91232" w:rsidRPr="00571621" w:rsidRDefault="00C91232" w:rsidP="0056526B">
      <w:pPr>
        <w:pStyle w:val="ListParagraph"/>
        <w:numPr>
          <w:ilvl w:val="0"/>
          <w:numId w:val="15"/>
        </w:numPr>
        <w:rPr>
          <w:lang w:bidi="th-TH"/>
        </w:rPr>
      </w:pPr>
      <w:r w:rsidRPr="00C91232">
        <w:rPr>
          <w:b/>
          <w:bCs/>
        </w:rPr>
        <w:t>Corruption</w:t>
      </w:r>
      <w:r w:rsidRPr="007C1819">
        <w:t xml:space="preserve"> </w:t>
      </w:r>
      <w:r>
        <w:t>– I</w:t>
      </w:r>
      <w:r w:rsidRPr="007C1819">
        <w:t>s any action that undermines the integrity or fairness of public administration. For example, a public official misusing their position or breach</w:t>
      </w:r>
      <w:r>
        <w:t>ing</w:t>
      </w:r>
      <w:r w:rsidRPr="007C1819">
        <w:t xml:space="preserve"> public trust for unlawful gain</w:t>
      </w:r>
      <w:r>
        <w:t>,</w:t>
      </w:r>
      <w:r w:rsidRPr="007C1819">
        <w:t xml:space="preserve"> misuse of information obtained as a public official</w:t>
      </w:r>
      <w:r>
        <w:t>,</w:t>
      </w:r>
      <w:r w:rsidRPr="007C1819">
        <w:t xml:space="preserve"> or any actions that negatively affect the fairness of a public official's duties.</w:t>
      </w:r>
      <w:r>
        <w:t xml:space="preserve"> </w:t>
      </w:r>
      <w:r w:rsidRPr="007C1819">
        <w:t>Corruption also includes plans or attempts to engage in such activities.</w:t>
      </w:r>
    </w:p>
    <w:p w14:paraId="17DBB953" w14:textId="733FF19C" w:rsidR="00C91232" w:rsidRPr="006717F5" w:rsidRDefault="00C91232" w:rsidP="0056526B">
      <w:pPr>
        <w:pStyle w:val="ListParagraph"/>
        <w:numPr>
          <w:ilvl w:val="0"/>
          <w:numId w:val="15"/>
        </w:numPr>
        <w:rPr>
          <w:lang w:bidi="th-TH"/>
        </w:rPr>
      </w:pPr>
      <w:r w:rsidRPr="00C91232">
        <w:rPr>
          <w:b/>
          <w:bCs/>
          <w:lang w:bidi="th-TH"/>
        </w:rPr>
        <w:t xml:space="preserve">Error – </w:t>
      </w:r>
      <w:r>
        <w:rPr>
          <w:lang w:bidi="th-TH"/>
        </w:rPr>
        <w:t>A</w:t>
      </w:r>
      <w:r w:rsidRPr="006717F5">
        <w:rPr>
          <w:lang w:bidi="th-TH"/>
        </w:rPr>
        <w:t>n unintentional or negligent act or omission that causes a loss and does not constitute fraud or corruption.</w:t>
      </w:r>
    </w:p>
    <w:p w14:paraId="63616211" w14:textId="77777777" w:rsidR="00C91232" w:rsidRDefault="00C91232" w:rsidP="0056526B">
      <w:pPr>
        <w:pStyle w:val="ListParagraph"/>
        <w:numPr>
          <w:ilvl w:val="0"/>
          <w:numId w:val="15"/>
        </w:numPr>
      </w:pPr>
      <w:r w:rsidRPr="00C91232">
        <w:rPr>
          <w:b/>
          <w:bCs/>
        </w:rPr>
        <w:t>Fraud</w:t>
      </w:r>
      <w:r w:rsidRPr="00655C03">
        <w:t xml:space="preserve"> </w:t>
      </w:r>
      <w:r>
        <w:t>– Dishonestly obtaining (including attempting to obtain) a gain or benefit, or causing a loss or risk of loss, by deception or other means. The conduct does not need to represent a breach of criminal law. A benefit or loss is not restricted to a material benefit or loss and may be tangible or intangible. A third party may also obtain a benefit.</w:t>
      </w:r>
    </w:p>
    <w:p w14:paraId="29FC19DE" w14:textId="77777777" w:rsidR="00C91232" w:rsidRDefault="00C91232" w:rsidP="0056526B">
      <w:pPr>
        <w:pStyle w:val="ListParagraph"/>
        <w:numPr>
          <w:ilvl w:val="1"/>
          <w:numId w:val="16"/>
        </w:numPr>
      </w:pPr>
      <w:r w:rsidRPr="00655C03">
        <w:t>It can</w:t>
      </w:r>
      <w:r>
        <w:t xml:space="preserve"> be committed internally by Agency Staff (Including labour hire and contractors), or externally by providers, participants, members of the public including, third part organisations and by people online </w:t>
      </w:r>
      <w:r>
        <w:lastRenderedPageBreak/>
        <w:t xml:space="preserve">nationally or internationally. Fraud </w:t>
      </w:r>
      <w:r w:rsidRPr="00655C03">
        <w:t>include</w:t>
      </w:r>
      <w:r>
        <w:t>s</w:t>
      </w:r>
      <w:r w:rsidRPr="00655C03">
        <w:t xml:space="preserve"> theft, falsifying documents, or misusing information for personal gain. Fraud requires intent, not carelessness or mistake, and if intent cannot be proven the act may be classified as non-compliance instead of fraud.</w:t>
      </w:r>
    </w:p>
    <w:p w14:paraId="6B39D26B" w14:textId="18E3DE36" w:rsidR="00C91232" w:rsidRDefault="00C91232" w:rsidP="0056526B">
      <w:pPr>
        <w:pStyle w:val="ListParagraph"/>
        <w:numPr>
          <w:ilvl w:val="1"/>
          <w:numId w:val="16"/>
        </w:numPr>
      </w:pPr>
      <w:r>
        <w:t>Offences of fraud against the Commonwealth may be prosecuted under several Commonwealth laws, including the Criminal Code Act 1995 or the Crimes Act 1914.</w:t>
      </w:r>
    </w:p>
    <w:p w14:paraId="1E5D942F" w14:textId="7724E0C2" w:rsidR="00C91232" w:rsidRDefault="00C91232" w:rsidP="0056526B">
      <w:pPr>
        <w:pStyle w:val="ListParagraph"/>
        <w:widowControl w:val="0"/>
        <w:numPr>
          <w:ilvl w:val="0"/>
          <w:numId w:val="16"/>
        </w:numPr>
        <w:autoSpaceDE w:val="0"/>
        <w:autoSpaceDN w:val="0"/>
        <w:spacing w:before="120" w:after="0" w:line="300" w:lineRule="auto"/>
        <w:contextualSpacing w:val="0"/>
      </w:pPr>
      <w:r w:rsidRPr="00882AF5">
        <w:rPr>
          <w:b/>
          <w:bCs/>
        </w:rPr>
        <w:t>Internal fraud</w:t>
      </w:r>
      <w:r w:rsidRPr="00882AF5">
        <w:t xml:space="preserve"> </w:t>
      </w:r>
      <w:r>
        <w:t>– O</w:t>
      </w:r>
      <w:r w:rsidRPr="00882AF5">
        <w:t>ccurs when employees, labour hire or contractors within the agency:</w:t>
      </w:r>
    </w:p>
    <w:p w14:paraId="070A9356" w14:textId="77777777" w:rsidR="00C91232" w:rsidRDefault="00C91232" w:rsidP="0056526B">
      <w:pPr>
        <w:pStyle w:val="ListParagraph"/>
        <w:widowControl w:val="0"/>
        <w:numPr>
          <w:ilvl w:val="1"/>
          <w:numId w:val="16"/>
        </w:numPr>
        <w:autoSpaceDE w:val="0"/>
        <w:autoSpaceDN w:val="0"/>
        <w:spacing w:before="60" w:after="0" w:line="300" w:lineRule="auto"/>
        <w:contextualSpacing w:val="0"/>
      </w:pPr>
      <w:r w:rsidRPr="00882AF5">
        <w:t>misuse staff entitlements (such as medical leave, travel or overtime)</w:t>
      </w:r>
    </w:p>
    <w:p w14:paraId="3BC30FED" w14:textId="5382D2E3" w:rsidR="00C91232" w:rsidRDefault="00C91232" w:rsidP="0056526B">
      <w:pPr>
        <w:pStyle w:val="ListParagraph"/>
        <w:widowControl w:val="0"/>
        <w:numPr>
          <w:ilvl w:val="1"/>
          <w:numId w:val="16"/>
        </w:numPr>
        <w:autoSpaceDE w:val="0"/>
        <w:autoSpaceDN w:val="0"/>
        <w:spacing w:before="60" w:after="0" w:line="300" w:lineRule="auto"/>
        <w:contextualSpacing w:val="0"/>
      </w:pPr>
      <w:r w:rsidRPr="00882AF5">
        <w:t>access or disclose</w:t>
      </w:r>
      <w:r>
        <w:t xml:space="preserve"> sensitive or proprietary</w:t>
      </w:r>
      <w:r w:rsidRPr="00882AF5">
        <w:t xml:space="preserve"> information (such as customer or official information) without authority</w:t>
      </w:r>
    </w:p>
    <w:p w14:paraId="4546CE17" w14:textId="5234ED5C" w:rsidR="00C91232" w:rsidRDefault="00C91232" w:rsidP="0056526B">
      <w:pPr>
        <w:pStyle w:val="ListParagraph"/>
        <w:widowControl w:val="0"/>
        <w:numPr>
          <w:ilvl w:val="1"/>
          <w:numId w:val="16"/>
        </w:numPr>
        <w:autoSpaceDE w:val="0"/>
        <w:autoSpaceDN w:val="0"/>
        <w:spacing w:before="60" w:after="0" w:line="300" w:lineRule="auto"/>
        <w:contextualSpacing w:val="0"/>
      </w:pPr>
      <w:r w:rsidRPr="00882AF5">
        <w:t>inappropriate use or theft of agency assets (such as IT equipment, mobile phones or fleet vehicles) for personal benefit</w:t>
      </w:r>
    </w:p>
    <w:p w14:paraId="485D1DC6" w14:textId="77777777" w:rsidR="00C91232" w:rsidRDefault="00C91232" w:rsidP="0056526B">
      <w:pPr>
        <w:pStyle w:val="ListParagraph"/>
        <w:widowControl w:val="0"/>
        <w:numPr>
          <w:ilvl w:val="1"/>
          <w:numId w:val="16"/>
        </w:numPr>
        <w:autoSpaceDE w:val="0"/>
        <w:autoSpaceDN w:val="0"/>
        <w:spacing w:before="60" w:after="0" w:line="300" w:lineRule="auto"/>
        <w:contextualSpacing w:val="0"/>
      </w:pPr>
      <w:r w:rsidRPr="00882AF5">
        <w:t xml:space="preserve">use system access to create fraudulent payments or redirect payments </w:t>
      </w:r>
    </w:p>
    <w:p w14:paraId="374C1178" w14:textId="1D6F4EF6" w:rsidR="00C91232" w:rsidRDefault="00C91232" w:rsidP="0056526B">
      <w:pPr>
        <w:pStyle w:val="ListParagraph"/>
        <w:widowControl w:val="0"/>
        <w:numPr>
          <w:ilvl w:val="1"/>
          <w:numId w:val="16"/>
        </w:numPr>
        <w:autoSpaceDE w:val="0"/>
        <w:autoSpaceDN w:val="0"/>
        <w:spacing w:before="60" w:after="0" w:line="300" w:lineRule="auto"/>
        <w:contextualSpacing w:val="0"/>
      </w:pPr>
      <w:r w:rsidRPr="00882AF5">
        <w:t>manipulate procurement or recruitment processes</w:t>
      </w:r>
    </w:p>
    <w:p w14:paraId="7C46E894" w14:textId="5CCF72AD" w:rsidR="00C91232" w:rsidRDefault="00C91232" w:rsidP="0056526B">
      <w:pPr>
        <w:pStyle w:val="ListParagraph"/>
        <w:widowControl w:val="0"/>
        <w:numPr>
          <w:ilvl w:val="1"/>
          <w:numId w:val="16"/>
        </w:numPr>
        <w:autoSpaceDE w:val="0"/>
        <w:autoSpaceDN w:val="0"/>
        <w:spacing w:before="60" w:after="0" w:line="300" w:lineRule="auto"/>
        <w:contextualSpacing w:val="0"/>
      </w:pPr>
      <w:r w:rsidRPr="00882AF5">
        <w:t>use their inside knowledge to make false claims for payments as customers of the agency.</w:t>
      </w:r>
    </w:p>
    <w:p w14:paraId="47557A9D" w14:textId="5CE140F4" w:rsidR="00C91232" w:rsidRDefault="00C91232" w:rsidP="0056526B">
      <w:pPr>
        <w:pStyle w:val="ListParagraph"/>
        <w:widowControl w:val="0"/>
        <w:numPr>
          <w:ilvl w:val="0"/>
          <w:numId w:val="16"/>
        </w:numPr>
        <w:autoSpaceDE w:val="0"/>
        <w:autoSpaceDN w:val="0"/>
        <w:spacing w:before="120" w:after="0" w:line="300" w:lineRule="auto"/>
        <w:contextualSpacing w:val="0"/>
      </w:pPr>
      <w:r w:rsidRPr="00132DCA">
        <w:rPr>
          <w:b/>
          <w:bCs/>
        </w:rPr>
        <w:t>External fraud</w:t>
      </w:r>
      <w:r w:rsidRPr="00882AF5">
        <w:t xml:space="preserve"> </w:t>
      </w:r>
      <w:r>
        <w:t>– O</w:t>
      </w:r>
      <w:r w:rsidRPr="00882AF5">
        <w:t>ccurs when customers or other third parties:</w:t>
      </w:r>
    </w:p>
    <w:p w14:paraId="354DB4D3" w14:textId="4885BF76" w:rsidR="00C91232" w:rsidRDefault="00C91232" w:rsidP="0056526B">
      <w:pPr>
        <w:pStyle w:val="ListParagraph"/>
        <w:widowControl w:val="0"/>
        <w:numPr>
          <w:ilvl w:val="1"/>
          <w:numId w:val="16"/>
        </w:numPr>
        <w:autoSpaceDE w:val="0"/>
        <w:autoSpaceDN w:val="0"/>
        <w:spacing w:before="60" w:after="0" w:line="300" w:lineRule="auto"/>
        <w:contextualSpacing w:val="0"/>
      </w:pPr>
      <w:r w:rsidRPr="00882AF5">
        <w:t>deliberately provide false or misleading information to make a claim for a payment or service</w:t>
      </w:r>
    </w:p>
    <w:p w14:paraId="011EC9B0" w14:textId="4E0EDE25" w:rsidR="00C91232" w:rsidRDefault="00C91232" w:rsidP="0056526B">
      <w:pPr>
        <w:pStyle w:val="ListParagraph"/>
        <w:widowControl w:val="0"/>
        <w:numPr>
          <w:ilvl w:val="1"/>
          <w:numId w:val="16"/>
        </w:numPr>
        <w:autoSpaceDE w:val="0"/>
        <w:autoSpaceDN w:val="0"/>
        <w:spacing w:before="60" w:after="0" w:line="300" w:lineRule="auto"/>
        <w:contextualSpacing w:val="0"/>
      </w:pPr>
      <w:r w:rsidRPr="00882AF5">
        <w:t>assume, or attempt, to assume another person’s identity to gain a benefit or advantage</w:t>
      </w:r>
    </w:p>
    <w:p w14:paraId="152C1FE9" w14:textId="2B6D07D6" w:rsidR="00C91232" w:rsidRDefault="00C91232" w:rsidP="0056526B">
      <w:pPr>
        <w:pStyle w:val="ListParagraph"/>
        <w:widowControl w:val="0"/>
        <w:numPr>
          <w:ilvl w:val="1"/>
          <w:numId w:val="16"/>
        </w:numPr>
        <w:autoSpaceDE w:val="0"/>
        <w:autoSpaceDN w:val="0"/>
        <w:spacing w:before="60" w:after="0" w:line="300" w:lineRule="auto"/>
        <w:contextualSpacing w:val="0"/>
      </w:pPr>
      <w:r w:rsidRPr="00882AF5">
        <w:t>redirect another person’s payment, where there is no legal basis for doing so</w:t>
      </w:r>
    </w:p>
    <w:p w14:paraId="58D0DF3F" w14:textId="10D260C8" w:rsidR="00C91232" w:rsidRDefault="00C91232" w:rsidP="0056526B">
      <w:pPr>
        <w:pStyle w:val="ListParagraph"/>
        <w:widowControl w:val="0"/>
        <w:numPr>
          <w:ilvl w:val="1"/>
          <w:numId w:val="16"/>
        </w:numPr>
        <w:autoSpaceDE w:val="0"/>
        <w:autoSpaceDN w:val="0"/>
        <w:spacing w:before="60" w:after="0" w:line="300" w:lineRule="auto"/>
        <w:contextualSpacing w:val="0"/>
      </w:pPr>
      <w:r w:rsidRPr="00882AF5">
        <w:t>provide false evidence for services or goods not provided</w:t>
      </w:r>
    </w:p>
    <w:p w14:paraId="601162AB" w14:textId="71D7896F" w:rsidR="00C91232" w:rsidRDefault="00C91232" w:rsidP="0056526B">
      <w:pPr>
        <w:pStyle w:val="ListParagraph"/>
        <w:widowControl w:val="0"/>
        <w:numPr>
          <w:ilvl w:val="1"/>
          <w:numId w:val="16"/>
        </w:numPr>
        <w:autoSpaceDE w:val="0"/>
        <w:autoSpaceDN w:val="0"/>
        <w:spacing w:before="60" w:after="0" w:line="300" w:lineRule="auto"/>
        <w:contextualSpacing w:val="0"/>
      </w:pPr>
      <w:r w:rsidRPr="00882AF5">
        <w:t xml:space="preserve">access </w:t>
      </w:r>
      <w:r>
        <w:t>Agency</w:t>
      </w:r>
      <w:r w:rsidRPr="00882AF5">
        <w:t xml:space="preserve"> information and systems without authority.</w:t>
      </w:r>
    </w:p>
    <w:p w14:paraId="79A12A88" w14:textId="77777777" w:rsidR="00C91232" w:rsidRDefault="00C91232" w:rsidP="0056526B">
      <w:pPr>
        <w:pStyle w:val="ListParagraph"/>
        <w:numPr>
          <w:ilvl w:val="0"/>
          <w:numId w:val="14"/>
        </w:numPr>
        <w:spacing w:before="60" w:after="120" w:line="300" w:lineRule="auto"/>
        <w:contextualSpacing w:val="0"/>
      </w:pPr>
      <w:r w:rsidRPr="006A71E6">
        <w:rPr>
          <w:rFonts w:eastAsia="Aptos"/>
          <w:b/>
          <w:bCs/>
          <w:kern w:val="2"/>
          <w:szCs w:val="28"/>
          <w:lang w:bidi="th-TH"/>
          <w14:ligatures w14:val="standardContextual"/>
        </w:rPr>
        <w:t>Identity fraud</w:t>
      </w:r>
      <w:r w:rsidRPr="006A71E6">
        <w:rPr>
          <w:rFonts w:eastAsia="Aptos"/>
          <w:kern w:val="2"/>
          <w:szCs w:val="28"/>
          <w:lang w:bidi="th-TH"/>
          <w14:ligatures w14:val="standardContextual"/>
        </w:rPr>
        <w:t xml:space="preserve"> - </w:t>
      </w:r>
      <w:r>
        <w:rPr>
          <w:rFonts w:eastAsia="Aptos"/>
          <w:kern w:val="2"/>
          <w:szCs w:val="28"/>
          <w:lang w:bidi="th-TH"/>
          <w14:ligatures w14:val="standardContextual"/>
        </w:rPr>
        <w:t>T</w:t>
      </w:r>
      <w:r w:rsidRPr="006A71E6">
        <w:rPr>
          <w:rFonts w:eastAsia="Aptos"/>
          <w:kern w:val="2"/>
          <w:szCs w:val="28"/>
          <w:lang w:bidi="th-TH"/>
          <w14:ligatures w14:val="standardContextual"/>
        </w:rPr>
        <w:t>he gaining of money, goods, services or other benefits, or the avoidance of obligations through the use of fabricated, manipulated, stolen or otherwise fraudulently assumed identity.</w:t>
      </w:r>
    </w:p>
    <w:p w14:paraId="36E99A18" w14:textId="77777777" w:rsidR="00C91232" w:rsidRDefault="00C91232" w:rsidP="0056526B">
      <w:pPr>
        <w:pStyle w:val="ListParagraph"/>
        <w:widowControl w:val="0"/>
        <w:numPr>
          <w:ilvl w:val="0"/>
          <w:numId w:val="17"/>
        </w:numPr>
        <w:autoSpaceDE w:val="0"/>
        <w:autoSpaceDN w:val="0"/>
        <w:spacing w:before="120" w:after="0" w:line="300" w:lineRule="auto"/>
        <w:ind w:left="426" w:hanging="426"/>
        <w:contextualSpacing w:val="0"/>
      </w:pPr>
      <w:r w:rsidRPr="009946DC">
        <w:rPr>
          <w:b/>
          <w:bCs/>
        </w:rPr>
        <w:t>Non-compliance</w:t>
      </w:r>
      <w:r w:rsidRPr="007C1819">
        <w:t xml:space="preserve"> </w:t>
      </w:r>
      <w:r>
        <w:t>– Any failure</w:t>
      </w:r>
      <w:r w:rsidRPr="007C1819">
        <w:t xml:space="preserve"> to meet legal, regulatory, or contractual obligations, either intentionally or unintentionally. The Agency employs a risk-based approach to address non-compliance and focuses on assisting individuals to comply by offering support, education, and utilising higher intensity </w:t>
      </w:r>
      <w:r w:rsidRPr="007C1819">
        <w:lastRenderedPageBreak/>
        <w:t>interventions for those who deliberately choose not to comply.</w:t>
      </w:r>
    </w:p>
    <w:p w14:paraId="3AC959C5" w14:textId="0FFDC9A9" w:rsidR="00C91232" w:rsidRPr="006717F5" w:rsidRDefault="00C91232" w:rsidP="0056526B">
      <w:pPr>
        <w:pStyle w:val="ListParagraph"/>
        <w:numPr>
          <w:ilvl w:val="0"/>
          <w:numId w:val="17"/>
        </w:numPr>
        <w:spacing w:before="120" w:after="120" w:line="300" w:lineRule="auto"/>
        <w:ind w:left="426" w:hanging="426"/>
        <w:contextualSpacing w:val="0"/>
        <w:rPr>
          <w:rFonts w:eastAsia="Aptos"/>
          <w:kern w:val="2"/>
          <w:szCs w:val="28"/>
          <w:lang w:bidi="th-TH"/>
          <w14:ligatures w14:val="standardContextual"/>
        </w:rPr>
      </w:pPr>
      <w:r w:rsidRPr="006717F5">
        <w:rPr>
          <w:rFonts w:eastAsia="Aptos"/>
          <w:b/>
          <w:bCs/>
          <w:kern w:val="2"/>
          <w:szCs w:val="28"/>
          <w:lang w:bidi="th-TH"/>
          <w14:ligatures w14:val="standardContextual"/>
        </w:rPr>
        <w:t xml:space="preserve">Risk </w:t>
      </w:r>
      <w:r>
        <w:rPr>
          <w:rFonts w:eastAsia="Aptos"/>
          <w:b/>
          <w:bCs/>
          <w:kern w:val="2"/>
          <w:szCs w:val="28"/>
          <w:lang w:bidi="th-TH"/>
          <w14:ligatures w14:val="standardContextual"/>
        </w:rPr>
        <w:t>–</w:t>
      </w:r>
      <w:r w:rsidRPr="006717F5">
        <w:rPr>
          <w:rFonts w:eastAsia="Aptos"/>
          <w:b/>
          <w:bCs/>
          <w:kern w:val="2"/>
          <w:szCs w:val="28"/>
          <w:lang w:bidi="th-TH"/>
          <w14:ligatures w14:val="standardContextual"/>
        </w:rPr>
        <w:t xml:space="preserve"> </w:t>
      </w:r>
      <w:r>
        <w:rPr>
          <w:rFonts w:eastAsia="Aptos"/>
          <w:kern w:val="2"/>
          <w:szCs w:val="28"/>
          <w:lang w:bidi="th-TH"/>
          <w14:ligatures w14:val="standardContextual"/>
        </w:rPr>
        <w:t>T</w:t>
      </w:r>
      <w:r w:rsidRPr="006717F5">
        <w:rPr>
          <w:rFonts w:eastAsia="Aptos"/>
          <w:kern w:val="2"/>
          <w:szCs w:val="28"/>
          <w:lang w:bidi="th-TH"/>
          <w14:ligatures w14:val="standardContextual"/>
        </w:rPr>
        <w:t>he effect of uncertainty on objectives. An effect is a deviation from the expected positive and/or negative. Risk is often expressed in terms of a combination of the consequences of an event and the associated likelihood of occurrence.</w:t>
      </w:r>
    </w:p>
    <w:p w14:paraId="5985A63E" w14:textId="74C04AAD" w:rsidR="00C91232" w:rsidRPr="006717F5" w:rsidRDefault="00C91232" w:rsidP="0056526B">
      <w:pPr>
        <w:pStyle w:val="ListParagraph"/>
        <w:numPr>
          <w:ilvl w:val="0"/>
          <w:numId w:val="17"/>
        </w:numPr>
        <w:spacing w:before="120" w:after="120" w:line="300" w:lineRule="auto"/>
        <w:ind w:left="426" w:hanging="426"/>
        <w:contextualSpacing w:val="0"/>
        <w:rPr>
          <w:rFonts w:eastAsia="Aptos"/>
          <w:kern w:val="2"/>
          <w:szCs w:val="28"/>
          <w:lang w:bidi="th-TH"/>
          <w14:ligatures w14:val="standardContextual"/>
        </w:rPr>
      </w:pPr>
      <w:r w:rsidRPr="006717F5">
        <w:rPr>
          <w:rFonts w:eastAsia="Aptos"/>
          <w:b/>
          <w:bCs/>
          <w:kern w:val="2"/>
          <w:szCs w:val="28"/>
          <w:lang w:bidi="th-TH"/>
          <w14:ligatures w14:val="standardContextual"/>
        </w:rPr>
        <w:t>Risk treatment</w:t>
      </w:r>
      <w:r w:rsidRPr="006717F5">
        <w:rPr>
          <w:rFonts w:eastAsia="Aptos"/>
          <w:kern w:val="2"/>
          <w:szCs w:val="28"/>
          <w:lang w:bidi="th-TH"/>
          <w14:ligatures w14:val="standardContextual"/>
        </w:rPr>
        <w:t xml:space="preserve"> </w:t>
      </w:r>
      <w:r>
        <w:rPr>
          <w:rFonts w:eastAsia="Aptos"/>
          <w:b/>
          <w:bCs/>
          <w:kern w:val="2"/>
          <w:szCs w:val="28"/>
          <w:lang w:bidi="th-TH"/>
          <w14:ligatures w14:val="standardContextual"/>
        </w:rPr>
        <w:t>–</w:t>
      </w:r>
      <w:r w:rsidRPr="006717F5">
        <w:rPr>
          <w:rFonts w:eastAsia="Aptos"/>
          <w:kern w:val="2"/>
          <w:szCs w:val="28"/>
          <w:lang w:bidi="th-TH"/>
          <w14:ligatures w14:val="standardContextual"/>
        </w:rPr>
        <w:t xml:space="preserve"> </w:t>
      </w:r>
      <w:r>
        <w:rPr>
          <w:rFonts w:eastAsia="Aptos"/>
          <w:kern w:val="2"/>
          <w:szCs w:val="28"/>
          <w:lang w:bidi="th-TH"/>
          <w14:ligatures w14:val="standardContextual"/>
        </w:rPr>
        <w:t>A</w:t>
      </w:r>
      <w:r w:rsidRPr="006717F5">
        <w:rPr>
          <w:rFonts w:eastAsia="Aptos"/>
          <w:kern w:val="2"/>
          <w:szCs w:val="28"/>
          <w:lang w:bidi="th-TH"/>
          <w14:ligatures w14:val="standardContextual"/>
        </w:rPr>
        <w:t>ction taken after it has been agreed that controls in place are deemed ineffective and additional mitigation activities are required.</w:t>
      </w:r>
    </w:p>
    <w:p w14:paraId="774783E5" w14:textId="77777777" w:rsidR="00C91232" w:rsidRPr="006717F5" w:rsidRDefault="00C91232" w:rsidP="0056526B">
      <w:pPr>
        <w:pStyle w:val="ListParagraph"/>
        <w:numPr>
          <w:ilvl w:val="0"/>
          <w:numId w:val="17"/>
        </w:numPr>
        <w:spacing w:before="120" w:after="120" w:line="300" w:lineRule="auto"/>
        <w:ind w:left="426" w:hanging="426"/>
        <w:contextualSpacing w:val="0"/>
        <w:rPr>
          <w:rFonts w:eastAsia="Aptos"/>
          <w:kern w:val="2"/>
          <w:szCs w:val="28"/>
          <w:lang w:bidi="th-TH"/>
          <w14:ligatures w14:val="standardContextual"/>
        </w:rPr>
      </w:pPr>
      <w:r w:rsidRPr="006717F5">
        <w:rPr>
          <w:rFonts w:eastAsia="Aptos"/>
          <w:b/>
          <w:bCs/>
          <w:kern w:val="2"/>
          <w:szCs w:val="28"/>
          <w:lang w:bidi="th-TH"/>
          <w14:ligatures w14:val="standardContextual"/>
        </w:rPr>
        <w:t>Risk Appetite Statement</w:t>
      </w:r>
      <w:r w:rsidRPr="006717F5">
        <w:rPr>
          <w:rFonts w:eastAsia="Aptos"/>
          <w:kern w:val="2"/>
          <w:szCs w:val="28"/>
          <w:lang w:bidi="th-TH"/>
          <w14:ligatures w14:val="standardContextual"/>
        </w:rPr>
        <w:t xml:space="preserve"> </w:t>
      </w:r>
      <w:r>
        <w:rPr>
          <w:rFonts w:eastAsia="Aptos"/>
          <w:kern w:val="2"/>
          <w:szCs w:val="28"/>
          <w:lang w:bidi="th-TH"/>
          <w14:ligatures w14:val="standardContextual"/>
        </w:rPr>
        <w:t>–</w:t>
      </w:r>
      <w:r w:rsidRPr="006717F5">
        <w:rPr>
          <w:rFonts w:eastAsia="Aptos"/>
          <w:kern w:val="2"/>
          <w:szCs w:val="28"/>
          <w:lang w:bidi="th-TH"/>
          <w14:ligatures w14:val="standardContextual"/>
        </w:rPr>
        <w:t xml:space="preserve"> </w:t>
      </w:r>
      <w:r>
        <w:rPr>
          <w:rFonts w:eastAsia="Aptos"/>
          <w:kern w:val="2"/>
          <w:szCs w:val="28"/>
          <w:lang w:bidi="th-TH"/>
          <w14:ligatures w14:val="standardContextual"/>
        </w:rPr>
        <w:t>D</w:t>
      </w:r>
      <w:r w:rsidRPr="006717F5">
        <w:rPr>
          <w:rFonts w:eastAsia="Aptos"/>
          <w:kern w:val="2"/>
          <w:szCs w:val="28"/>
          <w:lang w:bidi="th-TH"/>
          <w14:ligatures w14:val="standardContextual"/>
        </w:rPr>
        <w:t xml:space="preserve">escribes the overarching amount and types of risk </w:t>
      </w:r>
      <w:r>
        <w:rPr>
          <w:rFonts w:eastAsia="Aptos"/>
          <w:kern w:val="2"/>
          <w:szCs w:val="28"/>
          <w:lang w:bidi="th-TH"/>
          <w14:ligatures w14:val="standardContextual"/>
        </w:rPr>
        <w:t>the NDIA</w:t>
      </w:r>
      <w:r w:rsidRPr="006717F5">
        <w:rPr>
          <w:rFonts w:eastAsia="Aptos"/>
          <w:kern w:val="2"/>
          <w:szCs w:val="28"/>
          <w:lang w:bidi="th-TH"/>
          <w14:ligatures w14:val="standardContextual"/>
        </w:rPr>
        <w:t xml:space="preserve"> </w:t>
      </w:r>
      <w:r>
        <w:rPr>
          <w:rFonts w:eastAsia="Aptos"/>
          <w:kern w:val="2"/>
          <w:szCs w:val="28"/>
          <w:lang w:bidi="th-TH"/>
          <w14:ligatures w14:val="standardContextual"/>
        </w:rPr>
        <w:t xml:space="preserve">Board </w:t>
      </w:r>
      <w:r w:rsidRPr="006717F5">
        <w:rPr>
          <w:rFonts w:eastAsia="Aptos"/>
          <w:kern w:val="2"/>
          <w:szCs w:val="28"/>
          <w:lang w:bidi="th-TH"/>
          <w14:ligatures w14:val="standardContextual"/>
        </w:rPr>
        <w:t xml:space="preserve">is willing to accept to achieve its objectives. It is supported by risk tolerance statements that operationalise </w:t>
      </w:r>
      <w:r>
        <w:rPr>
          <w:rFonts w:eastAsia="Aptos"/>
          <w:kern w:val="2"/>
          <w:szCs w:val="28"/>
          <w:lang w:bidi="th-TH"/>
          <w14:ligatures w14:val="standardContextual"/>
        </w:rPr>
        <w:t>the</w:t>
      </w:r>
      <w:r w:rsidRPr="006717F5">
        <w:rPr>
          <w:rFonts w:eastAsia="Aptos"/>
          <w:kern w:val="2"/>
          <w:szCs w:val="28"/>
          <w:lang w:bidi="th-TH"/>
          <w14:ligatures w14:val="standardContextual"/>
        </w:rPr>
        <w:t xml:space="preserve"> risk appetite by specifying the levels of risk taking that are acceptable.</w:t>
      </w:r>
    </w:p>
    <w:p w14:paraId="0D9BCD33" w14:textId="77777777" w:rsidR="00C91232" w:rsidRPr="006717F5" w:rsidRDefault="00C91232" w:rsidP="0056526B">
      <w:pPr>
        <w:pStyle w:val="ListParagraph"/>
        <w:numPr>
          <w:ilvl w:val="0"/>
          <w:numId w:val="17"/>
        </w:numPr>
        <w:spacing w:before="120" w:after="120" w:line="300" w:lineRule="auto"/>
        <w:ind w:left="426" w:hanging="426"/>
        <w:contextualSpacing w:val="0"/>
        <w:rPr>
          <w:rFonts w:eastAsia="Aptos"/>
          <w:kern w:val="2"/>
          <w:szCs w:val="28"/>
          <w:lang w:bidi="th-TH"/>
          <w14:ligatures w14:val="standardContextual"/>
        </w:rPr>
      </w:pPr>
      <w:r w:rsidRPr="006717F5">
        <w:rPr>
          <w:rFonts w:eastAsia="Aptos"/>
          <w:b/>
          <w:bCs/>
          <w:kern w:val="2"/>
          <w:szCs w:val="28"/>
          <w:lang w:bidi="th-TH"/>
          <w14:ligatures w14:val="standardContextual"/>
        </w:rPr>
        <w:t>Risk Appetite</w:t>
      </w:r>
      <w:r w:rsidRPr="006717F5">
        <w:rPr>
          <w:rFonts w:eastAsia="Aptos"/>
          <w:kern w:val="2"/>
          <w:szCs w:val="28"/>
          <w:lang w:bidi="th-TH"/>
          <w14:ligatures w14:val="standardContextual"/>
        </w:rPr>
        <w:t xml:space="preserve"> </w:t>
      </w:r>
      <w:r>
        <w:rPr>
          <w:rFonts w:eastAsia="Aptos"/>
          <w:kern w:val="2"/>
          <w:szCs w:val="28"/>
          <w:lang w:bidi="th-TH"/>
          <w14:ligatures w14:val="standardContextual"/>
        </w:rPr>
        <w:t>–</w:t>
      </w:r>
      <w:r w:rsidRPr="006717F5">
        <w:rPr>
          <w:rFonts w:eastAsia="Aptos"/>
          <w:kern w:val="2"/>
          <w:szCs w:val="28"/>
          <w:lang w:bidi="th-TH"/>
          <w14:ligatures w14:val="standardContextual"/>
        </w:rPr>
        <w:t xml:space="preserve"> </w:t>
      </w:r>
      <w:r>
        <w:rPr>
          <w:rFonts w:eastAsia="Aptos"/>
          <w:kern w:val="2"/>
          <w:szCs w:val="28"/>
          <w:lang w:bidi="th-TH"/>
          <w14:ligatures w14:val="standardContextual"/>
        </w:rPr>
        <w:t>T</w:t>
      </w:r>
      <w:r w:rsidRPr="006717F5">
        <w:rPr>
          <w:rFonts w:eastAsia="Aptos"/>
          <w:kern w:val="2"/>
          <w:szCs w:val="28"/>
          <w:lang w:bidi="th-TH"/>
          <w14:ligatures w14:val="standardContextual"/>
        </w:rPr>
        <w:t xml:space="preserve">he overarching amount and types of risk </w:t>
      </w:r>
      <w:r>
        <w:rPr>
          <w:rFonts w:eastAsia="Aptos"/>
          <w:kern w:val="2"/>
          <w:szCs w:val="28"/>
          <w:lang w:bidi="th-TH"/>
          <w14:ligatures w14:val="standardContextual"/>
        </w:rPr>
        <w:t>the NDIA</w:t>
      </w:r>
      <w:r w:rsidRPr="006717F5">
        <w:rPr>
          <w:rFonts w:eastAsia="Aptos"/>
          <w:kern w:val="2"/>
          <w:szCs w:val="28"/>
          <w:lang w:bidi="th-TH"/>
          <w14:ligatures w14:val="standardContextual"/>
        </w:rPr>
        <w:t xml:space="preserve"> is willing to accept or retain in order to achieve its objectives.</w:t>
      </w:r>
    </w:p>
    <w:p w14:paraId="0CE38B25" w14:textId="77777777" w:rsidR="00C91232" w:rsidRPr="006717F5" w:rsidRDefault="00C91232" w:rsidP="0056526B">
      <w:pPr>
        <w:pStyle w:val="ListParagraph"/>
        <w:numPr>
          <w:ilvl w:val="0"/>
          <w:numId w:val="17"/>
        </w:numPr>
        <w:spacing w:before="120" w:after="120" w:line="300" w:lineRule="auto"/>
        <w:ind w:left="426" w:hanging="426"/>
        <w:contextualSpacing w:val="0"/>
        <w:rPr>
          <w:rFonts w:eastAsia="Aptos"/>
          <w:kern w:val="2"/>
          <w:szCs w:val="28"/>
          <w:lang w:bidi="th-TH"/>
          <w14:ligatures w14:val="standardContextual"/>
        </w:rPr>
      </w:pPr>
      <w:r w:rsidRPr="006717F5">
        <w:rPr>
          <w:rFonts w:eastAsia="Aptos"/>
          <w:b/>
          <w:bCs/>
          <w:kern w:val="2"/>
          <w:szCs w:val="28"/>
          <w:lang w:bidi="th-TH"/>
          <w14:ligatures w14:val="standardContextual"/>
        </w:rPr>
        <w:t>Risk Tolerance</w:t>
      </w:r>
      <w:r w:rsidRPr="006717F5">
        <w:rPr>
          <w:rFonts w:eastAsia="Aptos"/>
          <w:kern w:val="2"/>
          <w:szCs w:val="28"/>
          <w:lang w:bidi="th-TH"/>
          <w14:ligatures w14:val="standardContextual"/>
        </w:rPr>
        <w:t xml:space="preserve"> </w:t>
      </w:r>
      <w:r>
        <w:rPr>
          <w:rFonts w:eastAsia="Aptos"/>
          <w:kern w:val="2"/>
          <w:szCs w:val="28"/>
          <w:lang w:bidi="th-TH"/>
          <w14:ligatures w14:val="standardContextual"/>
        </w:rPr>
        <w:t>–</w:t>
      </w:r>
      <w:r w:rsidRPr="006717F5">
        <w:rPr>
          <w:rFonts w:eastAsia="Aptos"/>
          <w:kern w:val="2"/>
          <w:szCs w:val="28"/>
          <w:lang w:bidi="th-TH"/>
          <w14:ligatures w14:val="standardContextual"/>
        </w:rPr>
        <w:t xml:space="preserve"> </w:t>
      </w:r>
      <w:r>
        <w:rPr>
          <w:rFonts w:eastAsia="Aptos"/>
          <w:kern w:val="2"/>
          <w:szCs w:val="28"/>
          <w:lang w:bidi="th-TH"/>
          <w14:ligatures w14:val="standardContextual"/>
        </w:rPr>
        <w:t>T</w:t>
      </w:r>
      <w:r w:rsidRPr="006717F5">
        <w:rPr>
          <w:rFonts w:eastAsia="Aptos"/>
          <w:kern w:val="2"/>
          <w:szCs w:val="28"/>
          <w:lang w:bidi="th-TH"/>
          <w14:ligatures w14:val="standardContextual"/>
        </w:rPr>
        <w:t>he levels of risk</w:t>
      </w:r>
      <w:r>
        <w:rPr>
          <w:rFonts w:eastAsia="Aptos"/>
          <w:kern w:val="2"/>
          <w:szCs w:val="28"/>
          <w:lang w:bidi="th-TH"/>
          <w14:ligatures w14:val="standardContextual"/>
        </w:rPr>
        <w:t>-</w:t>
      </w:r>
      <w:r w:rsidRPr="006717F5">
        <w:rPr>
          <w:rFonts w:eastAsia="Aptos"/>
          <w:kern w:val="2"/>
          <w:szCs w:val="28"/>
          <w:lang w:bidi="th-TH"/>
          <w14:ligatures w14:val="standardContextual"/>
        </w:rPr>
        <w:t>taking that are acceptable to achieve a specific strategic objective or manage a category of risk. Risk tolerance represents the practical application of risk appetite and will be most effective when it is easily understood by all officials.</w:t>
      </w:r>
    </w:p>
    <w:p w14:paraId="105DC5A3" w14:textId="77777777" w:rsidR="00C91232" w:rsidRPr="006717F5" w:rsidRDefault="00C91232" w:rsidP="0056526B">
      <w:pPr>
        <w:pStyle w:val="ListParagraph"/>
        <w:numPr>
          <w:ilvl w:val="0"/>
          <w:numId w:val="17"/>
        </w:numPr>
        <w:spacing w:before="60" w:line="300" w:lineRule="auto"/>
        <w:ind w:left="425" w:hanging="426"/>
        <w:contextualSpacing w:val="0"/>
        <w:rPr>
          <w:rFonts w:eastAsia="Arial"/>
          <w:szCs w:val="22"/>
        </w:rPr>
      </w:pPr>
      <w:r w:rsidRPr="006717F5">
        <w:rPr>
          <w:rFonts w:eastAsia="Aptos"/>
          <w:b/>
          <w:bCs/>
          <w:kern w:val="2"/>
          <w:szCs w:val="28"/>
          <w:lang w:bidi="th-TH"/>
          <w14:ligatures w14:val="standardContextual"/>
        </w:rPr>
        <w:t>Scam</w:t>
      </w:r>
      <w:r w:rsidRPr="006717F5">
        <w:rPr>
          <w:rFonts w:eastAsia="Aptos"/>
          <w:kern w:val="2"/>
          <w:szCs w:val="28"/>
          <w:lang w:bidi="th-TH"/>
          <w14:ligatures w14:val="standardContextual"/>
        </w:rPr>
        <w:t xml:space="preserve"> </w:t>
      </w:r>
      <w:r>
        <w:rPr>
          <w:rFonts w:eastAsia="Aptos"/>
          <w:kern w:val="2"/>
          <w:szCs w:val="28"/>
          <w:lang w:bidi="th-TH"/>
          <w14:ligatures w14:val="standardContextual"/>
        </w:rPr>
        <w:t>–</w:t>
      </w:r>
      <w:r w:rsidRPr="006717F5">
        <w:rPr>
          <w:rFonts w:eastAsia="Aptos"/>
          <w:kern w:val="2"/>
          <w:szCs w:val="28"/>
          <w:lang w:bidi="th-TH"/>
          <w14:ligatures w14:val="standardContextual"/>
        </w:rPr>
        <w:t xml:space="preserve"> </w:t>
      </w:r>
      <w:r>
        <w:rPr>
          <w:rFonts w:eastAsia="Aptos"/>
          <w:kern w:val="2"/>
          <w:szCs w:val="28"/>
          <w:lang w:bidi="th-TH"/>
          <w14:ligatures w14:val="standardContextual"/>
        </w:rPr>
        <w:t xml:space="preserve">A dishonest scheme, which is a type of fraud – usually with the goal of trying to </w:t>
      </w:r>
      <w:r w:rsidRPr="006717F5">
        <w:rPr>
          <w:rFonts w:eastAsia="Aptos"/>
          <w:kern w:val="2"/>
          <w:szCs w:val="28"/>
          <w:lang w:bidi="th-TH"/>
          <w14:ligatures w14:val="standardContextual"/>
        </w:rPr>
        <w:t xml:space="preserve">get money illegally from people. </w:t>
      </w:r>
    </w:p>
    <w:p w14:paraId="09B56E6C" w14:textId="43A9CD0E" w:rsidR="001B420E" w:rsidRDefault="00C91232" w:rsidP="0056526B">
      <w:pPr>
        <w:pStyle w:val="ListParagraph"/>
        <w:numPr>
          <w:ilvl w:val="0"/>
          <w:numId w:val="17"/>
        </w:numPr>
        <w:spacing w:before="60" w:line="300" w:lineRule="auto"/>
        <w:ind w:left="425" w:hanging="426"/>
        <w:contextualSpacing w:val="0"/>
      </w:pPr>
      <w:r w:rsidRPr="00126655">
        <w:rPr>
          <w:b/>
          <w:bCs/>
        </w:rPr>
        <w:t>Unethical behaviour</w:t>
      </w:r>
      <w:r w:rsidRPr="00430F1D">
        <w:t xml:space="preserve"> </w:t>
      </w:r>
      <w:r>
        <w:t>- T</w:t>
      </w:r>
      <w:r w:rsidRPr="00430F1D">
        <w:t>he APS Values and Code of Conduct describe a work ethic expected of the public service that includes honesty, diligence, avoidance of conflict of interest, and proper use of resources. Breaches of th</w:t>
      </w:r>
      <w:r>
        <w:t>e</w:t>
      </w:r>
      <w:r w:rsidRPr="00430F1D">
        <w:t xml:space="preserve"> </w:t>
      </w:r>
      <w:r>
        <w:t>C</w:t>
      </w:r>
      <w:r w:rsidRPr="00430F1D">
        <w:t>ode may constitute unethical behaviour</w:t>
      </w:r>
      <w:r>
        <w:t xml:space="preserve">. </w:t>
      </w:r>
      <w:r w:rsidRPr="00882AF5">
        <w:t xml:space="preserve">This includes systemic and organised criminal targeting the </w:t>
      </w:r>
      <w:r>
        <w:t>A</w:t>
      </w:r>
      <w:r w:rsidRPr="00882AF5">
        <w:t>gency with these actions.</w:t>
      </w:r>
    </w:p>
    <w:p w14:paraId="642C58BE" w14:textId="77777777" w:rsidR="001B420E" w:rsidRDefault="001B420E">
      <w:pPr>
        <w:spacing w:before="120" w:after="120" w:line="288" w:lineRule="auto"/>
      </w:pPr>
      <w:r>
        <w:br w:type="page"/>
      </w:r>
    </w:p>
    <w:p w14:paraId="01CD8AE5" w14:textId="77777777" w:rsidR="00041DFB" w:rsidRDefault="00041DFB" w:rsidP="00041DFB">
      <w:pPr>
        <w:pStyle w:val="Heading2"/>
      </w:pPr>
      <w:bookmarkStart w:id="27" w:name="_Toc219200507"/>
      <w:bookmarkStart w:id="28" w:name="_Toc219208331"/>
      <w:bookmarkStart w:id="29" w:name="_Toc227061769"/>
      <w:bookmarkStart w:id="30" w:name="_Hlk198623720"/>
      <w:r w:rsidRPr="007C1819">
        <w:lastRenderedPageBreak/>
        <w:t xml:space="preserve">Fraud and </w:t>
      </w:r>
      <w:r>
        <w:t>c</w:t>
      </w:r>
      <w:r w:rsidRPr="007C1819">
        <w:t xml:space="preserve">orruption </w:t>
      </w:r>
      <w:r>
        <w:t>r</w:t>
      </w:r>
      <w:r w:rsidRPr="007C1819">
        <w:t>isk</w:t>
      </w:r>
      <w:r w:rsidRPr="0057036F">
        <w:t>s</w:t>
      </w:r>
      <w:r>
        <w:t xml:space="preserve"> assessments and control plans</w:t>
      </w:r>
      <w:bookmarkEnd w:id="27"/>
      <w:bookmarkEnd w:id="28"/>
      <w:bookmarkEnd w:id="29"/>
    </w:p>
    <w:p w14:paraId="5F7CA74D" w14:textId="7E9AF09C" w:rsidR="00041DFB" w:rsidRDefault="00041DFB" w:rsidP="00041DFB">
      <w:r w:rsidRPr="00994286">
        <w:t xml:space="preserve">The Agency has grouped fraud and corruption risks into 2 themes: </w:t>
      </w:r>
      <w:r>
        <w:t>F</w:t>
      </w:r>
      <w:r w:rsidRPr="00994286">
        <w:t xml:space="preserve">inancial </w:t>
      </w:r>
      <w:r>
        <w:t>M</w:t>
      </w:r>
      <w:r w:rsidRPr="00994286">
        <w:t xml:space="preserve">isappropriation and Sensitive and </w:t>
      </w:r>
      <w:r>
        <w:t>P</w:t>
      </w:r>
      <w:r w:rsidRPr="00994286">
        <w:t>roprietary Information. The themes are aligned with the Agency’s Strategic Risks</w:t>
      </w:r>
      <w:r w:rsidR="00E057EA">
        <w:t xml:space="preserve"> (</w:t>
      </w:r>
      <w:r w:rsidR="00E057EA" w:rsidRPr="005F20C8">
        <w:rPr>
          <w:i/>
          <w:iCs/>
        </w:rPr>
        <w:t>NDIA Corporate Plan</w:t>
      </w:r>
      <w:r w:rsidR="00E57270" w:rsidRPr="005F20C8">
        <w:rPr>
          <w:i/>
          <w:iCs/>
        </w:rPr>
        <w:t xml:space="preserve"> 2025–26</w:t>
      </w:r>
      <w:r w:rsidR="005C1E88">
        <w:t>, 2025</w:t>
      </w:r>
      <w:r w:rsidR="00E057EA">
        <w:t>)</w:t>
      </w:r>
      <w:r w:rsidRPr="0075793D">
        <w:rPr>
          <w:vertAlign w:val="superscript"/>
        </w:rPr>
        <w:t xml:space="preserve"> </w:t>
      </w:r>
      <w:r>
        <w:rPr>
          <w:vertAlign w:val="superscript"/>
        </w:rPr>
        <w:t xml:space="preserve"> </w:t>
      </w:r>
      <w:r w:rsidRPr="00994286">
        <w:t>on ‘Integrity’ and ‘Safeguarding our information’ and are prevalent across 3 distinct actor types: External parties, Scheme stakeholders, and Trusted Insiders.</w:t>
      </w:r>
    </w:p>
    <w:p w14:paraId="13347BC3" w14:textId="190D8FE7" w:rsidR="00041DFB" w:rsidRPr="00041DFB" w:rsidRDefault="00041DFB" w:rsidP="00041DFB">
      <w:r>
        <w:t>T</w:t>
      </w:r>
      <w:r w:rsidRPr="00994286">
        <w:t>able</w:t>
      </w:r>
      <w:r>
        <w:t xml:space="preserve"> 1</w:t>
      </w:r>
      <w:r w:rsidRPr="00994286">
        <w:t xml:space="preserve"> depicts a mutually exclusive and collectively exhaustive structure with full risk landscape across the Agency’s strategic risks, themes, and actor types:</w:t>
      </w:r>
    </w:p>
    <w:p w14:paraId="2AEAA0EF" w14:textId="7FF47788" w:rsidR="00041DFB" w:rsidRPr="005F6B72" w:rsidRDefault="00041DFB" w:rsidP="005F20C8">
      <w:pPr>
        <w:pStyle w:val="Heading3"/>
        <w:numPr>
          <w:ilvl w:val="0"/>
          <w:numId w:val="0"/>
        </w:numPr>
        <w:ind w:left="720" w:hanging="720"/>
        <w:rPr>
          <w:i/>
          <w:iCs/>
        </w:rPr>
      </w:pPr>
      <w:bookmarkStart w:id="31" w:name="_Toc227061770"/>
      <w:bookmarkEnd w:id="30"/>
      <w:r w:rsidRPr="005F6B72">
        <w:t xml:space="preserve">Table </w:t>
      </w:r>
      <w:r w:rsidRPr="005F6B72">
        <w:rPr>
          <w:i/>
          <w:iCs/>
        </w:rPr>
        <w:fldChar w:fldCharType="begin"/>
      </w:r>
      <w:r w:rsidRPr="005F6B72">
        <w:instrText xml:space="preserve"> SEQ Table \* ARABIC </w:instrText>
      </w:r>
      <w:r w:rsidRPr="005F6B72">
        <w:rPr>
          <w:i/>
          <w:iCs/>
        </w:rPr>
        <w:fldChar w:fldCharType="separate"/>
      </w:r>
      <w:r w:rsidR="00DB69C2">
        <w:rPr>
          <w:noProof/>
        </w:rPr>
        <w:t>1</w:t>
      </w:r>
      <w:bookmarkEnd w:id="31"/>
      <w:r w:rsidRPr="005F6B72">
        <w:rPr>
          <w:i/>
          <w:iCs/>
        </w:rPr>
        <w:fldChar w:fldCharType="end"/>
      </w:r>
    </w:p>
    <w:tbl>
      <w:tblPr>
        <w:tblStyle w:val="NDISTable1"/>
        <w:tblW w:w="5000" w:type="pct"/>
        <w:tblLook w:val="0420" w:firstRow="1" w:lastRow="0" w:firstColumn="0" w:lastColumn="0" w:noHBand="0" w:noVBand="1"/>
      </w:tblPr>
      <w:tblGrid>
        <w:gridCol w:w="1718"/>
        <w:gridCol w:w="1991"/>
        <w:gridCol w:w="1728"/>
        <w:gridCol w:w="1801"/>
        <w:gridCol w:w="1778"/>
      </w:tblGrid>
      <w:tr w:rsidR="00041DFB" w:rsidRPr="0080054F" w14:paraId="1F66AA19" w14:textId="6E9A8456" w:rsidTr="00C760B9">
        <w:trPr>
          <w:cnfStyle w:val="100000000000" w:firstRow="1" w:lastRow="0" w:firstColumn="0" w:lastColumn="0" w:oddVBand="0" w:evenVBand="0" w:oddHBand="0" w:evenHBand="0" w:firstRowFirstColumn="0" w:firstRowLastColumn="0" w:lastRowFirstColumn="0" w:lastRowLastColumn="0"/>
        </w:trPr>
        <w:tc>
          <w:tcPr>
            <w:tcW w:w="1718" w:type="dxa"/>
          </w:tcPr>
          <w:p w14:paraId="3019C9A4" w14:textId="663BFF20" w:rsidR="00041DFB" w:rsidRPr="000F2D56" w:rsidRDefault="00041DFB" w:rsidP="00817844">
            <w:pPr>
              <w:pStyle w:val="TableBody"/>
              <w:rPr>
                <w:szCs w:val="24"/>
              </w:rPr>
            </w:pPr>
            <w:r>
              <w:rPr>
                <w:color w:val="FFFFFF"/>
                <w:szCs w:val="24"/>
              </w:rPr>
              <w:t>Strategic risk</w:t>
            </w:r>
          </w:p>
        </w:tc>
        <w:tc>
          <w:tcPr>
            <w:tcW w:w="1991" w:type="dxa"/>
          </w:tcPr>
          <w:p w14:paraId="68595F15" w14:textId="0AF28694" w:rsidR="00041DFB" w:rsidRPr="000F2D56" w:rsidRDefault="00C760B9" w:rsidP="00817844">
            <w:pPr>
              <w:pStyle w:val="TableBody"/>
              <w:rPr>
                <w:szCs w:val="24"/>
              </w:rPr>
            </w:pPr>
            <w:r>
              <w:rPr>
                <w:color w:val="FFFFFF"/>
                <w:szCs w:val="24"/>
              </w:rPr>
              <w:t>Fraud and compliance risk theme</w:t>
            </w:r>
          </w:p>
        </w:tc>
        <w:tc>
          <w:tcPr>
            <w:tcW w:w="1728" w:type="dxa"/>
          </w:tcPr>
          <w:p w14:paraId="47A1A5E9" w14:textId="07A193C4" w:rsidR="00041DFB" w:rsidRPr="000F2D56" w:rsidRDefault="00C760B9" w:rsidP="00817844">
            <w:pPr>
              <w:pStyle w:val="TableBody"/>
              <w:rPr>
                <w:szCs w:val="24"/>
              </w:rPr>
            </w:pPr>
            <w:r>
              <w:rPr>
                <w:color w:val="FFFFFF"/>
                <w:szCs w:val="24"/>
              </w:rPr>
              <w:t>External parties</w:t>
            </w:r>
          </w:p>
        </w:tc>
        <w:tc>
          <w:tcPr>
            <w:tcW w:w="1801" w:type="dxa"/>
          </w:tcPr>
          <w:p w14:paraId="671979D0" w14:textId="4EDA4CD5" w:rsidR="00041DFB" w:rsidRPr="00313BFF" w:rsidRDefault="00C760B9" w:rsidP="00817844">
            <w:pPr>
              <w:pStyle w:val="TableBody"/>
              <w:rPr>
                <w:color w:val="FFFFFF"/>
                <w:szCs w:val="24"/>
              </w:rPr>
            </w:pPr>
            <w:r>
              <w:rPr>
                <w:color w:val="FFFFFF"/>
                <w:szCs w:val="24"/>
              </w:rPr>
              <w:t>Scheme stakeholders</w:t>
            </w:r>
          </w:p>
        </w:tc>
        <w:tc>
          <w:tcPr>
            <w:tcW w:w="1778" w:type="dxa"/>
          </w:tcPr>
          <w:p w14:paraId="38D3DB57" w14:textId="52DCC478" w:rsidR="00041DFB" w:rsidRPr="00313BFF" w:rsidRDefault="00C760B9" w:rsidP="00817844">
            <w:pPr>
              <w:pStyle w:val="TableBody"/>
              <w:rPr>
                <w:color w:val="FFFFFF"/>
                <w:szCs w:val="24"/>
              </w:rPr>
            </w:pPr>
            <w:r>
              <w:rPr>
                <w:color w:val="FFFFFF"/>
                <w:szCs w:val="24"/>
              </w:rPr>
              <w:t>Trusted insiders</w:t>
            </w:r>
          </w:p>
        </w:tc>
      </w:tr>
      <w:tr w:rsidR="00041DFB" w:rsidRPr="00965145" w14:paraId="34337CD9" w14:textId="32927B70" w:rsidTr="00C760B9">
        <w:trPr>
          <w:cnfStyle w:val="000000100000" w:firstRow="0" w:lastRow="0" w:firstColumn="0" w:lastColumn="0" w:oddVBand="0" w:evenVBand="0" w:oddHBand="1" w:evenHBand="0" w:firstRowFirstColumn="0" w:firstRowLastColumn="0" w:lastRowFirstColumn="0" w:lastRowLastColumn="0"/>
        </w:trPr>
        <w:tc>
          <w:tcPr>
            <w:tcW w:w="1718" w:type="dxa"/>
          </w:tcPr>
          <w:p w14:paraId="40983B60" w14:textId="3E67D261" w:rsidR="00041DFB" w:rsidRPr="000F2D56" w:rsidRDefault="00C760B9" w:rsidP="00817844">
            <w:pPr>
              <w:pStyle w:val="TableBody"/>
              <w:rPr>
                <w:szCs w:val="24"/>
              </w:rPr>
            </w:pPr>
            <w:r>
              <w:rPr>
                <w:szCs w:val="24"/>
              </w:rPr>
              <w:t>Integrity</w:t>
            </w:r>
          </w:p>
        </w:tc>
        <w:tc>
          <w:tcPr>
            <w:tcW w:w="1991" w:type="dxa"/>
          </w:tcPr>
          <w:p w14:paraId="2B2AB7DB" w14:textId="5DE17B10" w:rsidR="00041DFB" w:rsidRPr="000F2D56" w:rsidRDefault="00C760B9" w:rsidP="00817844">
            <w:pPr>
              <w:pStyle w:val="TableBody"/>
              <w:rPr>
                <w:szCs w:val="24"/>
              </w:rPr>
            </w:pPr>
            <w:r>
              <w:rPr>
                <w:szCs w:val="24"/>
              </w:rPr>
              <w:t>Financial misappropriation</w:t>
            </w:r>
          </w:p>
        </w:tc>
        <w:tc>
          <w:tcPr>
            <w:tcW w:w="1728" w:type="dxa"/>
          </w:tcPr>
          <w:p w14:paraId="20DC0834" w14:textId="437734AB" w:rsidR="00041DFB" w:rsidRPr="000F2D56" w:rsidRDefault="00C760B9" w:rsidP="00817844">
            <w:pPr>
              <w:pStyle w:val="TableBody"/>
              <w:rPr>
                <w:szCs w:val="24"/>
              </w:rPr>
            </w:pPr>
            <w:r>
              <w:rPr>
                <w:szCs w:val="24"/>
              </w:rPr>
              <w:t>Infiltration of NDIA systems or processes for financial gain</w:t>
            </w:r>
          </w:p>
        </w:tc>
        <w:tc>
          <w:tcPr>
            <w:tcW w:w="1801" w:type="dxa"/>
          </w:tcPr>
          <w:p w14:paraId="0DA576A4" w14:textId="73851EE4" w:rsidR="00041DFB" w:rsidRPr="000F2D56" w:rsidRDefault="00C760B9" w:rsidP="00817844">
            <w:pPr>
              <w:pStyle w:val="TableBody"/>
              <w:rPr>
                <w:szCs w:val="24"/>
              </w:rPr>
            </w:pPr>
            <w:r w:rsidRPr="005F6B72">
              <w:t>Manipulation of documentation or claims to access Scheme funds or inflate payments.</w:t>
            </w:r>
          </w:p>
        </w:tc>
        <w:tc>
          <w:tcPr>
            <w:tcW w:w="1778" w:type="dxa"/>
          </w:tcPr>
          <w:p w14:paraId="38964191" w14:textId="2D7A73A6" w:rsidR="00041DFB" w:rsidRPr="000F2D56" w:rsidRDefault="00C760B9" w:rsidP="00817844">
            <w:pPr>
              <w:pStyle w:val="TableBody"/>
              <w:rPr>
                <w:szCs w:val="24"/>
              </w:rPr>
            </w:pPr>
            <w:r w:rsidRPr="005F6B72">
              <w:t>Inappropriate allocation or use of participant funding or Agency resources.</w:t>
            </w:r>
          </w:p>
        </w:tc>
      </w:tr>
      <w:tr w:rsidR="00C760B9" w:rsidRPr="00965145" w14:paraId="739D46AA" w14:textId="77777777" w:rsidTr="00C760B9">
        <w:tc>
          <w:tcPr>
            <w:tcW w:w="1718" w:type="dxa"/>
          </w:tcPr>
          <w:p w14:paraId="08CACCD9" w14:textId="090A1AB0" w:rsidR="00C760B9" w:rsidRDefault="00C760B9" w:rsidP="00817844">
            <w:pPr>
              <w:pStyle w:val="TableBody"/>
              <w:rPr>
                <w:szCs w:val="24"/>
              </w:rPr>
            </w:pPr>
            <w:r w:rsidRPr="005F6B72">
              <w:t>Safeguarding Information</w:t>
            </w:r>
          </w:p>
        </w:tc>
        <w:tc>
          <w:tcPr>
            <w:tcW w:w="1991" w:type="dxa"/>
          </w:tcPr>
          <w:p w14:paraId="672168E9" w14:textId="14D25062" w:rsidR="00C760B9" w:rsidRDefault="00C760B9" w:rsidP="00817844">
            <w:pPr>
              <w:pStyle w:val="TableBody"/>
              <w:rPr>
                <w:szCs w:val="24"/>
              </w:rPr>
            </w:pPr>
            <w:r w:rsidRPr="005F6B72">
              <w:t xml:space="preserve">Sensitive </w:t>
            </w:r>
            <w:r>
              <w:t>and</w:t>
            </w:r>
            <w:r w:rsidRPr="005F6B72">
              <w:t xml:space="preserve"> Proprietary Information</w:t>
            </w:r>
          </w:p>
        </w:tc>
        <w:tc>
          <w:tcPr>
            <w:tcW w:w="1728" w:type="dxa"/>
          </w:tcPr>
          <w:p w14:paraId="07C2A8CF" w14:textId="4E8C3852" w:rsidR="00C760B9" w:rsidRDefault="00C760B9" w:rsidP="00817844">
            <w:pPr>
              <w:pStyle w:val="TableBody"/>
              <w:rPr>
                <w:szCs w:val="24"/>
              </w:rPr>
            </w:pPr>
            <w:r w:rsidRPr="005F6B72">
              <w:t xml:space="preserve">Unauthorised access to or disclosure of confidential or commercially </w:t>
            </w:r>
            <w:r w:rsidRPr="005F6B72">
              <w:lastRenderedPageBreak/>
              <w:t>sensitive information.</w:t>
            </w:r>
          </w:p>
        </w:tc>
        <w:tc>
          <w:tcPr>
            <w:tcW w:w="1801" w:type="dxa"/>
          </w:tcPr>
          <w:p w14:paraId="51D2D1D5" w14:textId="34D4286D" w:rsidR="00C760B9" w:rsidRPr="005F6B72" w:rsidRDefault="00C760B9" w:rsidP="00817844">
            <w:pPr>
              <w:pStyle w:val="TableBody"/>
            </w:pPr>
            <w:r w:rsidRPr="005F6B72">
              <w:lastRenderedPageBreak/>
              <w:t>Inappropriate access to or use of participant records.</w:t>
            </w:r>
          </w:p>
        </w:tc>
        <w:tc>
          <w:tcPr>
            <w:tcW w:w="1778" w:type="dxa"/>
          </w:tcPr>
          <w:p w14:paraId="1FC8C0E8" w14:textId="328F9F36" w:rsidR="00C760B9" w:rsidRPr="005F6B72" w:rsidRDefault="00C760B9" w:rsidP="00817844">
            <w:pPr>
              <w:pStyle w:val="TableBody"/>
            </w:pPr>
            <w:r w:rsidRPr="005F6B72">
              <w:t xml:space="preserve">Theft, manipulation, or disclosure of sensitive or </w:t>
            </w:r>
            <w:r w:rsidRPr="005F6B72">
              <w:lastRenderedPageBreak/>
              <w:t>proprietary information.</w:t>
            </w:r>
          </w:p>
        </w:tc>
      </w:tr>
    </w:tbl>
    <w:p w14:paraId="02A5C475" w14:textId="77777777" w:rsidR="00C760B9" w:rsidRPr="005F6B72" w:rsidRDefault="00C760B9" w:rsidP="00CE6C76">
      <w:pPr>
        <w:spacing w:before="240"/>
      </w:pPr>
      <w:r>
        <w:lastRenderedPageBreak/>
        <w:t>Fraud and corruption</w:t>
      </w:r>
      <w:r w:rsidRPr="005F6B72">
        <w:t xml:space="preserve"> risks are to be managed through regular reviews and assessments in accordance with the Agency’s risk management framework. All details, including controls and treatment actions associated with fraud</w:t>
      </w:r>
      <w:r>
        <w:t xml:space="preserve"> and corruption</w:t>
      </w:r>
      <w:r w:rsidRPr="005F6B72">
        <w:t xml:space="preserve"> risks, are captured and maintained in Insight (the Agency’s central risk management system).</w:t>
      </w:r>
    </w:p>
    <w:p w14:paraId="2C6E6C29" w14:textId="7DE0CED2" w:rsidR="00C760B9" w:rsidRPr="005F6B72" w:rsidRDefault="00C760B9" w:rsidP="00C760B9">
      <w:r w:rsidRPr="005F6B72">
        <w:t>The Agency conducts targeted risk assessments for activities, policies, programs, or initiatives at high risk of fraud or corruption. These assessments ensure risks are identified and mitigated during design, implementation, or review stages.</w:t>
      </w:r>
    </w:p>
    <w:p w14:paraId="23382875" w14:textId="77777777" w:rsidR="00C760B9" w:rsidRPr="005F6B72" w:rsidRDefault="00C760B9" w:rsidP="00C760B9">
      <w:r w:rsidRPr="005F6B72">
        <w:t>The Agency consults and collaborates with other entities when fraud or corruption risks intersect across entities.</w:t>
      </w:r>
    </w:p>
    <w:p w14:paraId="6FFF4C2A" w14:textId="2888FB7D" w:rsidR="001B420E" w:rsidRDefault="00C760B9" w:rsidP="00C760B9">
      <w:r w:rsidRPr="005F6B72">
        <w:t>Emerging fraud and corruption risks are identified through regular fraud risk reviews, fraud risk assessments, fraud risk surveys, and monitoring developments within the Australian Public Service and global trends. Based on these insights, appropriate mitigation strategies are developed and implemented.</w:t>
      </w:r>
    </w:p>
    <w:p w14:paraId="2A24A12F" w14:textId="77777777" w:rsidR="001B420E" w:rsidRDefault="001B420E">
      <w:pPr>
        <w:spacing w:before="120" w:after="120" w:line="288" w:lineRule="auto"/>
      </w:pPr>
      <w:r>
        <w:br w:type="page"/>
      </w:r>
    </w:p>
    <w:p w14:paraId="0DB98A68" w14:textId="6A151082" w:rsidR="00C760B9" w:rsidRDefault="00F327D8" w:rsidP="00C760B9">
      <w:pPr>
        <w:pStyle w:val="Heading2"/>
      </w:pPr>
      <w:bookmarkStart w:id="32" w:name="_Toc219208333"/>
      <w:bookmarkStart w:id="33" w:name="_Toc219200510"/>
      <w:bookmarkStart w:id="34" w:name="_Toc227061771"/>
      <w:r>
        <w:lastRenderedPageBreak/>
        <w:t xml:space="preserve">Agency mechanisms for </w:t>
      </w:r>
      <w:r w:rsidRPr="003F5DEB">
        <w:t>Fraud and Corruption Control</w:t>
      </w:r>
      <w:bookmarkEnd w:id="32"/>
      <w:bookmarkEnd w:id="33"/>
      <w:bookmarkEnd w:id="34"/>
    </w:p>
    <w:p w14:paraId="643D217D" w14:textId="4FDB462B" w:rsidR="00F327D8" w:rsidRDefault="00F327D8" w:rsidP="00F327D8">
      <w:r w:rsidRPr="007C1819">
        <w:t xml:space="preserve">The Agency </w:t>
      </w:r>
      <w:r>
        <w:t>has categorised mechanism for fraud and corruption control under p</w:t>
      </w:r>
      <w:r w:rsidRPr="007C1819">
        <w:t>revent</w:t>
      </w:r>
      <w:r>
        <w:t>ion;</w:t>
      </w:r>
      <w:r w:rsidRPr="007C1819">
        <w:t xml:space="preserve"> </w:t>
      </w:r>
      <w:r>
        <w:t>d</w:t>
      </w:r>
      <w:r w:rsidRPr="007C1819">
        <w:t>etect</w:t>
      </w:r>
      <w:r>
        <w:t>ion;</w:t>
      </w:r>
      <w:r w:rsidRPr="007C1819">
        <w:t xml:space="preserve"> </w:t>
      </w:r>
      <w:r>
        <w:t>i</w:t>
      </w:r>
      <w:r w:rsidRPr="007C1819">
        <w:t>nvestigat</w:t>
      </w:r>
      <w:r>
        <w:t>ion</w:t>
      </w:r>
      <w:r w:rsidRPr="007C1819">
        <w:t xml:space="preserve"> </w:t>
      </w:r>
      <w:r>
        <w:t>and</w:t>
      </w:r>
      <w:r w:rsidRPr="007C1819">
        <w:t xml:space="preserve"> </w:t>
      </w:r>
      <w:r>
        <w:t>r</w:t>
      </w:r>
      <w:r w:rsidRPr="007C1819">
        <w:t>esp</w:t>
      </w:r>
      <w:r>
        <w:t xml:space="preserve">onse; </w:t>
      </w:r>
      <w:r w:rsidRPr="007C1819">
        <w:t>and</w:t>
      </w:r>
      <w:r>
        <w:t xml:space="preserve"> the</w:t>
      </w:r>
      <w:r w:rsidRPr="007C1819">
        <w:t xml:space="preserve"> </w:t>
      </w:r>
      <w:r>
        <w:t>monitoring and</w:t>
      </w:r>
      <w:r w:rsidRPr="007C1819">
        <w:t xml:space="preserve"> </w:t>
      </w:r>
      <w:r>
        <w:t>r</w:t>
      </w:r>
      <w:r w:rsidRPr="007C1819">
        <w:t>eport</w:t>
      </w:r>
      <w:r>
        <w:t xml:space="preserve">ing of fraud and corruption. These mechanisms are detailed in the </w:t>
      </w:r>
      <w:hyperlink r:id="rId19" w:history="1">
        <w:r w:rsidRPr="00BF2053">
          <w:rPr>
            <w:rStyle w:val="Hyperlink"/>
            <w:rFonts w:eastAsia="Aptos"/>
          </w:rPr>
          <w:t>NDIA Compliance and Enforcement Framework</w:t>
        </w:r>
      </w:hyperlink>
      <w:r w:rsidRPr="007C1819">
        <w:t>.</w:t>
      </w:r>
    </w:p>
    <w:p w14:paraId="42256A6E" w14:textId="544AEE38" w:rsidR="00F327D8" w:rsidRPr="00F327D8" w:rsidRDefault="00F327D8" w:rsidP="00F327D8">
      <w:pPr>
        <w:pStyle w:val="Heading2"/>
        <w:spacing w:before="0"/>
      </w:pPr>
      <w:bookmarkStart w:id="35" w:name="_Toc219200562"/>
      <w:bookmarkStart w:id="36" w:name="_Toc219208334"/>
      <w:bookmarkStart w:id="37" w:name="_Toc227061772"/>
      <w:r w:rsidRPr="003F5DEB">
        <w:t>Governance</w:t>
      </w:r>
      <w:bookmarkEnd w:id="35"/>
      <w:bookmarkEnd w:id="36"/>
      <w:bookmarkEnd w:id="37"/>
    </w:p>
    <w:p w14:paraId="2C29B5CC" w14:textId="346B4A26" w:rsidR="00F327D8" w:rsidRDefault="00F327D8" w:rsidP="00F327D8">
      <w:r w:rsidRPr="00E34CC3">
        <w:t>The NDIA’s governance model supports fraud and corruption control through a structured Three Lines of Defence approach</w:t>
      </w:r>
      <w:r>
        <w:t xml:space="preserve"> (Table 2)</w:t>
      </w:r>
      <w:r w:rsidRPr="00E34CC3">
        <w:t>, ensuring accountability and oversight at all levels</w:t>
      </w:r>
      <w:r>
        <w:t xml:space="preserve">, in addition to </w:t>
      </w:r>
      <w:r w:rsidRPr="00E364EF">
        <w:t>foster</w:t>
      </w:r>
      <w:r>
        <w:t>ing</w:t>
      </w:r>
      <w:r w:rsidRPr="00E364EF">
        <w:t xml:space="preserve"> an anti-fraud and anti-corruption culture</w:t>
      </w:r>
      <w:r w:rsidRPr="00E34CC3">
        <w:t>.</w:t>
      </w:r>
    </w:p>
    <w:p w14:paraId="573025C1" w14:textId="13085106" w:rsidR="00F327D8" w:rsidRDefault="00F327D8" w:rsidP="00F327D8">
      <w:r w:rsidRPr="006717F5">
        <w:rPr>
          <w:b/>
          <w:bCs/>
        </w:rPr>
        <w:t xml:space="preserve">Line 1 </w:t>
      </w:r>
      <w:r>
        <w:rPr>
          <w:b/>
          <w:bCs/>
        </w:rPr>
        <w:t xml:space="preserve">– </w:t>
      </w:r>
      <w:r w:rsidRPr="006717F5">
        <w:rPr>
          <w:b/>
          <w:bCs/>
        </w:rPr>
        <w:t xml:space="preserve">Operational </w:t>
      </w:r>
      <w:r>
        <w:rPr>
          <w:b/>
          <w:bCs/>
        </w:rPr>
        <w:t>M</w:t>
      </w:r>
      <w:r w:rsidRPr="006717F5">
        <w:rPr>
          <w:b/>
          <w:bCs/>
        </w:rPr>
        <w:t>anagement:</w:t>
      </w:r>
      <w:r>
        <w:t xml:space="preserve"> </w:t>
      </w:r>
      <w:r w:rsidRPr="00E34CC3">
        <w:t>embeds integrity into day-to-day activities by implementing controls and monitoring compliance.</w:t>
      </w:r>
    </w:p>
    <w:p w14:paraId="6D25445D" w14:textId="41191604" w:rsidR="00F327D8" w:rsidRDefault="00F327D8" w:rsidP="00F327D8">
      <w:r w:rsidRPr="006717F5">
        <w:rPr>
          <w:b/>
          <w:bCs/>
        </w:rPr>
        <w:t xml:space="preserve">Line 2 </w:t>
      </w:r>
      <w:r>
        <w:rPr>
          <w:b/>
          <w:bCs/>
        </w:rPr>
        <w:t xml:space="preserve">– </w:t>
      </w:r>
      <w:r w:rsidRPr="006717F5">
        <w:rPr>
          <w:b/>
          <w:bCs/>
        </w:rPr>
        <w:t xml:space="preserve">Risk and </w:t>
      </w:r>
      <w:r>
        <w:rPr>
          <w:b/>
          <w:bCs/>
        </w:rPr>
        <w:t>C</w:t>
      </w:r>
      <w:r w:rsidRPr="006717F5">
        <w:rPr>
          <w:b/>
          <w:bCs/>
        </w:rPr>
        <w:t xml:space="preserve">ompliance </w:t>
      </w:r>
      <w:r>
        <w:rPr>
          <w:b/>
          <w:bCs/>
        </w:rPr>
        <w:t>O</w:t>
      </w:r>
      <w:r w:rsidRPr="006717F5">
        <w:rPr>
          <w:b/>
          <w:bCs/>
        </w:rPr>
        <w:t>versight:</w:t>
      </w:r>
      <w:r>
        <w:t xml:space="preserve"> </w:t>
      </w:r>
      <w:r w:rsidRPr="00E34CC3">
        <w:t>provides independent challenge, frameworks, and control testing to ensure risks are effectively managed.</w:t>
      </w:r>
    </w:p>
    <w:p w14:paraId="49BC892A" w14:textId="7A6E7230" w:rsidR="00F327D8" w:rsidRDefault="00F327D8" w:rsidP="00F327D8">
      <w:r w:rsidRPr="006717F5">
        <w:rPr>
          <w:b/>
          <w:bCs/>
        </w:rPr>
        <w:t xml:space="preserve">Line 3 </w:t>
      </w:r>
      <w:r>
        <w:rPr>
          <w:b/>
          <w:bCs/>
        </w:rPr>
        <w:t>–</w:t>
      </w:r>
      <w:r w:rsidRPr="006717F5">
        <w:rPr>
          <w:b/>
          <w:bCs/>
        </w:rPr>
        <w:t xml:space="preserve"> Independent </w:t>
      </w:r>
      <w:r>
        <w:rPr>
          <w:b/>
          <w:bCs/>
        </w:rPr>
        <w:t>A</w:t>
      </w:r>
      <w:r w:rsidRPr="006717F5">
        <w:rPr>
          <w:b/>
          <w:bCs/>
        </w:rPr>
        <w:t>ssurance:</w:t>
      </w:r>
      <w:r w:rsidRPr="00E34CC3">
        <w:t xml:space="preserve"> validates governance and control effectiveness through audits and reviews, giving confidence to the Board and stakeholders.</w:t>
      </w:r>
    </w:p>
    <w:p w14:paraId="60E6E0F4" w14:textId="7A1F9A5D" w:rsidR="00F327D8" w:rsidRDefault="00F327D8" w:rsidP="00F327D8">
      <w:r w:rsidRPr="00E34CC3">
        <w:t xml:space="preserve">This model integrates with </w:t>
      </w:r>
      <w:r>
        <w:t xml:space="preserve">mechanisms detailed in the </w:t>
      </w:r>
      <w:hyperlink r:id="rId20" w:history="1">
        <w:r w:rsidRPr="00BF2053">
          <w:rPr>
            <w:rStyle w:val="Hyperlink"/>
            <w:rFonts w:eastAsia="Aptos"/>
          </w:rPr>
          <w:t>NDIA Compliance and Enforcement Framework</w:t>
        </w:r>
      </w:hyperlink>
      <w:r>
        <w:t xml:space="preserve"> for p</w:t>
      </w:r>
      <w:r w:rsidRPr="00E34CC3">
        <w:t>revent</w:t>
      </w:r>
      <w:r>
        <w:t>ing</w:t>
      </w:r>
      <w:r w:rsidRPr="00E34CC3">
        <w:t xml:space="preserve">, </w:t>
      </w:r>
      <w:r>
        <w:t>d</w:t>
      </w:r>
      <w:r w:rsidRPr="00E34CC3">
        <w:t>etect</w:t>
      </w:r>
      <w:r>
        <w:t>ing</w:t>
      </w:r>
      <w:r w:rsidRPr="00E34CC3">
        <w:t xml:space="preserve">, </w:t>
      </w:r>
      <w:r>
        <w:t>r</w:t>
      </w:r>
      <w:r w:rsidRPr="00E34CC3">
        <w:t>espond</w:t>
      </w:r>
      <w:r>
        <w:t>ing to</w:t>
      </w:r>
      <w:r w:rsidRPr="00E34CC3">
        <w:t xml:space="preserve">, and </w:t>
      </w:r>
      <w:r>
        <w:t>m</w:t>
      </w:r>
      <w:r w:rsidRPr="00E34CC3">
        <w:t>onitor</w:t>
      </w:r>
      <w:r>
        <w:t>ing fraud and corruption.</w:t>
      </w:r>
    </w:p>
    <w:p w14:paraId="1450E289" w14:textId="77777777" w:rsidR="00F327D8" w:rsidRPr="00E34CC3" w:rsidRDefault="00F327D8" w:rsidP="00F327D8">
      <w:r>
        <w:t>C</w:t>
      </w:r>
      <w:r w:rsidRPr="00E34CC3">
        <w:t xml:space="preserve">ommittees such as the </w:t>
      </w:r>
      <w:r>
        <w:t xml:space="preserve">Executive </w:t>
      </w:r>
      <w:r w:rsidRPr="00E34CC3">
        <w:t>L</w:t>
      </w:r>
      <w:r>
        <w:t xml:space="preserve">eadership </w:t>
      </w:r>
      <w:r w:rsidRPr="00E34CC3">
        <w:t>T</w:t>
      </w:r>
      <w:r>
        <w:t>eam</w:t>
      </w:r>
      <w:r w:rsidRPr="00E34CC3">
        <w:t xml:space="preserve"> Integrity Sub-Committee, Agency Audit and Risk Committee, and Board Audit </w:t>
      </w:r>
      <w:r>
        <w:t>and</w:t>
      </w:r>
      <w:r w:rsidRPr="00E34CC3">
        <w:t xml:space="preserve"> Risk Committee provide structured oversight and drive continuous improvement.</w:t>
      </w:r>
    </w:p>
    <w:p w14:paraId="7E0F58D7" w14:textId="40BE6015" w:rsidR="00F327D8" w:rsidRPr="005F6B72" w:rsidRDefault="00F327D8" w:rsidP="00F327D8">
      <w:r w:rsidRPr="005F6B72">
        <w:t>All officials in the NDIA, including contractors, have a shared responsibility to detect, report, and prevent fraud and corruption risks and behaviours.</w:t>
      </w:r>
      <w:r w:rsidR="00761B91">
        <w:t xml:space="preserve"> Table 2 details th</w:t>
      </w:r>
      <w:r w:rsidR="007711BD">
        <w:t>is 3 lines of defence model.</w:t>
      </w:r>
    </w:p>
    <w:p w14:paraId="2DD01D5A" w14:textId="77777777" w:rsidR="00F327D8" w:rsidRDefault="00F327D8" w:rsidP="00F327D8">
      <w:r>
        <w:lastRenderedPageBreak/>
        <w:t xml:space="preserve">The </w:t>
      </w:r>
      <w:r w:rsidRPr="00477AB1">
        <w:t xml:space="preserve">NDIA monitors fraud and corruption </w:t>
      </w:r>
      <w:r>
        <w:t>related strategies through r</w:t>
      </w:r>
      <w:r w:rsidRPr="00E54ADA">
        <w:t xml:space="preserve">egular </w:t>
      </w:r>
      <w:r>
        <w:t>risk r</w:t>
      </w:r>
      <w:r w:rsidRPr="00E54ADA">
        <w:t>eporting</w:t>
      </w:r>
      <w:r>
        <w:t xml:space="preserve"> mechanisms – i.e., reporting by the Chief Risk Officer and the Scheme Actuary, i</w:t>
      </w:r>
      <w:r w:rsidRPr="003807F6">
        <w:t>nternal audits</w:t>
      </w:r>
      <w:r>
        <w:t>,</w:t>
      </w:r>
      <w:r w:rsidRPr="003807F6">
        <w:t xml:space="preserve"> and ANAO performance audits</w:t>
      </w:r>
      <w:r>
        <w:t>.</w:t>
      </w:r>
    </w:p>
    <w:p w14:paraId="54F73E9B" w14:textId="303E7A96" w:rsidR="00F327D8" w:rsidRDefault="00F327D8" w:rsidP="005F20C8">
      <w:pPr>
        <w:pStyle w:val="Heading3"/>
        <w:numPr>
          <w:ilvl w:val="0"/>
          <w:numId w:val="0"/>
        </w:numPr>
        <w:ind w:left="720" w:hanging="720"/>
      </w:pPr>
      <w:bookmarkStart w:id="38" w:name="_Toc227061773"/>
      <w:r w:rsidRPr="005F6B72">
        <w:t xml:space="preserve">Table </w:t>
      </w:r>
      <w:r w:rsidRPr="005F6B72">
        <w:rPr>
          <w:i/>
          <w:iCs/>
        </w:rPr>
        <w:fldChar w:fldCharType="begin"/>
      </w:r>
      <w:r w:rsidRPr="005F6B72">
        <w:instrText xml:space="preserve"> SEQ Table \* ARABIC </w:instrText>
      </w:r>
      <w:r w:rsidRPr="005F6B72">
        <w:rPr>
          <w:i/>
          <w:iCs/>
        </w:rPr>
        <w:fldChar w:fldCharType="separate"/>
      </w:r>
      <w:r w:rsidR="00DB69C2">
        <w:rPr>
          <w:noProof/>
        </w:rPr>
        <w:t>2</w:t>
      </w:r>
      <w:bookmarkEnd w:id="38"/>
      <w:r w:rsidRPr="005F6B72">
        <w:rPr>
          <w:i/>
          <w:iCs/>
        </w:rPr>
        <w:fldChar w:fldCharType="end"/>
      </w:r>
    </w:p>
    <w:tbl>
      <w:tblPr>
        <w:tblStyle w:val="NDISTable1"/>
        <w:tblW w:w="5000" w:type="pct"/>
        <w:tblLook w:val="0420" w:firstRow="1" w:lastRow="0" w:firstColumn="0" w:lastColumn="0" w:noHBand="0" w:noVBand="1"/>
      </w:tblPr>
      <w:tblGrid>
        <w:gridCol w:w="1677"/>
        <w:gridCol w:w="1764"/>
        <w:gridCol w:w="1830"/>
        <w:gridCol w:w="2057"/>
        <w:gridCol w:w="1688"/>
      </w:tblGrid>
      <w:tr w:rsidR="00F327D8" w:rsidRPr="0080054F" w14:paraId="422B3262" w14:textId="282D1A38" w:rsidTr="00F327D8">
        <w:trPr>
          <w:cnfStyle w:val="100000000000" w:firstRow="1" w:lastRow="0" w:firstColumn="0" w:lastColumn="0" w:oddVBand="0" w:evenVBand="0" w:oddHBand="0" w:evenHBand="0" w:firstRowFirstColumn="0" w:firstRowLastColumn="0" w:lastRowFirstColumn="0" w:lastRowLastColumn="0"/>
        </w:trPr>
        <w:tc>
          <w:tcPr>
            <w:tcW w:w="1747" w:type="dxa"/>
          </w:tcPr>
          <w:p w14:paraId="52F9CC4E" w14:textId="4DB3F324" w:rsidR="00F327D8" w:rsidRPr="00F327D8" w:rsidRDefault="00F327D8" w:rsidP="00F327D8">
            <w:pPr>
              <w:pStyle w:val="TableBody"/>
              <w:rPr>
                <w:szCs w:val="24"/>
              </w:rPr>
            </w:pPr>
            <w:r w:rsidRPr="00F327D8">
              <w:rPr>
                <w:rFonts w:eastAsia="Aptos"/>
                <w:szCs w:val="24"/>
              </w:rPr>
              <w:t>Line of Defence</w:t>
            </w:r>
          </w:p>
        </w:tc>
        <w:tc>
          <w:tcPr>
            <w:tcW w:w="1713" w:type="dxa"/>
          </w:tcPr>
          <w:p w14:paraId="541FAD98" w14:textId="0B838C4A" w:rsidR="00F327D8" w:rsidRPr="00F327D8" w:rsidRDefault="00F327D8" w:rsidP="00F327D8">
            <w:pPr>
              <w:pStyle w:val="TableBody"/>
              <w:rPr>
                <w:szCs w:val="24"/>
              </w:rPr>
            </w:pPr>
            <w:r w:rsidRPr="00F327D8">
              <w:rPr>
                <w:rFonts w:eastAsia="Aptos"/>
                <w:szCs w:val="24"/>
              </w:rPr>
              <w:t>Role</w:t>
            </w:r>
          </w:p>
        </w:tc>
        <w:tc>
          <w:tcPr>
            <w:tcW w:w="1713" w:type="dxa"/>
          </w:tcPr>
          <w:p w14:paraId="5E537137" w14:textId="50A9AF0D" w:rsidR="00F327D8" w:rsidRPr="00F327D8" w:rsidRDefault="00F327D8" w:rsidP="00F327D8">
            <w:pPr>
              <w:pStyle w:val="TableBody"/>
              <w:rPr>
                <w:szCs w:val="24"/>
              </w:rPr>
            </w:pPr>
            <w:r w:rsidRPr="00F327D8">
              <w:rPr>
                <w:rFonts w:eastAsia="Aptos"/>
                <w:szCs w:val="24"/>
              </w:rPr>
              <w:t>Who</w:t>
            </w:r>
          </w:p>
        </w:tc>
        <w:tc>
          <w:tcPr>
            <w:tcW w:w="2057" w:type="dxa"/>
          </w:tcPr>
          <w:p w14:paraId="5D6827C3" w14:textId="18AD5A18" w:rsidR="00F327D8" w:rsidRPr="00F327D8" w:rsidRDefault="00F327D8" w:rsidP="00F327D8">
            <w:pPr>
              <w:pStyle w:val="TableBody"/>
              <w:rPr>
                <w:szCs w:val="24"/>
              </w:rPr>
            </w:pPr>
            <w:r w:rsidRPr="00F327D8">
              <w:rPr>
                <w:rFonts w:eastAsia="Aptos"/>
                <w:szCs w:val="24"/>
              </w:rPr>
              <w:t>Responsibilities</w:t>
            </w:r>
          </w:p>
        </w:tc>
        <w:tc>
          <w:tcPr>
            <w:tcW w:w="1786" w:type="dxa"/>
          </w:tcPr>
          <w:p w14:paraId="6553A817" w14:textId="4D66126D" w:rsidR="00F327D8" w:rsidRPr="00F327D8" w:rsidRDefault="00F327D8" w:rsidP="00F327D8">
            <w:pPr>
              <w:pStyle w:val="TableBody"/>
              <w:rPr>
                <w:szCs w:val="24"/>
              </w:rPr>
            </w:pPr>
            <w:r w:rsidRPr="00F327D8">
              <w:rPr>
                <w:rFonts w:eastAsia="Aptos"/>
                <w:szCs w:val="24"/>
              </w:rPr>
              <w:t>Associated Committees</w:t>
            </w:r>
          </w:p>
        </w:tc>
      </w:tr>
      <w:tr w:rsidR="00F327D8" w:rsidRPr="00965145" w14:paraId="645621EE" w14:textId="38FF8E9F" w:rsidTr="00F327D8">
        <w:trPr>
          <w:cnfStyle w:val="000000100000" w:firstRow="0" w:lastRow="0" w:firstColumn="0" w:lastColumn="0" w:oddVBand="0" w:evenVBand="0" w:oddHBand="1" w:evenHBand="0" w:firstRowFirstColumn="0" w:firstRowLastColumn="0" w:lastRowFirstColumn="0" w:lastRowLastColumn="0"/>
        </w:trPr>
        <w:tc>
          <w:tcPr>
            <w:tcW w:w="1747" w:type="dxa"/>
          </w:tcPr>
          <w:p w14:paraId="0E38A68E" w14:textId="44797859" w:rsidR="00F327D8" w:rsidRPr="00F327D8" w:rsidRDefault="00F327D8" w:rsidP="00F327D8">
            <w:pPr>
              <w:pStyle w:val="TableBody"/>
              <w:rPr>
                <w:szCs w:val="24"/>
              </w:rPr>
            </w:pPr>
            <w:r w:rsidRPr="001B420E">
              <w:rPr>
                <w:rFonts w:eastAsia="Aptos"/>
                <w:b/>
                <w:bCs/>
                <w:szCs w:val="24"/>
              </w:rPr>
              <w:t>First Line:</w:t>
            </w:r>
            <w:r w:rsidRPr="00F327D8">
              <w:rPr>
                <w:rFonts w:eastAsia="Aptos"/>
                <w:szCs w:val="24"/>
              </w:rPr>
              <w:t xml:space="preserve"> Operational Management</w:t>
            </w:r>
          </w:p>
        </w:tc>
        <w:tc>
          <w:tcPr>
            <w:tcW w:w="1713" w:type="dxa"/>
          </w:tcPr>
          <w:p w14:paraId="2E5A5DF8" w14:textId="030ABAFD" w:rsidR="00F327D8" w:rsidRPr="00F327D8" w:rsidRDefault="00F327D8" w:rsidP="00F327D8">
            <w:pPr>
              <w:pStyle w:val="TableBody"/>
              <w:rPr>
                <w:szCs w:val="24"/>
              </w:rPr>
            </w:pPr>
            <w:r w:rsidRPr="00F327D8">
              <w:rPr>
                <w:rFonts w:eastAsia="Aptos"/>
                <w:szCs w:val="24"/>
              </w:rPr>
              <w:t>Own and manage fraud and corruption risks within business areas.</w:t>
            </w:r>
          </w:p>
        </w:tc>
        <w:tc>
          <w:tcPr>
            <w:tcW w:w="1713" w:type="dxa"/>
          </w:tcPr>
          <w:p w14:paraId="5BD3B867" w14:textId="4DB4286B" w:rsidR="00F327D8" w:rsidRPr="00F327D8" w:rsidRDefault="00F327D8" w:rsidP="00F327D8">
            <w:pPr>
              <w:pStyle w:val="TableBody"/>
              <w:rPr>
                <w:szCs w:val="24"/>
              </w:rPr>
            </w:pPr>
            <w:r w:rsidRPr="00F327D8">
              <w:rPr>
                <w:rFonts w:eastAsia="Aptos"/>
                <w:szCs w:val="24"/>
              </w:rPr>
              <w:t>Branch Managers, SES, all employees and contractors.</w:t>
            </w:r>
          </w:p>
        </w:tc>
        <w:tc>
          <w:tcPr>
            <w:tcW w:w="2057" w:type="dxa"/>
          </w:tcPr>
          <w:p w14:paraId="2C9E7CAF" w14:textId="137F66AB" w:rsidR="00F327D8" w:rsidRPr="00F327D8" w:rsidRDefault="00F327D8" w:rsidP="00F327D8">
            <w:pPr>
              <w:pStyle w:val="TableBody"/>
              <w:rPr>
                <w:szCs w:val="24"/>
              </w:rPr>
            </w:pPr>
            <w:r w:rsidRPr="00F327D8">
              <w:rPr>
                <w:rFonts w:eastAsia="Aptos"/>
                <w:szCs w:val="24"/>
              </w:rPr>
              <w:t>Implement controls, monitor compliance, report suspected fraud, embed integrity practices in daily operations.</w:t>
            </w:r>
          </w:p>
        </w:tc>
        <w:tc>
          <w:tcPr>
            <w:tcW w:w="1786" w:type="dxa"/>
          </w:tcPr>
          <w:p w14:paraId="3F0F3238" w14:textId="199277C7" w:rsidR="00F327D8" w:rsidRPr="00F327D8" w:rsidRDefault="00F327D8" w:rsidP="00F327D8">
            <w:pPr>
              <w:pStyle w:val="TableBody"/>
              <w:rPr>
                <w:szCs w:val="24"/>
              </w:rPr>
            </w:pPr>
            <w:r w:rsidRPr="00F327D8">
              <w:rPr>
                <w:rFonts w:eastAsia="Aptos"/>
                <w:szCs w:val="24"/>
              </w:rPr>
              <w:t>(No formal committee – operational responsibility lies with business units)</w:t>
            </w:r>
          </w:p>
        </w:tc>
      </w:tr>
      <w:tr w:rsidR="00F327D8" w:rsidRPr="00965145" w14:paraId="66EE95E6" w14:textId="710F2E90" w:rsidTr="00F327D8">
        <w:tc>
          <w:tcPr>
            <w:tcW w:w="1747" w:type="dxa"/>
          </w:tcPr>
          <w:p w14:paraId="5760917C" w14:textId="5414C150" w:rsidR="00F327D8" w:rsidRPr="00F327D8" w:rsidRDefault="00F327D8" w:rsidP="00F327D8">
            <w:pPr>
              <w:pStyle w:val="TableBody"/>
              <w:rPr>
                <w:szCs w:val="24"/>
              </w:rPr>
            </w:pPr>
            <w:r w:rsidRPr="001B420E">
              <w:rPr>
                <w:rFonts w:eastAsia="Aptos"/>
                <w:b/>
                <w:bCs/>
                <w:szCs w:val="24"/>
              </w:rPr>
              <w:t>Second Line:</w:t>
            </w:r>
            <w:r w:rsidRPr="00F327D8">
              <w:rPr>
                <w:rFonts w:eastAsia="Aptos"/>
                <w:szCs w:val="24"/>
              </w:rPr>
              <w:br/>
              <w:t>Risk and Compliance Oversight</w:t>
            </w:r>
          </w:p>
        </w:tc>
        <w:tc>
          <w:tcPr>
            <w:tcW w:w="1713" w:type="dxa"/>
          </w:tcPr>
          <w:p w14:paraId="2EBA1CB6" w14:textId="3B49037D" w:rsidR="00F327D8" w:rsidRPr="00F327D8" w:rsidRDefault="00F327D8" w:rsidP="00F327D8">
            <w:pPr>
              <w:pStyle w:val="TableBody"/>
              <w:rPr>
                <w:szCs w:val="24"/>
              </w:rPr>
            </w:pPr>
            <w:r w:rsidRPr="00F327D8">
              <w:rPr>
                <w:rFonts w:eastAsia="Aptos"/>
                <w:szCs w:val="24"/>
              </w:rPr>
              <w:t>Provide specialist advice, frameworks, and monitoring to ensure effective fraud and corruption control.</w:t>
            </w:r>
          </w:p>
        </w:tc>
        <w:tc>
          <w:tcPr>
            <w:tcW w:w="1713" w:type="dxa"/>
          </w:tcPr>
          <w:p w14:paraId="34EC43B7" w14:textId="7B179BB0" w:rsidR="00F327D8" w:rsidRPr="00F327D8" w:rsidRDefault="00F327D8" w:rsidP="00F327D8">
            <w:pPr>
              <w:pStyle w:val="TableBody"/>
              <w:rPr>
                <w:szCs w:val="24"/>
              </w:rPr>
            </w:pPr>
            <w:r w:rsidRPr="00F327D8">
              <w:rPr>
                <w:rFonts w:eastAsia="Aptos"/>
                <w:szCs w:val="24"/>
              </w:rPr>
              <w:t>Chief Risk Officer, Risk and Emergency Management Branch, Integrity Transformation and Fraud Fusion Taskforce Group.</w:t>
            </w:r>
          </w:p>
        </w:tc>
        <w:tc>
          <w:tcPr>
            <w:tcW w:w="2057" w:type="dxa"/>
          </w:tcPr>
          <w:p w14:paraId="087E7998" w14:textId="53BCA181" w:rsidR="00F327D8" w:rsidRPr="00F327D8" w:rsidRDefault="00F327D8" w:rsidP="00F327D8">
            <w:pPr>
              <w:pStyle w:val="TableBody"/>
              <w:rPr>
                <w:szCs w:val="24"/>
              </w:rPr>
            </w:pPr>
            <w:r w:rsidRPr="00F327D8">
              <w:rPr>
                <w:rFonts w:eastAsia="Aptos"/>
                <w:szCs w:val="24"/>
              </w:rPr>
              <w:t>Maintain Fraud and Corruption Control Framework, conduct risk assessments, monitor control effectiveness, report exposures to ELT and Board.</w:t>
            </w:r>
          </w:p>
        </w:tc>
        <w:tc>
          <w:tcPr>
            <w:tcW w:w="1786" w:type="dxa"/>
          </w:tcPr>
          <w:p w14:paraId="6E7A47D1" w14:textId="4C420ACB" w:rsidR="00F327D8" w:rsidRPr="00F327D8" w:rsidRDefault="00F327D8" w:rsidP="00F327D8">
            <w:pPr>
              <w:pStyle w:val="TableBody"/>
              <w:rPr>
                <w:szCs w:val="24"/>
              </w:rPr>
            </w:pPr>
            <w:r w:rsidRPr="00F327D8">
              <w:rPr>
                <w:rFonts w:eastAsia="Aptos"/>
                <w:szCs w:val="24"/>
              </w:rPr>
              <w:t>ELT Integrity Sub-Committee, Agency Audit and Risk Committee.</w:t>
            </w:r>
          </w:p>
        </w:tc>
      </w:tr>
      <w:tr w:rsidR="00F327D8" w:rsidRPr="00965145" w14:paraId="1D7B731D" w14:textId="1B21D2A5" w:rsidTr="00F327D8">
        <w:trPr>
          <w:cnfStyle w:val="000000100000" w:firstRow="0" w:lastRow="0" w:firstColumn="0" w:lastColumn="0" w:oddVBand="0" w:evenVBand="0" w:oddHBand="1" w:evenHBand="0" w:firstRowFirstColumn="0" w:firstRowLastColumn="0" w:lastRowFirstColumn="0" w:lastRowLastColumn="0"/>
        </w:trPr>
        <w:tc>
          <w:tcPr>
            <w:tcW w:w="1747" w:type="dxa"/>
          </w:tcPr>
          <w:p w14:paraId="69F99143" w14:textId="6E4E7934" w:rsidR="00F327D8" w:rsidRPr="00F327D8" w:rsidRDefault="00F327D8" w:rsidP="00F327D8">
            <w:pPr>
              <w:pStyle w:val="TableBody"/>
              <w:rPr>
                <w:szCs w:val="24"/>
              </w:rPr>
            </w:pPr>
            <w:r w:rsidRPr="001B420E">
              <w:rPr>
                <w:rFonts w:eastAsia="Aptos"/>
                <w:b/>
                <w:bCs/>
                <w:szCs w:val="24"/>
              </w:rPr>
              <w:lastRenderedPageBreak/>
              <w:t>Third Line:</w:t>
            </w:r>
            <w:r w:rsidRPr="00F327D8">
              <w:rPr>
                <w:rFonts w:eastAsia="Aptos"/>
                <w:szCs w:val="24"/>
              </w:rPr>
              <w:t xml:space="preserve"> Independent Assurance</w:t>
            </w:r>
          </w:p>
        </w:tc>
        <w:tc>
          <w:tcPr>
            <w:tcW w:w="1713" w:type="dxa"/>
          </w:tcPr>
          <w:p w14:paraId="2646A915" w14:textId="538CACB0" w:rsidR="00F327D8" w:rsidRPr="00F327D8" w:rsidRDefault="00F327D8" w:rsidP="00F327D8">
            <w:pPr>
              <w:pStyle w:val="TableBody"/>
              <w:rPr>
                <w:szCs w:val="24"/>
              </w:rPr>
            </w:pPr>
            <w:r w:rsidRPr="00F327D8">
              <w:rPr>
                <w:rFonts w:eastAsia="Aptos"/>
                <w:szCs w:val="24"/>
              </w:rPr>
              <w:t>Provide independent review and assurance over fraud and corruption control arrangements.</w:t>
            </w:r>
          </w:p>
        </w:tc>
        <w:tc>
          <w:tcPr>
            <w:tcW w:w="1713" w:type="dxa"/>
          </w:tcPr>
          <w:p w14:paraId="7FD15A20" w14:textId="56C9ABE3" w:rsidR="00F327D8" w:rsidRPr="00F327D8" w:rsidRDefault="00F327D8" w:rsidP="00F327D8">
            <w:pPr>
              <w:pStyle w:val="TableBody"/>
              <w:rPr>
                <w:szCs w:val="24"/>
              </w:rPr>
            </w:pPr>
            <w:r w:rsidRPr="00F327D8">
              <w:rPr>
                <w:rFonts w:eastAsia="Aptos"/>
                <w:szCs w:val="24"/>
              </w:rPr>
              <w:t>Internal Audit, Audit and Risk Committee, ANAO.</w:t>
            </w:r>
          </w:p>
        </w:tc>
        <w:tc>
          <w:tcPr>
            <w:tcW w:w="2057" w:type="dxa"/>
          </w:tcPr>
          <w:p w14:paraId="632B673C" w14:textId="11D3F60A" w:rsidR="00F327D8" w:rsidRPr="00F327D8" w:rsidRDefault="00F327D8" w:rsidP="00F327D8">
            <w:pPr>
              <w:pStyle w:val="TableBody"/>
              <w:rPr>
                <w:szCs w:val="24"/>
              </w:rPr>
            </w:pPr>
            <w:r w:rsidRPr="00F327D8">
              <w:rPr>
                <w:rFonts w:eastAsia="Aptos"/>
                <w:szCs w:val="24"/>
              </w:rPr>
              <w:t>Test control effectiveness, review compliance with legislative requirements, recommend improvements.</w:t>
            </w:r>
          </w:p>
        </w:tc>
        <w:tc>
          <w:tcPr>
            <w:tcW w:w="1786" w:type="dxa"/>
          </w:tcPr>
          <w:p w14:paraId="7B9AB145" w14:textId="0B92978E" w:rsidR="00F327D8" w:rsidRPr="00F327D8" w:rsidRDefault="00F327D8" w:rsidP="00F327D8">
            <w:pPr>
              <w:pStyle w:val="TableBody"/>
              <w:rPr>
                <w:szCs w:val="24"/>
              </w:rPr>
            </w:pPr>
            <w:r w:rsidRPr="00F327D8">
              <w:rPr>
                <w:rFonts w:eastAsia="Aptos"/>
                <w:szCs w:val="24"/>
              </w:rPr>
              <w:t>Board Audit &amp; Risk Committee</w:t>
            </w:r>
          </w:p>
        </w:tc>
      </w:tr>
    </w:tbl>
    <w:p w14:paraId="4D5E125F" w14:textId="77777777" w:rsidR="00F327D8" w:rsidRDefault="00F327D8" w:rsidP="00F327D8">
      <w:pPr>
        <w:pStyle w:val="Heading2"/>
      </w:pPr>
      <w:bookmarkStart w:id="39" w:name="_Toc219200563"/>
      <w:bookmarkStart w:id="40" w:name="_Toc219208335"/>
      <w:bookmarkStart w:id="41" w:name="_Toc227061774"/>
      <w:r w:rsidRPr="006717F5">
        <w:t>Roles and Responsibilities</w:t>
      </w:r>
      <w:bookmarkEnd w:id="39"/>
      <w:bookmarkEnd w:id="40"/>
      <w:bookmarkEnd w:id="41"/>
    </w:p>
    <w:p w14:paraId="53831024" w14:textId="4076E1D1" w:rsidR="00F327D8" w:rsidRDefault="00F327D8" w:rsidP="005F20C8">
      <w:pPr>
        <w:pStyle w:val="Heading3"/>
        <w:numPr>
          <w:ilvl w:val="0"/>
          <w:numId w:val="0"/>
        </w:numPr>
      </w:pPr>
      <w:bookmarkStart w:id="42" w:name="_Toc227061714"/>
      <w:bookmarkStart w:id="43" w:name="_Toc227061775"/>
      <w:r w:rsidRPr="00F327D8">
        <w:t>NDIA Board</w:t>
      </w:r>
      <w:bookmarkEnd w:id="42"/>
      <w:bookmarkEnd w:id="43"/>
    </w:p>
    <w:p w14:paraId="34B4D0D9" w14:textId="3EA7E546" w:rsidR="003B6C65" w:rsidRPr="003B6C65" w:rsidRDefault="003B6C65" w:rsidP="00F327D8">
      <w:r w:rsidRPr="003B6C65">
        <w:t>Responsibilities:</w:t>
      </w:r>
    </w:p>
    <w:p w14:paraId="75B37FF1" w14:textId="77777777" w:rsidR="00F327D8" w:rsidRDefault="00F327D8" w:rsidP="0056526B">
      <w:pPr>
        <w:pStyle w:val="ListParagraph"/>
        <w:numPr>
          <w:ilvl w:val="0"/>
          <w:numId w:val="19"/>
        </w:numPr>
      </w:pPr>
      <w:r w:rsidRPr="00453C63">
        <w:t>Accountable</w:t>
      </w:r>
      <w:r>
        <w:t xml:space="preserve"> Authority of the NDIA</w:t>
      </w:r>
      <w:r w:rsidRPr="00453C63">
        <w:t xml:space="preserve"> under the PGPA Rule 2014</w:t>
      </w:r>
      <w:r>
        <w:t>.</w:t>
      </w:r>
    </w:p>
    <w:p w14:paraId="02402748" w14:textId="77777777" w:rsidR="00F327D8" w:rsidRDefault="00F327D8" w:rsidP="0056526B">
      <w:pPr>
        <w:pStyle w:val="ListParagraph"/>
        <w:numPr>
          <w:ilvl w:val="0"/>
          <w:numId w:val="19"/>
        </w:numPr>
      </w:pPr>
      <w:r>
        <w:t>Has a duty to establish and maintain systems of risk oversight and management and internal control (such as the Risk Management Strategy and Framework and the Fraud and Corruption Control Plan).</w:t>
      </w:r>
    </w:p>
    <w:p w14:paraId="722FA9D4" w14:textId="77777777" w:rsidR="00F327D8" w:rsidRPr="00951898" w:rsidRDefault="00F327D8" w:rsidP="0056526B">
      <w:pPr>
        <w:pStyle w:val="ListParagraph"/>
        <w:numPr>
          <w:ilvl w:val="0"/>
          <w:numId w:val="19"/>
        </w:numPr>
      </w:pPr>
      <w:r>
        <w:t>Has a d</w:t>
      </w:r>
      <w:r w:rsidRPr="00951898">
        <w:t xml:space="preserve">uty to take account </w:t>
      </w:r>
      <w:r>
        <w:t xml:space="preserve">of </w:t>
      </w:r>
      <w:r w:rsidRPr="00951898">
        <w:t>the risks associated with the use or management of public resources when imposing requirements on others in relation to the use or management of public resources</w:t>
      </w:r>
      <w:r>
        <w:t>.</w:t>
      </w:r>
    </w:p>
    <w:p w14:paraId="29931E75" w14:textId="77777777" w:rsidR="00F327D8" w:rsidRDefault="00F327D8" w:rsidP="0056526B">
      <w:pPr>
        <w:pStyle w:val="ListParagraph"/>
        <w:numPr>
          <w:ilvl w:val="0"/>
          <w:numId w:val="19"/>
        </w:numPr>
      </w:pPr>
      <w:r>
        <w:t>Must take all reasonable measures to prevent, detect and deal with fraud and corruption relating to the NDIA (PGPA Rule 2014 s10) and NDIS.</w:t>
      </w:r>
    </w:p>
    <w:p w14:paraId="0C044367" w14:textId="77777777" w:rsidR="00F327D8" w:rsidRDefault="00F327D8" w:rsidP="0056526B">
      <w:pPr>
        <w:pStyle w:val="ListParagraph"/>
        <w:numPr>
          <w:ilvl w:val="0"/>
          <w:numId w:val="19"/>
        </w:numPr>
      </w:pPr>
      <w:r>
        <w:t>Issue Accountable Authority Instructions for Agency Officials.</w:t>
      </w:r>
    </w:p>
    <w:p w14:paraId="1A9A722E" w14:textId="77777777" w:rsidR="00F327D8" w:rsidRDefault="00F327D8" w:rsidP="0056526B">
      <w:pPr>
        <w:pStyle w:val="ListParagraph"/>
        <w:numPr>
          <w:ilvl w:val="0"/>
          <w:numId w:val="19"/>
        </w:numPr>
      </w:pPr>
      <w:r>
        <w:t>Set the Agency’s risk appetite on annual basis.</w:t>
      </w:r>
    </w:p>
    <w:p w14:paraId="321B052F" w14:textId="77777777" w:rsidR="00F327D8" w:rsidRDefault="00F327D8" w:rsidP="0056526B">
      <w:pPr>
        <w:pStyle w:val="ListParagraph"/>
        <w:numPr>
          <w:ilvl w:val="0"/>
          <w:numId w:val="19"/>
        </w:numPr>
      </w:pPr>
      <w:r w:rsidRPr="009E1369">
        <w:t xml:space="preserve">Ensures the Agency’s </w:t>
      </w:r>
      <w:r>
        <w:t xml:space="preserve">operating </w:t>
      </w:r>
      <w:r w:rsidRPr="009E1369">
        <w:t xml:space="preserve">structure supports effective risk management </w:t>
      </w:r>
      <w:r>
        <w:t>per</w:t>
      </w:r>
      <w:r w:rsidRPr="009E1369">
        <w:t xml:space="preserve"> the NDIS Risk Management Rules 2013.</w:t>
      </w:r>
    </w:p>
    <w:p w14:paraId="4AEB8347" w14:textId="21AE12F0" w:rsidR="00F327D8" w:rsidRPr="003B6C65" w:rsidRDefault="00F327D8" w:rsidP="0056526B">
      <w:pPr>
        <w:pStyle w:val="ListParagraph"/>
        <w:numPr>
          <w:ilvl w:val="0"/>
          <w:numId w:val="19"/>
        </w:numPr>
        <w:rPr>
          <w:b/>
          <w:bCs/>
        </w:rPr>
      </w:pPr>
      <w:r>
        <w:t>Submits an</w:t>
      </w:r>
      <w:r w:rsidRPr="00B515BF">
        <w:t xml:space="preserve"> annual Risk Management Declaration to the Ministerial Council.</w:t>
      </w:r>
    </w:p>
    <w:p w14:paraId="71FC64BB" w14:textId="461F662E" w:rsidR="003B6C65" w:rsidRPr="003B6C65" w:rsidRDefault="003B6C65" w:rsidP="005F20C8">
      <w:pPr>
        <w:pStyle w:val="Heading3"/>
        <w:numPr>
          <w:ilvl w:val="0"/>
          <w:numId w:val="0"/>
        </w:numPr>
        <w:ind w:left="720" w:hanging="720"/>
      </w:pPr>
      <w:bookmarkStart w:id="44" w:name="_Toc227061715"/>
      <w:bookmarkStart w:id="45" w:name="_Toc227061776"/>
      <w:r w:rsidRPr="003B6C65">
        <w:t xml:space="preserve">Board Audit </w:t>
      </w:r>
      <w:r w:rsidR="00761B91">
        <w:t>and</w:t>
      </w:r>
      <w:r w:rsidRPr="003B6C65">
        <w:t xml:space="preserve"> Risk Committee</w:t>
      </w:r>
      <w:bookmarkEnd w:id="44"/>
      <w:bookmarkEnd w:id="45"/>
    </w:p>
    <w:p w14:paraId="4FEA88A2" w14:textId="6DE47F81" w:rsidR="003B6C65" w:rsidRDefault="003B6C65" w:rsidP="003B6C65">
      <w:r w:rsidRPr="003B6C65">
        <w:lastRenderedPageBreak/>
        <w:t>Responsibilities:</w:t>
      </w:r>
    </w:p>
    <w:p w14:paraId="29F507EB" w14:textId="77777777" w:rsidR="003B6C65" w:rsidRPr="003B6C65" w:rsidRDefault="003B6C65" w:rsidP="0056526B">
      <w:pPr>
        <w:pStyle w:val="ListParagraph"/>
        <w:numPr>
          <w:ilvl w:val="0"/>
          <w:numId w:val="20"/>
        </w:numPr>
        <w:rPr>
          <w:color w:val="000000"/>
        </w:rPr>
      </w:pPr>
      <w:r>
        <w:t xml:space="preserve">The Committee reviews the Agency’s system of risk oversight and management and provide advice to the Board on the appropriateness of the Agency’s </w:t>
      </w:r>
      <w:r w:rsidRPr="003B6C65">
        <w:rPr>
          <w:color w:val="000000"/>
        </w:rPr>
        <w:t>fraud and corruption control mechanisms and frameworks.</w:t>
      </w:r>
    </w:p>
    <w:p w14:paraId="383D891B" w14:textId="77777777" w:rsidR="003B6C65" w:rsidRPr="003B6C65" w:rsidRDefault="003B6C65" w:rsidP="0056526B">
      <w:pPr>
        <w:pStyle w:val="ListParagraph"/>
        <w:numPr>
          <w:ilvl w:val="0"/>
          <w:numId w:val="20"/>
        </w:numPr>
        <w:rPr>
          <w:color w:val="000000"/>
        </w:rPr>
      </w:pPr>
      <w:r>
        <w:t>Supports the Board to ensure the Agency has a sound risk management culture and the Agency’s senior management take steps necessary to monitor and manage all material risks.</w:t>
      </w:r>
    </w:p>
    <w:p w14:paraId="2BC19645" w14:textId="77777777" w:rsidR="003B6C65" w:rsidRPr="003B6C65" w:rsidRDefault="003B6C65" w:rsidP="0056526B">
      <w:pPr>
        <w:pStyle w:val="ListParagraph"/>
        <w:numPr>
          <w:ilvl w:val="0"/>
          <w:numId w:val="20"/>
        </w:numPr>
        <w:rPr>
          <w:color w:val="000000"/>
        </w:rPr>
      </w:pPr>
      <w:r w:rsidRPr="003B6C65">
        <w:rPr>
          <w:color w:val="000000"/>
        </w:rPr>
        <w:t>Reviews fraud and corruption reports and assures associated risk management practices.</w:t>
      </w:r>
    </w:p>
    <w:p w14:paraId="1A2BE02E" w14:textId="3CAE9727" w:rsidR="003B6C65" w:rsidRPr="003B6C65" w:rsidRDefault="003B6C65" w:rsidP="0056526B">
      <w:pPr>
        <w:pStyle w:val="ListParagraph"/>
        <w:numPr>
          <w:ilvl w:val="0"/>
          <w:numId w:val="20"/>
        </w:numPr>
      </w:pPr>
      <w:r w:rsidRPr="003B6C65">
        <w:rPr>
          <w:color w:val="000000"/>
        </w:rPr>
        <w:t>Oversees internal and external audits, performance reporting, and regulatory compliance.</w:t>
      </w:r>
    </w:p>
    <w:p w14:paraId="4F005F43" w14:textId="695AD3C4" w:rsidR="003B6C65" w:rsidRPr="003B6C65" w:rsidRDefault="003B6C65" w:rsidP="005F20C8">
      <w:pPr>
        <w:pStyle w:val="Heading3"/>
        <w:numPr>
          <w:ilvl w:val="0"/>
          <w:numId w:val="0"/>
        </w:numPr>
        <w:ind w:left="720" w:hanging="720"/>
      </w:pPr>
      <w:bookmarkStart w:id="46" w:name="_Toc227061716"/>
      <w:bookmarkStart w:id="47" w:name="_Toc227061777"/>
      <w:r w:rsidRPr="005F20C8">
        <w:rPr>
          <w:color w:val="6B2876" w:themeColor="text1"/>
          <w:sz w:val="28"/>
          <w:szCs w:val="28"/>
        </w:rPr>
        <w:t>Executive</w:t>
      </w:r>
      <w:r w:rsidRPr="003B6C65">
        <w:rPr>
          <w:color w:val="000000"/>
        </w:rPr>
        <w:t xml:space="preserve"> </w:t>
      </w:r>
      <w:r w:rsidRPr="003B6C65">
        <w:t>Leadership Team Integrity Sub-Committee</w:t>
      </w:r>
      <w:bookmarkEnd w:id="46"/>
      <w:bookmarkEnd w:id="47"/>
    </w:p>
    <w:p w14:paraId="02DEC981" w14:textId="209353BE" w:rsidR="003B6C65" w:rsidRDefault="003B6C65" w:rsidP="003B6C65">
      <w:r w:rsidRPr="003B6C65">
        <w:t>Responsibilities:</w:t>
      </w:r>
    </w:p>
    <w:p w14:paraId="34C0EAEC" w14:textId="32BB0F5C" w:rsidR="003B6C65" w:rsidRDefault="003B6C65" w:rsidP="0056526B">
      <w:pPr>
        <w:pStyle w:val="ListParagraph"/>
        <w:numPr>
          <w:ilvl w:val="0"/>
          <w:numId w:val="21"/>
        </w:numPr>
      </w:pPr>
      <w:r>
        <w:t>P</w:t>
      </w:r>
      <w:r w:rsidRPr="00E34CC3">
        <w:t>rovide</w:t>
      </w:r>
      <w:r>
        <w:t>s</w:t>
      </w:r>
      <w:r w:rsidRPr="00E34CC3">
        <w:t xml:space="preserve"> structured oversight and drive</w:t>
      </w:r>
      <w:r>
        <w:t>s</w:t>
      </w:r>
      <w:r w:rsidRPr="00E34CC3">
        <w:t xml:space="preserve"> continuous improvement</w:t>
      </w:r>
      <w:r>
        <w:t xml:space="preserve"> for fraud and corruption controls and frameworks.</w:t>
      </w:r>
    </w:p>
    <w:p w14:paraId="00A65A1B" w14:textId="4A21DABE" w:rsidR="003B6C65" w:rsidRPr="003B6C65" w:rsidRDefault="003B6C65" w:rsidP="005F20C8">
      <w:pPr>
        <w:pStyle w:val="Heading3"/>
        <w:numPr>
          <w:ilvl w:val="0"/>
          <w:numId w:val="0"/>
        </w:numPr>
        <w:ind w:left="720" w:hanging="720"/>
      </w:pPr>
      <w:bookmarkStart w:id="48" w:name="_Toc227061717"/>
      <w:bookmarkStart w:id="49" w:name="_Toc227061778"/>
      <w:r w:rsidRPr="003B6C65">
        <w:t>Agency Audit and Risk Committee</w:t>
      </w:r>
      <w:bookmarkEnd w:id="48"/>
      <w:bookmarkEnd w:id="49"/>
    </w:p>
    <w:p w14:paraId="76A07B59" w14:textId="25A84E14" w:rsidR="003B6C65" w:rsidRPr="003B6C65" w:rsidRDefault="003B6C65" w:rsidP="003B6C65">
      <w:r w:rsidRPr="003B6C65">
        <w:t>Responsibilities:</w:t>
      </w:r>
    </w:p>
    <w:p w14:paraId="0A6F9740" w14:textId="58C2BB9B" w:rsidR="003B6C65" w:rsidRPr="003B6C65" w:rsidRDefault="003B6C65" w:rsidP="0056526B">
      <w:pPr>
        <w:pStyle w:val="ListParagraph"/>
        <w:numPr>
          <w:ilvl w:val="0"/>
          <w:numId w:val="21"/>
        </w:numPr>
      </w:pPr>
      <w:r w:rsidRPr="003B6C65">
        <w:rPr>
          <w:rFonts w:eastAsia="Aptos"/>
        </w:rPr>
        <w:t>Provides support to the Board and Executive Leadership Team in providing oversight and delivery of improvements to fraud and corruption controls and frameworks.</w:t>
      </w:r>
    </w:p>
    <w:p w14:paraId="37107B3E" w14:textId="326C9D31" w:rsidR="003B6C65" w:rsidRPr="003B6C65" w:rsidRDefault="003B6C65" w:rsidP="005F20C8">
      <w:pPr>
        <w:pStyle w:val="Heading3"/>
        <w:numPr>
          <w:ilvl w:val="0"/>
          <w:numId w:val="0"/>
        </w:numPr>
        <w:ind w:left="720" w:hanging="720"/>
      </w:pPr>
      <w:bookmarkStart w:id="50" w:name="_Toc227061718"/>
      <w:bookmarkStart w:id="51" w:name="_Toc227061779"/>
      <w:r w:rsidRPr="003B6C65">
        <w:t>Chief Executive Officer (CEO)</w:t>
      </w:r>
      <w:bookmarkEnd w:id="50"/>
      <w:bookmarkEnd w:id="51"/>
    </w:p>
    <w:p w14:paraId="45206D39" w14:textId="3DFD5847" w:rsidR="003B6C65" w:rsidRDefault="003B6C65" w:rsidP="003B6C65">
      <w:pPr>
        <w:rPr>
          <w:color w:val="000000"/>
        </w:rPr>
      </w:pPr>
      <w:r w:rsidRPr="003B6C65">
        <w:rPr>
          <w:color w:val="000000"/>
        </w:rPr>
        <w:t>Responsibilities:</w:t>
      </w:r>
    </w:p>
    <w:p w14:paraId="2B311FD8" w14:textId="77777777" w:rsidR="003B6C65" w:rsidRDefault="003B6C65" w:rsidP="0056526B">
      <w:pPr>
        <w:pStyle w:val="ListParagraph"/>
        <w:numPr>
          <w:ilvl w:val="0"/>
          <w:numId w:val="21"/>
        </w:numPr>
      </w:pPr>
      <w:r>
        <w:t>Ensures the NDIA has appropriate</w:t>
      </w:r>
      <w:r w:rsidRPr="00453C63">
        <w:t xml:space="preserve"> fraud and corruption prevention initiatives</w:t>
      </w:r>
      <w:r>
        <w:t xml:space="preserve"> in place</w:t>
      </w:r>
      <w:r w:rsidRPr="00453C63">
        <w:t>.</w:t>
      </w:r>
    </w:p>
    <w:p w14:paraId="169F6774" w14:textId="77777777" w:rsidR="003B6C65" w:rsidRDefault="003B6C65" w:rsidP="0056526B">
      <w:pPr>
        <w:pStyle w:val="ListParagraph"/>
        <w:numPr>
          <w:ilvl w:val="0"/>
          <w:numId w:val="21"/>
        </w:numPr>
      </w:pPr>
      <w:r w:rsidRPr="00453C63">
        <w:lastRenderedPageBreak/>
        <w:t xml:space="preserve">Advises the Board </w:t>
      </w:r>
      <w:r>
        <w:t xml:space="preserve">and Ministers </w:t>
      </w:r>
      <w:r w:rsidRPr="00453C63">
        <w:t xml:space="preserve">on sensitive fraud </w:t>
      </w:r>
      <w:r>
        <w:t xml:space="preserve">and corruption </w:t>
      </w:r>
      <w:r w:rsidRPr="00453C63">
        <w:t>matters.</w:t>
      </w:r>
    </w:p>
    <w:p w14:paraId="2F780A55" w14:textId="20249C21" w:rsidR="003B6C65" w:rsidRDefault="003B6C65" w:rsidP="0056526B">
      <w:pPr>
        <w:pStyle w:val="ListParagraph"/>
        <w:numPr>
          <w:ilvl w:val="0"/>
          <w:numId w:val="21"/>
        </w:numPr>
      </w:pPr>
      <w:r w:rsidRPr="00453C63">
        <w:t>Promotes a</w:t>
      </w:r>
      <w:r>
        <w:t xml:space="preserve"> positive and </w:t>
      </w:r>
      <w:r w:rsidRPr="00453C63">
        <w:t xml:space="preserve">ethical culture encouraging fraud </w:t>
      </w:r>
      <w:r>
        <w:t xml:space="preserve">and corruption </w:t>
      </w:r>
      <w:r w:rsidRPr="00453C63">
        <w:t>reporting</w:t>
      </w:r>
      <w:r>
        <w:t>.</w:t>
      </w:r>
    </w:p>
    <w:p w14:paraId="7296DFBF" w14:textId="1A1A8588" w:rsidR="003B6C65" w:rsidRDefault="003B6C65" w:rsidP="005F20C8">
      <w:pPr>
        <w:pStyle w:val="Heading3"/>
        <w:numPr>
          <w:ilvl w:val="0"/>
          <w:numId w:val="0"/>
        </w:numPr>
        <w:ind w:left="720" w:hanging="720"/>
      </w:pPr>
      <w:bookmarkStart w:id="52" w:name="_Toc227061719"/>
      <w:bookmarkStart w:id="53" w:name="_Toc227061780"/>
      <w:r w:rsidRPr="006717F5">
        <w:t>Scheme Actuary</w:t>
      </w:r>
      <w:bookmarkEnd w:id="52"/>
      <w:bookmarkEnd w:id="53"/>
    </w:p>
    <w:p w14:paraId="3EA82562" w14:textId="77777777" w:rsidR="003B6C65" w:rsidRDefault="003B6C65" w:rsidP="003B6C65">
      <w:pPr>
        <w:rPr>
          <w:color w:val="000000"/>
        </w:rPr>
      </w:pPr>
      <w:r w:rsidRPr="003B6C65">
        <w:rPr>
          <w:color w:val="000000"/>
        </w:rPr>
        <w:t>Responsibilities:</w:t>
      </w:r>
    </w:p>
    <w:p w14:paraId="2CEF35C3" w14:textId="77777777" w:rsidR="003B6C65" w:rsidRDefault="003B6C65" w:rsidP="0056526B">
      <w:pPr>
        <w:pStyle w:val="ListParagraph"/>
        <w:numPr>
          <w:ilvl w:val="0"/>
          <w:numId w:val="22"/>
        </w:numPr>
      </w:pPr>
      <w:r>
        <w:t>Engage in</w:t>
      </w:r>
      <w:r w:rsidRPr="003476B9">
        <w:t xml:space="preserve"> decisions made by the Agency and the Board in relation to risk</w:t>
      </w:r>
      <w:r>
        <w:t>.</w:t>
      </w:r>
    </w:p>
    <w:p w14:paraId="6D473878" w14:textId="6FEE333B" w:rsidR="003B6C65" w:rsidRDefault="003B6C65" w:rsidP="0056526B">
      <w:pPr>
        <w:pStyle w:val="ListParagraph"/>
        <w:numPr>
          <w:ilvl w:val="0"/>
          <w:numId w:val="22"/>
        </w:numPr>
      </w:pPr>
      <w:r>
        <w:t>Report any significant concerns the Scheme Actuary has for risk management processes of the Agency to the Board as soon as reasonably practicable.</w:t>
      </w:r>
    </w:p>
    <w:p w14:paraId="484714F8" w14:textId="48765139" w:rsidR="003B6C65" w:rsidRPr="003B6C65" w:rsidRDefault="003B6C65" w:rsidP="005F20C8">
      <w:pPr>
        <w:pStyle w:val="Heading3"/>
        <w:numPr>
          <w:ilvl w:val="0"/>
          <w:numId w:val="0"/>
        </w:numPr>
        <w:ind w:left="720" w:hanging="720"/>
      </w:pPr>
      <w:bookmarkStart w:id="54" w:name="_Toc227061720"/>
      <w:bookmarkStart w:id="55" w:name="_Toc227061781"/>
      <w:r w:rsidRPr="00E96307">
        <w:t>Chief Risk Officer (CRO)</w:t>
      </w:r>
      <w:bookmarkEnd w:id="54"/>
      <w:bookmarkEnd w:id="55"/>
    </w:p>
    <w:p w14:paraId="6B8D23BE" w14:textId="77777777" w:rsidR="003B6C65" w:rsidRDefault="003B6C65" w:rsidP="003B6C65">
      <w:pPr>
        <w:rPr>
          <w:color w:val="000000"/>
        </w:rPr>
      </w:pPr>
      <w:r w:rsidRPr="003B6C65">
        <w:rPr>
          <w:color w:val="000000"/>
        </w:rPr>
        <w:t>Responsibilities:</w:t>
      </w:r>
    </w:p>
    <w:p w14:paraId="6E3B4150" w14:textId="77777777" w:rsidR="003B6C65" w:rsidRPr="005F6B72" w:rsidRDefault="003B6C65" w:rsidP="0056526B">
      <w:pPr>
        <w:pStyle w:val="ListParagraph"/>
        <w:numPr>
          <w:ilvl w:val="0"/>
          <w:numId w:val="23"/>
        </w:numPr>
      </w:pPr>
      <w:r w:rsidRPr="005F6B72">
        <w:t>internal integrity risk related to fraud against the Scheme.</w:t>
      </w:r>
    </w:p>
    <w:p w14:paraId="7245885B" w14:textId="77777777" w:rsidR="003B6C65" w:rsidRDefault="003B6C65" w:rsidP="0056526B">
      <w:pPr>
        <w:pStyle w:val="ListParagraph"/>
        <w:numPr>
          <w:ilvl w:val="0"/>
          <w:numId w:val="23"/>
        </w:numPr>
      </w:pPr>
      <w:r w:rsidRPr="005F6B72">
        <w:t>Support functional fraud risk assessments.</w:t>
      </w:r>
    </w:p>
    <w:p w14:paraId="40A6BD2A" w14:textId="708CF348" w:rsidR="003B6C65" w:rsidRPr="003B6C65" w:rsidRDefault="003B6C65" w:rsidP="0056526B">
      <w:pPr>
        <w:pStyle w:val="ListParagraph"/>
        <w:numPr>
          <w:ilvl w:val="0"/>
          <w:numId w:val="23"/>
        </w:numPr>
      </w:pPr>
      <w:r w:rsidRPr="005F6B72">
        <w:t>Manage the fraud and corruption control framework, Agency Fraud and Corruption Risk Register, and related mitigation strategies.</w:t>
      </w:r>
    </w:p>
    <w:p w14:paraId="7898BF5B" w14:textId="5276E5C7" w:rsidR="003B6C65" w:rsidRPr="003B6C65" w:rsidRDefault="003B6C65" w:rsidP="005F20C8">
      <w:pPr>
        <w:pStyle w:val="Heading3"/>
        <w:numPr>
          <w:ilvl w:val="0"/>
          <w:numId w:val="0"/>
        </w:numPr>
        <w:ind w:left="720" w:hanging="720"/>
        <w:rPr>
          <w:bCs/>
        </w:rPr>
      </w:pPr>
      <w:bookmarkStart w:id="56" w:name="_Toc227061721"/>
      <w:bookmarkStart w:id="57" w:name="_Toc227061782"/>
      <w:r w:rsidRPr="00E96307">
        <w:t xml:space="preserve">Senior Executive </w:t>
      </w:r>
      <w:r>
        <w:t>Staff (SES)</w:t>
      </w:r>
      <w:bookmarkEnd w:id="56"/>
      <w:bookmarkEnd w:id="57"/>
    </w:p>
    <w:p w14:paraId="65DE949D" w14:textId="77777777" w:rsidR="003B6C65" w:rsidRDefault="003B6C65" w:rsidP="003B6C65">
      <w:pPr>
        <w:rPr>
          <w:color w:val="000000"/>
        </w:rPr>
      </w:pPr>
      <w:r w:rsidRPr="003B6C65">
        <w:rPr>
          <w:color w:val="000000"/>
        </w:rPr>
        <w:t>Responsibilities:</w:t>
      </w:r>
    </w:p>
    <w:p w14:paraId="4653B7F1" w14:textId="77777777" w:rsidR="003B6C65" w:rsidRDefault="003B6C65" w:rsidP="0056526B">
      <w:pPr>
        <w:pStyle w:val="ListParagraph"/>
        <w:numPr>
          <w:ilvl w:val="0"/>
          <w:numId w:val="24"/>
        </w:numPr>
      </w:pPr>
      <w:r w:rsidRPr="00453C63">
        <w:t xml:space="preserve">Own and manage fraud </w:t>
      </w:r>
      <w:r>
        <w:t xml:space="preserve">and corruption </w:t>
      </w:r>
      <w:r w:rsidRPr="00453C63">
        <w:t xml:space="preserve">risks within their </w:t>
      </w:r>
      <w:r>
        <w:t>remit (Group, Division or Branch)</w:t>
      </w:r>
      <w:r w:rsidRPr="00453C63">
        <w:t>.</w:t>
      </w:r>
    </w:p>
    <w:p w14:paraId="14C47B9C" w14:textId="77777777" w:rsidR="003B6C65" w:rsidRDefault="003B6C65" w:rsidP="0056526B">
      <w:pPr>
        <w:pStyle w:val="ListParagraph"/>
        <w:numPr>
          <w:ilvl w:val="0"/>
          <w:numId w:val="24"/>
        </w:numPr>
      </w:pPr>
      <w:r>
        <w:t>Promote a pro-integrity culture and environment aligned to the APS Code of Conduct.</w:t>
      </w:r>
    </w:p>
    <w:p w14:paraId="50C6C818" w14:textId="77777777" w:rsidR="003B6C65" w:rsidRDefault="003B6C65" w:rsidP="0056526B">
      <w:pPr>
        <w:pStyle w:val="ListParagraph"/>
        <w:numPr>
          <w:ilvl w:val="0"/>
          <w:numId w:val="24"/>
        </w:numPr>
      </w:pPr>
      <w:r w:rsidRPr="00453C63">
        <w:t>Develop and implement controls to mitigate fraud</w:t>
      </w:r>
      <w:r>
        <w:t xml:space="preserve"> and corruption </w:t>
      </w:r>
      <w:r w:rsidRPr="00453C63">
        <w:t>risks.</w:t>
      </w:r>
    </w:p>
    <w:p w14:paraId="74F711F0" w14:textId="77777777" w:rsidR="003B6C65" w:rsidRDefault="003B6C65" w:rsidP="0056526B">
      <w:pPr>
        <w:pStyle w:val="ListParagraph"/>
        <w:numPr>
          <w:ilvl w:val="0"/>
          <w:numId w:val="24"/>
        </w:numPr>
      </w:pPr>
      <w:r w:rsidRPr="00453C63">
        <w:t xml:space="preserve">Monitor fraud </w:t>
      </w:r>
      <w:r>
        <w:t xml:space="preserve">and corruption </w:t>
      </w:r>
      <w:r w:rsidRPr="00453C63">
        <w:t>risk treatments and ensure assurance activities.</w:t>
      </w:r>
    </w:p>
    <w:p w14:paraId="0CB2432F" w14:textId="4578207E" w:rsidR="003B6C65" w:rsidRDefault="003B6C65" w:rsidP="0056526B">
      <w:pPr>
        <w:pStyle w:val="ListParagraph"/>
        <w:numPr>
          <w:ilvl w:val="0"/>
          <w:numId w:val="24"/>
        </w:numPr>
      </w:pPr>
      <w:r w:rsidRPr="00453C63">
        <w:t>Report</w:t>
      </w:r>
      <w:r>
        <w:t xml:space="preserve"> and monitor</w:t>
      </w:r>
      <w:r w:rsidRPr="00453C63">
        <w:t xml:space="preserve"> emerging fraud </w:t>
      </w:r>
      <w:r>
        <w:t xml:space="preserve">and corruption </w:t>
      </w:r>
      <w:r w:rsidRPr="00453C63">
        <w:t>risks.</w:t>
      </w:r>
    </w:p>
    <w:p w14:paraId="608B3DA4" w14:textId="77777777" w:rsidR="007711BD" w:rsidRDefault="007711BD">
      <w:pPr>
        <w:spacing w:before="120" w:after="120" w:line="288" w:lineRule="auto"/>
        <w:rPr>
          <w:b/>
          <w:color w:val="6B2876" w:themeColor="text1"/>
          <w:sz w:val="28"/>
          <w:szCs w:val="28"/>
        </w:rPr>
      </w:pPr>
      <w:r>
        <w:br w:type="page"/>
      </w:r>
    </w:p>
    <w:p w14:paraId="3C963910" w14:textId="1ED15A8B" w:rsidR="003B6C65" w:rsidRDefault="003B6C65" w:rsidP="005F20C8">
      <w:pPr>
        <w:pStyle w:val="Heading3"/>
        <w:numPr>
          <w:ilvl w:val="0"/>
          <w:numId w:val="0"/>
        </w:numPr>
      </w:pPr>
      <w:bookmarkStart w:id="58" w:name="_Toc227061722"/>
      <w:bookmarkStart w:id="59" w:name="_Toc227061783"/>
      <w:r w:rsidRPr="00E96307">
        <w:lastRenderedPageBreak/>
        <w:t>All employees and contractors</w:t>
      </w:r>
      <w:bookmarkEnd w:id="58"/>
      <w:bookmarkEnd w:id="59"/>
    </w:p>
    <w:p w14:paraId="641ACBF0" w14:textId="77777777" w:rsidR="003B6C65" w:rsidRDefault="003B6C65" w:rsidP="003B6C65">
      <w:pPr>
        <w:rPr>
          <w:color w:val="000000"/>
        </w:rPr>
      </w:pPr>
      <w:r w:rsidRPr="003B6C65">
        <w:rPr>
          <w:color w:val="000000"/>
        </w:rPr>
        <w:t>Responsibilities:</w:t>
      </w:r>
    </w:p>
    <w:p w14:paraId="38BEB58B" w14:textId="77777777" w:rsidR="003B6C65" w:rsidRDefault="003B6C65" w:rsidP="0056526B">
      <w:pPr>
        <w:pStyle w:val="ListParagraph"/>
        <w:numPr>
          <w:ilvl w:val="0"/>
          <w:numId w:val="25"/>
        </w:numPr>
      </w:pPr>
      <w:r w:rsidRPr="00453C63">
        <w:t>Act ethically, adhering to the APS Code of Conduct.</w:t>
      </w:r>
    </w:p>
    <w:p w14:paraId="07477688" w14:textId="77777777" w:rsidR="003B6C65" w:rsidRPr="009C27B8" w:rsidRDefault="003B6C65" w:rsidP="0056526B">
      <w:pPr>
        <w:pStyle w:val="ListParagraph"/>
        <w:numPr>
          <w:ilvl w:val="0"/>
          <w:numId w:val="25"/>
        </w:numPr>
      </w:pPr>
      <w:r w:rsidRPr="009C27B8">
        <w:t xml:space="preserve">Comply with the Accountable Authority instructions issued by the Board of the NDIA to </w:t>
      </w:r>
      <w:r>
        <w:t xml:space="preserve">act in accordance with the </w:t>
      </w:r>
      <w:r w:rsidRPr="009C27B8">
        <w:t>Agency</w:t>
      </w:r>
      <w:r>
        <w:t>’s</w:t>
      </w:r>
      <w:r w:rsidRPr="009C27B8">
        <w:t xml:space="preserve"> policies, procedures, and systems to prevent fraud and corruption.</w:t>
      </w:r>
    </w:p>
    <w:p w14:paraId="2ABC9E49" w14:textId="5B9AFB7F" w:rsidR="003B6C65" w:rsidRDefault="003B6C65" w:rsidP="0056526B">
      <w:pPr>
        <w:pStyle w:val="ListParagraph"/>
        <w:numPr>
          <w:ilvl w:val="0"/>
          <w:numId w:val="25"/>
        </w:numPr>
      </w:pPr>
      <w:r w:rsidRPr="00453C63">
        <w:t>Report any suspected fraud or corruption incidents</w:t>
      </w:r>
      <w:r>
        <w:t xml:space="preserve"> through approved channels</w:t>
      </w:r>
      <w:r w:rsidRPr="00453C63">
        <w:t>.</w:t>
      </w:r>
    </w:p>
    <w:p w14:paraId="7B293B9D" w14:textId="77777777" w:rsidR="003B6C65" w:rsidRPr="003F5DEB" w:rsidRDefault="003B6C65" w:rsidP="003B6C65">
      <w:pPr>
        <w:pStyle w:val="Heading2"/>
      </w:pPr>
      <w:bookmarkStart w:id="60" w:name="_Toc219200564"/>
      <w:bookmarkStart w:id="61" w:name="_Toc219208336"/>
      <w:bookmarkStart w:id="62" w:name="_Toc227061784"/>
      <w:r w:rsidRPr="003F5DEB">
        <w:t>Fraud and Corruption Reporting Channels</w:t>
      </w:r>
      <w:bookmarkEnd w:id="60"/>
      <w:bookmarkEnd w:id="61"/>
      <w:bookmarkEnd w:id="62"/>
    </w:p>
    <w:p w14:paraId="28FBB886" w14:textId="77777777" w:rsidR="00000BB0" w:rsidRPr="007C1819" w:rsidRDefault="00000BB0" w:rsidP="00000BB0">
      <w:r>
        <w:t>To foster transparency and accountability, the Agency provides various reporting channels for staff, contractors, participants, and the public to report suspected fraud or corruption. These include:</w:t>
      </w:r>
    </w:p>
    <w:p w14:paraId="5BE2C219" w14:textId="77777777" w:rsidR="00000BB0" w:rsidRPr="007C1819" w:rsidRDefault="00000BB0" w:rsidP="0056526B">
      <w:pPr>
        <w:pStyle w:val="ListParagraph"/>
        <w:numPr>
          <w:ilvl w:val="0"/>
          <w:numId w:val="26"/>
        </w:numPr>
      </w:pPr>
      <w:r w:rsidRPr="0056526B">
        <w:rPr>
          <w:b/>
          <w:bCs/>
        </w:rPr>
        <w:t>External Fraud</w:t>
      </w:r>
      <w:r>
        <w:t xml:space="preserve">: reports about someone doing the wrong thing with NDIS funds can be </w:t>
      </w:r>
      <w:r w:rsidRPr="00534B46">
        <w:t xml:space="preserve">made to the </w:t>
      </w:r>
      <w:r w:rsidRPr="0056526B">
        <w:rPr>
          <w:color w:val="222222"/>
        </w:rPr>
        <w:t>NDIS Fraud Reporting and Scams Helpline</w:t>
      </w:r>
      <w:r>
        <w:t xml:space="preserve"> via web form (</w:t>
      </w:r>
      <w:hyperlink r:id="rId21" w:history="1">
        <w:r w:rsidRPr="0FA53ABA">
          <w:rPr>
            <w:rStyle w:val="Hyperlink"/>
          </w:rPr>
          <w:t>NDIS website</w:t>
        </w:r>
      </w:hyperlink>
      <w:r>
        <w:t>), email (</w:t>
      </w:r>
      <w:hyperlink r:id="rId22">
        <w:r w:rsidRPr="0FA53ABA">
          <w:rPr>
            <w:rStyle w:val="Hyperlink"/>
          </w:rPr>
          <w:t>fraudreporting@ndis.gov.au</w:t>
        </w:r>
      </w:hyperlink>
      <w:r>
        <w:t xml:space="preserve">), phone (1800 650 717), or the Agency’s </w:t>
      </w:r>
      <w:hyperlink r:id="rId23">
        <w:r w:rsidRPr="0FA53ABA">
          <w:rPr>
            <w:rStyle w:val="Hyperlink"/>
          </w:rPr>
          <w:t>Speak Up</w:t>
        </w:r>
      </w:hyperlink>
      <w:r>
        <w:t xml:space="preserve"> portal (accessible to Agency staff only).</w:t>
      </w:r>
    </w:p>
    <w:p w14:paraId="253D159F" w14:textId="77777777" w:rsidR="00000BB0" w:rsidRDefault="00000BB0" w:rsidP="0056526B">
      <w:pPr>
        <w:pStyle w:val="ListParagraph"/>
        <w:numPr>
          <w:ilvl w:val="0"/>
          <w:numId w:val="26"/>
        </w:numPr>
      </w:pPr>
      <w:hyperlink r:id="rId24" w:history="1">
        <w:r w:rsidRPr="0056526B">
          <w:rPr>
            <w:rStyle w:val="Hyperlink"/>
            <w:b/>
            <w:bCs/>
          </w:rPr>
          <w:t>Scams</w:t>
        </w:r>
      </w:hyperlink>
      <w:r w:rsidRPr="0056526B">
        <w:rPr>
          <w:b/>
          <w:bCs/>
        </w:rPr>
        <w:t xml:space="preserve"> and </w:t>
      </w:r>
      <w:hyperlink r:id="rId25" w:history="1">
        <w:r w:rsidRPr="0056526B">
          <w:rPr>
            <w:rStyle w:val="Hyperlink"/>
            <w:b/>
            <w:bCs/>
          </w:rPr>
          <w:t>Identity fraud</w:t>
        </w:r>
      </w:hyperlink>
      <w:r w:rsidRPr="00046D69">
        <w:t xml:space="preserve">: </w:t>
      </w:r>
      <w:r w:rsidRPr="0056526B">
        <w:rPr>
          <w:color w:val="222222"/>
        </w:rPr>
        <w:t>The NDIS Fraud Reporting and Scams Helpline</w:t>
      </w:r>
      <w:r>
        <w:t xml:space="preserve"> supports those affected by fraud or identity theft, including scams. Information on types of scams and how to report a scam is held on the </w:t>
      </w:r>
      <w:hyperlink r:id="rId26">
        <w:r w:rsidRPr="0FA53ABA">
          <w:rPr>
            <w:rStyle w:val="Hyperlink"/>
          </w:rPr>
          <w:t>NDIS website.</w:t>
        </w:r>
      </w:hyperlink>
    </w:p>
    <w:p w14:paraId="337334C0" w14:textId="77777777" w:rsidR="00000BB0" w:rsidRPr="00C821E8" w:rsidRDefault="00000BB0" w:rsidP="0056526B">
      <w:pPr>
        <w:pStyle w:val="ListParagraph"/>
        <w:numPr>
          <w:ilvl w:val="0"/>
          <w:numId w:val="26"/>
        </w:numPr>
      </w:pPr>
      <w:r w:rsidRPr="0056526B">
        <w:rPr>
          <w:b/>
          <w:bCs/>
        </w:rPr>
        <w:t>Public Interest Disclosure (PID):</w:t>
      </w:r>
      <w:r w:rsidRPr="00C821E8">
        <w:t xml:space="preserve"> Under the </w:t>
      </w:r>
      <w:r w:rsidRPr="0056526B">
        <w:rPr>
          <w:i/>
          <w:iCs/>
        </w:rPr>
        <w:t>Public Interest Disclosure Act 2013</w:t>
      </w:r>
      <w:r w:rsidRPr="00C821E8">
        <w:t>, NDIA employees and contractors can confidentially report suspected wrongdoing, including fraud, corruption, or serious misconduct, in the public interest. Internal PIDs can be made</w:t>
      </w:r>
      <w:r>
        <w:t xml:space="preserve"> by any of the following methods</w:t>
      </w:r>
      <w:r w:rsidRPr="00C821E8">
        <w:t>:</w:t>
      </w:r>
    </w:p>
    <w:p w14:paraId="65BB883C" w14:textId="77777777" w:rsidR="00000BB0" w:rsidRDefault="00000BB0" w:rsidP="0056526B">
      <w:pPr>
        <w:pStyle w:val="ListParagraph"/>
        <w:numPr>
          <w:ilvl w:val="1"/>
          <w:numId w:val="27"/>
        </w:numPr>
      </w:pPr>
      <w:r w:rsidRPr="00C821E8">
        <w:t>in person to their supervisor or one of the NDIA’s authorised officers, including through a videoconference meeting such as Microsoft Teams</w:t>
      </w:r>
      <w:r>
        <w:t>.</w:t>
      </w:r>
    </w:p>
    <w:p w14:paraId="66664182" w14:textId="77777777" w:rsidR="00000BB0" w:rsidRPr="00C821E8" w:rsidRDefault="00000BB0" w:rsidP="0056526B">
      <w:pPr>
        <w:pStyle w:val="ListParagraph"/>
        <w:numPr>
          <w:ilvl w:val="1"/>
          <w:numId w:val="27"/>
        </w:numPr>
      </w:pPr>
      <w:r w:rsidRPr="00C821E8">
        <w:t xml:space="preserve">by email to PID@ndis.gov.au (all emails to the PID inbox are treated as confidential) </w:t>
      </w:r>
    </w:p>
    <w:p w14:paraId="7BEBFEA6" w14:textId="77777777" w:rsidR="00000BB0" w:rsidRPr="00C821E8" w:rsidRDefault="00000BB0" w:rsidP="0056526B">
      <w:pPr>
        <w:pStyle w:val="ListParagraph"/>
        <w:numPr>
          <w:ilvl w:val="1"/>
          <w:numId w:val="27"/>
        </w:numPr>
      </w:pPr>
      <w:r w:rsidRPr="00C821E8">
        <w:lastRenderedPageBreak/>
        <w:t>verbally by calling +61 2 6233 9200 and leaving a confidential voice message.</w:t>
      </w:r>
    </w:p>
    <w:p w14:paraId="2795321F" w14:textId="77777777" w:rsidR="00000BB0" w:rsidRDefault="00000BB0" w:rsidP="0056526B">
      <w:pPr>
        <w:pStyle w:val="ListParagraph"/>
        <w:numPr>
          <w:ilvl w:val="0"/>
          <w:numId w:val="26"/>
        </w:numPr>
      </w:pPr>
      <w:r w:rsidRPr="0056526B">
        <w:rPr>
          <w:b/>
          <w:bCs/>
          <w:sz w:val="22"/>
          <w:szCs w:val="22"/>
        </w:rPr>
        <w:t>National Anti-Corruption Commission</w:t>
      </w:r>
      <w:r w:rsidRPr="0056526B">
        <w:rPr>
          <w:b/>
          <w:bCs/>
        </w:rPr>
        <w:t xml:space="preserve"> (NACC)</w:t>
      </w:r>
      <w:r w:rsidRPr="0056526B">
        <w:rPr>
          <w:b/>
          <w:bCs/>
          <w:sz w:val="22"/>
          <w:szCs w:val="22"/>
        </w:rPr>
        <w:t xml:space="preserve"> Referral</w:t>
      </w:r>
      <w:r w:rsidRPr="0056526B">
        <w:rPr>
          <w:b/>
          <w:bCs/>
        </w:rPr>
        <w:t xml:space="preserve">: </w:t>
      </w:r>
      <w:r w:rsidRPr="00891AD5">
        <w:t xml:space="preserve">The Agency complies with mandatory referral obligations placed on Agency’s executives and Public Interest Disclosure officers under the </w:t>
      </w:r>
      <w:r w:rsidRPr="0056526B">
        <w:rPr>
          <w:i/>
          <w:iCs/>
        </w:rPr>
        <w:t>National Anti-Corruption Act 2022</w:t>
      </w:r>
      <w:r w:rsidRPr="00891AD5">
        <w:t xml:space="preserve"> to refer conduct that could be either serious or systemically corrupt in nature to the NACC. The NACC may investigate if it considers the matter could</w:t>
      </w:r>
      <w:r w:rsidRPr="0056526B">
        <w:rPr>
          <w:b/>
          <w:bCs/>
        </w:rPr>
        <w:t xml:space="preserve"> involve</w:t>
      </w:r>
      <w:r w:rsidRPr="00CB255E">
        <w:t xml:space="preserve"> serious or systemic corrupt conduct. </w:t>
      </w:r>
      <w:r w:rsidRPr="00A932E5">
        <w:t xml:space="preserve">The </w:t>
      </w:r>
      <w:r w:rsidRPr="00891AD5">
        <w:t>Public Interest Disclosure</w:t>
      </w:r>
      <w:r w:rsidRPr="00A932E5">
        <w:t xml:space="preserve"> framework provides legal protections against reprisal for individuals who make disclosures and ensures that reports are assessed and managed appropriately. </w:t>
      </w:r>
      <w:r>
        <w:t xml:space="preserve">The Agency </w:t>
      </w:r>
      <w:r w:rsidRPr="00A932E5">
        <w:t xml:space="preserve">has designated </w:t>
      </w:r>
      <w:r w:rsidRPr="00891AD5">
        <w:t>Public Interest Disclosure</w:t>
      </w:r>
      <w:r w:rsidRPr="00A932E5">
        <w:t xml:space="preserve"> officers and established procedures to support staff in making disclosures safely and securely.</w:t>
      </w:r>
    </w:p>
    <w:p w14:paraId="34966980" w14:textId="4A491037" w:rsidR="00570A06" w:rsidRDefault="00000BB0" w:rsidP="0056526B">
      <w:pPr>
        <w:pStyle w:val="ListParagraph"/>
        <w:numPr>
          <w:ilvl w:val="1"/>
          <w:numId w:val="28"/>
        </w:numPr>
      </w:pPr>
      <w:r>
        <w:t>Agency staff may decide to report serious or systemic corruption to the NACC as a voluntary referral or refer matters to the Agency’s Chief Counsel Division.</w:t>
      </w:r>
    </w:p>
    <w:p w14:paraId="37D46FEA" w14:textId="50424C7F" w:rsidR="007711BD" w:rsidRDefault="007711BD" w:rsidP="007711BD">
      <w:pPr>
        <w:pStyle w:val="Heading2"/>
      </w:pPr>
      <w:bookmarkStart w:id="63" w:name="_Toc227061785"/>
      <w:r>
        <w:t>References</w:t>
      </w:r>
      <w:bookmarkEnd w:id="63"/>
    </w:p>
    <w:p w14:paraId="01C210F6" w14:textId="03E45C2C" w:rsidR="008452D0" w:rsidRPr="005F20C8" w:rsidRDefault="008452D0" w:rsidP="005F20C8">
      <w:pPr>
        <w:pStyle w:val="Bullet1"/>
      </w:pPr>
      <w:hyperlink r:id="rId27" w:history="1">
        <w:r w:rsidRPr="005F20C8">
          <w:rPr>
            <w:rStyle w:val="Hyperlink"/>
            <w:i/>
            <w:iCs/>
          </w:rPr>
          <w:t>N</w:t>
        </w:r>
        <w:r w:rsidR="004A10B4" w:rsidRPr="005F20C8">
          <w:rPr>
            <w:rStyle w:val="Hyperlink"/>
            <w:i/>
            <w:iCs/>
          </w:rPr>
          <w:t xml:space="preserve">ational </w:t>
        </w:r>
        <w:r w:rsidRPr="005F20C8">
          <w:rPr>
            <w:rStyle w:val="Hyperlink"/>
            <w:i/>
            <w:iCs/>
          </w:rPr>
          <w:t>D</w:t>
        </w:r>
        <w:r w:rsidR="004A10B4" w:rsidRPr="005F20C8">
          <w:rPr>
            <w:rStyle w:val="Hyperlink"/>
            <w:i/>
            <w:iCs/>
          </w:rPr>
          <w:t xml:space="preserve">isability </w:t>
        </w:r>
        <w:r w:rsidRPr="005F20C8">
          <w:rPr>
            <w:rStyle w:val="Hyperlink"/>
            <w:i/>
            <w:iCs/>
          </w:rPr>
          <w:t>I</w:t>
        </w:r>
        <w:r w:rsidR="004A10B4" w:rsidRPr="005F20C8">
          <w:rPr>
            <w:rStyle w:val="Hyperlink"/>
            <w:i/>
            <w:iCs/>
          </w:rPr>
          <w:t xml:space="preserve">nsurance </w:t>
        </w:r>
        <w:r w:rsidRPr="005F20C8">
          <w:rPr>
            <w:rStyle w:val="Hyperlink"/>
            <w:i/>
            <w:iCs/>
          </w:rPr>
          <w:t>A</w:t>
        </w:r>
        <w:r w:rsidR="004A10B4" w:rsidRPr="005F20C8">
          <w:rPr>
            <w:rStyle w:val="Hyperlink"/>
            <w:i/>
            <w:iCs/>
          </w:rPr>
          <w:t>gency</w:t>
        </w:r>
        <w:r w:rsidRPr="005F20C8">
          <w:rPr>
            <w:rStyle w:val="Hyperlink"/>
            <w:i/>
            <w:iCs/>
          </w:rPr>
          <w:t xml:space="preserve"> Corporate Plan 2025-26</w:t>
        </w:r>
      </w:hyperlink>
      <w:r w:rsidR="00E057EA">
        <w:t>,</w:t>
      </w:r>
      <w:r w:rsidR="005C1E88">
        <w:t xml:space="preserve"> 2025</w:t>
      </w:r>
    </w:p>
    <w:p w14:paraId="63045DA8" w14:textId="3D18ADB6" w:rsidR="00631F84" w:rsidRPr="00631F84" w:rsidRDefault="00631F84" w:rsidP="005F20C8">
      <w:pPr>
        <w:pStyle w:val="Bullet1"/>
      </w:pPr>
      <w:hyperlink r:id="rId28" w:history="1">
        <w:r w:rsidRPr="005F20C8">
          <w:rPr>
            <w:rStyle w:val="Hyperlink"/>
            <w:i/>
            <w:iCs/>
          </w:rPr>
          <w:t>Public Governance, Performance and Accountability Act</w:t>
        </w:r>
      </w:hyperlink>
      <w:r w:rsidR="00D46159" w:rsidRPr="005F20C8">
        <w:t>,</w:t>
      </w:r>
      <w:r w:rsidRPr="00631F84">
        <w:t xml:space="preserve"> 2013</w:t>
      </w:r>
    </w:p>
    <w:sectPr w:rsidR="00631F84" w:rsidRPr="00631F84" w:rsidSect="00B10295">
      <w:headerReference w:type="default" r:id="rId29"/>
      <w:pgSz w:w="11906" w:h="16838" w:code="9"/>
      <w:pgMar w:top="1701" w:right="1440" w:bottom="1701"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F7152" w14:textId="77777777" w:rsidR="00E24D14" w:rsidRPr="00965145" w:rsidRDefault="00E24D14" w:rsidP="00042A45">
      <w:r w:rsidRPr="00965145">
        <w:separator/>
      </w:r>
    </w:p>
    <w:p w14:paraId="4D9B10A2" w14:textId="77777777" w:rsidR="00E24D14" w:rsidRPr="00965145" w:rsidRDefault="00E24D14" w:rsidP="00042A45"/>
    <w:p w14:paraId="50D9F962" w14:textId="77777777" w:rsidR="00E24D14" w:rsidRPr="00965145" w:rsidRDefault="00E24D14" w:rsidP="00042A45"/>
    <w:p w14:paraId="5540F8F8" w14:textId="77777777" w:rsidR="00E24D14" w:rsidRPr="00965145" w:rsidRDefault="00E24D14" w:rsidP="00042A45"/>
    <w:p w14:paraId="389C302A" w14:textId="77777777" w:rsidR="00E24D14" w:rsidRPr="00965145" w:rsidRDefault="00E24D14" w:rsidP="00042A45"/>
    <w:p w14:paraId="5AF08E94" w14:textId="77777777" w:rsidR="00E24D14" w:rsidRPr="00965145" w:rsidRDefault="00E24D14" w:rsidP="00042A45"/>
    <w:p w14:paraId="599A9D01" w14:textId="77777777" w:rsidR="00E24D14" w:rsidRPr="00965145" w:rsidRDefault="00E24D14" w:rsidP="00042A45"/>
    <w:p w14:paraId="1B861605" w14:textId="77777777" w:rsidR="00E24D14" w:rsidRPr="00965145" w:rsidRDefault="00E24D14" w:rsidP="00042A45"/>
    <w:p w14:paraId="02076B74" w14:textId="77777777" w:rsidR="00E24D14" w:rsidRPr="00965145" w:rsidRDefault="00E24D14" w:rsidP="00042A45"/>
    <w:p w14:paraId="71B1E601" w14:textId="77777777" w:rsidR="00E24D14" w:rsidRPr="00965145" w:rsidRDefault="00E24D14" w:rsidP="00042A45"/>
    <w:p w14:paraId="50D19C4A" w14:textId="77777777" w:rsidR="00E24D14" w:rsidRPr="00965145" w:rsidRDefault="00E24D14" w:rsidP="00042A45"/>
    <w:p w14:paraId="1465B141" w14:textId="77777777" w:rsidR="00E24D14" w:rsidRDefault="00E24D14"/>
    <w:p w14:paraId="1C4DD372" w14:textId="77777777" w:rsidR="00E24D14" w:rsidRDefault="00E24D14"/>
  </w:endnote>
  <w:endnote w:type="continuationSeparator" w:id="0">
    <w:p w14:paraId="7EC2AAC5" w14:textId="77777777" w:rsidR="00E24D14" w:rsidRPr="00965145" w:rsidRDefault="00E24D14" w:rsidP="00042A45">
      <w:r w:rsidRPr="00965145">
        <w:continuationSeparator/>
      </w:r>
    </w:p>
    <w:p w14:paraId="0D1E33FE" w14:textId="77777777" w:rsidR="00E24D14" w:rsidRPr="00965145" w:rsidRDefault="00E24D14" w:rsidP="00042A45"/>
    <w:p w14:paraId="5ABD4474" w14:textId="77777777" w:rsidR="00E24D14" w:rsidRPr="00965145" w:rsidRDefault="00E24D14" w:rsidP="00042A45"/>
    <w:p w14:paraId="29F80449" w14:textId="77777777" w:rsidR="00E24D14" w:rsidRPr="00965145" w:rsidRDefault="00E24D14" w:rsidP="00042A45"/>
    <w:p w14:paraId="2AC93ECF" w14:textId="77777777" w:rsidR="00E24D14" w:rsidRPr="00965145" w:rsidRDefault="00E24D14" w:rsidP="00042A45"/>
    <w:p w14:paraId="057B6052" w14:textId="77777777" w:rsidR="00E24D14" w:rsidRPr="00965145" w:rsidRDefault="00E24D14" w:rsidP="00042A45"/>
    <w:p w14:paraId="692AEA73" w14:textId="77777777" w:rsidR="00E24D14" w:rsidRPr="00965145" w:rsidRDefault="00E24D14" w:rsidP="00042A45"/>
    <w:p w14:paraId="2E71349D" w14:textId="77777777" w:rsidR="00E24D14" w:rsidRPr="00965145" w:rsidRDefault="00E24D14" w:rsidP="00042A45"/>
    <w:p w14:paraId="47FC4805" w14:textId="77777777" w:rsidR="00E24D14" w:rsidRPr="00965145" w:rsidRDefault="00E24D14" w:rsidP="00042A45"/>
    <w:p w14:paraId="3463D19E" w14:textId="77777777" w:rsidR="00E24D14" w:rsidRPr="00965145" w:rsidRDefault="00E24D14" w:rsidP="00042A45"/>
    <w:p w14:paraId="746D6027" w14:textId="77777777" w:rsidR="00E24D14" w:rsidRPr="00965145" w:rsidRDefault="00E24D14" w:rsidP="00042A45"/>
    <w:p w14:paraId="230EBC7E" w14:textId="77777777" w:rsidR="00E24D14" w:rsidRDefault="00E24D14"/>
    <w:p w14:paraId="0761FF39" w14:textId="77777777" w:rsidR="00E24D14" w:rsidRDefault="00E24D14"/>
  </w:endnote>
  <w:endnote w:type="continuationNotice" w:id="1">
    <w:p w14:paraId="01C01C65" w14:textId="77777777" w:rsidR="00E24D14" w:rsidRDefault="00E24D14">
      <w:pPr>
        <w:spacing w:after="0" w:line="240" w:lineRule="auto"/>
      </w:pPr>
    </w:p>
    <w:p w14:paraId="420DF2F5" w14:textId="77777777" w:rsidR="00E24D14" w:rsidRDefault="00E24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rPr>
      <w:id w:val="-572040320"/>
      <w:docPartObj>
        <w:docPartGallery w:val="Page Numbers (Bottom of Page)"/>
        <w:docPartUnique/>
      </w:docPartObj>
    </w:sdtPr>
    <w:sdtEndPr/>
    <w:sdtContent>
      <w:p w14:paraId="63463F4E" w14:textId="31A09664" w:rsidR="008917C5" w:rsidRDefault="00EE1BC9" w:rsidP="008542BE">
        <w:pPr>
          <w:pStyle w:val="Footer"/>
        </w:pPr>
        <w:r w:rsidRPr="00965145">
          <w:t xml:space="preserve">ndis.gov.au </w:t>
        </w:r>
        <w:r w:rsidRPr="00965145">
          <w:tab/>
        </w:r>
        <w:r w:rsidR="00B7381C">
          <w:rPr>
            <w:b w:val="0"/>
            <w:bCs w:val="0"/>
          </w:rPr>
          <w:t>March 2026</w:t>
        </w:r>
        <w:r w:rsidRPr="00965145">
          <w:rPr>
            <w:b w:val="0"/>
            <w:bCs w:val="0"/>
          </w:rPr>
          <w:t xml:space="preserve"> | </w:t>
        </w:r>
        <w:r w:rsidR="00B96E8C">
          <w:rPr>
            <w:b w:val="0"/>
            <w:bCs w:val="0"/>
          </w:rPr>
          <w:t>NDIA Fraud and Corruption Control Plan</w:t>
        </w:r>
        <w:r w:rsidRPr="00965145">
          <w:tab/>
        </w:r>
        <w:r w:rsidRPr="00965145">
          <w:rPr>
            <w:b w:val="0"/>
            <w:bCs w:val="0"/>
          </w:rPr>
          <w:fldChar w:fldCharType="begin"/>
        </w:r>
        <w:r w:rsidRPr="00965145">
          <w:instrText xml:space="preserve"> PAGE </w:instrText>
        </w:r>
        <w:r w:rsidRPr="00965145">
          <w:rPr>
            <w:b w:val="0"/>
            <w:bCs w:val="0"/>
          </w:rPr>
          <w:fldChar w:fldCharType="separate"/>
        </w:r>
        <w:r w:rsidRPr="00965145">
          <w:t>1</w:t>
        </w:r>
        <w:r w:rsidRPr="00965145">
          <w:rPr>
            <w:b w:val="0"/>
            <w:bCs w:val="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95B3" w14:textId="77777777" w:rsidR="009B2942" w:rsidRPr="00DA6E0F" w:rsidRDefault="009B2942" w:rsidP="009B2942">
    <w:pPr>
      <w:pStyle w:val="Header"/>
      <w:spacing w:before="0" w:after="200"/>
      <w:rPr>
        <w:color w:val="F9F9F9" w:themeColor="background1"/>
      </w:rPr>
    </w:pPr>
    <w:r w:rsidRPr="00DA6E0F">
      <w:rPr>
        <w:color w:val="F9F9F9" w:themeColor="background1"/>
      </w:rPr>
      <w:t>OFFICIAL, OFFICIAL: SENSITIVE, or UNOFFICIAL</w:t>
    </w:r>
  </w:p>
  <w:sdt>
    <w:sdtPr>
      <w:id w:val="1726405002"/>
      <w:docPartObj>
        <w:docPartGallery w:val="Page Numbers (Bottom of Page)"/>
        <w:docPartUnique/>
      </w:docPartObj>
    </w:sdtPr>
    <w:sdtEndPr/>
    <w:sdtContent>
      <w:p w14:paraId="15A4D8F5" w14:textId="77777777" w:rsidR="00834863" w:rsidRPr="00965145" w:rsidRDefault="009B2942" w:rsidP="009B2942">
        <w:pPr>
          <w:pStyle w:val="Footer"/>
        </w:pPr>
        <w:r w:rsidRPr="00965145">
          <w:t xml:space="preserve">ndis.gov.au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1E9C2" w14:textId="77777777" w:rsidR="00E24D14" w:rsidRDefault="00E24D14" w:rsidP="0046351B">
      <w:pPr>
        <w:spacing w:after="0"/>
      </w:pPr>
      <w:r w:rsidRPr="00965145">
        <w:separator/>
      </w:r>
    </w:p>
  </w:footnote>
  <w:footnote w:type="continuationSeparator" w:id="0">
    <w:p w14:paraId="7F8BD6DC" w14:textId="77777777" w:rsidR="00E24D14" w:rsidRPr="00965145" w:rsidRDefault="00E24D14" w:rsidP="00042A45">
      <w:r w:rsidRPr="00965145">
        <w:continuationSeparator/>
      </w:r>
    </w:p>
    <w:p w14:paraId="32BEAF15" w14:textId="77777777" w:rsidR="00E24D14" w:rsidRPr="00965145" w:rsidRDefault="00E24D14" w:rsidP="00042A45"/>
    <w:p w14:paraId="584F8787" w14:textId="77777777" w:rsidR="00E24D14" w:rsidRPr="00965145" w:rsidRDefault="00E24D14" w:rsidP="00042A45"/>
    <w:p w14:paraId="7E0F2A25" w14:textId="77777777" w:rsidR="00E24D14" w:rsidRPr="00965145" w:rsidRDefault="00E24D14" w:rsidP="00042A45"/>
    <w:p w14:paraId="26D0C10F" w14:textId="77777777" w:rsidR="00E24D14" w:rsidRPr="00965145" w:rsidRDefault="00E24D14" w:rsidP="00042A45"/>
    <w:p w14:paraId="318B1A6B" w14:textId="77777777" w:rsidR="00E24D14" w:rsidRPr="00965145" w:rsidRDefault="00E24D14" w:rsidP="00042A45"/>
    <w:p w14:paraId="408136AA" w14:textId="77777777" w:rsidR="00E24D14" w:rsidRPr="00965145" w:rsidRDefault="00E24D14" w:rsidP="00042A45"/>
    <w:p w14:paraId="381AEFA6" w14:textId="77777777" w:rsidR="00E24D14" w:rsidRPr="00965145" w:rsidRDefault="00E24D14" w:rsidP="00042A45"/>
    <w:p w14:paraId="7C688F9D" w14:textId="77777777" w:rsidR="00E24D14" w:rsidRPr="00965145" w:rsidRDefault="00E24D14" w:rsidP="00042A45"/>
    <w:p w14:paraId="525A71D8" w14:textId="77777777" w:rsidR="00E24D14" w:rsidRPr="00965145" w:rsidRDefault="00E24D14" w:rsidP="00042A45"/>
    <w:p w14:paraId="72CE5663" w14:textId="77777777" w:rsidR="00E24D14" w:rsidRPr="00965145" w:rsidRDefault="00E24D14" w:rsidP="00042A45"/>
    <w:p w14:paraId="70D51BE2" w14:textId="77777777" w:rsidR="00E24D14" w:rsidRDefault="00E24D14"/>
    <w:p w14:paraId="3A9B9A1F" w14:textId="77777777" w:rsidR="00E24D14" w:rsidRDefault="00E24D14"/>
  </w:footnote>
  <w:footnote w:type="continuationNotice" w:id="1">
    <w:p w14:paraId="55CD30FA" w14:textId="77777777" w:rsidR="00E24D14" w:rsidRDefault="00E24D14">
      <w:pPr>
        <w:spacing w:after="0" w:line="240" w:lineRule="auto"/>
      </w:pPr>
    </w:p>
    <w:p w14:paraId="3BDCC442" w14:textId="77777777" w:rsidR="00E24D14" w:rsidRDefault="00E24D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1EAC" w14:textId="77777777" w:rsidR="00834863" w:rsidRPr="00965145" w:rsidRDefault="00834863" w:rsidP="00E77043">
    <w:pPr>
      <w:pStyle w:val="Header"/>
      <w:spacing w:before="0" w:after="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4DFF" w14:textId="77777777" w:rsidR="0096224E" w:rsidRPr="00965145" w:rsidRDefault="0096224E" w:rsidP="0096224E">
    <w:pPr>
      <w:pStyle w:val="Header"/>
      <w:spacing w:before="0" w:after="200"/>
    </w:pPr>
    <w:r w:rsidRPr="00965145">
      <w:t>OFFICIAL, OFFICIAL: SENSITIVE, or UNOFFICIAL</w:t>
    </w:r>
  </w:p>
  <w:p w14:paraId="01530F06" w14:textId="77777777" w:rsidR="0096224E" w:rsidRPr="0096224E" w:rsidRDefault="00B10295" w:rsidP="0096224E">
    <w:pPr>
      <w:pStyle w:val="Header"/>
      <w:jc w:val="left"/>
    </w:pPr>
    <w:r w:rsidRPr="00B10295">
      <w:rPr>
        <w:rFonts w:eastAsia="Times New Roman"/>
        <w:noProof/>
        <w:color w:val="auto"/>
        <w:lang w:val="en-US" w:eastAsia="ja-JP"/>
      </w:rPr>
      <w:drawing>
        <wp:anchor distT="0" distB="0" distL="114300" distR="114300" simplePos="0" relativeHeight="251664385" behindDoc="0" locked="1" layoutInCell="1" allowOverlap="1" wp14:anchorId="19FD47F7" wp14:editId="09F4D101">
          <wp:simplePos x="0" y="0"/>
          <wp:positionH relativeFrom="page">
            <wp:align>left</wp:align>
          </wp:positionH>
          <wp:positionV relativeFrom="page">
            <wp:align>top</wp:align>
          </wp:positionV>
          <wp:extent cx="7556400" cy="10688400"/>
          <wp:effectExtent l="0" t="0" r="0" b="0"/>
          <wp:wrapNone/>
          <wp:docPr id="24318821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18821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1068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F574" w14:textId="77777777" w:rsidR="009A4A14" w:rsidRDefault="009A4A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41CE7"/>
    <w:multiLevelType w:val="hybridMultilevel"/>
    <w:tmpl w:val="ED0C8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3055FF"/>
    <w:multiLevelType w:val="multilevel"/>
    <w:tmpl w:val="BE183858"/>
    <w:lvl w:ilvl="0">
      <w:start w:val="1"/>
      <w:numFmt w:val="bullet"/>
      <w:pStyle w:val="Bullet1"/>
      <w:lvlText w:val=""/>
      <w:lvlJc w:val="left"/>
      <w:pPr>
        <w:ind w:left="714" w:hanging="357"/>
      </w:pPr>
      <w:rPr>
        <w:rFonts w:ascii="Symbol" w:hAnsi="Symbol" w:hint="default"/>
      </w:rPr>
    </w:lvl>
    <w:lvl w:ilvl="1">
      <w:start w:val="1"/>
      <w:numFmt w:val="bullet"/>
      <w:lvlText w:val=""/>
      <w:lvlJc w:val="left"/>
      <w:pPr>
        <w:ind w:left="1071" w:hanging="357"/>
      </w:pPr>
      <w:rPr>
        <w:rFonts w:ascii="Symbol" w:hAnsi="Symbol" w:hint="default"/>
      </w:rPr>
    </w:lvl>
    <w:lvl w:ilvl="2">
      <w:start w:val="1"/>
      <w:numFmt w:val="bullet"/>
      <w:lvlText w:val=""/>
      <w:lvlJc w:val="left"/>
      <w:pPr>
        <w:ind w:left="1428" w:hanging="357"/>
      </w:pPr>
      <w:rPr>
        <w:rFonts w:ascii="Wingdings" w:hAnsi="Wingdings" w:hint="default"/>
      </w:rPr>
    </w:lvl>
    <w:lvl w:ilvl="3">
      <w:start w:val="1"/>
      <w:numFmt w:val="bullet"/>
      <w:lvlText w:val=""/>
      <w:lvlJc w:val="left"/>
      <w:pPr>
        <w:ind w:left="1785" w:hanging="357"/>
      </w:pPr>
      <w:rPr>
        <w:rFonts w:ascii="Symbol" w:hAnsi="Symbol" w:hint="default"/>
      </w:rPr>
    </w:lvl>
    <w:lvl w:ilvl="4">
      <w:start w:val="1"/>
      <w:numFmt w:val="bullet"/>
      <w:lvlText w:val="o"/>
      <w:lvlJc w:val="left"/>
      <w:pPr>
        <w:ind w:left="2142" w:hanging="357"/>
      </w:pPr>
      <w:rPr>
        <w:rFonts w:ascii="Courier New" w:hAnsi="Courier New" w:cs="Courier New" w:hint="default"/>
      </w:rPr>
    </w:lvl>
    <w:lvl w:ilvl="5">
      <w:start w:val="1"/>
      <w:numFmt w:val="bullet"/>
      <w:lvlText w:val=""/>
      <w:lvlJc w:val="left"/>
      <w:pPr>
        <w:ind w:left="2499" w:hanging="357"/>
      </w:pPr>
      <w:rPr>
        <w:rFonts w:ascii="Wingdings" w:hAnsi="Wingdings" w:hint="default"/>
      </w:rPr>
    </w:lvl>
    <w:lvl w:ilvl="6">
      <w:start w:val="1"/>
      <w:numFmt w:val="bullet"/>
      <w:lvlText w:val=""/>
      <w:lvlJc w:val="left"/>
      <w:pPr>
        <w:ind w:left="2856" w:hanging="357"/>
      </w:pPr>
      <w:rPr>
        <w:rFonts w:ascii="Symbol" w:hAnsi="Symbol" w:hint="default"/>
      </w:rPr>
    </w:lvl>
    <w:lvl w:ilvl="7">
      <w:start w:val="1"/>
      <w:numFmt w:val="bullet"/>
      <w:lvlText w:val="o"/>
      <w:lvlJc w:val="left"/>
      <w:pPr>
        <w:ind w:left="3213" w:hanging="357"/>
      </w:pPr>
      <w:rPr>
        <w:rFonts w:ascii="Courier New" w:hAnsi="Courier New" w:cs="Courier New" w:hint="default"/>
      </w:rPr>
    </w:lvl>
    <w:lvl w:ilvl="8">
      <w:start w:val="1"/>
      <w:numFmt w:val="bullet"/>
      <w:lvlText w:val=""/>
      <w:lvlJc w:val="left"/>
      <w:pPr>
        <w:ind w:left="3570" w:hanging="357"/>
      </w:pPr>
      <w:rPr>
        <w:rFonts w:ascii="Wingdings" w:hAnsi="Wingdings" w:hint="default"/>
      </w:rPr>
    </w:lvl>
  </w:abstractNum>
  <w:abstractNum w:abstractNumId="4" w15:restartNumberingAfterBreak="0">
    <w:nsid w:val="21C9494F"/>
    <w:multiLevelType w:val="hybridMultilevel"/>
    <w:tmpl w:val="0B342F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4F46F46"/>
    <w:multiLevelType w:val="multilevel"/>
    <w:tmpl w:val="2F08CB56"/>
    <w:lvl w:ilvl="0">
      <w:start w:val="1"/>
      <w:numFmt w:val="decimal"/>
      <w:lvlText w:val="%1."/>
      <w:lvlJc w:val="left"/>
      <w:pPr>
        <w:ind w:left="360" w:hanging="360"/>
      </w:pPr>
    </w:lvl>
    <w:lvl w:ilvl="1">
      <w:start w:val="1"/>
      <w:numFmt w:val="decimal"/>
      <w:pStyle w:val="11Section-Parapraph"/>
      <w:lvlText w:val="%1.%2."/>
      <w:lvlJc w:val="left"/>
      <w:pPr>
        <w:ind w:left="792" w:hanging="432"/>
      </w:pPr>
    </w:lvl>
    <w:lvl w:ilvl="2">
      <w:start w:val="1"/>
      <w:numFmt w:val="decimal"/>
      <w:pStyle w:val="BoardBrief-Paragrap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946B92"/>
    <w:multiLevelType w:val="hybridMultilevel"/>
    <w:tmpl w:val="1500E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E267BC"/>
    <w:multiLevelType w:val="hybridMultilevel"/>
    <w:tmpl w:val="BE28B44C"/>
    <w:lvl w:ilvl="0" w:tplc="7C94ADB8">
      <w:start w:val="1"/>
      <w:numFmt w:val="bullet"/>
      <w:pStyle w:val="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8210B2F"/>
    <w:multiLevelType w:val="multilevel"/>
    <w:tmpl w:val="85F8EB40"/>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3B557B3D"/>
    <w:multiLevelType w:val="hybridMultilevel"/>
    <w:tmpl w:val="95F2F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14654E"/>
    <w:multiLevelType w:val="hybridMultilevel"/>
    <w:tmpl w:val="5A3C05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A43523"/>
    <w:multiLevelType w:val="hybridMultilevel"/>
    <w:tmpl w:val="663EB2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1B0DBC"/>
    <w:multiLevelType w:val="hybridMultilevel"/>
    <w:tmpl w:val="B7EC6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BA68DF"/>
    <w:multiLevelType w:val="hybridMultilevel"/>
    <w:tmpl w:val="F6222E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5F01224"/>
    <w:multiLevelType w:val="multilevel"/>
    <w:tmpl w:val="09B012BA"/>
    <w:lvl w:ilvl="0">
      <w:start w:val="5"/>
      <w:numFmt w:val="decimal"/>
      <w:lvlText w:val="%1"/>
      <w:lvlJc w:val="left"/>
      <w:pPr>
        <w:ind w:left="420" w:hanging="420"/>
      </w:pPr>
      <w:rPr>
        <w:rFonts w:hint="default"/>
        <w:color w:val="6A2875"/>
        <w:lang w:val="en-AU" w:eastAsia="en-US" w:bidi="ar-SA"/>
      </w:rPr>
    </w:lvl>
    <w:lvl w:ilvl="1">
      <w:start w:val="1"/>
      <w:numFmt w:val="decimal"/>
      <w:lvlText w:val="%1.%2"/>
      <w:lvlJc w:val="left"/>
      <w:pPr>
        <w:ind w:left="720" w:hanging="720"/>
      </w:pPr>
      <w:rPr>
        <w:rFonts w:hint="default"/>
        <w:color w:val="6A2875"/>
        <w:lang w:val="en-AU" w:eastAsia="en-US" w:bidi="ar-SA"/>
      </w:rPr>
    </w:lvl>
    <w:lvl w:ilvl="2">
      <w:start w:val="1"/>
      <w:numFmt w:val="decimal"/>
      <w:pStyle w:val="FCCPHeading4"/>
      <w:lvlText w:val="%1.%2.%3"/>
      <w:lvlJc w:val="left"/>
      <w:pPr>
        <w:ind w:left="720" w:hanging="720"/>
      </w:pPr>
      <w:rPr>
        <w:rFonts w:hint="default"/>
        <w:b/>
        <w:bCs/>
        <w:i w:val="0"/>
        <w:iCs w:val="0"/>
        <w:color w:val="6A2875"/>
        <w:spacing w:val="-2"/>
        <w:w w:val="99"/>
        <w:sz w:val="24"/>
        <w:szCs w:val="24"/>
        <w:lang w:val="en-AU" w:eastAsia="en-US" w:bidi="ar-SA"/>
      </w:rPr>
    </w:lvl>
    <w:lvl w:ilvl="3">
      <w:start w:val="1"/>
      <w:numFmt w:val="decimal"/>
      <w:lvlText w:val="%1.%2.%3.%4"/>
      <w:lvlJc w:val="left"/>
      <w:pPr>
        <w:ind w:left="1080" w:hanging="1080"/>
      </w:pPr>
      <w:rPr>
        <w:rFonts w:hint="default"/>
        <w:color w:val="6A2875"/>
        <w:lang w:val="en-AU" w:eastAsia="en-US" w:bidi="ar-SA"/>
      </w:rPr>
    </w:lvl>
    <w:lvl w:ilvl="4">
      <w:start w:val="1"/>
      <w:numFmt w:val="decimal"/>
      <w:lvlText w:val="%1.%2.%3.%4.%5"/>
      <w:lvlJc w:val="left"/>
      <w:pPr>
        <w:ind w:left="1440" w:hanging="1440"/>
      </w:pPr>
      <w:rPr>
        <w:rFonts w:hint="default"/>
        <w:color w:val="6A2875"/>
        <w:lang w:val="en-AU" w:eastAsia="en-US" w:bidi="ar-SA"/>
      </w:rPr>
    </w:lvl>
    <w:lvl w:ilvl="5">
      <w:start w:val="1"/>
      <w:numFmt w:val="decimal"/>
      <w:lvlText w:val="%1.%2.%3.%4.%5.%6"/>
      <w:lvlJc w:val="left"/>
      <w:pPr>
        <w:ind w:left="1440" w:hanging="1440"/>
      </w:pPr>
      <w:rPr>
        <w:rFonts w:hint="default"/>
        <w:color w:val="6A2875"/>
        <w:lang w:val="en-AU" w:eastAsia="en-US" w:bidi="ar-SA"/>
      </w:rPr>
    </w:lvl>
    <w:lvl w:ilvl="6">
      <w:start w:val="1"/>
      <w:numFmt w:val="decimal"/>
      <w:lvlText w:val="%1.%2.%3.%4.%5.%6.%7"/>
      <w:lvlJc w:val="left"/>
      <w:pPr>
        <w:ind w:left="1800" w:hanging="1800"/>
      </w:pPr>
      <w:rPr>
        <w:rFonts w:hint="default"/>
        <w:color w:val="6A2875"/>
        <w:lang w:val="en-AU" w:eastAsia="en-US" w:bidi="ar-SA"/>
      </w:rPr>
    </w:lvl>
    <w:lvl w:ilvl="7">
      <w:start w:val="1"/>
      <w:numFmt w:val="decimal"/>
      <w:lvlText w:val="%1.%2.%3.%4.%5.%6.%7.%8"/>
      <w:lvlJc w:val="left"/>
      <w:pPr>
        <w:ind w:left="2160" w:hanging="2160"/>
      </w:pPr>
      <w:rPr>
        <w:rFonts w:hint="default"/>
        <w:color w:val="6A2875"/>
        <w:lang w:val="en-AU" w:eastAsia="en-US" w:bidi="ar-SA"/>
      </w:rPr>
    </w:lvl>
    <w:lvl w:ilvl="8">
      <w:start w:val="1"/>
      <w:numFmt w:val="decimal"/>
      <w:lvlText w:val="%1.%2.%3.%4.%5.%6.%7.%8.%9"/>
      <w:lvlJc w:val="left"/>
      <w:pPr>
        <w:ind w:left="2520" w:hanging="2520"/>
      </w:pPr>
      <w:rPr>
        <w:rFonts w:hint="default"/>
        <w:color w:val="6A2875"/>
        <w:lang w:val="en-AU" w:eastAsia="en-US" w:bidi="ar-SA"/>
      </w:rPr>
    </w:lvl>
  </w:abstractNum>
  <w:abstractNum w:abstractNumId="16" w15:restartNumberingAfterBreak="0">
    <w:nsid w:val="58F44CED"/>
    <w:multiLevelType w:val="hybridMultilevel"/>
    <w:tmpl w:val="CC324ED2"/>
    <w:lvl w:ilvl="0" w:tplc="FFFFFFFF">
      <w:start w:val="1"/>
      <w:numFmt w:val="bullet"/>
      <w:lvlText w:val=""/>
      <w:lvlJc w:val="left"/>
      <w:pPr>
        <w:ind w:left="720" w:hanging="360"/>
      </w:pPr>
      <w:rPr>
        <w:rFonts w:ascii="Symbol" w:hAnsi="Symbol" w:hint="default"/>
      </w:rPr>
    </w:lvl>
    <w:lvl w:ilvl="1" w:tplc="A2400F9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AEF3B73"/>
    <w:multiLevelType w:val="multilevel"/>
    <w:tmpl w:val="3EF48A86"/>
    <w:styleLink w:val="Bulletlist"/>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Arial" w:hAnsi="Arial" w:hint="default"/>
      </w:rPr>
    </w:lvl>
    <w:lvl w:ilvl="2">
      <w:start w:val="1"/>
      <w:numFmt w:val="bullet"/>
      <w:lvlText w:val=""/>
      <w:lvlJc w:val="left"/>
      <w:pPr>
        <w:ind w:left="-339" w:hanging="360"/>
      </w:pPr>
      <w:rPr>
        <w:rFonts w:ascii="Wingdings" w:hAnsi="Wingdings" w:hint="default"/>
      </w:rPr>
    </w:lvl>
    <w:lvl w:ilvl="3">
      <w:start w:val="1"/>
      <w:numFmt w:val="bullet"/>
      <w:lvlText w:val=""/>
      <w:lvlJc w:val="left"/>
      <w:pPr>
        <w:ind w:left="381" w:hanging="360"/>
      </w:pPr>
      <w:rPr>
        <w:rFonts w:ascii="Symbol" w:hAnsi="Symbol" w:hint="default"/>
      </w:rPr>
    </w:lvl>
    <w:lvl w:ilvl="4">
      <w:start w:val="1"/>
      <w:numFmt w:val="bullet"/>
      <w:lvlText w:val="o"/>
      <w:lvlJc w:val="left"/>
      <w:pPr>
        <w:ind w:left="1101" w:hanging="360"/>
      </w:pPr>
      <w:rPr>
        <w:rFonts w:ascii="Courier New" w:hAnsi="Courier New" w:cs="Courier New" w:hint="default"/>
      </w:rPr>
    </w:lvl>
    <w:lvl w:ilvl="5">
      <w:start w:val="1"/>
      <w:numFmt w:val="bullet"/>
      <w:lvlText w:val=""/>
      <w:lvlJc w:val="left"/>
      <w:pPr>
        <w:ind w:left="1821" w:hanging="360"/>
      </w:pPr>
      <w:rPr>
        <w:rFonts w:ascii="Wingdings" w:hAnsi="Wingdings" w:hint="default"/>
      </w:rPr>
    </w:lvl>
    <w:lvl w:ilvl="6">
      <w:start w:val="1"/>
      <w:numFmt w:val="bullet"/>
      <w:lvlText w:val=""/>
      <w:lvlJc w:val="left"/>
      <w:pPr>
        <w:ind w:left="2541" w:hanging="360"/>
      </w:pPr>
      <w:rPr>
        <w:rFonts w:ascii="Symbol" w:hAnsi="Symbol" w:hint="default"/>
      </w:rPr>
    </w:lvl>
    <w:lvl w:ilvl="7">
      <w:start w:val="1"/>
      <w:numFmt w:val="bullet"/>
      <w:lvlText w:val="o"/>
      <w:lvlJc w:val="left"/>
      <w:pPr>
        <w:ind w:left="3261" w:hanging="360"/>
      </w:pPr>
      <w:rPr>
        <w:rFonts w:ascii="Courier New" w:hAnsi="Courier New" w:cs="Courier New" w:hint="default"/>
      </w:rPr>
    </w:lvl>
    <w:lvl w:ilvl="8">
      <w:start w:val="1"/>
      <w:numFmt w:val="bullet"/>
      <w:lvlText w:val=""/>
      <w:lvlJc w:val="left"/>
      <w:pPr>
        <w:ind w:left="3981" w:hanging="360"/>
      </w:pPr>
      <w:rPr>
        <w:rFonts w:ascii="Wingdings" w:hAnsi="Wingdings" w:hint="default"/>
      </w:rPr>
    </w:lvl>
  </w:abstractNum>
  <w:abstractNum w:abstractNumId="18" w15:restartNumberingAfterBreak="0">
    <w:nsid w:val="5B4A7F61"/>
    <w:multiLevelType w:val="hybridMultilevel"/>
    <w:tmpl w:val="DBFE1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CF5BEA"/>
    <w:multiLevelType w:val="hybridMultilevel"/>
    <w:tmpl w:val="BEA07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C35099"/>
    <w:multiLevelType w:val="hybridMultilevel"/>
    <w:tmpl w:val="6A746BCE"/>
    <w:lvl w:ilvl="0" w:tplc="FFFFFFFF">
      <w:start w:val="1"/>
      <w:numFmt w:val="bullet"/>
      <w:lvlText w:val=""/>
      <w:lvlJc w:val="left"/>
      <w:pPr>
        <w:ind w:left="720" w:hanging="360"/>
      </w:pPr>
      <w:rPr>
        <w:rFonts w:ascii="Symbol" w:hAnsi="Symbol" w:hint="default"/>
      </w:rPr>
    </w:lvl>
    <w:lvl w:ilvl="1" w:tplc="A2400F9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7753B17"/>
    <w:multiLevelType w:val="hybridMultilevel"/>
    <w:tmpl w:val="1C96F35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8A55469"/>
    <w:multiLevelType w:val="hybridMultilevel"/>
    <w:tmpl w:val="1954339A"/>
    <w:lvl w:ilvl="0" w:tplc="14A6A6E8">
      <w:start w:val="1"/>
      <w:numFmt w:val="decimal"/>
      <w:pStyle w:val="Numberedlist"/>
      <w:lvlText w:val="%1."/>
      <w:lvlJc w:val="left"/>
      <w:pPr>
        <w:ind w:left="-1779" w:hanging="360"/>
      </w:pPr>
      <w:rPr>
        <w:rFonts w:hint="default"/>
      </w:rPr>
    </w:lvl>
    <w:lvl w:ilvl="1" w:tplc="FFFFFFFF">
      <w:start w:val="1"/>
      <w:numFmt w:val="bullet"/>
      <w:lvlText w:val="o"/>
      <w:lvlJc w:val="left"/>
      <w:pPr>
        <w:ind w:left="-1059" w:hanging="360"/>
      </w:pPr>
      <w:rPr>
        <w:rFonts w:ascii="Courier New" w:hAnsi="Courier New" w:cs="Courier New" w:hint="default"/>
      </w:rPr>
    </w:lvl>
    <w:lvl w:ilvl="2" w:tplc="FFFFFFFF">
      <w:start w:val="1"/>
      <w:numFmt w:val="bullet"/>
      <w:lvlText w:val=""/>
      <w:lvlJc w:val="left"/>
      <w:pPr>
        <w:ind w:left="-339" w:hanging="360"/>
      </w:pPr>
      <w:rPr>
        <w:rFonts w:ascii="Wingdings" w:hAnsi="Wingdings" w:hint="default"/>
      </w:rPr>
    </w:lvl>
    <w:lvl w:ilvl="3" w:tplc="FFFFFFFF">
      <w:start w:val="1"/>
      <w:numFmt w:val="bullet"/>
      <w:lvlText w:val=""/>
      <w:lvlJc w:val="left"/>
      <w:pPr>
        <w:ind w:left="381" w:hanging="360"/>
      </w:pPr>
      <w:rPr>
        <w:rFonts w:ascii="Symbol" w:hAnsi="Symbol" w:hint="default"/>
      </w:rPr>
    </w:lvl>
    <w:lvl w:ilvl="4" w:tplc="FFFFFFFF">
      <w:start w:val="1"/>
      <w:numFmt w:val="bullet"/>
      <w:lvlText w:val="o"/>
      <w:lvlJc w:val="left"/>
      <w:pPr>
        <w:ind w:left="1101" w:hanging="360"/>
      </w:pPr>
      <w:rPr>
        <w:rFonts w:ascii="Courier New" w:hAnsi="Courier New" w:cs="Courier New" w:hint="default"/>
      </w:rPr>
    </w:lvl>
    <w:lvl w:ilvl="5" w:tplc="FFFFFFFF" w:tentative="1">
      <w:start w:val="1"/>
      <w:numFmt w:val="bullet"/>
      <w:lvlText w:val=""/>
      <w:lvlJc w:val="left"/>
      <w:pPr>
        <w:ind w:left="1821" w:hanging="360"/>
      </w:pPr>
      <w:rPr>
        <w:rFonts w:ascii="Wingdings" w:hAnsi="Wingdings" w:hint="default"/>
      </w:rPr>
    </w:lvl>
    <w:lvl w:ilvl="6" w:tplc="FFFFFFFF" w:tentative="1">
      <w:start w:val="1"/>
      <w:numFmt w:val="bullet"/>
      <w:lvlText w:val=""/>
      <w:lvlJc w:val="left"/>
      <w:pPr>
        <w:ind w:left="2541" w:hanging="360"/>
      </w:pPr>
      <w:rPr>
        <w:rFonts w:ascii="Symbol" w:hAnsi="Symbol" w:hint="default"/>
      </w:rPr>
    </w:lvl>
    <w:lvl w:ilvl="7" w:tplc="FFFFFFFF" w:tentative="1">
      <w:start w:val="1"/>
      <w:numFmt w:val="bullet"/>
      <w:lvlText w:val="o"/>
      <w:lvlJc w:val="left"/>
      <w:pPr>
        <w:ind w:left="3261" w:hanging="360"/>
      </w:pPr>
      <w:rPr>
        <w:rFonts w:ascii="Courier New" w:hAnsi="Courier New" w:cs="Courier New" w:hint="default"/>
      </w:rPr>
    </w:lvl>
    <w:lvl w:ilvl="8" w:tplc="FFFFFFFF" w:tentative="1">
      <w:start w:val="1"/>
      <w:numFmt w:val="bullet"/>
      <w:lvlText w:val=""/>
      <w:lvlJc w:val="left"/>
      <w:pPr>
        <w:ind w:left="3981" w:hanging="360"/>
      </w:pPr>
      <w:rPr>
        <w:rFonts w:ascii="Wingdings" w:hAnsi="Wingdings" w:hint="default"/>
      </w:rPr>
    </w:lvl>
  </w:abstractNum>
  <w:abstractNum w:abstractNumId="23" w15:restartNumberingAfterBreak="0">
    <w:nsid w:val="73E732A7"/>
    <w:multiLevelType w:val="hybridMultilevel"/>
    <w:tmpl w:val="367EE6FA"/>
    <w:lvl w:ilvl="0" w:tplc="9D544086">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A247D06"/>
    <w:multiLevelType w:val="hybridMultilevel"/>
    <w:tmpl w:val="1CA099B8"/>
    <w:lvl w:ilvl="0" w:tplc="FFFFFFFF">
      <w:start w:val="1"/>
      <w:numFmt w:val="bullet"/>
      <w:lvlText w:val=""/>
      <w:lvlJc w:val="left"/>
      <w:pPr>
        <w:ind w:left="720" w:hanging="360"/>
      </w:pPr>
      <w:rPr>
        <w:rFonts w:ascii="Symbol" w:hAnsi="Symbol" w:hint="default"/>
      </w:rPr>
    </w:lvl>
    <w:lvl w:ilvl="1" w:tplc="A2400F9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B7C1102"/>
    <w:multiLevelType w:val="hybridMultilevel"/>
    <w:tmpl w:val="375C3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C31FA3"/>
    <w:multiLevelType w:val="hybridMultilevel"/>
    <w:tmpl w:val="EBB05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7611780">
    <w:abstractNumId w:val="9"/>
  </w:num>
  <w:num w:numId="2" w16cid:durableId="862402279">
    <w:abstractNumId w:val="0"/>
  </w:num>
  <w:num w:numId="3" w16cid:durableId="1991639433">
    <w:abstractNumId w:val="3"/>
  </w:num>
  <w:num w:numId="4" w16cid:durableId="739518056">
    <w:abstractNumId w:val="26"/>
  </w:num>
  <w:num w:numId="5" w16cid:durableId="145901810">
    <w:abstractNumId w:val="6"/>
  </w:num>
  <w:num w:numId="6" w16cid:durableId="2084796931">
    <w:abstractNumId w:val="2"/>
  </w:num>
  <w:num w:numId="7" w16cid:durableId="1617567124">
    <w:abstractNumId w:val="5"/>
  </w:num>
  <w:num w:numId="8" w16cid:durableId="1605306177">
    <w:abstractNumId w:val="23"/>
  </w:num>
  <w:num w:numId="9" w16cid:durableId="561142459">
    <w:abstractNumId w:val="17"/>
  </w:num>
  <w:num w:numId="10" w16cid:durableId="163791364">
    <w:abstractNumId w:val="22"/>
  </w:num>
  <w:num w:numId="11" w16cid:durableId="2132817907">
    <w:abstractNumId w:val="8"/>
  </w:num>
  <w:num w:numId="12" w16cid:durableId="1733850565">
    <w:abstractNumId w:val="14"/>
  </w:num>
  <w:num w:numId="13" w16cid:durableId="508759192">
    <w:abstractNumId w:val="18"/>
  </w:num>
  <w:num w:numId="14" w16cid:durableId="1885017129">
    <w:abstractNumId w:val="4"/>
  </w:num>
  <w:num w:numId="15" w16cid:durableId="940649863">
    <w:abstractNumId w:val="11"/>
  </w:num>
  <w:num w:numId="16" w16cid:durableId="1771730724">
    <w:abstractNumId w:val="16"/>
  </w:num>
  <w:num w:numId="17" w16cid:durableId="1228955445">
    <w:abstractNumId w:val="10"/>
  </w:num>
  <w:num w:numId="18" w16cid:durableId="135806399">
    <w:abstractNumId w:val="15"/>
  </w:num>
  <w:num w:numId="19" w16cid:durableId="649871594">
    <w:abstractNumId w:val="21"/>
  </w:num>
  <w:num w:numId="20" w16cid:durableId="138426864">
    <w:abstractNumId w:val="25"/>
  </w:num>
  <w:num w:numId="21" w16cid:durableId="1117875309">
    <w:abstractNumId w:val="13"/>
  </w:num>
  <w:num w:numId="22" w16cid:durableId="1818912076">
    <w:abstractNumId w:val="19"/>
  </w:num>
  <w:num w:numId="23" w16cid:durableId="1537767051">
    <w:abstractNumId w:val="27"/>
  </w:num>
  <w:num w:numId="24" w16cid:durableId="491062789">
    <w:abstractNumId w:val="7"/>
  </w:num>
  <w:num w:numId="25" w16cid:durableId="147864419">
    <w:abstractNumId w:val="1"/>
  </w:num>
  <w:num w:numId="26" w16cid:durableId="1594123078">
    <w:abstractNumId w:val="12"/>
  </w:num>
  <w:num w:numId="27" w16cid:durableId="1428691196">
    <w:abstractNumId w:val="20"/>
  </w:num>
  <w:num w:numId="28" w16cid:durableId="53411962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A1"/>
    <w:rsid w:val="000005DE"/>
    <w:rsid w:val="00000BB0"/>
    <w:rsid w:val="0000128B"/>
    <w:rsid w:val="00002898"/>
    <w:rsid w:val="00004BC9"/>
    <w:rsid w:val="00011BDB"/>
    <w:rsid w:val="00012A0D"/>
    <w:rsid w:val="000231B1"/>
    <w:rsid w:val="00030609"/>
    <w:rsid w:val="0003356E"/>
    <w:rsid w:val="00041DFB"/>
    <w:rsid w:val="000422F3"/>
    <w:rsid w:val="00042A45"/>
    <w:rsid w:val="0004449B"/>
    <w:rsid w:val="0005017B"/>
    <w:rsid w:val="000527D9"/>
    <w:rsid w:val="00053A22"/>
    <w:rsid w:val="000616A2"/>
    <w:rsid w:val="0006183C"/>
    <w:rsid w:val="00061B0A"/>
    <w:rsid w:val="000624B2"/>
    <w:rsid w:val="00063848"/>
    <w:rsid w:val="0006487E"/>
    <w:rsid w:val="00066362"/>
    <w:rsid w:val="00066632"/>
    <w:rsid w:val="000733EF"/>
    <w:rsid w:val="00074BED"/>
    <w:rsid w:val="00082346"/>
    <w:rsid w:val="000824DE"/>
    <w:rsid w:val="00084E5D"/>
    <w:rsid w:val="00091C66"/>
    <w:rsid w:val="00092783"/>
    <w:rsid w:val="00094AC7"/>
    <w:rsid w:val="00097F0B"/>
    <w:rsid w:val="000A22C1"/>
    <w:rsid w:val="000A6EE8"/>
    <w:rsid w:val="000A7A46"/>
    <w:rsid w:val="000B0AA1"/>
    <w:rsid w:val="000B7C0E"/>
    <w:rsid w:val="000C17FE"/>
    <w:rsid w:val="000C5838"/>
    <w:rsid w:val="000C5994"/>
    <w:rsid w:val="000C7075"/>
    <w:rsid w:val="000C7F33"/>
    <w:rsid w:val="000D73AB"/>
    <w:rsid w:val="000F2D56"/>
    <w:rsid w:val="00102A1D"/>
    <w:rsid w:val="001072D0"/>
    <w:rsid w:val="00114365"/>
    <w:rsid w:val="001215BB"/>
    <w:rsid w:val="001227F3"/>
    <w:rsid w:val="00122E39"/>
    <w:rsid w:val="00127458"/>
    <w:rsid w:val="00141178"/>
    <w:rsid w:val="0014207A"/>
    <w:rsid w:val="001438E1"/>
    <w:rsid w:val="00143A50"/>
    <w:rsid w:val="001465FF"/>
    <w:rsid w:val="00147198"/>
    <w:rsid w:val="001508D1"/>
    <w:rsid w:val="00150D2A"/>
    <w:rsid w:val="001534CD"/>
    <w:rsid w:val="001559F8"/>
    <w:rsid w:val="00156899"/>
    <w:rsid w:val="00157A3E"/>
    <w:rsid w:val="00164714"/>
    <w:rsid w:val="00164BD6"/>
    <w:rsid w:val="001665A1"/>
    <w:rsid w:val="001670D4"/>
    <w:rsid w:val="00170D45"/>
    <w:rsid w:val="00170EEF"/>
    <w:rsid w:val="001722B1"/>
    <w:rsid w:val="00172532"/>
    <w:rsid w:val="00175B32"/>
    <w:rsid w:val="001809B3"/>
    <w:rsid w:val="00180D51"/>
    <w:rsid w:val="00187EA6"/>
    <w:rsid w:val="00192D14"/>
    <w:rsid w:val="001953AE"/>
    <w:rsid w:val="001A084F"/>
    <w:rsid w:val="001A15AB"/>
    <w:rsid w:val="001A3901"/>
    <w:rsid w:val="001A5BDA"/>
    <w:rsid w:val="001B1583"/>
    <w:rsid w:val="001B420E"/>
    <w:rsid w:val="001B4767"/>
    <w:rsid w:val="001C29E1"/>
    <w:rsid w:val="001C383D"/>
    <w:rsid w:val="001D0C1E"/>
    <w:rsid w:val="001D1418"/>
    <w:rsid w:val="001D188A"/>
    <w:rsid w:val="001D1F3E"/>
    <w:rsid w:val="001D7BFB"/>
    <w:rsid w:val="001E16BC"/>
    <w:rsid w:val="001E2CC6"/>
    <w:rsid w:val="001E50A3"/>
    <w:rsid w:val="001E561C"/>
    <w:rsid w:val="001E630D"/>
    <w:rsid w:val="001F2303"/>
    <w:rsid w:val="001F35A6"/>
    <w:rsid w:val="0020077A"/>
    <w:rsid w:val="00203DEE"/>
    <w:rsid w:val="00207F90"/>
    <w:rsid w:val="00212762"/>
    <w:rsid w:val="00213949"/>
    <w:rsid w:val="00213A1E"/>
    <w:rsid w:val="0021437E"/>
    <w:rsid w:val="00215051"/>
    <w:rsid w:val="0021557F"/>
    <w:rsid w:val="00225353"/>
    <w:rsid w:val="002321EA"/>
    <w:rsid w:val="00234A80"/>
    <w:rsid w:val="00234DDD"/>
    <w:rsid w:val="0023603F"/>
    <w:rsid w:val="00237F5D"/>
    <w:rsid w:val="00250CFB"/>
    <w:rsid w:val="00254C83"/>
    <w:rsid w:val="0025684C"/>
    <w:rsid w:val="00260556"/>
    <w:rsid w:val="002612AE"/>
    <w:rsid w:val="00261FC2"/>
    <w:rsid w:val="00262429"/>
    <w:rsid w:val="00264E2C"/>
    <w:rsid w:val="00275EDC"/>
    <w:rsid w:val="00277603"/>
    <w:rsid w:val="002804DE"/>
    <w:rsid w:val="00283807"/>
    <w:rsid w:val="00294BDA"/>
    <w:rsid w:val="00295F2F"/>
    <w:rsid w:val="002A30E0"/>
    <w:rsid w:val="002B41BB"/>
    <w:rsid w:val="002B755E"/>
    <w:rsid w:val="002C1DFA"/>
    <w:rsid w:val="002C5C1C"/>
    <w:rsid w:val="002C78B5"/>
    <w:rsid w:val="002D052C"/>
    <w:rsid w:val="002D3767"/>
    <w:rsid w:val="002D37A1"/>
    <w:rsid w:val="002D50E1"/>
    <w:rsid w:val="002D5E5C"/>
    <w:rsid w:val="002E016A"/>
    <w:rsid w:val="002E4768"/>
    <w:rsid w:val="002E5010"/>
    <w:rsid w:val="002E75F1"/>
    <w:rsid w:val="002F0B43"/>
    <w:rsid w:val="002F34D5"/>
    <w:rsid w:val="002F436F"/>
    <w:rsid w:val="002F5BB3"/>
    <w:rsid w:val="00300424"/>
    <w:rsid w:val="003073B5"/>
    <w:rsid w:val="00313B3B"/>
    <w:rsid w:val="00313BFF"/>
    <w:rsid w:val="003147DC"/>
    <w:rsid w:val="00323BB7"/>
    <w:rsid w:val="003242D5"/>
    <w:rsid w:val="00325ADB"/>
    <w:rsid w:val="00335442"/>
    <w:rsid w:val="00335B02"/>
    <w:rsid w:val="00340F6E"/>
    <w:rsid w:val="00341478"/>
    <w:rsid w:val="00342035"/>
    <w:rsid w:val="00343D34"/>
    <w:rsid w:val="003445DA"/>
    <w:rsid w:val="00344AAB"/>
    <w:rsid w:val="00344D22"/>
    <w:rsid w:val="00346316"/>
    <w:rsid w:val="00347046"/>
    <w:rsid w:val="003479B7"/>
    <w:rsid w:val="00350212"/>
    <w:rsid w:val="00352238"/>
    <w:rsid w:val="00354A62"/>
    <w:rsid w:val="00360F21"/>
    <w:rsid w:val="003619B4"/>
    <w:rsid w:val="003622D9"/>
    <w:rsid w:val="00366A0C"/>
    <w:rsid w:val="003711AA"/>
    <w:rsid w:val="00372519"/>
    <w:rsid w:val="0038071B"/>
    <w:rsid w:val="00380E79"/>
    <w:rsid w:val="00381736"/>
    <w:rsid w:val="003820DF"/>
    <w:rsid w:val="0038213D"/>
    <w:rsid w:val="00386608"/>
    <w:rsid w:val="00394A2C"/>
    <w:rsid w:val="003A2793"/>
    <w:rsid w:val="003A3FCC"/>
    <w:rsid w:val="003A5104"/>
    <w:rsid w:val="003A60EF"/>
    <w:rsid w:val="003A617F"/>
    <w:rsid w:val="003B10B9"/>
    <w:rsid w:val="003B2BB8"/>
    <w:rsid w:val="003B3F1F"/>
    <w:rsid w:val="003B6091"/>
    <w:rsid w:val="003B6C65"/>
    <w:rsid w:val="003C142B"/>
    <w:rsid w:val="003D34FF"/>
    <w:rsid w:val="003E4509"/>
    <w:rsid w:val="003F081B"/>
    <w:rsid w:val="003F2DA2"/>
    <w:rsid w:val="003F5A24"/>
    <w:rsid w:val="003F6ED7"/>
    <w:rsid w:val="0040062A"/>
    <w:rsid w:val="0040538A"/>
    <w:rsid w:val="00410844"/>
    <w:rsid w:val="00413299"/>
    <w:rsid w:val="0042201A"/>
    <w:rsid w:val="00423D25"/>
    <w:rsid w:val="004307E9"/>
    <w:rsid w:val="0043540D"/>
    <w:rsid w:val="00435CBA"/>
    <w:rsid w:val="00436774"/>
    <w:rsid w:val="0044452C"/>
    <w:rsid w:val="00446794"/>
    <w:rsid w:val="004467BB"/>
    <w:rsid w:val="00457E41"/>
    <w:rsid w:val="0046351B"/>
    <w:rsid w:val="00464040"/>
    <w:rsid w:val="00466168"/>
    <w:rsid w:val="00466A8D"/>
    <w:rsid w:val="00466BF8"/>
    <w:rsid w:val="00467EB7"/>
    <w:rsid w:val="00477708"/>
    <w:rsid w:val="0048002C"/>
    <w:rsid w:val="0048478F"/>
    <w:rsid w:val="004861C3"/>
    <w:rsid w:val="004876FD"/>
    <w:rsid w:val="00491916"/>
    <w:rsid w:val="004A0D9A"/>
    <w:rsid w:val="004A10B4"/>
    <w:rsid w:val="004B31F3"/>
    <w:rsid w:val="004B54CA"/>
    <w:rsid w:val="004B5CD1"/>
    <w:rsid w:val="004C143B"/>
    <w:rsid w:val="004C2D9C"/>
    <w:rsid w:val="004C3A89"/>
    <w:rsid w:val="004C5567"/>
    <w:rsid w:val="004D32B5"/>
    <w:rsid w:val="004E1864"/>
    <w:rsid w:val="004E18E6"/>
    <w:rsid w:val="004E1FCF"/>
    <w:rsid w:val="004E2E71"/>
    <w:rsid w:val="004E3405"/>
    <w:rsid w:val="004E461E"/>
    <w:rsid w:val="004E5CBF"/>
    <w:rsid w:val="004F0179"/>
    <w:rsid w:val="004F436A"/>
    <w:rsid w:val="0050450D"/>
    <w:rsid w:val="00514CAC"/>
    <w:rsid w:val="00515AB6"/>
    <w:rsid w:val="00520A7A"/>
    <w:rsid w:val="00523580"/>
    <w:rsid w:val="005303D1"/>
    <w:rsid w:val="005311B5"/>
    <w:rsid w:val="00531E4B"/>
    <w:rsid w:val="00531F1E"/>
    <w:rsid w:val="00536F48"/>
    <w:rsid w:val="0053770B"/>
    <w:rsid w:val="0053780A"/>
    <w:rsid w:val="00537A29"/>
    <w:rsid w:val="00542AEA"/>
    <w:rsid w:val="00553144"/>
    <w:rsid w:val="0055358F"/>
    <w:rsid w:val="0055492D"/>
    <w:rsid w:val="00554ABE"/>
    <w:rsid w:val="00556FC3"/>
    <w:rsid w:val="00560B8E"/>
    <w:rsid w:val="00562D8C"/>
    <w:rsid w:val="00564AE2"/>
    <w:rsid w:val="0056526B"/>
    <w:rsid w:val="005674BD"/>
    <w:rsid w:val="00570781"/>
    <w:rsid w:val="00570A06"/>
    <w:rsid w:val="005717E9"/>
    <w:rsid w:val="0057255F"/>
    <w:rsid w:val="00573D0A"/>
    <w:rsid w:val="00574D04"/>
    <w:rsid w:val="00574D13"/>
    <w:rsid w:val="005756BA"/>
    <w:rsid w:val="00576162"/>
    <w:rsid w:val="005820CE"/>
    <w:rsid w:val="00582246"/>
    <w:rsid w:val="00585455"/>
    <w:rsid w:val="00586B2A"/>
    <w:rsid w:val="00592871"/>
    <w:rsid w:val="0059298F"/>
    <w:rsid w:val="005938B8"/>
    <w:rsid w:val="00593C73"/>
    <w:rsid w:val="00594958"/>
    <w:rsid w:val="005957FF"/>
    <w:rsid w:val="00595D1D"/>
    <w:rsid w:val="005A0EA4"/>
    <w:rsid w:val="005A1743"/>
    <w:rsid w:val="005A39D4"/>
    <w:rsid w:val="005A4A26"/>
    <w:rsid w:val="005A4D71"/>
    <w:rsid w:val="005A6312"/>
    <w:rsid w:val="005A633A"/>
    <w:rsid w:val="005B3885"/>
    <w:rsid w:val="005C1E88"/>
    <w:rsid w:val="005C3AA9"/>
    <w:rsid w:val="005D0CB0"/>
    <w:rsid w:val="005D18E8"/>
    <w:rsid w:val="005D72FC"/>
    <w:rsid w:val="005E0E88"/>
    <w:rsid w:val="005E5A97"/>
    <w:rsid w:val="005F1E0F"/>
    <w:rsid w:val="005F20C8"/>
    <w:rsid w:val="005F5CE9"/>
    <w:rsid w:val="005F5DFE"/>
    <w:rsid w:val="00604FFC"/>
    <w:rsid w:val="00605267"/>
    <w:rsid w:val="00605F8D"/>
    <w:rsid w:val="00614E86"/>
    <w:rsid w:val="00614FB8"/>
    <w:rsid w:val="00620749"/>
    <w:rsid w:val="00631F84"/>
    <w:rsid w:val="00633338"/>
    <w:rsid w:val="0063775B"/>
    <w:rsid w:val="00641449"/>
    <w:rsid w:val="00641A02"/>
    <w:rsid w:val="00645007"/>
    <w:rsid w:val="006453A0"/>
    <w:rsid w:val="00651CCB"/>
    <w:rsid w:val="0065442B"/>
    <w:rsid w:val="006577CF"/>
    <w:rsid w:val="00664E61"/>
    <w:rsid w:val="006765FF"/>
    <w:rsid w:val="00681404"/>
    <w:rsid w:val="00683992"/>
    <w:rsid w:val="0068765A"/>
    <w:rsid w:val="006908B4"/>
    <w:rsid w:val="006A45B5"/>
    <w:rsid w:val="006A4CE7"/>
    <w:rsid w:val="006A5C9A"/>
    <w:rsid w:val="006A6D57"/>
    <w:rsid w:val="006B46BC"/>
    <w:rsid w:val="006C28F0"/>
    <w:rsid w:val="006C5C18"/>
    <w:rsid w:val="006D169F"/>
    <w:rsid w:val="006D2C20"/>
    <w:rsid w:val="006E464C"/>
    <w:rsid w:val="006E53C7"/>
    <w:rsid w:val="00704707"/>
    <w:rsid w:val="00705AD7"/>
    <w:rsid w:val="00707029"/>
    <w:rsid w:val="00710F7A"/>
    <w:rsid w:val="0071118E"/>
    <w:rsid w:val="007219F1"/>
    <w:rsid w:val="00721AD1"/>
    <w:rsid w:val="0072334A"/>
    <w:rsid w:val="00726D76"/>
    <w:rsid w:val="00735EDC"/>
    <w:rsid w:val="00740E15"/>
    <w:rsid w:val="007447D3"/>
    <w:rsid w:val="00745EA5"/>
    <w:rsid w:val="00746CF9"/>
    <w:rsid w:val="0075092C"/>
    <w:rsid w:val="00751ABE"/>
    <w:rsid w:val="00752073"/>
    <w:rsid w:val="0075350F"/>
    <w:rsid w:val="007574E4"/>
    <w:rsid w:val="00761B91"/>
    <w:rsid w:val="00764323"/>
    <w:rsid w:val="00764E75"/>
    <w:rsid w:val="00765549"/>
    <w:rsid w:val="00767166"/>
    <w:rsid w:val="007677D9"/>
    <w:rsid w:val="007704DB"/>
    <w:rsid w:val="007711BD"/>
    <w:rsid w:val="00777FC1"/>
    <w:rsid w:val="00780925"/>
    <w:rsid w:val="007822F2"/>
    <w:rsid w:val="00784132"/>
    <w:rsid w:val="00784C2F"/>
    <w:rsid w:val="00784EF5"/>
    <w:rsid w:val="00785261"/>
    <w:rsid w:val="00791CE9"/>
    <w:rsid w:val="00794C0B"/>
    <w:rsid w:val="00795B69"/>
    <w:rsid w:val="00797357"/>
    <w:rsid w:val="007A2767"/>
    <w:rsid w:val="007A3A75"/>
    <w:rsid w:val="007A47B3"/>
    <w:rsid w:val="007B0256"/>
    <w:rsid w:val="007B4627"/>
    <w:rsid w:val="007B55A1"/>
    <w:rsid w:val="007B7373"/>
    <w:rsid w:val="007B7460"/>
    <w:rsid w:val="007C2C29"/>
    <w:rsid w:val="007C4C99"/>
    <w:rsid w:val="007C52FF"/>
    <w:rsid w:val="007C53C5"/>
    <w:rsid w:val="007C79C7"/>
    <w:rsid w:val="007D001B"/>
    <w:rsid w:val="007D04FF"/>
    <w:rsid w:val="007D39CC"/>
    <w:rsid w:val="007D51E1"/>
    <w:rsid w:val="007E10B2"/>
    <w:rsid w:val="007E180C"/>
    <w:rsid w:val="007E2E94"/>
    <w:rsid w:val="007E6C06"/>
    <w:rsid w:val="007E7B8A"/>
    <w:rsid w:val="007F1DC0"/>
    <w:rsid w:val="007F4017"/>
    <w:rsid w:val="007F4280"/>
    <w:rsid w:val="007F632F"/>
    <w:rsid w:val="007F66C8"/>
    <w:rsid w:val="007F6C84"/>
    <w:rsid w:val="007F7ACF"/>
    <w:rsid w:val="0080054F"/>
    <w:rsid w:val="00802737"/>
    <w:rsid w:val="00814499"/>
    <w:rsid w:val="00814641"/>
    <w:rsid w:val="00817654"/>
    <w:rsid w:val="00823D11"/>
    <w:rsid w:val="008242E3"/>
    <w:rsid w:val="008273A0"/>
    <w:rsid w:val="008275E5"/>
    <w:rsid w:val="00830A50"/>
    <w:rsid w:val="00834863"/>
    <w:rsid w:val="00837F85"/>
    <w:rsid w:val="00841EA4"/>
    <w:rsid w:val="008452D0"/>
    <w:rsid w:val="008465D8"/>
    <w:rsid w:val="008476F0"/>
    <w:rsid w:val="008478E2"/>
    <w:rsid w:val="0085393C"/>
    <w:rsid w:val="008542BE"/>
    <w:rsid w:val="008557ED"/>
    <w:rsid w:val="008561C0"/>
    <w:rsid w:val="00860ADC"/>
    <w:rsid w:val="00863C7F"/>
    <w:rsid w:val="008660BE"/>
    <w:rsid w:val="00866E25"/>
    <w:rsid w:val="008700CC"/>
    <w:rsid w:val="00870EDC"/>
    <w:rsid w:val="00873117"/>
    <w:rsid w:val="00873D9C"/>
    <w:rsid w:val="00876E46"/>
    <w:rsid w:val="00887867"/>
    <w:rsid w:val="008917C5"/>
    <w:rsid w:val="0089253B"/>
    <w:rsid w:val="00893F72"/>
    <w:rsid w:val="00897D8C"/>
    <w:rsid w:val="008A19C2"/>
    <w:rsid w:val="008A344B"/>
    <w:rsid w:val="008A7233"/>
    <w:rsid w:val="008B02F5"/>
    <w:rsid w:val="008B1C43"/>
    <w:rsid w:val="008B3911"/>
    <w:rsid w:val="008B419B"/>
    <w:rsid w:val="008C7E4D"/>
    <w:rsid w:val="008D0BDF"/>
    <w:rsid w:val="008D4B76"/>
    <w:rsid w:val="008D62DB"/>
    <w:rsid w:val="008E03DD"/>
    <w:rsid w:val="008E4FDF"/>
    <w:rsid w:val="008F057F"/>
    <w:rsid w:val="00901776"/>
    <w:rsid w:val="00905783"/>
    <w:rsid w:val="00910BE3"/>
    <w:rsid w:val="00914A06"/>
    <w:rsid w:val="009152E8"/>
    <w:rsid w:val="00921B82"/>
    <w:rsid w:val="009225F0"/>
    <w:rsid w:val="00923ED2"/>
    <w:rsid w:val="0092545B"/>
    <w:rsid w:val="00925EAF"/>
    <w:rsid w:val="009307B5"/>
    <w:rsid w:val="009312B2"/>
    <w:rsid w:val="00933B2A"/>
    <w:rsid w:val="009345D1"/>
    <w:rsid w:val="00937CFF"/>
    <w:rsid w:val="00940AC8"/>
    <w:rsid w:val="0094173E"/>
    <w:rsid w:val="009442B9"/>
    <w:rsid w:val="009466D2"/>
    <w:rsid w:val="00950F57"/>
    <w:rsid w:val="00951608"/>
    <w:rsid w:val="00954343"/>
    <w:rsid w:val="0095533A"/>
    <w:rsid w:val="00961B4E"/>
    <w:rsid w:val="0096224E"/>
    <w:rsid w:val="00965145"/>
    <w:rsid w:val="009661E0"/>
    <w:rsid w:val="009676E8"/>
    <w:rsid w:val="0097307E"/>
    <w:rsid w:val="00975869"/>
    <w:rsid w:val="0097684E"/>
    <w:rsid w:val="00977080"/>
    <w:rsid w:val="00977963"/>
    <w:rsid w:val="00982C46"/>
    <w:rsid w:val="00986B0F"/>
    <w:rsid w:val="00994045"/>
    <w:rsid w:val="00994623"/>
    <w:rsid w:val="009A01D4"/>
    <w:rsid w:val="009A0DDA"/>
    <w:rsid w:val="009A1613"/>
    <w:rsid w:val="009A25CF"/>
    <w:rsid w:val="009A2966"/>
    <w:rsid w:val="009A3A36"/>
    <w:rsid w:val="009A4A14"/>
    <w:rsid w:val="009A6155"/>
    <w:rsid w:val="009B0928"/>
    <w:rsid w:val="009B2942"/>
    <w:rsid w:val="009B3CBD"/>
    <w:rsid w:val="009B6A86"/>
    <w:rsid w:val="009C0606"/>
    <w:rsid w:val="009C57DD"/>
    <w:rsid w:val="009D7C43"/>
    <w:rsid w:val="009E7F5A"/>
    <w:rsid w:val="009F18AD"/>
    <w:rsid w:val="009F63E1"/>
    <w:rsid w:val="009F68B4"/>
    <w:rsid w:val="00A0035B"/>
    <w:rsid w:val="00A00B96"/>
    <w:rsid w:val="00A0201D"/>
    <w:rsid w:val="00A04826"/>
    <w:rsid w:val="00A052D6"/>
    <w:rsid w:val="00A0613A"/>
    <w:rsid w:val="00A07FAC"/>
    <w:rsid w:val="00A13FA3"/>
    <w:rsid w:val="00A21351"/>
    <w:rsid w:val="00A219FF"/>
    <w:rsid w:val="00A23FFD"/>
    <w:rsid w:val="00A27131"/>
    <w:rsid w:val="00A27D99"/>
    <w:rsid w:val="00A345E1"/>
    <w:rsid w:val="00A35155"/>
    <w:rsid w:val="00A353A1"/>
    <w:rsid w:val="00A40487"/>
    <w:rsid w:val="00A43B5D"/>
    <w:rsid w:val="00A47174"/>
    <w:rsid w:val="00A50041"/>
    <w:rsid w:val="00A50070"/>
    <w:rsid w:val="00A50CA7"/>
    <w:rsid w:val="00A56FDB"/>
    <w:rsid w:val="00A61A7C"/>
    <w:rsid w:val="00A61E7C"/>
    <w:rsid w:val="00A63C5B"/>
    <w:rsid w:val="00A646C6"/>
    <w:rsid w:val="00A67062"/>
    <w:rsid w:val="00A7139E"/>
    <w:rsid w:val="00A71751"/>
    <w:rsid w:val="00A71856"/>
    <w:rsid w:val="00A776EC"/>
    <w:rsid w:val="00A866EB"/>
    <w:rsid w:val="00A90449"/>
    <w:rsid w:val="00A91591"/>
    <w:rsid w:val="00A9315A"/>
    <w:rsid w:val="00A932B8"/>
    <w:rsid w:val="00A95077"/>
    <w:rsid w:val="00AA07FC"/>
    <w:rsid w:val="00AA0E0F"/>
    <w:rsid w:val="00AA13C0"/>
    <w:rsid w:val="00AA2CE3"/>
    <w:rsid w:val="00AA38DB"/>
    <w:rsid w:val="00AA3AA9"/>
    <w:rsid w:val="00AA6762"/>
    <w:rsid w:val="00AB0FCA"/>
    <w:rsid w:val="00AB1356"/>
    <w:rsid w:val="00AB36B9"/>
    <w:rsid w:val="00AB3D24"/>
    <w:rsid w:val="00AB5DE9"/>
    <w:rsid w:val="00AC2FF7"/>
    <w:rsid w:val="00AC7605"/>
    <w:rsid w:val="00AD3ABB"/>
    <w:rsid w:val="00AE26F0"/>
    <w:rsid w:val="00AE64C3"/>
    <w:rsid w:val="00B052F0"/>
    <w:rsid w:val="00B0697A"/>
    <w:rsid w:val="00B078E1"/>
    <w:rsid w:val="00B10295"/>
    <w:rsid w:val="00B1295A"/>
    <w:rsid w:val="00B16A22"/>
    <w:rsid w:val="00B2335D"/>
    <w:rsid w:val="00B2524F"/>
    <w:rsid w:val="00B26A6F"/>
    <w:rsid w:val="00B3345A"/>
    <w:rsid w:val="00B33867"/>
    <w:rsid w:val="00B33F13"/>
    <w:rsid w:val="00B352C2"/>
    <w:rsid w:val="00B35D49"/>
    <w:rsid w:val="00B449F1"/>
    <w:rsid w:val="00B45F6C"/>
    <w:rsid w:val="00B46CDF"/>
    <w:rsid w:val="00B506C5"/>
    <w:rsid w:val="00B53EC9"/>
    <w:rsid w:val="00B57047"/>
    <w:rsid w:val="00B64029"/>
    <w:rsid w:val="00B65943"/>
    <w:rsid w:val="00B67119"/>
    <w:rsid w:val="00B70CB6"/>
    <w:rsid w:val="00B71828"/>
    <w:rsid w:val="00B7218E"/>
    <w:rsid w:val="00B7381C"/>
    <w:rsid w:val="00B73DA2"/>
    <w:rsid w:val="00B743CB"/>
    <w:rsid w:val="00B750DC"/>
    <w:rsid w:val="00B8199A"/>
    <w:rsid w:val="00B8491B"/>
    <w:rsid w:val="00B86011"/>
    <w:rsid w:val="00B902F0"/>
    <w:rsid w:val="00B90DAD"/>
    <w:rsid w:val="00B91A34"/>
    <w:rsid w:val="00B94E66"/>
    <w:rsid w:val="00B95903"/>
    <w:rsid w:val="00B96E8C"/>
    <w:rsid w:val="00B97A26"/>
    <w:rsid w:val="00BA082A"/>
    <w:rsid w:val="00BA2B0B"/>
    <w:rsid w:val="00BA2DB9"/>
    <w:rsid w:val="00BA3F12"/>
    <w:rsid w:val="00BA5656"/>
    <w:rsid w:val="00BA56AF"/>
    <w:rsid w:val="00BB0F99"/>
    <w:rsid w:val="00BB253E"/>
    <w:rsid w:val="00BB51D0"/>
    <w:rsid w:val="00BC2783"/>
    <w:rsid w:val="00BC5F41"/>
    <w:rsid w:val="00BC6B27"/>
    <w:rsid w:val="00BC7320"/>
    <w:rsid w:val="00BD3460"/>
    <w:rsid w:val="00BD5E4E"/>
    <w:rsid w:val="00BD5EAA"/>
    <w:rsid w:val="00BE01CE"/>
    <w:rsid w:val="00BE0652"/>
    <w:rsid w:val="00BE5808"/>
    <w:rsid w:val="00BE632A"/>
    <w:rsid w:val="00BE7148"/>
    <w:rsid w:val="00BF1A6F"/>
    <w:rsid w:val="00BF265E"/>
    <w:rsid w:val="00BF2AE0"/>
    <w:rsid w:val="00C03624"/>
    <w:rsid w:val="00C04384"/>
    <w:rsid w:val="00C0444B"/>
    <w:rsid w:val="00C05A58"/>
    <w:rsid w:val="00C107E1"/>
    <w:rsid w:val="00C10BEA"/>
    <w:rsid w:val="00C13028"/>
    <w:rsid w:val="00C2250E"/>
    <w:rsid w:val="00C244A1"/>
    <w:rsid w:val="00C27827"/>
    <w:rsid w:val="00C33F50"/>
    <w:rsid w:val="00C33FAD"/>
    <w:rsid w:val="00C342D2"/>
    <w:rsid w:val="00C36246"/>
    <w:rsid w:val="00C369CF"/>
    <w:rsid w:val="00C41AF5"/>
    <w:rsid w:val="00C4288C"/>
    <w:rsid w:val="00C42E49"/>
    <w:rsid w:val="00C44611"/>
    <w:rsid w:val="00C4471B"/>
    <w:rsid w:val="00C50E73"/>
    <w:rsid w:val="00C54B33"/>
    <w:rsid w:val="00C57EFE"/>
    <w:rsid w:val="00C63D82"/>
    <w:rsid w:val="00C64C04"/>
    <w:rsid w:val="00C66422"/>
    <w:rsid w:val="00C714FA"/>
    <w:rsid w:val="00C7150A"/>
    <w:rsid w:val="00C71EA5"/>
    <w:rsid w:val="00C72AE0"/>
    <w:rsid w:val="00C7411D"/>
    <w:rsid w:val="00C760B9"/>
    <w:rsid w:val="00C844BE"/>
    <w:rsid w:val="00C91232"/>
    <w:rsid w:val="00C971DB"/>
    <w:rsid w:val="00CA6BC2"/>
    <w:rsid w:val="00CB1A61"/>
    <w:rsid w:val="00CB1ED4"/>
    <w:rsid w:val="00CB2835"/>
    <w:rsid w:val="00CB3C93"/>
    <w:rsid w:val="00CB5F59"/>
    <w:rsid w:val="00CC102F"/>
    <w:rsid w:val="00CC168E"/>
    <w:rsid w:val="00CC5843"/>
    <w:rsid w:val="00CC5D78"/>
    <w:rsid w:val="00CC658E"/>
    <w:rsid w:val="00CC702D"/>
    <w:rsid w:val="00CD3111"/>
    <w:rsid w:val="00CD3DF5"/>
    <w:rsid w:val="00CE016D"/>
    <w:rsid w:val="00CE2CE0"/>
    <w:rsid w:val="00CE3FB4"/>
    <w:rsid w:val="00CE6C76"/>
    <w:rsid w:val="00CE720A"/>
    <w:rsid w:val="00CF348E"/>
    <w:rsid w:val="00CF74D3"/>
    <w:rsid w:val="00D001A6"/>
    <w:rsid w:val="00D06004"/>
    <w:rsid w:val="00D0767E"/>
    <w:rsid w:val="00D101F0"/>
    <w:rsid w:val="00D12D99"/>
    <w:rsid w:val="00D165D2"/>
    <w:rsid w:val="00D16751"/>
    <w:rsid w:val="00D20864"/>
    <w:rsid w:val="00D21A5C"/>
    <w:rsid w:val="00D22D52"/>
    <w:rsid w:val="00D240F6"/>
    <w:rsid w:val="00D338C6"/>
    <w:rsid w:val="00D35FF8"/>
    <w:rsid w:val="00D40337"/>
    <w:rsid w:val="00D407C7"/>
    <w:rsid w:val="00D46159"/>
    <w:rsid w:val="00D47774"/>
    <w:rsid w:val="00D541D4"/>
    <w:rsid w:val="00D71A62"/>
    <w:rsid w:val="00D7230D"/>
    <w:rsid w:val="00D7266B"/>
    <w:rsid w:val="00D73B2C"/>
    <w:rsid w:val="00D81E37"/>
    <w:rsid w:val="00D86D71"/>
    <w:rsid w:val="00D87A0F"/>
    <w:rsid w:val="00D9194F"/>
    <w:rsid w:val="00D92EEC"/>
    <w:rsid w:val="00DA6E0F"/>
    <w:rsid w:val="00DB125A"/>
    <w:rsid w:val="00DB1ACF"/>
    <w:rsid w:val="00DB36D0"/>
    <w:rsid w:val="00DB3A0C"/>
    <w:rsid w:val="00DB5769"/>
    <w:rsid w:val="00DB69C2"/>
    <w:rsid w:val="00DB7626"/>
    <w:rsid w:val="00DB77E9"/>
    <w:rsid w:val="00DB7C31"/>
    <w:rsid w:val="00DC715A"/>
    <w:rsid w:val="00DD37BC"/>
    <w:rsid w:val="00DD3D47"/>
    <w:rsid w:val="00DD501B"/>
    <w:rsid w:val="00DD6D8D"/>
    <w:rsid w:val="00DE3193"/>
    <w:rsid w:val="00DE3B5E"/>
    <w:rsid w:val="00E057EA"/>
    <w:rsid w:val="00E07062"/>
    <w:rsid w:val="00E12833"/>
    <w:rsid w:val="00E221BD"/>
    <w:rsid w:val="00E24D14"/>
    <w:rsid w:val="00E27889"/>
    <w:rsid w:val="00E30002"/>
    <w:rsid w:val="00E301AD"/>
    <w:rsid w:val="00E30608"/>
    <w:rsid w:val="00E336AC"/>
    <w:rsid w:val="00E35112"/>
    <w:rsid w:val="00E45904"/>
    <w:rsid w:val="00E47C91"/>
    <w:rsid w:val="00E51E58"/>
    <w:rsid w:val="00E57270"/>
    <w:rsid w:val="00E60EF8"/>
    <w:rsid w:val="00E6296A"/>
    <w:rsid w:val="00E64C18"/>
    <w:rsid w:val="00E7423C"/>
    <w:rsid w:val="00E77043"/>
    <w:rsid w:val="00E77E81"/>
    <w:rsid w:val="00E85FB1"/>
    <w:rsid w:val="00E95A9E"/>
    <w:rsid w:val="00E97A0E"/>
    <w:rsid w:val="00EA2117"/>
    <w:rsid w:val="00EA34E2"/>
    <w:rsid w:val="00EA6B74"/>
    <w:rsid w:val="00EB1E21"/>
    <w:rsid w:val="00EB6B2F"/>
    <w:rsid w:val="00EB7EC4"/>
    <w:rsid w:val="00EC4364"/>
    <w:rsid w:val="00EC6361"/>
    <w:rsid w:val="00ED0E0A"/>
    <w:rsid w:val="00EE1BC9"/>
    <w:rsid w:val="00EE54E1"/>
    <w:rsid w:val="00EF6E0F"/>
    <w:rsid w:val="00F03BBA"/>
    <w:rsid w:val="00F03C00"/>
    <w:rsid w:val="00F0492A"/>
    <w:rsid w:val="00F04C8D"/>
    <w:rsid w:val="00F04FD6"/>
    <w:rsid w:val="00F10F04"/>
    <w:rsid w:val="00F1127F"/>
    <w:rsid w:val="00F12401"/>
    <w:rsid w:val="00F155BE"/>
    <w:rsid w:val="00F268A9"/>
    <w:rsid w:val="00F327D8"/>
    <w:rsid w:val="00F32FCD"/>
    <w:rsid w:val="00F364E1"/>
    <w:rsid w:val="00F36974"/>
    <w:rsid w:val="00F40526"/>
    <w:rsid w:val="00F4099E"/>
    <w:rsid w:val="00F411F2"/>
    <w:rsid w:val="00F41702"/>
    <w:rsid w:val="00F418CC"/>
    <w:rsid w:val="00F42583"/>
    <w:rsid w:val="00F43194"/>
    <w:rsid w:val="00F444F3"/>
    <w:rsid w:val="00F44988"/>
    <w:rsid w:val="00F45D45"/>
    <w:rsid w:val="00F46459"/>
    <w:rsid w:val="00F50546"/>
    <w:rsid w:val="00F5083B"/>
    <w:rsid w:val="00F510A0"/>
    <w:rsid w:val="00F527EB"/>
    <w:rsid w:val="00F52E6B"/>
    <w:rsid w:val="00F578C9"/>
    <w:rsid w:val="00F61182"/>
    <w:rsid w:val="00F655D2"/>
    <w:rsid w:val="00F675FE"/>
    <w:rsid w:val="00F707B2"/>
    <w:rsid w:val="00F70D7D"/>
    <w:rsid w:val="00F74D70"/>
    <w:rsid w:val="00F7549A"/>
    <w:rsid w:val="00F811B8"/>
    <w:rsid w:val="00F87766"/>
    <w:rsid w:val="00F907C4"/>
    <w:rsid w:val="00F926AC"/>
    <w:rsid w:val="00F957B7"/>
    <w:rsid w:val="00FA21EC"/>
    <w:rsid w:val="00FA334F"/>
    <w:rsid w:val="00FA7AC3"/>
    <w:rsid w:val="00FB0083"/>
    <w:rsid w:val="00FB5514"/>
    <w:rsid w:val="00FB7599"/>
    <w:rsid w:val="00FC0786"/>
    <w:rsid w:val="00FC1105"/>
    <w:rsid w:val="00FC73FE"/>
    <w:rsid w:val="00FD1288"/>
    <w:rsid w:val="00FD13AB"/>
    <w:rsid w:val="00FD376B"/>
    <w:rsid w:val="00FD490C"/>
    <w:rsid w:val="00FD4A05"/>
    <w:rsid w:val="00FE3582"/>
    <w:rsid w:val="00FE5A36"/>
    <w:rsid w:val="00FF40BF"/>
    <w:rsid w:val="0BBBEC7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64A9D"/>
  <w15:docId w15:val="{07BF585F-2384-49EA-9E58-51626284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FSMePro" w:hAnsi="Arial" w:cs="Times New Roman"/>
        <w:sz w:val="24"/>
        <w:szCs w:val="24"/>
        <w:lang w:val="en-AU" w:eastAsia="en-AU"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3A1"/>
    <w:pPr>
      <w:spacing w:before="0" w:after="240" w:line="360" w:lineRule="auto"/>
    </w:pPr>
  </w:style>
  <w:style w:type="paragraph" w:styleId="Heading1">
    <w:name w:val="heading 1"/>
    <w:basedOn w:val="Normal"/>
    <w:next w:val="Normal"/>
    <w:link w:val="Heading1Char"/>
    <w:uiPriority w:val="3"/>
    <w:qFormat/>
    <w:rsid w:val="00313BFF"/>
    <w:pPr>
      <w:spacing w:before="800" w:after="400"/>
      <w:outlineLvl w:val="0"/>
    </w:pPr>
    <w:rPr>
      <w:rFonts w:cs="Arial"/>
      <w:b/>
      <w:color w:val="FFFFFF"/>
      <w:sz w:val="60"/>
      <w:szCs w:val="60"/>
    </w:rPr>
  </w:style>
  <w:style w:type="paragraph" w:styleId="Heading2">
    <w:name w:val="heading 2"/>
    <w:basedOn w:val="Normal"/>
    <w:next w:val="Normal"/>
    <w:link w:val="Heading2Char"/>
    <w:uiPriority w:val="9"/>
    <w:qFormat/>
    <w:rsid w:val="00B70CB6"/>
    <w:pPr>
      <w:numPr>
        <w:numId w:val="1"/>
      </w:numPr>
      <w:spacing w:before="600"/>
      <w:ind w:left="720"/>
      <w:outlineLvl w:val="1"/>
    </w:pPr>
    <w:rPr>
      <w:b/>
      <w:bCs/>
      <w:color w:val="6B2976"/>
      <w:sz w:val="36"/>
      <w:szCs w:val="36"/>
    </w:rPr>
  </w:style>
  <w:style w:type="paragraph" w:styleId="Heading3">
    <w:name w:val="heading 3"/>
    <w:basedOn w:val="Normal"/>
    <w:next w:val="Normal"/>
    <w:link w:val="Heading3Char"/>
    <w:uiPriority w:val="9"/>
    <w:qFormat/>
    <w:rsid w:val="00B70CB6"/>
    <w:pPr>
      <w:numPr>
        <w:ilvl w:val="1"/>
        <w:numId w:val="1"/>
      </w:numPr>
      <w:spacing w:before="400"/>
      <w:ind w:left="720"/>
      <w:outlineLvl w:val="2"/>
    </w:pPr>
    <w:rPr>
      <w:b/>
      <w:color w:val="6B2976"/>
      <w:sz w:val="32"/>
      <w:szCs w:val="32"/>
    </w:rPr>
  </w:style>
  <w:style w:type="paragraph" w:styleId="Heading4">
    <w:name w:val="heading 4"/>
    <w:basedOn w:val="Normal"/>
    <w:next w:val="Normal"/>
    <w:link w:val="Heading4Char"/>
    <w:uiPriority w:val="9"/>
    <w:qFormat/>
    <w:rsid w:val="00175B32"/>
    <w:pPr>
      <w:outlineLvl w:val="3"/>
    </w:pPr>
    <w:rPr>
      <w:b/>
      <w:color w:val="6B2876" w:themeColor="text1"/>
      <w:sz w:val="28"/>
      <w:szCs w:val="28"/>
    </w:rPr>
  </w:style>
  <w:style w:type="paragraph" w:styleId="Heading5">
    <w:name w:val="heading 5"/>
    <w:basedOn w:val="Normal"/>
    <w:next w:val="Normal"/>
    <w:link w:val="Heading5Char"/>
    <w:uiPriority w:val="7"/>
    <w:qFormat/>
    <w:rsid w:val="003B6C65"/>
    <w:pPr>
      <w:spacing w:before="360"/>
      <w:outlineLvl w:val="4"/>
    </w:pPr>
    <w:rPr>
      <w:b/>
    </w:rPr>
  </w:style>
  <w:style w:type="paragraph" w:styleId="Heading6">
    <w:name w:val="heading 6"/>
    <w:basedOn w:val="Normal"/>
    <w:next w:val="Normal"/>
    <w:link w:val="Heading6Char"/>
    <w:uiPriority w:val="99"/>
    <w:semiHidden/>
    <w:rsid w:val="00380E79"/>
    <w:pPr>
      <w:spacing w:before="360"/>
      <w:outlineLvl w:val="5"/>
    </w:pPr>
    <w:rPr>
      <w:iCs/>
      <w:sz w:val="26"/>
      <w:shd w:val="clear" w:color="auto" w:fill="FFFFFF"/>
    </w:rPr>
  </w:style>
  <w:style w:type="paragraph" w:styleId="Heading7">
    <w:name w:val="heading 7"/>
    <w:basedOn w:val="Normal"/>
    <w:next w:val="Normal"/>
    <w:link w:val="Heading7Char"/>
    <w:uiPriority w:val="99"/>
    <w:semiHidden/>
    <w:rsid w:val="004B54CA"/>
    <w:pPr>
      <w:spacing w:after="0"/>
      <w:outlineLvl w:val="6"/>
    </w:pPr>
    <w:rPr>
      <w:i/>
      <w:iCs/>
    </w:rPr>
  </w:style>
  <w:style w:type="paragraph" w:styleId="Heading8">
    <w:name w:val="heading 8"/>
    <w:basedOn w:val="Normal"/>
    <w:next w:val="Normal"/>
    <w:link w:val="Heading8Char"/>
    <w:uiPriority w:val="99"/>
    <w:semiHidden/>
    <w:rsid w:val="004B54CA"/>
    <w:pPr>
      <w:spacing w:after="0"/>
      <w:outlineLvl w:val="7"/>
    </w:pPr>
    <w:rPr>
      <w:sz w:val="20"/>
      <w:szCs w:val="20"/>
    </w:rPr>
  </w:style>
  <w:style w:type="paragraph" w:styleId="Heading9">
    <w:name w:val="heading 9"/>
    <w:basedOn w:val="Normal"/>
    <w:next w:val="Normal"/>
    <w:link w:val="Heading9Char"/>
    <w:uiPriority w:val="99"/>
    <w:semiHidden/>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3"/>
    <w:rsid w:val="00313BFF"/>
    <w:rPr>
      <w:rFonts w:cs="Arial"/>
      <w:b/>
      <w:color w:val="FFFFFF"/>
      <w:sz w:val="60"/>
      <w:szCs w:val="60"/>
    </w:rPr>
  </w:style>
  <w:style w:type="character" w:customStyle="1" w:styleId="Heading2Char">
    <w:name w:val="Heading 2 Char"/>
    <w:link w:val="Heading2"/>
    <w:uiPriority w:val="9"/>
    <w:rsid w:val="00E95A9E"/>
    <w:rPr>
      <w:b/>
      <w:bCs/>
      <w:color w:val="6B2976"/>
      <w:sz w:val="36"/>
      <w:szCs w:val="36"/>
    </w:rPr>
  </w:style>
  <w:style w:type="paragraph" w:customStyle="1" w:styleId="Tablebullet">
    <w:name w:val="Table bullet"/>
    <w:uiPriority w:val="10"/>
    <w:qFormat/>
    <w:rsid w:val="00BD5E4E"/>
    <w:pPr>
      <w:numPr>
        <w:numId w:val="8"/>
      </w:numPr>
      <w:spacing w:before="100" w:after="100"/>
      <w:ind w:left="357" w:hanging="357"/>
      <w:contextualSpacing/>
    </w:pPr>
    <w:rPr>
      <w:rFonts w:eastAsia="Times New Roman"/>
      <w:lang w:eastAsia="ja-JP"/>
    </w:rPr>
  </w:style>
  <w:style w:type="character" w:customStyle="1" w:styleId="Heading3Char">
    <w:name w:val="Heading 3 Char"/>
    <w:link w:val="Heading3"/>
    <w:uiPriority w:val="9"/>
    <w:rsid w:val="00E95A9E"/>
    <w:rPr>
      <w:b/>
      <w:color w:val="6B2976"/>
      <w:sz w:val="32"/>
      <w:szCs w:val="32"/>
    </w:rPr>
  </w:style>
  <w:style w:type="character" w:customStyle="1" w:styleId="Heading4Char">
    <w:name w:val="Heading 4 Char"/>
    <w:link w:val="Heading4"/>
    <w:uiPriority w:val="6"/>
    <w:rsid w:val="00E95A9E"/>
    <w:rPr>
      <w:b/>
      <w:color w:val="6B2876" w:themeColor="text1"/>
      <w:sz w:val="28"/>
      <w:szCs w:val="28"/>
    </w:rPr>
  </w:style>
  <w:style w:type="character" w:customStyle="1" w:styleId="Heading5Char">
    <w:name w:val="Heading 5 Char"/>
    <w:link w:val="Heading5"/>
    <w:uiPriority w:val="7"/>
    <w:rsid w:val="003B6C65"/>
    <w:rPr>
      <w:b/>
    </w:rPr>
  </w:style>
  <w:style w:type="character" w:customStyle="1" w:styleId="Heading6Char">
    <w:name w:val="Heading 6 Char"/>
    <w:link w:val="Heading6"/>
    <w:uiPriority w:val="99"/>
    <w:semiHidden/>
    <w:rsid w:val="00E95A9E"/>
    <w:rPr>
      <w:iCs/>
      <w:sz w:val="26"/>
    </w:rPr>
  </w:style>
  <w:style w:type="character" w:customStyle="1" w:styleId="Heading7Char">
    <w:name w:val="Heading 7 Char"/>
    <w:link w:val="Heading7"/>
    <w:uiPriority w:val="99"/>
    <w:semiHidden/>
    <w:rsid w:val="00E95A9E"/>
    <w:rPr>
      <w:i/>
      <w:iCs/>
    </w:rPr>
  </w:style>
  <w:style w:type="character" w:customStyle="1" w:styleId="Heading8Char">
    <w:name w:val="Heading 8 Char"/>
    <w:link w:val="Heading8"/>
    <w:uiPriority w:val="99"/>
    <w:semiHidden/>
    <w:rsid w:val="00E95A9E"/>
    <w:rPr>
      <w:sz w:val="20"/>
      <w:szCs w:val="20"/>
    </w:rPr>
  </w:style>
  <w:style w:type="character" w:customStyle="1" w:styleId="Heading9Char">
    <w:name w:val="Heading 9 Char"/>
    <w:link w:val="Heading9"/>
    <w:uiPriority w:val="99"/>
    <w:semiHidden/>
    <w:rsid w:val="00E95A9E"/>
    <w:rPr>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4"/>
      </w:numPr>
    </w:pPr>
  </w:style>
  <w:style w:type="numbering" w:customStyle="1" w:styleId="CurrentList2">
    <w:name w:val="Current List2"/>
    <w:uiPriority w:val="99"/>
    <w:rsid w:val="00940AC8"/>
    <w:pPr>
      <w:numPr>
        <w:numId w:val="5"/>
      </w:numPr>
    </w:pPr>
  </w:style>
  <w:style w:type="numbering" w:customStyle="1" w:styleId="CurrentList3">
    <w:name w:val="Current List3"/>
    <w:uiPriority w:val="99"/>
    <w:rsid w:val="00940AC8"/>
    <w:pPr>
      <w:numPr>
        <w:numId w:val="6"/>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1"/>
    <w:unhideWhenUsed/>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styleId="Header">
    <w:name w:val="header"/>
    <w:aliases w:val="Security markings"/>
    <w:basedOn w:val="Normal"/>
    <w:link w:val="HeaderChar"/>
    <w:uiPriority w:val="99"/>
    <w:unhideWhenUsed/>
    <w:rsid w:val="00B53EC9"/>
    <w:pPr>
      <w:spacing w:before="200" w:after="0"/>
      <w:jc w:val="center"/>
    </w:pPr>
    <w:rPr>
      <w:b/>
      <w:color w:val="C00000"/>
    </w:rPr>
  </w:style>
  <w:style w:type="character" w:customStyle="1" w:styleId="HeaderChar">
    <w:name w:val="Header Char"/>
    <w:aliases w:val="Security markings Char"/>
    <w:link w:val="Header"/>
    <w:uiPriority w:val="99"/>
    <w:rsid w:val="00E95A9E"/>
    <w:rPr>
      <w:b/>
      <w:color w:val="C00000"/>
    </w:rPr>
  </w:style>
  <w:style w:type="paragraph" w:styleId="Footer">
    <w:name w:val="footer"/>
    <w:basedOn w:val="Normal"/>
    <w:link w:val="FooterChar"/>
    <w:uiPriority w:val="99"/>
    <w:unhideWhenUsed/>
    <w:rsid w:val="009B2942"/>
    <w:pPr>
      <w:pBdr>
        <w:top w:val="single" w:sz="4" w:space="5" w:color="6B2976"/>
      </w:pBdr>
      <w:tabs>
        <w:tab w:val="center" w:pos="4513"/>
        <w:tab w:val="right" w:pos="9026"/>
      </w:tabs>
      <w:spacing w:after="200" w:line="240" w:lineRule="auto"/>
    </w:pPr>
    <w:rPr>
      <w:b/>
      <w:bCs/>
      <w:color w:val="6B2976"/>
    </w:rPr>
  </w:style>
  <w:style w:type="character" w:customStyle="1" w:styleId="FooterChar">
    <w:name w:val="Footer Char"/>
    <w:link w:val="Footer"/>
    <w:uiPriority w:val="99"/>
    <w:rsid w:val="00E95A9E"/>
    <w:rPr>
      <w:b/>
      <w:bCs/>
      <w:color w:val="6B2976"/>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1">
    <w:name w:val="Bullet 1"/>
    <w:basedOn w:val="ListParagraph"/>
    <w:uiPriority w:val="1"/>
    <w:qFormat/>
    <w:rsid w:val="00084E5D"/>
    <w:pPr>
      <w:numPr>
        <w:numId w:val="3"/>
      </w:numPr>
    </w:pPr>
  </w:style>
  <w:style w:type="table" w:styleId="LightShading-Accent4">
    <w:name w:val="Light Shading Accent 4"/>
    <w:aliases w:val="NDIS purple table"/>
    <w:basedOn w:val="TableNormal"/>
    <w:uiPriority w:val="60"/>
    <w:rsid w:val="00192D14"/>
    <w:pPr>
      <w:keepLines/>
      <w:spacing w:after="80"/>
      <w:ind w:left="113" w:right="113"/>
    </w:pPr>
    <w:rPr>
      <w:rFonts w:eastAsia="Times New Roman"/>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semiHidden/>
    <w:qFormat/>
    <w:rsid w:val="003820DF"/>
    <w:pPr>
      <w:numPr>
        <w:numId w:val="2"/>
      </w:numPr>
      <w:ind w:left="714" w:hanging="357"/>
      <w:contextualSpacing/>
    </w:pPr>
    <w:rPr>
      <w:rFonts w:cs="Arial"/>
      <w:spacing w:val="-3"/>
      <w:kern w:val="1"/>
      <w:szCs w:val="20"/>
      <w:shd w:val="clear" w:color="auto" w:fill="FFFFFF"/>
      <w:lang w:val="en-GB" w:eastAsia="en-US"/>
    </w:rPr>
  </w:style>
  <w:style w:type="paragraph" w:styleId="TOC1">
    <w:name w:val="toc 1"/>
    <w:basedOn w:val="TOC2"/>
    <w:next w:val="Normal"/>
    <w:uiPriority w:val="39"/>
    <w:unhideWhenUsed/>
    <w:rsid w:val="000824DE"/>
    <w:pPr>
      <w:spacing w:before="120"/>
      <w:ind w:left="0"/>
    </w:pPr>
    <w:rPr>
      <w:noProof w:val="0"/>
    </w:rPr>
  </w:style>
  <w:style w:type="paragraph" w:styleId="TOC2">
    <w:name w:val="toc 2"/>
    <w:basedOn w:val="Normal"/>
    <w:next w:val="Normal"/>
    <w:uiPriority w:val="39"/>
    <w:unhideWhenUsed/>
    <w:rsid w:val="000824DE"/>
    <w:pPr>
      <w:tabs>
        <w:tab w:val="left" w:pos="426"/>
        <w:tab w:val="left" w:pos="851"/>
        <w:tab w:val="right" w:leader="dot" w:pos="9016"/>
      </w:tabs>
      <w:spacing w:after="200"/>
      <w:ind w:left="425"/>
    </w:pPr>
    <w:rPr>
      <w:rFonts w:asciiTheme="minorHAnsi" w:hAnsiTheme="minorHAnsi" w:cstheme="minorHAnsi"/>
      <w:iCs/>
      <w:noProof/>
      <w:szCs w:val="20"/>
    </w:rPr>
  </w:style>
  <w:style w:type="paragraph" w:styleId="TOC3">
    <w:name w:val="toc 3"/>
    <w:basedOn w:val="Normal"/>
    <w:next w:val="Normal"/>
    <w:uiPriority w:val="39"/>
    <w:unhideWhenUsed/>
    <w:rsid w:val="000824DE"/>
    <w:pPr>
      <w:tabs>
        <w:tab w:val="left" w:pos="993"/>
        <w:tab w:val="right" w:leader="dot" w:pos="9016"/>
      </w:tabs>
      <w:spacing w:after="200"/>
      <w:ind w:left="851"/>
    </w:pPr>
    <w:rPr>
      <w:rFonts w:asciiTheme="minorHAnsi" w:hAnsiTheme="minorHAnsi" w:cstheme="minorHAnsi"/>
      <w:noProof/>
      <w:szCs w:val="20"/>
    </w:rPr>
  </w:style>
  <w:style w:type="character" w:styleId="Hyperlink">
    <w:name w:val="Hyperlink"/>
    <w:uiPriority w:val="99"/>
    <w:unhideWhenUsed/>
    <w:rsid w:val="0040062A"/>
    <w:rPr>
      <w:color w:val="0432FF"/>
      <w:u w:val="single"/>
    </w:rPr>
  </w:style>
  <w:style w:type="paragraph" w:styleId="TOC4">
    <w:name w:val="toc 4"/>
    <w:basedOn w:val="Normal"/>
    <w:next w:val="Normal"/>
    <w:uiPriority w:val="99"/>
    <w:semiHidden/>
    <w:rsid w:val="00933B2A"/>
    <w:pPr>
      <w:tabs>
        <w:tab w:val="left" w:pos="1701"/>
        <w:tab w:val="right" w:leader="dot" w:pos="9016"/>
      </w:tabs>
      <w:spacing w:after="0"/>
      <w:ind w:left="709" w:firstLine="284"/>
    </w:pPr>
    <w:rPr>
      <w:rFonts w:asciiTheme="minorHAnsi" w:hAnsiTheme="minorHAnsi" w:cstheme="minorHAnsi"/>
      <w:noProof/>
    </w:rPr>
  </w:style>
  <w:style w:type="paragraph" w:styleId="TOC5">
    <w:name w:val="toc 5"/>
    <w:basedOn w:val="Normal"/>
    <w:next w:val="Normal"/>
    <w:autoRedefine/>
    <w:uiPriority w:val="99"/>
    <w:semiHidden/>
    <w:rsid w:val="00C54B33"/>
    <w:pPr>
      <w:spacing w:after="0"/>
      <w:ind w:left="960"/>
    </w:pPr>
    <w:rPr>
      <w:rFonts w:asciiTheme="minorHAnsi" w:hAnsiTheme="minorHAnsi" w:cstheme="minorHAnsi"/>
      <w:sz w:val="20"/>
      <w:szCs w:val="20"/>
    </w:rPr>
  </w:style>
  <w:style w:type="paragraph" w:customStyle="1" w:styleId="Securityinformation">
    <w:name w:val="Security information"/>
    <w:basedOn w:val="Normal"/>
    <w:link w:val="SecurityinformationChar"/>
    <w:uiPriority w:val="14"/>
    <w:qFormat/>
    <w:rsid w:val="00192D14"/>
    <w:pPr>
      <w:ind w:right="96"/>
    </w:pPr>
    <w:rPr>
      <w:b/>
      <w:color w:val="C00000"/>
      <w:sz w:val="28"/>
      <w:szCs w:val="28"/>
    </w:rPr>
  </w:style>
  <w:style w:type="table" w:styleId="TableGrid">
    <w:name w:val="Table Grid"/>
    <w:aliases w:val="HealthConsult"/>
    <w:basedOn w:val="TableNormal"/>
    <w:uiPriority w:val="3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uiPriority w:val="99"/>
    <w:semiHidden/>
    <w:rsid w:val="00380E79"/>
    <w:pPr>
      <w:spacing w:before="360"/>
    </w:pPr>
    <w:rPr>
      <w:bCs/>
    </w:rPr>
  </w:style>
  <w:style w:type="character" w:customStyle="1" w:styleId="TableDescriptionChar">
    <w:name w:val="Table Description Char"/>
    <w:link w:val="TableDescription"/>
    <w:uiPriority w:val="99"/>
    <w:semiHidden/>
    <w:rsid w:val="00BE5808"/>
    <w:rPr>
      <w:bCs/>
    </w:rPr>
  </w:style>
  <w:style w:type="character" w:customStyle="1" w:styleId="SecurityinformationChar">
    <w:name w:val="Security information Char"/>
    <w:link w:val="Securityinformation"/>
    <w:uiPriority w:val="14"/>
    <w:rsid w:val="00D0767E"/>
    <w:rPr>
      <w:b/>
      <w:color w:val="C00000"/>
      <w:sz w:val="28"/>
      <w:szCs w:val="28"/>
    </w:rPr>
  </w:style>
  <w:style w:type="table" w:customStyle="1" w:styleId="Coverpagetable">
    <w:name w:val="Cover page table"/>
    <w:basedOn w:val="TableNormal"/>
    <w:uiPriority w:val="99"/>
    <w:rsid w:val="00192D14"/>
    <w:rPr>
      <w:rFonts w:eastAsiaTheme="minorHAnsi" w:cs="Times New Roman (Body CS)"/>
      <w:color w:val="000000" w:themeColor="accent6"/>
      <w:lang w:eastAsia="en-US"/>
    </w:rPr>
    <w:tblPr/>
  </w:style>
  <w:style w:type="table" w:styleId="ListTable4">
    <w:name w:val="List Table 4"/>
    <w:basedOn w:val="TableNormal"/>
    <w:uiPriority w:val="49"/>
    <w:rsid w:val="005957FF"/>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nil"/>
          <w:right w:val="single" w:sz="4" w:space="0" w:color="6B2876" w:themeColor="text1"/>
          <w:insideH w:val="single" w:sz="4" w:space="0" w:color="F9F9F9" w:themeColor="background1"/>
          <w:insideV w:val="single" w:sz="4" w:space="0" w:color="F9F9F9" w:themeColor="background1"/>
        </w:tcBorders>
        <w:shd w:val="clear" w:color="auto" w:fill="6B2876" w:themeFill="text1"/>
      </w:tcPr>
    </w:tblStylePr>
    <w:tblStylePr w:type="lastRow">
      <w:rPr>
        <w:b/>
        <w:bCs/>
      </w:rPr>
      <w:tblPr/>
      <w:tcPr>
        <w:tcBorders>
          <w:top w:val="double" w:sz="4" w:space="0" w:color="BA61C9" w:themeColor="text1" w:themeTint="99"/>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nil"/>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table" w:styleId="GridTable4">
    <w:name w:val="Grid Table 4"/>
    <w:basedOn w:val="TableNormal"/>
    <w:uiPriority w:val="49"/>
    <w:rsid w:val="005957FF"/>
    <w:rPr>
      <w:rFonts w:asciiTheme="minorHAnsi" w:eastAsiaTheme="minorHAnsi" w:hAnsiTheme="minorHAnsi" w:cstheme="minorBidi"/>
      <w:sz w:val="22"/>
      <w:szCs w:val="22"/>
      <w:lang w:eastAsia="en-US"/>
    </w:r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nil"/>
          <w:left w:val="single" w:sz="4" w:space="0" w:color="6B2876" w:themeColor="text1"/>
          <w:bottom w:val="nil"/>
          <w:right w:val="nil"/>
          <w:insideH w:val="single" w:sz="4" w:space="0" w:color="F9F9F9" w:themeColor="background1"/>
          <w:insideV w:val="single" w:sz="4" w:space="0" w:color="F9F9F9" w:themeColor="background1"/>
          <w:tl2br w:val="nil"/>
          <w:tr2bl w:val="nil"/>
        </w:tcBorders>
        <w:shd w:val="clear" w:color="auto" w:fill="6B2876" w:themeFill="text1"/>
      </w:tcPr>
    </w:tblStylePr>
    <w:tblStylePr w:type="lastRow">
      <w:rPr>
        <w:b/>
        <w:bCs/>
      </w:rPr>
      <w:tblPr/>
      <w:tcPr>
        <w:tcBorders>
          <w:top w:val="double" w:sz="4" w:space="0" w:color="6B2876" w:themeColor="text1"/>
          <w:bottom w:val="nil"/>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F9F9F9" w:themeColor="background1"/>
          <w:insideV w:val="single" w:sz="4" w:space="0" w:color="F9F9F9" w:themeColor="background1"/>
          <w:tl2br w:val="nil"/>
          <w:tr2bl w:val="nil"/>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paragraph" w:styleId="FootnoteText">
    <w:name w:val="footnote text"/>
    <w:basedOn w:val="Normal"/>
    <w:link w:val="FootnoteTextChar"/>
    <w:uiPriority w:val="99"/>
    <w:unhideWhenUsed/>
    <w:rsid w:val="00FD13AB"/>
    <w:pPr>
      <w:spacing w:after="0" w:line="240" w:lineRule="auto"/>
    </w:pPr>
    <w:rPr>
      <w:sz w:val="20"/>
      <w:szCs w:val="20"/>
    </w:rPr>
  </w:style>
  <w:style w:type="character" w:customStyle="1" w:styleId="FootnoteTextChar">
    <w:name w:val="Footnote Text Char"/>
    <w:basedOn w:val="DefaultParagraphFont"/>
    <w:link w:val="FootnoteText"/>
    <w:uiPriority w:val="99"/>
    <w:rsid w:val="00D0767E"/>
    <w:rPr>
      <w:sz w:val="20"/>
      <w:szCs w:val="20"/>
    </w:rPr>
  </w:style>
  <w:style w:type="character" w:styleId="FootnoteReference">
    <w:name w:val="footnote reference"/>
    <w:basedOn w:val="TableDescriptionChar"/>
    <w:uiPriority w:val="99"/>
    <w:unhideWhenUsed/>
    <w:rsid w:val="002E75F1"/>
    <w:rPr>
      <w:rFonts w:ascii="Arial" w:eastAsia="Times New Roman" w:hAnsi="Arial"/>
      <w:bCs/>
      <w:sz w:val="24"/>
      <w:szCs w:val="24"/>
      <w:vertAlign w:val="superscript"/>
      <w:lang w:val="en-US" w:eastAsia="ja-JP"/>
    </w:rPr>
  </w:style>
  <w:style w:type="paragraph" w:styleId="NormalWeb">
    <w:name w:val="Normal (Web)"/>
    <w:basedOn w:val="Normal"/>
    <w:uiPriority w:val="99"/>
    <w:semiHidden/>
    <w:unhideWhenUsed/>
    <w:rsid w:val="00BA56AF"/>
    <w:pPr>
      <w:spacing w:before="100" w:beforeAutospacing="1" w:after="100" w:afterAutospacing="1" w:line="240" w:lineRule="auto"/>
    </w:pPr>
    <w:rPr>
      <w:rFonts w:ascii="Times New Roman" w:hAnsi="Times New Roman"/>
    </w:rPr>
  </w:style>
  <w:style w:type="character" w:styleId="UnresolvedMention">
    <w:name w:val="Unresolved Mention"/>
    <w:basedOn w:val="DefaultParagraphFont"/>
    <w:uiPriority w:val="99"/>
    <w:semiHidden/>
    <w:unhideWhenUsed/>
    <w:rsid w:val="00BA56AF"/>
    <w:rPr>
      <w:color w:val="605E5C"/>
      <w:shd w:val="clear" w:color="auto" w:fill="E1DFDD"/>
    </w:rPr>
  </w:style>
  <w:style w:type="table" w:styleId="GridTable4-Accent1">
    <w:name w:val="Grid Table 4 Accent 1"/>
    <w:basedOn w:val="TableNormal"/>
    <w:uiPriority w:val="49"/>
    <w:rsid w:val="002E75F1"/>
    <w:tblPr>
      <w:tblStyleRowBandSize w:val="1"/>
      <w:tblStyleColBandSize w:val="1"/>
      <w:tblBorders>
        <w:top w:val="single" w:sz="4" w:space="0" w:color="BA61C9" w:themeColor="accent1" w:themeTint="99"/>
        <w:left w:val="single" w:sz="4" w:space="0" w:color="BA61C9" w:themeColor="accent1" w:themeTint="99"/>
        <w:bottom w:val="single" w:sz="4" w:space="0" w:color="BA61C9" w:themeColor="accent1" w:themeTint="99"/>
        <w:right w:val="single" w:sz="4" w:space="0" w:color="BA61C9" w:themeColor="accent1" w:themeTint="99"/>
        <w:insideH w:val="single" w:sz="4" w:space="0" w:color="BA61C9" w:themeColor="accent1" w:themeTint="99"/>
        <w:insideV w:val="single" w:sz="4" w:space="0" w:color="BA61C9" w:themeColor="accent1" w:themeTint="99"/>
      </w:tblBorders>
    </w:tblPr>
    <w:tblStylePr w:type="firstRow">
      <w:rPr>
        <w:b/>
        <w:bCs/>
        <w:color w:val="F9F9F9" w:themeColor="background1"/>
      </w:rPr>
      <w:tblPr/>
      <w:tcPr>
        <w:tcBorders>
          <w:top w:val="single" w:sz="4" w:space="0" w:color="6B2876" w:themeColor="accent1"/>
          <w:left w:val="single" w:sz="4" w:space="0" w:color="6B2876" w:themeColor="accent1"/>
          <w:bottom w:val="single" w:sz="4" w:space="0" w:color="6B2876" w:themeColor="accent1"/>
          <w:right w:val="single" w:sz="4" w:space="0" w:color="6B2876" w:themeColor="accent1"/>
          <w:insideH w:val="nil"/>
          <w:insideV w:val="nil"/>
        </w:tcBorders>
        <w:shd w:val="clear" w:color="auto" w:fill="6B2876" w:themeFill="accent1"/>
      </w:tcPr>
    </w:tblStylePr>
    <w:tblStylePr w:type="lastRow">
      <w:rPr>
        <w:b/>
        <w:bCs/>
      </w:rPr>
      <w:tblPr/>
      <w:tcPr>
        <w:tcBorders>
          <w:top w:val="double" w:sz="4" w:space="0" w:color="6B28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paragraph" w:customStyle="1" w:styleId="Bullet2">
    <w:name w:val="Bullet 2"/>
    <w:basedOn w:val="ListParagraph"/>
    <w:uiPriority w:val="2"/>
    <w:qFormat/>
    <w:rsid w:val="00C33F50"/>
    <w:pPr>
      <w:numPr>
        <w:numId w:val="11"/>
      </w:numPr>
      <w:ind w:left="1071" w:hanging="357"/>
    </w:pPr>
  </w:style>
  <w:style w:type="numbering" w:customStyle="1" w:styleId="Bulletlist">
    <w:name w:val="Bullet list"/>
    <w:uiPriority w:val="99"/>
    <w:rsid w:val="00791CE9"/>
    <w:pPr>
      <w:numPr>
        <w:numId w:val="9"/>
      </w:numPr>
    </w:pPr>
  </w:style>
  <w:style w:type="paragraph" w:customStyle="1" w:styleId="BoardBrief-Paragraph2">
    <w:name w:val="Board Brief - Paragraph 2"/>
    <w:basedOn w:val="Normal"/>
    <w:uiPriority w:val="99"/>
    <w:semiHidden/>
    <w:qFormat/>
    <w:rsid w:val="00B743CB"/>
    <w:pPr>
      <w:numPr>
        <w:ilvl w:val="2"/>
        <w:numId w:val="7"/>
      </w:numPr>
    </w:pPr>
    <w:rPr>
      <w:rFonts w:eastAsiaTheme="minorHAnsi" w:cs="Arial"/>
      <w:szCs w:val="22"/>
    </w:rPr>
  </w:style>
  <w:style w:type="paragraph" w:customStyle="1" w:styleId="11Section-Parapraph">
    <w:name w:val="1.1 Section - Parapraph"/>
    <w:basedOn w:val="ListParagraph"/>
    <w:uiPriority w:val="99"/>
    <w:semiHidden/>
    <w:qFormat/>
    <w:rsid w:val="00B743CB"/>
    <w:pPr>
      <w:numPr>
        <w:ilvl w:val="1"/>
        <w:numId w:val="7"/>
      </w:numPr>
      <w:spacing w:before="240"/>
      <w:contextualSpacing w:val="0"/>
    </w:pPr>
    <w:rPr>
      <w:rFonts w:eastAsiaTheme="minorHAnsi" w:cs="Arial"/>
      <w:szCs w:val="22"/>
    </w:rPr>
  </w:style>
  <w:style w:type="character" w:styleId="FollowedHyperlink">
    <w:name w:val="FollowedHyperlink"/>
    <w:basedOn w:val="DefaultParagraphFont"/>
    <w:uiPriority w:val="99"/>
    <w:semiHidden/>
    <w:unhideWhenUsed/>
    <w:rsid w:val="00705AD7"/>
    <w:rPr>
      <w:color w:val="954F72"/>
      <w:u w:val="single"/>
    </w:rPr>
  </w:style>
  <w:style w:type="paragraph" w:styleId="Caption">
    <w:name w:val="caption"/>
    <w:basedOn w:val="Normal"/>
    <w:next w:val="Normal"/>
    <w:uiPriority w:val="35"/>
    <w:unhideWhenUsed/>
    <w:qFormat/>
    <w:rsid w:val="00042A45"/>
    <w:pPr>
      <w:keepNext/>
      <w:spacing w:after="200" w:line="240" w:lineRule="auto"/>
    </w:pPr>
    <w:rPr>
      <w:b/>
      <w:bCs/>
      <w:color w:val="6B2876" w:themeColor="text2"/>
    </w:rPr>
  </w:style>
  <w:style w:type="paragraph" w:styleId="TOCHeading">
    <w:name w:val="TOC Heading"/>
    <w:basedOn w:val="Heading1"/>
    <w:next w:val="Normal"/>
    <w:uiPriority w:val="99"/>
    <w:semiHidden/>
    <w:qFormat/>
    <w:rsid w:val="00A61E7C"/>
    <w:pPr>
      <w:keepNext/>
      <w:keepLines/>
      <w:spacing w:before="480" w:after="0" w:line="276" w:lineRule="auto"/>
      <w:outlineLvl w:val="9"/>
    </w:pPr>
    <w:rPr>
      <w:rFonts w:asciiTheme="majorHAnsi" w:eastAsiaTheme="majorEastAsia" w:hAnsiTheme="majorHAnsi" w:cstheme="majorBidi"/>
      <w:bCs/>
      <w:color w:val="501E58" w:themeColor="accent1" w:themeShade="BF"/>
      <w:sz w:val="28"/>
      <w:szCs w:val="28"/>
      <w:lang w:val="en-US" w:eastAsia="en-US"/>
    </w:rPr>
  </w:style>
  <w:style w:type="paragraph" w:styleId="TOC6">
    <w:name w:val="toc 6"/>
    <w:basedOn w:val="Normal"/>
    <w:next w:val="Normal"/>
    <w:autoRedefine/>
    <w:uiPriority w:val="99"/>
    <w:semiHidden/>
    <w:rsid w:val="00A61E7C"/>
    <w:pPr>
      <w:spacing w:after="0"/>
      <w:ind w:left="1200"/>
    </w:pPr>
    <w:rPr>
      <w:rFonts w:asciiTheme="minorHAnsi" w:hAnsiTheme="minorHAnsi" w:cstheme="minorHAnsi"/>
      <w:sz w:val="20"/>
      <w:szCs w:val="20"/>
    </w:rPr>
  </w:style>
  <w:style w:type="paragraph" w:styleId="TOC7">
    <w:name w:val="toc 7"/>
    <w:basedOn w:val="Normal"/>
    <w:next w:val="Normal"/>
    <w:autoRedefine/>
    <w:uiPriority w:val="99"/>
    <w:semiHidden/>
    <w:rsid w:val="00A61E7C"/>
    <w:pPr>
      <w:spacing w:after="0"/>
      <w:ind w:left="1440"/>
    </w:pPr>
    <w:rPr>
      <w:rFonts w:asciiTheme="minorHAnsi" w:hAnsiTheme="minorHAnsi" w:cstheme="minorHAnsi"/>
      <w:sz w:val="20"/>
      <w:szCs w:val="20"/>
    </w:rPr>
  </w:style>
  <w:style w:type="paragraph" w:styleId="TOC8">
    <w:name w:val="toc 8"/>
    <w:basedOn w:val="Normal"/>
    <w:next w:val="Normal"/>
    <w:autoRedefine/>
    <w:uiPriority w:val="99"/>
    <w:semiHidden/>
    <w:rsid w:val="00A61E7C"/>
    <w:pPr>
      <w:spacing w:after="0"/>
      <w:ind w:left="1680"/>
    </w:pPr>
    <w:rPr>
      <w:rFonts w:asciiTheme="minorHAnsi" w:hAnsiTheme="minorHAnsi" w:cstheme="minorHAnsi"/>
      <w:sz w:val="20"/>
      <w:szCs w:val="20"/>
    </w:rPr>
  </w:style>
  <w:style w:type="paragraph" w:styleId="TOC9">
    <w:name w:val="toc 9"/>
    <w:basedOn w:val="Normal"/>
    <w:next w:val="Normal"/>
    <w:autoRedefine/>
    <w:uiPriority w:val="99"/>
    <w:semiHidden/>
    <w:rsid w:val="00A61E7C"/>
    <w:pPr>
      <w:spacing w:after="0"/>
      <w:ind w:left="1920"/>
    </w:pPr>
    <w:rPr>
      <w:rFonts w:asciiTheme="minorHAnsi" w:hAnsiTheme="minorHAnsi" w:cstheme="minorHAnsi"/>
      <w:sz w:val="20"/>
      <w:szCs w:val="20"/>
    </w:rPr>
  </w:style>
  <w:style w:type="paragraph" w:customStyle="1" w:styleId="PullOut-Heading3">
    <w:name w:val="Pull Out - Heading 3"/>
    <w:basedOn w:val="Heading3"/>
    <w:uiPriority w:val="99"/>
    <w:semiHidden/>
    <w:rsid w:val="008B419B"/>
    <w:p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pPr>
    <w:rPr>
      <w:bCs/>
      <w:szCs w:val="20"/>
    </w:rPr>
  </w:style>
  <w:style w:type="paragraph" w:customStyle="1" w:styleId="Introparagraph">
    <w:name w:val="Intro paragraph"/>
    <w:basedOn w:val="Normal"/>
    <w:uiPriority w:val="8"/>
    <w:qFormat/>
    <w:rsid w:val="00AA38DB"/>
    <w:rPr>
      <w:bCs/>
      <w:color w:val="6B2876" w:themeColor="text1"/>
      <w:sz w:val="28"/>
      <w:szCs w:val="28"/>
    </w:rPr>
  </w:style>
  <w:style w:type="paragraph" w:customStyle="1" w:styleId="Pull-out-Heading">
    <w:name w:val="Pull-out - Heading"/>
    <w:basedOn w:val="Heading2"/>
    <w:uiPriority w:val="13"/>
    <w:qFormat/>
    <w:rsid w:val="001B1583"/>
    <w:pPr>
      <w:numPr>
        <w:numId w:val="0"/>
      </w:num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spacing w:before="400"/>
    </w:pPr>
    <w:rPr>
      <w:sz w:val="32"/>
      <w:szCs w:val="20"/>
    </w:rPr>
  </w:style>
  <w:style w:type="paragraph" w:customStyle="1" w:styleId="Pull-out-Body">
    <w:name w:val="Pull-out - Body"/>
    <w:basedOn w:val="Normal"/>
    <w:uiPriority w:val="12"/>
    <w:qFormat/>
    <w:rsid w:val="008B419B"/>
    <w:p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pPr>
    <w:rPr>
      <w:szCs w:val="20"/>
    </w:rPr>
  </w:style>
  <w:style w:type="paragraph" w:customStyle="1" w:styleId="tablelistbullet">
    <w:name w:val="table list bullet"/>
    <w:basedOn w:val="ListParagraph"/>
    <w:uiPriority w:val="99"/>
    <w:semiHidden/>
    <w:qFormat/>
    <w:rsid w:val="00BD5E4E"/>
    <w:pPr>
      <w:tabs>
        <w:tab w:val="num" w:pos="360"/>
      </w:tabs>
      <w:spacing w:line="240" w:lineRule="auto"/>
    </w:pPr>
    <w:rPr>
      <w:rFonts w:eastAsia="MS Mincho" w:cs="FSMe-Bold"/>
      <w:spacing w:val="-2"/>
      <w:szCs w:val="20"/>
      <w:lang w:eastAsia="en-US"/>
    </w:rPr>
  </w:style>
  <w:style w:type="paragraph" w:customStyle="1" w:styleId="TableBody">
    <w:name w:val="Table Body"/>
    <w:basedOn w:val="Normal"/>
    <w:uiPriority w:val="9"/>
    <w:qFormat/>
    <w:rsid w:val="00277603"/>
    <w:pPr>
      <w:spacing w:before="100" w:after="100"/>
    </w:pPr>
    <w:rPr>
      <w:rFonts w:eastAsia="MS Mincho" w:cs="Arial"/>
      <w:szCs w:val="22"/>
    </w:rPr>
  </w:style>
  <w:style w:type="table" w:styleId="GridTable5Dark">
    <w:name w:val="Grid Table 5 Dark"/>
    <w:basedOn w:val="TableNormal"/>
    <w:uiPriority w:val="50"/>
    <w:rsid w:val="00BE01CE"/>
    <w:pPr>
      <w:spacing w:after="0" w:line="240" w:lineRule="auto"/>
    </w:pPr>
    <w:tblPr>
      <w:tblStyleRowBandSize w:val="1"/>
      <w:tblStyleColBandSize w:val="1"/>
      <w:tblBorders>
        <w:top w:val="single" w:sz="4" w:space="0" w:color="F9F9F9" w:themeColor="background1"/>
        <w:left w:val="single" w:sz="4" w:space="0" w:color="F9F9F9" w:themeColor="background1"/>
        <w:bottom w:val="single" w:sz="4" w:space="0" w:color="F9F9F9" w:themeColor="background1"/>
        <w:right w:val="single" w:sz="4" w:space="0" w:color="F9F9F9" w:themeColor="background1"/>
        <w:insideH w:val="single" w:sz="4" w:space="0" w:color="F9F9F9" w:themeColor="background1"/>
        <w:insideV w:val="single" w:sz="4" w:space="0" w:color="F9F9F9" w:themeColor="background1"/>
      </w:tblBorders>
    </w:tblPr>
    <w:tcPr>
      <w:shd w:val="clear" w:color="auto" w:fill="E8CAED" w:themeFill="text1" w:themeFillTint="33"/>
    </w:tcPr>
    <w:tblStylePr w:type="firstRow">
      <w:rPr>
        <w:b/>
        <w:bCs/>
        <w:color w:val="F9F9F9" w:themeColor="background1"/>
      </w:rPr>
      <w:tblPr/>
      <w:tcPr>
        <w:tcBorders>
          <w:top w:val="single" w:sz="4" w:space="0" w:color="F9F9F9" w:themeColor="background1"/>
          <w:left w:val="single" w:sz="4" w:space="0" w:color="F9F9F9" w:themeColor="background1"/>
          <w:right w:val="single" w:sz="4" w:space="0" w:color="F9F9F9" w:themeColor="background1"/>
          <w:insideH w:val="nil"/>
          <w:insideV w:val="nil"/>
        </w:tcBorders>
        <w:shd w:val="clear" w:color="auto" w:fill="6B2876" w:themeFill="text1"/>
      </w:tcPr>
    </w:tblStylePr>
    <w:tblStylePr w:type="lastRow">
      <w:rPr>
        <w:b/>
        <w:bCs/>
        <w:color w:val="F9F9F9" w:themeColor="background1"/>
      </w:rPr>
      <w:tblPr/>
      <w:tcPr>
        <w:tcBorders>
          <w:left w:val="single" w:sz="4" w:space="0" w:color="F9F9F9" w:themeColor="background1"/>
          <w:bottom w:val="single" w:sz="4" w:space="0" w:color="F9F9F9" w:themeColor="background1"/>
          <w:right w:val="single" w:sz="4" w:space="0" w:color="F9F9F9" w:themeColor="background1"/>
          <w:insideH w:val="nil"/>
          <w:insideV w:val="nil"/>
        </w:tcBorders>
        <w:shd w:val="clear" w:color="auto" w:fill="6B2876" w:themeFill="text1"/>
      </w:tcPr>
    </w:tblStylePr>
    <w:tblStylePr w:type="firstCol">
      <w:rPr>
        <w:b/>
        <w:bCs/>
        <w:color w:val="F9F9F9" w:themeColor="background1"/>
      </w:rPr>
      <w:tblPr/>
      <w:tcPr>
        <w:tcBorders>
          <w:top w:val="single" w:sz="4" w:space="0" w:color="F9F9F9" w:themeColor="background1"/>
          <w:left w:val="single" w:sz="4" w:space="0" w:color="F9F9F9" w:themeColor="background1"/>
          <w:bottom w:val="single" w:sz="4" w:space="0" w:color="F9F9F9" w:themeColor="background1"/>
          <w:insideV w:val="nil"/>
        </w:tcBorders>
        <w:shd w:val="clear" w:color="auto" w:fill="6B2876" w:themeFill="text1"/>
      </w:tcPr>
    </w:tblStylePr>
    <w:tblStylePr w:type="lastCol">
      <w:rPr>
        <w:b/>
        <w:bCs/>
        <w:color w:val="F9F9F9" w:themeColor="background1"/>
      </w:rPr>
      <w:tblPr/>
      <w:tcPr>
        <w:tcBorders>
          <w:top w:val="single" w:sz="4" w:space="0" w:color="F9F9F9" w:themeColor="background1"/>
          <w:bottom w:val="single" w:sz="4" w:space="0" w:color="F9F9F9" w:themeColor="background1"/>
          <w:right w:val="single" w:sz="4" w:space="0" w:color="F9F9F9" w:themeColor="background1"/>
          <w:insideV w:val="nil"/>
        </w:tcBorders>
        <w:shd w:val="clear" w:color="auto" w:fill="6B2876" w:themeFill="text1"/>
      </w:tcPr>
    </w:tblStylePr>
    <w:tblStylePr w:type="band1Vert">
      <w:tblPr/>
      <w:tcPr>
        <w:shd w:val="clear" w:color="auto" w:fill="D195DB" w:themeFill="text1" w:themeFillTint="66"/>
      </w:tcPr>
    </w:tblStylePr>
    <w:tblStylePr w:type="band1Horz">
      <w:tblPr/>
      <w:tcPr>
        <w:shd w:val="clear" w:color="auto" w:fill="D195DB" w:themeFill="text1" w:themeFillTint="66"/>
      </w:tcPr>
    </w:tblStylePr>
  </w:style>
  <w:style w:type="table" w:customStyle="1" w:styleId="NDISTable1">
    <w:name w:val="NDIS Table 1"/>
    <w:basedOn w:val="TableNormal"/>
    <w:uiPriority w:val="99"/>
    <w:rsid w:val="00BB253E"/>
    <w:pPr>
      <w:spacing w:before="100" w:after="100"/>
    </w:pPr>
    <w:tblPr>
      <w:tblStyleRow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color w:val="F9F9F9" w:themeColor="background1"/>
      </w:rPr>
      <w:tblPr/>
      <w:tcPr>
        <w:tcBorders>
          <w:insideH w:val="single" w:sz="4" w:space="0" w:color="F9F9F9" w:themeColor="background1"/>
          <w:insideV w:val="single" w:sz="4" w:space="0" w:color="F9F9F9" w:themeColor="background1"/>
        </w:tcBorders>
        <w:shd w:val="clear" w:color="auto" w:fill="6B2876" w:themeFill="text1"/>
      </w:tcPr>
    </w:tblStylePr>
    <w:tblStylePr w:type="band1Horz">
      <w:tblPr/>
      <w:tcPr>
        <w:shd w:val="clear" w:color="auto" w:fill="F7EEF7"/>
      </w:tcPr>
    </w:tblStylePr>
  </w:style>
  <w:style w:type="character" w:styleId="CommentReference">
    <w:name w:val="annotation reference"/>
    <w:basedOn w:val="DefaultParagraphFont"/>
    <w:uiPriority w:val="99"/>
    <w:semiHidden/>
    <w:unhideWhenUsed/>
    <w:rsid w:val="008C7E4D"/>
    <w:rPr>
      <w:sz w:val="16"/>
      <w:szCs w:val="16"/>
    </w:rPr>
  </w:style>
  <w:style w:type="paragraph" w:styleId="CommentText">
    <w:name w:val="annotation text"/>
    <w:basedOn w:val="Normal"/>
    <w:link w:val="CommentTextChar"/>
    <w:uiPriority w:val="21"/>
    <w:unhideWhenUsed/>
    <w:rsid w:val="008C7E4D"/>
    <w:pPr>
      <w:spacing w:line="240" w:lineRule="auto"/>
    </w:pPr>
    <w:rPr>
      <w:sz w:val="20"/>
      <w:szCs w:val="20"/>
    </w:rPr>
  </w:style>
  <w:style w:type="character" w:customStyle="1" w:styleId="CommentTextChar">
    <w:name w:val="Comment Text Char"/>
    <w:basedOn w:val="DefaultParagraphFont"/>
    <w:link w:val="CommentText"/>
    <w:uiPriority w:val="21"/>
    <w:rsid w:val="00D0767E"/>
    <w:rPr>
      <w:sz w:val="20"/>
      <w:szCs w:val="20"/>
    </w:rPr>
  </w:style>
  <w:style w:type="paragraph" w:customStyle="1" w:styleId="Numberedlist">
    <w:name w:val="Numbered list"/>
    <w:basedOn w:val="Bullet1"/>
    <w:uiPriority w:val="99"/>
    <w:semiHidden/>
    <w:qFormat/>
    <w:rsid w:val="004B5CD1"/>
    <w:pPr>
      <w:numPr>
        <w:numId w:val="10"/>
      </w:numPr>
      <w:ind w:left="714" w:hanging="357"/>
    </w:pPr>
  </w:style>
  <w:style w:type="paragraph" w:styleId="Revision">
    <w:name w:val="Revision"/>
    <w:hidden/>
    <w:uiPriority w:val="99"/>
    <w:semiHidden/>
    <w:rsid w:val="00870EDC"/>
    <w:rPr>
      <w:rFonts w:eastAsia="Times New Roman"/>
      <w:lang w:val="en-US" w:eastAsia="ja-JP"/>
    </w:rPr>
  </w:style>
  <w:style w:type="paragraph" w:styleId="CommentSubject">
    <w:name w:val="annotation subject"/>
    <w:basedOn w:val="CommentText"/>
    <w:next w:val="CommentText"/>
    <w:link w:val="CommentSubjectChar"/>
    <w:uiPriority w:val="99"/>
    <w:semiHidden/>
    <w:unhideWhenUsed/>
    <w:rsid w:val="00870EDC"/>
    <w:rPr>
      <w:b/>
      <w:bCs/>
    </w:rPr>
  </w:style>
  <w:style w:type="character" w:customStyle="1" w:styleId="CommentSubjectChar">
    <w:name w:val="Comment Subject Char"/>
    <w:basedOn w:val="CommentTextChar"/>
    <w:link w:val="CommentSubject"/>
    <w:uiPriority w:val="99"/>
    <w:semiHidden/>
    <w:rsid w:val="00870EDC"/>
    <w:rPr>
      <w:rFonts w:ascii="Arial" w:eastAsia="Times New Roman" w:hAnsi="Arial"/>
      <w:b/>
      <w:bCs/>
      <w:sz w:val="20"/>
      <w:szCs w:val="20"/>
      <w:lang w:val="en-US" w:eastAsia="ja-JP"/>
    </w:rPr>
  </w:style>
  <w:style w:type="paragraph" w:styleId="NoSpacing">
    <w:name w:val="No Spacing"/>
    <w:link w:val="NoSpacingChar"/>
    <w:uiPriority w:val="99"/>
    <w:semiHidden/>
    <w:qFormat/>
    <w:rsid w:val="009312B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99"/>
    <w:semiHidden/>
    <w:rsid w:val="00BE5808"/>
    <w:rPr>
      <w:rFonts w:asciiTheme="minorHAnsi" w:eastAsiaTheme="minorEastAsia" w:hAnsiTheme="minorHAnsi" w:cstheme="minorBidi"/>
      <w:sz w:val="22"/>
      <w:szCs w:val="22"/>
    </w:rPr>
  </w:style>
  <w:style w:type="paragraph" w:customStyle="1" w:styleId="Tablenotes">
    <w:name w:val="Table notes"/>
    <w:basedOn w:val="FootnoteText"/>
    <w:link w:val="TablenotesChar"/>
    <w:uiPriority w:val="11"/>
    <w:qFormat/>
    <w:rsid w:val="006577CF"/>
    <w:pPr>
      <w:tabs>
        <w:tab w:val="left" w:pos="284"/>
      </w:tabs>
      <w:spacing w:before="120" w:after="240" w:line="288" w:lineRule="auto"/>
      <w:contextualSpacing/>
    </w:pPr>
  </w:style>
  <w:style w:type="character" w:customStyle="1" w:styleId="TablenotesChar">
    <w:name w:val="Table notes Char"/>
    <w:basedOn w:val="FootnoteTextChar"/>
    <w:link w:val="Tablenotes"/>
    <w:uiPriority w:val="11"/>
    <w:rsid w:val="006577CF"/>
    <w:rPr>
      <w:sz w:val="20"/>
      <w:szCs w:val="20"/>
    </w:rPr>
  </w:style>
  <w:style w:type="paragraph" w:customStyle="1" w:styleId="Acknowledgment">
    <w:name w:val="Acknowledgment"/>
    <w:basedOn w:val="Heading3"/>
    <w:qFormat/>
    <w:rsid w:val="00B10295"/>
    <w:pPr>
      <w:numPr>
        <w:ilvl w:val="0"/>
        <w:numId w:val="0"/>
      </w:numPr>
      <w:spacing w:before="2880" w:after="120"/>
    </w:pPr>
    <w:rPr>
      <w:rFonts w:eastAsia="Times New Roman"/>
      <w:sz w:val="30"/>
      <w:szCs w:val="30"/>
      <w:lang w:val="en-US" w:eastAsia="ja-JP"/>
    </w:rPr>
  </w:style>
  <w:style w:type="paragraph" w:customStyle="1" w:styleId="FCCPHeading4">
    <w:name w:val="FCCP Heading 4"/>
    <w:basedOn w:val="Normal"/>
    <w:autoRedefine/>
    <w:qFormat/>
    <w:rsid w:val="00041DFB"/>
    <w:pPr>
      <w:numPr>
        <w:ilvl w:val="2"/>
        <w:numId w:val="18"/>
      </w:numPr>
      <w:spacing w:after="160" w:line="259" w:lineRule="auto"/>
    </w:pPr>
    <w:rPr>
      <w:rFonts w:eastAsiaTheme="minorHAnsi" w:cs="Arial"/>
      <w:b/>
      <w:bCs/>
      <w:color w:val="6A2875"/>
      <w:kern w:val="2"/>
      <w:szCs w:val="22"/>
      <w:lang w:eastAsia="en-US"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7119">
      <w:bodyDiv w:val="1"/>
      <w:marLeft w:val="0"/>
      <w:marRight w:val="0"/>
      <w:marTop w:val="0"/>
      <w:marBottom w:val="0"/>
      <w:divBdr>
        <w:top w:val="none" w:sz="0" w:space="0" w:color="auto"/>
        <w:left w:val="none" w:sz="0" w:space="0" w:color="auto"/>
        <w:bottom w:val="none" w:sz="0" w:space="0" w:color="auto"/>
        <w:right w:val="none" w:sz="0" w:space="0" w:color="auto"/>
      </w:divBdr>
    </w:div>
    <w:div w:id="799611433">
      <w:bodyDiv w:val="1"/>
      <w:marLeft w:val="0"/>
      <w:marRight w:val="0"/>
      <w:marTop w:val="0"/>
      <w:marBottom w:val="0"/>
      <w:divBdr>
        <w:top w:val="none" w:sz="0" w:space="0" w:color="auto"/>
        <w:left w:val="none" w:sz="0" w:space="0" w:color="auto"/>
        <w:bottom w:val="none" w:sz="0" w:space="0" w:color="auto"/>
        <w:right w:val="none" w:sz="0" w:space="0" w:color="auto"/>
      </w:divBdr>
    </w:div>
    <w:div w:id="821119745">
      <w:bodyDiv w:val="1"/>
      <w:marLeft w:val="0"/>
      <w:marRight w:val="0"/>
      <w:marTop w:val="0"/>
      <w:marBottom w:val="0"/>
      <w:divBdr>
        <w:top w:val="none" w:sz="0" w:space="0" w:color="auto"/>
        <w:left w:val="none" w:sz="0" w:space="0" w:color="auto"/>
        <w:bottom w:val="none" w:sz="0" w:space="0" w:color="auto"/>
        <w:right w:val="none" w:sz="0" w:space="0" w:color="auto"/>
      </w:divBdr>
      <w:divsChild>
        <w:div w:id="668947970">
          <w:marLeft w:val="0"/>
          <w:marRight w:val="0"/>
          <w:marTop w:val="0"/>
          <w:marBottom w:val="0"/>
          <w:divBdr>
            <w:top w:val="none" w:sz="0" w:space="0" w:color="auto"/>
            <w:left w:val="none" w:sz="0" w:space="0" w:color="auto"/>
            <w:bottom w:val="none" w:sz="0" w:space="0" w:color="auto"/>
            <w:right w:val="none" w:sz="0" w:space="0" w:color="auto"/>
          </w:divBdr>
          <w:divsChild>
            <w:div w:id="869495730">
              <w:marLeft w:val="0"/>
              <w:marRight w:val="0"/>
              <w:marTop w:val="0"/>
              <w:marBottom w:val="0"/>
              <w:divBdr>
                <w:top w:val="none" w:sz="0" w:space="0" w:color="auto"/>
                <w:left w:val="none" w:sz="0" w:space="0" w:color="auto"/>
                <w:bottom w:val="none" w:sz="0" w:space="0" w:color="auto"/>
                <w:right w:val="none" w:sz="0" w:space="0" w:color="auto"/>
              </w:divBdr>
              <w:divsChild>
                <w:div w:id="1879776626">
                  <w:marLeft w:val="0"/>
                  <w:marRight w:val="0"/>
                  <w:marTop w:val="0"/>
                  <w:marBottom w:val="0"/>
                  <w:divBdr>
                    <w:top w:val="none" w:sz="0" w:space="0" w:color="auto"/>
                    <w:left w:val="none" w:sz="0" w:space="0" w:color="auto"/>
                    <w:bottom w:val="none" w:sz="0" w:space="0" w:color="auto"/>
                    <w:right w:val="none" w:sz="0" w:space="0" w:color="auto"/>
                  </w:divBdr>
                  <w:divsChild>
                    <w:div w:id="1290090192">
                      <w:marLeft w:val="0"/>
                      <w:marRight w:val="0"/>
                      <w:marTop w:val="0"/>
                      <w:marBottom w:val="0"/>
                      <w:divBdr>
                        <w:top w:val="none" w:sz="0" w:space="0" w:color="auto"/>
                        <w:left w:val="none" w:sz="0" w:space="0" w:color="auto"/>
                        <w:bottom w:val="none" w:sz="0" w:space="0" w:color="auto"/>
                        <w:right w:val="none" w:sz="0" w:space="0" w:color="auto"/>
                      </w:divBdr>
                      <w:divsChild>
                        <w:div w:id="1778208205">
                          <w:marLeft w:val="0"/>
                          <w:marRight w:val="0"/>
                          <w:marTop w:val="0"/>
                          <w:marBottom w:val="0"/>
                          <w:divBdr>
                            <w:top w:val="none" w:sz="0" w:space="0" w:color="auto"/>
                            <w:left w:val="none" w:sz="0" w:space="0" w:color="auto"/>
                            <w:bottom w:val="none" w:sz="0" w:space="0" w:color="auto"/>
                            <w:right w:val="none" w:sz="0" w:space="0" w:color="auto"/>
                          </w:divBdr>
                          <w:divsChild>
                            <w:div w:id="180665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048975">
          <w:marLeft w:val="0"/>
          <w:marRight w:val="0"/>
          <w:marTop w:val="0"/>
          <w:marBottom w:val="0"/>
          <w:divBdr>
            <w:top w:val="none" w:sz="0" w:space="0" w:color="auto"/>
            <w:left w:val="none" w:sz="0" w:space="0" w:color="auto"/>
            <w:bottom w:val="none" w:sz="0" w:space="0" w:color="auto"/>
            <w:right w:val="none" w:sz="0" w:space="0" w:color="auto"/>
          </w:divBdr>
          <w:divsChild>
            <w:div w:id="15014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0682">
      <w:bodyDiv w:val="1"/>
      <w:marLeft w:val="0"/>
      <w:marRight w:val="0"/>
      <w:marTop w:val="0"/>
      <w:marBottom w:val="0"/>
      <w:divBdr>
        <w:top w:val="none" w:sz="0" w:space="0" w:color="auto"/>
        <w:left w:val="none" w:sz="0" w:space="0" w:color="auto"/>
        <w:bottom w:val="none" w:sz="0" w:space="0" w:color="auto"/>
        <w:right w:val="none" w:sz="0" w:space="0" w:color="auto"/>
      </w:divBdr>
    </w:div>
    <w:div w:id="1171531077">
      <w:bodyDiv w:val="1"/>
      <w:marLeft w:val="0"/>
      <w:marRight w:val="0"/>
      <w:marTop w:val="0"/>
      <w:marBottom w:val="0"/>
      <w:divBdr>
        <w:top w:val="none" w:sz="0" w:space="0" w:color="auto"/>
        <w:left w:val="none" w:sz="0" w:space="0" w:color="auto"/>
        <w:bottom w:val="none" w:sz="0" w:space="0" w:color="auto"/>
        <w:right w:val="none" w:sz="0" w:space="0" w:color="auto"/>
      </w:divBdr>
    </w:div>
    <w:div w:id="1451321326">
      <w:bodyDiv w:val="1"/>
      <w:marLeft w:val="0"/>
      <w:marRight w:val="0"/>
      <w:marTop w:val="0"/>
      <w:marBottom w:val="0"/>
      <w:divBdr>
        <w:top w:val="none" w:sz="0" w:space="0" w:color="auto"/>
        <w:left w:val="none" w:sz="0" w:space="0" w:color="auto"/>
        <w:bottom w:val="none" w:sz="0" w:space="0" w:color="auto"/>
        <w:right w:val="none" w:sz="0" w:space="0" w:color="auto"/>
      </w:divBdr>
    </w:div>
    <w:div w:id="1507792986">
      <w:bodyDiv w:val="1"/>
      <w:marLeft w:val="0"/>
      <w:marRight w:val="0"/>
      <w:marTop w:val="0"/>
      <w:marBottom w:val="0"/>
      <w:divBdr>
        <w:top w:val="none" w:sz="0" w:space="0" w:color="auto"/>
        <w:left w:val="none" w:sz="0" w:space="0" w:color="auto"/>
        <w:bottom w:val="none" w:sz="0" w:space="0" w:color="auto"/>
        <w:right w:val="none" w:sz="0" w:space="0" w:color="auto"/>
      </w:divBdr>
      <w:divsChild>
        <w:div w:id="1258833994">
          <w:marLeft w:val="0"/>
          <w:marRight w:val="0"/>
          <w:marTop w:val="0"/>
          <w:marBottom w:val="0"/>
          <w:divBdr>
            <w:top w:val="none" w:sz="0" w:space="0" w:color="auto"/>
            <w:left w:val="none" w:sz="0" w:space="0" w:color="auto"/>
            <w:bottom w:val="none" w:sz="0" w:space="0" w:color="auto"/>
            <w:right w:val="none" w:sz="0" w:space="0" w:color="auto"/>
          </w:divBdr>
          <w:divsChild>
            <w:div w:id="600918944">
              <w:marLeft w:val="0"/>
              <w:marRight w:val="0"/>
              <w:marTop w:val="0"/>
              <w:marBottom w:val="0"/>
              <w:divBdr>
                <w:top w:val="none" w:sz="0" w:space="0" w:color="auto"/>
                <w:left w:val="none" w:sz="0" w:space="0" w:color="auto"/>
                <w:bottom w:val="none" w:sz="0" w:space="0" w:color="auto"/>
                <w:right w:val="none" w:sz="0" w:space="0" w:color="auto"/>
              </w:divBdr>
              <w:divsChild>
                <w:div w:id="470169485">
                  <w:marLeft w:val="0"/>
                  <w:marRight w:val="0"/>
                  <w:marTop w:val="0"/>
                  <w:marBottom w:val="0"/>
                  <w:divBdr>
                    <w:top w:val="none" w:sz="0" w:space="0" w:color="auto"/>
                    <w:left w:val="none" w:sz="0" w:space="0" w:color="auto"/>
                    <w:bottom w:val="none" w:sz="0" w:space="0" w:color="auto"/>
                    <w:right w:val="none" w:sz="0" w:space="0" w:color="auto"/>
                  </w:divBdr>
                  <w:divsChild>
                    <w:div w:id="1969162188">
                      <w:marLeft w:val="0"/>
                      <w:marRight w:val="0"/>
                      <w:marTop w:val="0"/>
                      <w:marBottom w:val="0"/>
                      <w:divBdr>
                        <w:top w:val="none" w:sz="0" w:space="0" w:color="auto"/>
                        <w:left w:val="none" w:sz="0" w:space="0" w:color="auto"/>
                        <w:bottom w:val="none" w:sz="0" w:space="0" w:color="auto"/>
                        <w:right w:val="none" w:sz="0" w:space="0" w:color="auto"/>
                      </w:divBdr>
                      <w:divsChild>
                        <w:div w:id="633095883">
                          <w:marLeft w:val="0"/>
                          <w:marRight w:val="0"/>
                          <w:marTop w:val="0"/>
                          <w:marBottom w:val="0"/>
                          <w:divBdr>
                            <w:top w:val="none" w:sz="0" w:space="0" w:color="auto"/>
                            <w:left w:val="none" w:sz="0" w:space="0" w:color="auto"/>
                            <w:bottom w:val="none" w:sz="0" w:space="0" w:color="auto"/>
                            <w:right w:val="none" w:sz="0" w:space="0" w:color="auto"/>
                          </w:divBdr>
                          <w:divsChild>
                            <w:div w:id="21364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9261">
          <w:marLeft w:val="0"/>
          <w:marRight w:val="0"/>
          <w:marTop w:val="0"/>
          <w:marBottom w:val="0"/>
          <w:divBdr>
            <w:top w:val="none" w:sz="0" w:space="0" w:color="auto"/>
            <w:left w:val="none" w:sz="0" w:space="0" w:color="auto"/>
            <w:bottom w:val="none" w:sz="0" w:space="0" w:color="auto"/>
            <w:right w:val="none" w:sz="0" w:space="0" w:color="auto"/>
          </w:divBdr>
          <w:divsChild>
            <w:div w:id="14247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80826">
      <w:bodyDiv w:val="1"/>
      <w:marLeft w:val="0"/>
      <w:marRight w:val="0"/>
      <w:marTop w:val="0"/>
      <w:marBottom w:val="0"/>
      <w:divBdr>
        <w:top w:val="none" w:sz="0" w:space="0" w:color="auto"/>
        <w:left w:val="none" w:sz="0" w:space="0" w:color="auto"/>
        <w:bottom w:val="none" w:sz="0" w:space="0" w:color="auto"/>
        <w:right w:val="none" w:sz="0" w:space="0" w:color="auto"/>
      </w:divBdr>
    </w:div>
    <w:div w:id="1854687825">
      <w:bodyDiv w:val="1"/>
      <w:marLeft w:val="0"/>
      <w:marRight w:val="0"/>
      <w:marTop w:val="0"/>
      <w:marBottom w:val="0"/>
      <w:divBdr>
        <w:top w:val="none" w:sz="0" w:space="0" w:color="auto"/>
        <w:left w:val="none" w:sz="0" w:space="0" w:color="auto"/>
        <w:bottom w:val="none" w:sz="0" w:space="0" w:color="auto"/>
        <w:right w:val="none" w:sz="0" w:space="0" w:color="auto"/>
      </w:divBdr>
      <w:divsChild>
        <w:div w:id="154995166">
          <w:marLeft w:val="0"/>
          <w:marRight w:val="0"/>
          <w:marTop w:val="0"/>
          <w:marBottom w:val="0"/>
          <w:divBdr>
            <w:top w:val="none" w:sz="0" w:space="0" w:color="auto"/>
            <w:left w:val="none" w:sz="0" w:space="0" w:color="auto"/>
            <w:bottom w:val="none" w:sz="0" w:space="0" w:color="auto"/>
            <w:right w:val="none" w:sz="0" w:space="0" w:color="auto"/>
          </w:divBdr>
          <w:divsChild>
            <w:div w:id="880167561">
              <w:marLeft w:val="0"/>
              <w:marRight w:val="0"/>
              <w:marTop w:val="0"/>
              <w:marBottom w:val="0"/>
              <w:divBdr>
                <w:top w:val="none" w:sz="0" w:space="0" w:color="auto"/>
                <w:left w:val="none" w:sz="0" w:space="0" w:color="auto"/>
                <w:bottom w:val="none" w:sz="0" w:space="0" w:color="auto"/>
                <w:right w:val="none" w:sz="0" w:space="0" w:color="auto"/>
              </w:divBdr>
            </w:div>
          </w:divsChild>
        </w:div>
        <w:div w:id="2095661070">
          <w:marLeft w:val="0"/>
          <w:marRight w:val="0"/>
          <w:marTop w:val="0"/>
          <w:marBottom w:val="0"/>
          <w:divBdr>
            <w:top w:val="none" w:sz="0" w:space="0" w:color="auto"/>
            <w:left w:val="none" w:sz="0" w:space="0" w:color="auto"/>
            <w:bottom w:val="none" w:sz="0" w:space="0" w:color="auto"/>
            <w:right w:val="none" w:sz="0" w:space="0" w:color="auto"/>
          </w:divBdr>
          <w:divsChild>
            <w:div w:id="2027902668">
              <w:marLeft w:val="0"/>
              <w:marRight w:val="0"/>
              <w:marTop w:val="0"/>
              <w:marBottom w:val="0"/>
              <w:divBdr>
                <w:top w:val="none" w:sz="0" w:space="0" w:color="auto"/>
                <w:left w:val="none" w:sz="0" w:space="0" w:color="auto"/>
                <w:bottom w:val="none" w:sz="0" w:space="0" w:color="auto"/>
                <w:right w:val="none" w:sz="0" w:space="0" w:color="auto"/>
              </w:divBdr>
              <w:divsChild>
                <w:div w:id="450248745">
                  <w:marLeft w:val="0"/>
                  <w:marRight w:val="0"/>
                  <w:marTop w:val="0"/>
                  <w:marBottom w:val="0"/>
                  <w:divBdr>
                    <w:top w:val="none" w:sz="0" w:space="0" w:color="auto"/>
                    <w:left w:val="none" w:sz="0" w:space="0" w:color="auto"/>
                    <w:bottom w:val="none" w:sz="0" w:space="0" w:color="auto"/>
                    <w:right w:val="none" w:sz="0" w:space="0" w:color="auto"/>
                  </w:divBdr>
                  <w:divsChild>
                    <w:div w:id="112990384">
                      <w:marLeft w:val="0"/>
                      <w:marRight w:val="0"/>
                      <w:marTop w:val="0"/>
                      <w:marBottom w:val="0"/>
                      <w:divBdr>
                        <w:top w:val="none" w:sz="0" w:space="0" w:color="auto"/>
                        <w:left w:val="none" w:sz="0" w:space="0" w:color="auto"/>
                        <w:bottom w:val="none" w:sz="0" w:space="0" w:color="auto"/>
                        <w:right w:val="none" w:sz="0" w:space="0" w:color="auto"/>
                      </w:divBdr>
                      <w:divsChild>
                        <w:div w:id="1094280346">
                          <w:marLeft w:val="0"/>
                          <w:marRight w:val="0"/>
                          <w:marTop w:val="0"/>
                          <w:marBottom w:val="0"/>
                          <w:divBdr>
                            <w:top w:val="none" w:sz="0" w:space="0" w:color="auto"/>
                            <w:left w:val="none" w:sz="0" w:space="0" w:color="auto"/>
                            <w:bottom w:val="none" w:sz="0" w:space="0" w:color="auto"/>
                            <w:right w:val="none" w:sz="0" w:space="0" w:color="auto"/>
                          </w:divBdr>
                          <w:divsChild>
                            <w:div w:id="4597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legislation.gov.au/C2004A04868/2018-12-29/text" TargetMode="External"/><Relationship Id="rId26" Type="http://schemas.openxmlformats.org/officeDocument/2006/relationships/hyperlink" Target="https://www.ndis.gov.au/participants/working-providers/what-are-scams" TargetMode="External"/><Relationship Id="rId3" Type="http://schemas.openxmlformats.org/officeDocument/2006/relationships/customXml" Target="../customXml/item3.xml"/><Relationship Id="rId21" Type="http://schemas.openxmlformats.org/officeDocument/2006/relationships/hyperlink" Target="https://www.ndis.gov.au/form/ndia-fraud-reporting-for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egislation.gov.au/F2014L00911/latest/text" TargetMode="External"/><Relationship Id="rId25" Type="http://schemas.openxmlformats.org/officeDocument/2006/relationships/hyperlink" Target="https://intranet.ndiastaff.ndia.gov.au/corporate-services/Scheme-Integrity/integrity-hub/_layouts/15/WopiFrame.aspx?sourcedoc=/corporate-services/Scheme-Integrity/integrity-hub/IntegrityResources/Identity%20Proofing,%20Authentication%20and%20Authority%20Policy%20v1.0.docx&amp;action=default&amp;DefaultItemOpen=1" TargetMode="External"/><Relationship Id="rId2" Type="http://schemas.openxmlformats.org/officeDocument/2006/relationships/customXml" Target="../customXml/item2.xml"/><Relationship Id="rId16" Type="http://schemas.openxmlformats.org/officeDocument/2006/relationships/hyperlink" Target="https://www.ndis.gov.au/publications/corporate-plan" TargetMode="External"/><Relationship Id="rId20" Type="http://schemas.openxmlformats.org/officeDocument/2006/relationships/hyperlink" Target="https://www.ndis.gov.au/about-us/improving-integrity-and-preventing-fraud"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dis.gov.au/participants/working-providers/what-are-scam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intranet.ndiastaff.ndia.gov.au/corporate-services/risk/SpeakUp" TargetMode="External"/><Relationship Id="rId28" Type="http://schemas.openxmlformats.org/officeDocument/2006/relationships/hyperlink" Target="https://www.legislation.gov.au/C2013A00123/latest/text" TargetMode="External"/><Relationship Id="rId10" Type="http://schemas.openxmlformats.org/officeDocument/2006/relationships/endnotes" Target="endnotes.xml"/><Relationship Id="rId19" Type="http://schemas.openxmlformats.org/officeDocument/2006/relationships/hyperlink" Target="https://www.ndis.gov.au/about-us/improving-integrity-and-preventing-frau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fraudreporting@ndis.gov.au" TargetMode="External"/><Relationship Id="rId27" Type="http://schemas.openxmlformats.org/officeDocument/2006/relationships/hyperlink" Target="https://www.ndis.gov.au/publications/corporate-plan"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N436\OneDrive%20-%20ndis.gov.au\Documents\Personal\Jira\10320%20-%20Tyson\NDIA%20Fraud%20and%20Corruption%20Control%20Plan-1%20EDIT.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NDI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c999db-bc1a-4c52-90f1-9ba441e224be" xsi:nil="true"/>
    <lcf76f155ced4ddcb4097134ff3c332f xmlns="404f1df2-4c6e-4636-97fa-08fcf4b11244">
      <Terms xmlns="http://schemas.microsoft.com/office/infopath/2007/PartnerControls"/>
    </lcf76f155ced4ddcb4097134ff3c332f>
    <Text xmlns="404f1df2-4c6e-4636-97fa-08fcf4b11244" xsi:nil="true"/>
    <Status xmlns="404f1df2-4c6e-4636-97fa-08fcf4b11244" xsi:nil="true"/>
    <_Flow_SignoffStatus xmlns="404f1df2-4c6e-4636-97fa-08fcf4b11244" xsi:nil="true"/>
    <Hyperlink xmlns="404f1df2-4c6e-4636-97fa-08fcf4b11244">
      <Url xsi:nil="true"/>
      <Description xsi:nil="true"/>
    </Hyper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D74DA11AB68C4C80EC2DD3C30072D1" ma:contentTypeVersion="24" ma:contentTypeDescription="Create a new document." ma:contentTypeScope="" ma:versionID="14ecf50506e0ac3270b951c885e7ec18">
  <xsd:schema xmlns:xsd="http://www.w3.org/2001/XMLSchema" xmlns:xs="http://www.w3.org/2001/XMLSchema" xmlns:p="http://schemas.microsoft.com/office/2006/metadata/properties" xmlns:ns2="404f1df2-4c6e-4636-97fa-08fcf4b11244" xmlns:ns3="7ac999db-bc1a-4c52-90f1-9ba441e224be" targetNamespace="http://schemas.microsoft.com/office/2006/metadata/properties" ma:root="true" ma:fieldsID="51d71b644206ab2a113c62235f7aa706" ns2:_="" ns3:_="">
    <xsd:import namespace="404f1df2-4c6e-4636-97fa-08fcf4b11244"/>
    <xsd:import namespace="7ac999db-bc1a-4c52-90f1-9ba441e224be"/>
    <xsd:element name="properties">
      <xsd:complexType>
        <xsd:sequence>
          <xsd:element name="documentManagement">
            <xsd:complexType>
              <xsd:all>
                <xsd:element ref="ns2:_Flow_SignoffStatus" minOccurs="0"/>
                <xsd:element ref="ns2:Text" minOccurs="0"/>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Status" minOccurs="0"/>
                <xsd:element ref="ns2:MediaServiceBillingMetadata"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f1df2-4c6e-4636-97fa-08fcf4b11244"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Text" ma:index="4" nillable="true" ma:displayName="Text" ma:format="Dropdown" ma:internalName="Text"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3" nillable="true" ma:displayName="Location" ma:hidden="true" ma:indexed="true" ma:internalName="MediaServiceLocation" ma:readOnly="true">
      <xsd:simpleType>
        <xsd:restriction base="dms:Text"/>
      </xsd:simpleType>
    </xsd:element>
    <xsd:element name="Status" ma:index="25" nillable="true" ma:displayName="Status" ma:format="Dropdown" ma:internalName="Status">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Hyperlink" ma:index="27"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999db-bc1a-4c52-90f1-9ba441e224be"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5473ef87-bede-43c3-aceb-5e7e4b67ba3c}" ma:internalName="TaxCatchAll" ma:readOnly="false" ma:showField="CatchAllData" ma:web="7ac999db-bc1a-4c52-90f1-9ba441e224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7ac999db-bc1a-4c52-90f1-9ba441e224be"/>
    <ds:schemaRef ds:uri="404f1df2-4c6e-4636-97fa-08fcf4b11244"/>
  </ds:schemaRefs>
</ds:datastoreItem>
</file>

<file path=customXml/itemProps3.xml><?xml version="1.0" encoding="utf-8"?>
<ds:datastoreItem xmlns:ds="http://schemas.openxmlformats.org/officeDocument/2006/customXml" ds:itemID="{C4F41A97-762B-4927-ADE3-2F7906B14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f1df2-4c6e-4636-97fa-08fcf4b11244"/>
    <ds:schemaRef ds:uri="7ac999db-bc1a-4c52-90f1-9ba441e22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NDIA Fraud and Corruption Control Plan-1 EDIT.dotx</Template>
  <TotalTime>1</TotalTime>
  <Pages>18</Pages>
  <Words>3746</Words>
  <Characters>21355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25051</CharactersWithSpaces>
  <SharedDoc>false</SharedDoc>
  <HLinks>
    <vt:vector size="156" baseType="variant">
      <vt:variant>
        <vt:i4>5374027</vt:i4>
      </vt:variant>
      <vt:variant>
        <vt:i4>120</vt:i4>
      </vt:variant>
      <vt:variant>
        <vt:i4>0</vt:i4>
      </vt:variant>
      <vt:variant>
        <vt:i4>5</vt:i4>
      </vt:variant>
      <vt:variant>
        <vt:lpwstr>https://www.accesshub.gov.au/</vt:lpwstr>
      </vt:variant>
      <vt:variant>
        <vt:lpwstr/>
      </vt:variant>
      <vt:variant>
        <vt:i4>1310729</vt:i4>
      </vt:variant>
      <vt:variant>
        <vt:i4>117</vt:i4>
      </vt:variant>
      <vt:variant>
        <vt:i4>0</vt:i4>
      </vt:variant>
      <vt:variant>
        <vt:i4>5</vt:i4>
      </vt:variant>
      <vt:variant>
        <vt:lpwstr>https://www.linkedin.com/company/national-disability-insurance-agency</vt:lpwstr>
      </vt:variant>
      <vt:variant>
        <vt:lpwstr/>
      </vt:variant>
      <vt:variant>
        <vt:i4>2228349</vt:i4>
      </vt:variant>
      <vt:variant>
        <vt:i4>114</vt:i4>
      </vt:variant>
      <vt:variant>
        <vt:i4>0</vt:i4>
      </vt:variant>
      <vt:variant>
        <vt:i4>5</vt:i4>
      </vt:variant>
      <vt:variant>
        <vt:lpwstr>https://www.youtube.com/user/DisabilityCare</vt:lpwstr>
      </vt:variant>
      <vt:variant>
        <vt:lpwstr/>
      </vt:variant>
      <vt:variant>
        <vt:i4>4194427</vt:i4>
      </vt:variant>
      <vt:variant>
        <vt:i4>111</vt:i4>
      </vt:variant>
      <vt:variant>
        <vt:i4>0</vt:i4>
      </vt:variant>
      <vt:variant>
        <vt:i4>5</vt:i4>
      </vt:variant>
      <vt:variant>
        <vt:lpwstr>https://www.instagram.com/ndis_australia/</vt:lpwstr>
      </vt:variant>
      <vt:variant>
        <vt:lpwstr/>
      </vt:variant>
      <vt:variant>
        <vt:i4>5439556</vt:i4>
      </vt:variant>
      <vt:variant>
        <vt:i4>108</vt:i4>
      </vt:variant>
      <vt:variant>
        <vt:i4>0</vt:i4>
      </vt:variant>
      <vt:variant>
        <vt:i4>5</vt:i4>
      </vt:variant>
      <vt:variant>
        <vt:lpwstr>https://www.facebook.com/NDISAus</vt:lpwstr>
      </vt:variant>
      <vt:variant>
        <vt:lpwstr/>
      </vt:variant>
      <vt:variant>
        <vt:i4>2162737</vt:i4>
      </vt:variant>
      <vt:variant>
        <vt:i4>105</vt:i4>
      </vt:variant>
      <vt:variant>
        <vt:i4>0</vt:i4>
      </vt:variant>
      <vt:variant>
        <vt:i4>5</vt:i4>
      </vt:variant>
      <vt:variant>
        <vt:lpwstr>https://ndis.gov.au/contact</vt:lpwstr>
      </vt:variant>
      <vt:variant>
        <vt:lpwstr/>
      </vt:variant>
      <vt:variant>
        <vt:i4>3539054</vt:i4>
      </vt:variant>
      <vt:variant>
        <vt:i4>102</vt:i4>
      </vt:variant>
      <vt:variant>
        <vt:i4>0</vt:i4>
      </vt:variant>
      <vt:variant>
        <vt:i4>5</vt:i4>
      </vt:variant>
      <vt:variant>
        <vt:lpwstr>http://ndis.gov.au/</vt:lpwstr>
      </vt:variant>
      <vt:variant>
        <vt:lpwstr/>
      </vt:variant>
      <vt:variant>
        <vt:i4>86</vt:i4>
      </vt:variant>
      <vt:variant>
        <vt:i4>99</vt:i4>
      </vt:variant>
      <vt:variant>
        <vt:i4>0</vt:i4>
      </vt:variant>
      <vt:variant>
        <vt:i4>5</vt:i4>
      </vt:variant>
      <vt:variant>
        <vt:lpwstr>https://intranet.ndiastaff.ndia.gov.au/corporate-services/accessibility/Pages/Accessibility.aspx</vt:lpwstr>
      </vt:variant>
      <vt:variant>
        <vt:lpwstr/>
      </vt:variant>
      <vt:variant>
        <vt:i4>1245265</vt:i4>
      </vt:variant>
      <vt:variant>
        <vt:i4>96</vt:i4>
      </vt:variant>
      <vt:variant>
        <vt:i4>0</vt:i4>
      </vt:variant>
      <vt:variant>
        <vt:i4>5</vt:i4>
      </vt:variant>
      <vt:variant>
        <vt:lpwstr>https://intranet.ndiastaff.ndia.gov.au/corporate-services/communications-media/Documents/Brand Guidelines.pdf</vt:lpwstr>
      </vt:variant>
      <vt:variant>
        <vt:lpwstr/>
      </vt:variant>
      <vt:variant>
        <vt:i4>721021</vt:i4>
      </vt:variant>
      <vt:variant>
        <vt:i4>93</vt:i4>
      </vt:variant>
      <vt:variant>
        <vt:i4>0</vt:i4>
      </vt:variant>
      <vt:variant>
        <vt:i4>5</vt:i4>
      </vt:variant>
      <vt:variant>
        <vt:lpwstr>mailto:marketing@ndis.gov.au</vt:lpwstr>
      </vt:variant>
      <vt:variant>
        <vt:lpwstr/>
      </vt:variant>
      <vt:variant>
        <vt:i4>6488112</vt:i4>
      </vt:variant>
      <vt:variant>
        <vt:i4>90</vt:i4>
      </vt:variant>
      <vt:variant>
        <vt:i4>0</vt:i4>
      </vt:variant>
      <vt:variant>
        <vt:i4>5</vt:i4>
      </vt:variant>
      <vt:variant>
        <vt:lpwstr>https://aus01.safelinks.protection.outlook.com/?url=https%3A%2F%2Fcommunicationslibrary.com.au%2Flogin&amp;data=05%7C01%7CJeremy.Heng-Carter%40ndis.gov.au%7C27018b34ddc24a84754e08dab87877a3%7Ccd778b65752d454a87cfb9990fe58993%7C0%7C0%7C638025124909810656%7CUnknown%7CTWFpbGZsb3d8eyJWIjoiMC4wLjAwMDAiLCJQIjoiV2luMzIiLCJBTiI6Ik1haWwiLCJXVCI6Mn0%3D%7C3000%7C%7C%7C&amp;sdata=TOqGELh8DiyLrAingGtgqutpkDS02lWaENcSFy4Pn0A%3D&amp;reserved=0</vt:lpwstr>
      </vt:variant>
      <vt:variant>
        <vt:lpwstr/>
      </vt:variant>
      <vt:variant>
        <vt:i4>4456531</vt:i4>
      </vt:variant>
      <vt:variant>
        <vt:i4>87</vt:i4>
      </vt:variant>
      <vt:variant>
        <vt:i4>0</vt:i4>
      </vt:variant>
      <vt:variant>
        <vt:i4>5</vt:i4>
      </vt:variant>
      <vt:variant>
        <vt:lpwstr>https://intranet.ndiastaff.ndia.gov.au/corporate-services/communications-media/Pages/Tools-and-templates.aspx</vt:lpwstr>
      </vt:variant>
      <vt:variant>
        <vt:lpwstr/>
      </vt:variant>
      <vt:variant>
        <vt:i4>4259851</vt:i4>
      </vt:variant>
      <vt:variant>
        <vt:i4>84</vt:i4>
      </vt:variant>
      <vt:variant>
        <vt:i4>0</vt:i4>
      </vt:variant>
      <vt:variant>
        <vt:i4>5</vt:i4>
      </vt:variant>
      <vt:variant>
        <vt:lpwstr>https://www.stylemanual.gov.au/structuring-content/lists</vt:lpwstr>
      </vt:variant>
      <vt:variant>
        <vt:lpwstr/>
      </vt:variant>
      <vt:variant>
        <vt:i4>7929980</vt:i4>
      </vt:variant>
      <vt:variant>
        <vt:i4>81</vt:i4>
      </vt:variant>
      <vt:variant>
        <vt:i4>0</vt:i4>
      </vt:variant>
      <vt:variant>
        <vt:i4>5</vt:i4>
      </vt:variant>
      <vt:variant>
        <vt:lpwstr>https://intranet.ndiastaff.ndia.gov.au/corporate-services/accessibility/Pages/MS-Word.aspx</vt:lpwstr>
      </vt:variant>
      <vt:variant>
        <vt:lpwstr/>
      </vt:variant>
      <vt:variant>
        <vt:i4>1638460</vt:i4>
      </vt:variant>
      <vt:variant>
        <vt:i4>68</vt:i4>
      </vt:variant>
      <vt:variant>
        <vt:i4>0</vt:i4>
      </vt:variant>
      <vt:variant>
        <vt:i4>5</vt:i4>
      </vt:variant>
      <vt:variant>
        <vt:lpwstr/>
      </vt:variant>
      <vt:variant>
        <vt:lpwstr>_Toc198716465</vt:lpwstr>
      </vt:variant>
      <vt:variant>
        <vt:i4>1638460</vt:i4>
      </vt:variant>
      <vt:variant>
        <vt:i4>62</vt:i4>
      </vt:variant>
      <vt:variant>
        <vt:i4>0</vt:i4>
      </vt:variant>
      <vt:variant>
        <vt:i4>5</vt:i4>
      </vt:variant>
      <vt:variant>
        <vt:lpwstr/>
      </vt:variant>
      <vt:variant>
        <vt:lpwstr>_Toc198716464</vt:lpwstr>
      </vt:variant>
      <vt:variant>
        <vt:i4>1638460</vt:i4>
      </vt:variant>
      <vt:variant>
        <vt:i4>56</vt:i4>
      </vt:variant>
      <vt:variant>
        <vt:i4>0</vt:i4>
      </vt:variant>
      <vt:variant>
        <vt:i4>5</vt:i4>
      </vt:variant>
      <vt:variant>
        <vt:lpwstr/>
      </vt:variant>
      <vt:variant>
        <vt:lpwstr>_Toc198716463</vt:lpwstr>
      </vt:variant>
      <vt:variant>
        <vt:i4>1638460</vt:i4>
      </vt:variant>
      <vt:variant>
        <vt:i4>50</vt:i4>
      </vt:variant>
      <vt:variant>
        <vt:i4>0</vt:i4>
      </vt:variant>
      <vt:variant>
        <vt:i4>5</vt:i4>
      </vt:variant>
      <vt:variant>
        <vt:lpwstr/>
      </vt:variant>
      <vt:variant>
        <vt:lpwstr>_Toc198716462</vt:lpwstr>
      </vt:variant>
      <vt:variant>
        <vt:i4>1638460</vt:i4>
      </vt:variant>
      <vt:variant>
        <vt:i4>44</vt:i4>
      </vt:variant>
      <vt:variant>
        <vt:i4>0</vt:i4>
      </vt:variant>
      <vt:variant>
        <vt:i4>5</vt:i4>
      </vt:variant>
      <vt:variant>
        <vt:lpwstr/>
      </vt:variant>
      <vt:variant>
        <vt:lpwstr>_Toc198716461</vt:lpwstr>
      </vt:variant>
      <vt:variant>
        <vt:i4>1638460</vt:i4>
      </vt:variant>
      <vt:variant>
        <vt:i4>38</vt:i4>
      </vt:variant>
      <vt:variant>
        <vt:i4>0</vt:i4>
      </vt:variant>
      <vt:variant>
        <vt:i4>5</vt:i4>
      </vt:variant>
      <vt:variant>
        <vt:lpwstr/>
      </vt:variant>
      <vt:variant>
        <vt:lpwstr>_Toc198716460</vt:lpwstr>
      </vt:variant>
      <vt:variant>
        <vt:i4>1703996</vt:i4>
      </vt:variant>
      <vt:variant>
        <vt:i4>32</vt:i4>
      </vt:variant>
      <vt:variant>
        <vt:i4>0</vt:i4>
      </vt:variant>
      <vt:variant>
        <vt:i4>5</vt:i4>
      </vt:variant>
      <vt:variant>
        <vt:lpwstr/>
      </vt:variant>
      <vt:variant>
        <vt:lpwstr>_Toc198716459</vt:lpwstr>
      </vt:variant>
      <vt:variant>
        <vt:i4>1703996</vt:i4>
      </vt:variant>
      <vt:variant>
        <vt:i4>26</vt:i4>
      </vt:variant>
      <vt:variant>
        <vt:i4>0</vt:i4>
      </vt:variant>
      <vt:variant>
        <vt:i4>5</vt:i4>
      </vt:variant>
      <vt:variant>
        <vt:lpwstr/>
      </vt:variant>
      <vt:variant>
        <vt:lpwstr>_Toc198716458</vt:lpwstr>
      </vt:variant>
      <vt:variant>
        <vt:i4>1703996</vt:i4>
      </vt:variant>
      <vt:variant>
        <vt:i4>20</vt:i4>
      </vt:variant>
      <vt:variant>
        <vt:i4>0</vt:i4>
      </vt:variant>
      <vt:variant>
        <vt:i4>5</vt:i4>
      </vt:variant>
      <vt:variant>
        <vt:lpwstr/>
      </vt:variant>
      <vt:variant>
        <vt:lpwstr>_Toc198716457</vt:lpwstr>
      </vt:variant>
      <vt:variant>
        <vt:i4>1703996</vt:i4>
      </vt:variant>
      <vt:variant>
        <vt:i4>14</vt:i4>
      </vt:variant>
      <vt:variant>
        <vt:i4>0</vt:i4>
      </vt:variant>
      <vt:variant>
        <vt:i4>5</vt:i4>
      </vt:variant>
      <vt:variant>
        <vt:lpwstr/>
      </vt:variant>
      <vt:variant>
        <vt:lpwstr>_Toc198716456</vt:lpwstr>
      </vt:variant>
      <vt:variant>
        <vt:i4>1703996</vt:i4>
      </vt:variant>
      <vt:variant>
        <vt:i4>8</vt:i4>
      </vt:variant>
      <vt:variant>
        <vt:i4>0</vt:i4>
      </vt:variant>
      <vt:variant>
        <vt:i4>5</vt:i4>
      </vt:variant>
      <vt:variant>
        <vt:lpwstr/>
      </vt:variant>
      <vt:variant>
        <vt:lpwstr>_Toc198716455</vt:lpwstr>
      </vt:variant>
      <vt:variant>
        <vt:i4>1703996</vt:i4>
      </vt:variant>
      <vt:variant>
        <vt:i4>2</vt:i4>
      </vt:variant>
      <vt:variant>
        <vt:i4>0</vt:i4>
      </vt:variant>
      <vt:variant>
        <vt:i4>5</vt:i4>
      </vt:variant>
      <vt:variant>
        <vt:lpwstr/>
      </vt:variant>
      <vt:variant>
        <vt:lpwstr>_Toc198716454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Birch, Terence</dc:creator>
  <cp:keywords/>
  <dc:description/>
  <cp:lastModifiedBy>Dakin, Petrina</cp:lastModifiedBy>
  <cp:revision>2</cp:revision>
  <cp:lastPrinted>2026-04-16T05:28:00Z</cp:lastPrinted>
  <dcterms:created xsi:type="dcterms:W3CDTF">2026-04-20T00:01:00Z</dcterms:created>
  <dcterms:modified xsi:type="dcterms:W3CDTF">2026-04-20T00:01:00Z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0x010100B2D74DA11AB68C4C80EC2DD3C30072D1</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2023-02-02T01:29:46Z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fe9a938b-ad0e-4317-89a9-793d7b467571</vt:lpwstr>
  </property>
  <property fmtid="{D5CDD505-2E9C-101B-9397-08002B2CF9AE}" pid="26" name="MSIP_Label_2b83f8d7-e91f-4eee-a336-52a8061c0503_ContentBits">
    <vt:lpwstr>0</vt:lpwstr>
  </property>
  <property fmtid="{D5CDD505-2E9C-101B-9397-08002B2CF9AE}" pid="27" name="MediaServiceImageTags">
    <vt:lpwstr/>
  </property>
</Properties>
</file>