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ADD1" w14:textId="6A9D8AAA" w:rsidR="00C4469F" w:rsidRPr="00935437" w:rsidRDefault="00D81083" w:rsidP="006611D3">
      <w:bookmarkStart w:id="0" w:name="_Hlk97302995"/>
      <w:r>
        <w:t>20</w:t>
      </w:r>
      <w:r w:rsidR="001F6329" w:rsidRPr="0031003E">
        <w:t xml:space="preserve"> </w:t>
      </w:r>
      <w:r w:rsidR="00E23515" w:rsidRPr="0031003E">
        <w:t>October</w:t>
      </w:r>
      <w:r w:rsidR="00E23515">
        <w:t xml:space="preserve"> </w:t>
      </w:r>
      <w:r w:rsidR="00F249F2" w:rsidRPr="00935437">
        <w:t>202</w:t>
      </w:r>
      <w:r w:rsidR="00291364">
        <w:t>5</w:t>
      </w:r>
    </w:p>
    <w:p w14:paraId="45A35369" w14:textId="77777777" w:rsidR="00F249F2" w:rsidRDefault="00F249F2" w:rsidP="00F249F2">
      <w:pPr>
        <w:pStyle w:val="AddressBlock"/>
        <w:rPr>
          <w:rFonts w:eastAsia="Arial" w:cs="Arial"/>
        </w:rPr>
      </w:pPr>
      <w:r w:rsidRPr="08A2E3DE">
        <w:rPr>
          <w:rFonts w:eastAsia="Arial" w:cs="Arial"/>
        </w:rPr>
        <w:t>Mr Kurt Fearnley AO</w:t>
      </w:r>
    </w:p>
    <w:p w14:paraId="25C3B950" w14:textId="77777777" w:rsidR="00F249F2" w:rsidRDefault="00F249F2" w:rsidP="00F249F2">
      <w:pPr>
        <w:pStyle w:val="AddressBlock"/>
        <w:rPr>
          <w:rFonts w:eastAsia="Arial" w:cs="Arial"/>
        </w:rPr>
      </w:pPr>
      <w:r w:rsidRPr="08A2E3DE">
        <w:rPr>
          <w:rFonts w:eastAsia="Arial" w:cs="Arial"/>
        </w:rPr>
        <w:t>Chairman</w:t>
      </w:r>
    </w:p>
    <w:p w14:paraId="60A9078E" w14:textId="77777777" w:rsidR="00F249F2" w:rsidRDefault="00F249F2" w:rsidP="00F249F2">
      <w:pPr>
        <w:pStyle w:val="AddressBlock"/>
        <w:rPr>
          <w:rFonts w:eastAsia="Arial" w:cs="Arial"/>
        </w:rPr>
      </w:pPr>
      <w:r w:rsidRPr="08A2E3DE">
        <w:rPr>
          <w:rFonts w:eastAsia="Arial" w:cs="Arial"/>
        </w:rPr>
        <w:t>National Disability Insurance Agency</w:t>
      </w:r>
    </w:p>
    <w:p w14:paraId="4F93B617" w14:textId="77777777" w:rsidR="00F249F2" w:rsidRDefault="00F249F2" w:rsidP="00F249F2">
      <w:pPr>
        <w:pStyle w:val="AddressBlock"/>
        <w:rPr>
          <w:rFonts w:eastAsia="Arial" w:cs="Arial"/>
        </w:rPr>
      </w:pPr>
      <w:r w:rsidRPr="08A2E3DE">
        <w:rPr>
          <w:rFonts w:eastAsia="Arial" w:cs="Arial"/>
        </w:rPr>
        <w:t>GPO Box 700</w:t>
      </w:r>
    </w:p>
    <w:p w14:paraId="70BD7295" w14:textId="77777777" w:rsidR="00F249F2" w:rsidRDefault="00F249F2" w:rsidP="00F249F2">
      <w:pPr>
        <w:pStyle w:val="AddressBlock"/>
        <w:rPr>
          <w:rFonts w:eastAsia="Arial" w:cs="Arial"/>
        </w:rPr>
      </w:pPr>
      <w:r w:rsidRPr="08A2E3DE">
        <w:rPr>
          <w:rFonts w:eastAsia="Arial" w:cs="Arial"/>
        </w:rPr>
        <w:t>CANBERRA ACT 2601</w:t>
      </w:r>
    </w:p>
    <w:p w14:paraId="2EE1C35A" w14:textId="31B208AF" w:rsidR="00F249F2" w:rsidRPr="00851A03" w:rsidRDefault="00F249F2" w:rsidP="00F249F2">
      <w:pPr>
        <w:pStyle w:val="AddressBlock"/>
        <w:rPr>
          <w:b/>
          <w:bCs/>
          <w:color w:val="FF0000"/>
        </w:rPr>
      </w:pPr>
    </w:p>
    <w:p w14:paraId="26102C0A" w14:textId="65F91659" w:rsidR="00F249F2" w:rsidRDefault="00F249F2" w:rsidP="00F249F2">
      <w:r>
        <w:t>Dear Kurt</w:t>
      </w:r>
      <w:r w:rsidR="0043270D">
        <w:t>,</w:t>
      </w:r>
    </w:p>
    <w:p w14:paraId="7FA8CCA0" w14:textId="3ED3F400" w:rsidR="00C4469F" w:rsidRDefault="4E6A6B77" w:rsidP="004F262F">
      <w:r w:rsidRPr="2F0FB365">
        <w:rPr>
          <w:rFonts w:ascii="Arial_MSFontService" w:eastAsia="Arial_MSFontService" w:hAnsi="Arial_MSFontService" w:cs="Arial_MSFontService"/>
          <w:b/>
          <w:bCs/>
          <w:color w:val="0E4E77"/>
          <w:sz w:val="22"/>
          <w:szCs w:val="22"/>
        </w:rPr>
        <w:t>JUNE 202</w:t>
      </w:r>
      <w:r w:rsidR="00291364">
        <w:rPr>
          <w:rFonts w:ascii="Arial_MSFontService" w:eastAsia="Arial_MSFontService" w:hAnsi="Arial_MSFontService" w:cs="Arial_MSFontService"/>
          <w:b/>
          <w:bCs/>
          <w:color w:val="0E4E77"/>
          <w:sz w:val="22"/>
          <w:szCs w:val="22"/>
        </w:rPr>
        <w:t>5</w:t>
      </w:r>
      <w:r w:rsidRPr="2F0FB365">
        <w:rPr>
          <w:rFonts w:ascii="Arial_MSFontService" w:eastAsia="Arial_MSFontService" w:hAnsi="Arial_MSFontService" w:cs="Arial_MSFontService"/>
          <w:b/>
          <w:bCs/>
          <w:color w:val="0E4E77"/>
          <w:sz w:val="22"/>
          <w:szCs w:val="22"/>
        </w:rPr>
        <w:t xml:space="preserve"> FINANCIAL SUSTAINABILITY REPORT</w:t>
      </w:r>
    </w:p>
    <w:p w14:paraId="2C104717" w14:textId="196A11FE" w:rsidR="005306BD" w:rsidRPr="0031003E" w:rsidRDefault="00D041CE" w:rsidP="005306BD">
      <w:bookmarkStart w:id="1" w:name="Content"/>
      <w:bookmarkEnd w:id="1"/>
      <w:r w:rsidRPr="0084412B">
        <w:t xml:space="preserve">I am writing as the Reviewing Actuary of the NDIS to summarise my review of </w:t>
      </w:r>
      <w:r w:rsidRPr="0031003E">
        <w:t xml:space="preserve">the </w:t>
      </w:r>
      <w:r w:rsidR="000D3B72" w:rsidRPr="0031003E">
        <w:t>final draft of the</w:t>
      </w:r>
      <w:r w:rsidR="000D3B72">
        <w:t xml:space="preserve"> </w:t>
      </w:r>
      <w:r w:rsidR="00D55BDB" w:rsidRPr="0084412B">
        <w:t>30 June 202</w:t>
      </w:r>
      <w:r w:rsidR="0084412B" w:rsidRPr="0084412B">
        <w:t>5</w:t>
      </w:r>
      <w:r w:rsidR="00D55BDB" w:rsidRPr="0084412B">
        <w:t xml:space="preserve"> Financial Sustainability Report (</w:t>
      </w:r>
      <w:r w:rsidR="00C85D85" w:rsidRPr="0084412B">
        <w:t>202</w:t>
      </w:r>
      <w:r w:rsidR="0084412B" w:rsidRPr="0084412B">
        <w:t>5</w:t>
      </w:r>
      <w:r w:rsidR="00C85D85" w:rsidRPr="0084412B">
        <w:t xml:space="preserve"> </w:t>
      </w:r>
      <w:r w:rsidR="00D55BDB" w:rsidRPr="0084412B">
        <w:t>FSR)</w:t>
      </w:r>
      <w:r w:rsidR="00DE5005" w:rsidRPr="0084412B">
        <w:t xml:space="preserve"> provided on </w:t>
      </w:r>
      <w:r w:rsidR="005370E0">
        <w:t>17</w:t>
      </w:r>
      <w:r w:rsidR="000A41CB" w:rsidRPr="0031003E">
        <w:t xml:space="preserve"> October </w:t>
      </w:r>
      <w:r w:rsidR="001C2637" w:rsidRPr="0031003E">
        <w:t>202</w:t>
      </w:r>
      <w:r w:rsidR="000D3B72" w:rsidRPr="0031003E">
        <w:t>5</w:t>
      </w:r>
      <w:r w:rsidRPr="0031003E">
        <w:t xml:space="preserve">. </w:t>
      </w:r>
      <w:r w:rsidR="004517FC" w:rsidRPr="0031003E">
        <w:t xml:space="preserve">Subsection </w:t>
      </w:r>
      <w:r w:rsidR="0040106D" w:rsidRPr="0031003E">
        <w:t xml:space="preserve">180E(2) of the </w:t>
      </w:r>
      <w:r w:rsidR="0040106D" w:rsidRPr="0031003E">
        <w:rPr>
          <w:i/>
          <w:iCs/>
        </w:rPr>
        <w:t xml:space="preserve">National Disability Insurance Scheme (NDIS) Act 2013 </w:t>
      </w:r>
      <w:r w:rsidR="0040106D" w:rsidRPr="0031003E">
        <w:t xml:space="preserve">(the Act) requires that I review each FSR and report </w:t>
      </w:r>
      <w:r w:rsidR="004A7D39" w:rsidRPr="0031003E">
        <w:t xml:space="preserve">my findings </w:t>
      </w:r>
      <w:r w:rsidR="0040106D" w:rsidRPr="0031003E">
        <w:t>to the Board. Subsection 180E(4) of the Act requires that I report any significant concerns about the sustainability of the NDIS to the Board as soon as is practical.</w:t>
      </w:r>
    </w:p>
    <w:p w14:paraId="3225EAF2" w14:textId="77777777" w:rsidR="00722CA1" w:rsidRPr="0031003E" w:rsidRDefault="00722CA1" w:rsidP="00722CA1">
      <w:pPr>
        <w:pStyle w:val="Heading2"/>
      </w:pPr>
      <w:r w:rsidRPr="0031003E">
        <w:t>Review of the Financial Sustainability Report</w:t>
      </w:r>
    </w:p>
    <w:p w14:paraId="73B311BD" w14:textId="0317ADBE" w:rsidR="00722CA1" w:rsidRPr="0031003E" w:rsidRDefault="00722CA1" w:rsidP="00722CA1">
      <w:r w:rsidRPr="0031003E">
        <w:t>Subsection 180B(1) of the Act</w:t>
      </w:r>
      <w:r w:rsidRPr="0031003E">
        <w:rPr>
          <w:i/>
          <w:iCs/>
        </w:rPr>
        <w:t xml:space="preserve"> </w:t>
      </w:r>
      <w:r w:rsidRPr="0031003E">
        <w:t xml:space="preserve">requires the Scheme Actuary to prepare a FSR, at least annually. The FSR provides a projection of the </w:t>
      </w:r>
      <w:r w:rsidR="001658DC" w:rsidRPr="0031003E">
        <w:t xml:space="preserve">Scheme expenses (the </w:t>
      </w:r>
      <w:r w:rsidRPr="0031003E">
        <w:t>total amount spent by participants</w:t>
      </w:r>
      <w:r w:rsidR="001658DC" w:rsidRPr="0031003E">
        <w:t>)</w:t>
      </w:r>
      <w:r w:rsidR="004D016A" w:rsidRPr="0031003E">
        <w:t xml:space="preserve">. </w:t>
      </w:r>
      <w:r w:rsidRPr="0031003E">
        <w:t xml:space="preserve">Part 3 of the </w:t>
      </w:r>
      <w:r w:rsidRPr="0031003E">
        <w:rPr>
          <w:i/>
          <w:iCs/>
        </w:rPr>
        <w:t>NDIS Rules for the Scheme Actuary</w:t>
      </w:r>
      <w:r w:rsidRPr="0031003E">
        <w:t xml:space="preserve"> sets out the required content of the FSR.</w:t>
      </w:r>
    </w:p>
    <w:p w14:paraId="37BC78F8" w14:textId="215BF6D3" w:rsidR="00722CA1" w:rsidRPr="00EB6C6A" w:rsidRDefault="4927DD5E" w:rsidP="3D36590C">
      <w:pPr>
        <w:spacing w:after="320"/>
        <w:rPr>
          <w:i/>
          <w:iCs/>
        </w:rPr>
      </w:pPr>
      <w:r w:rsidRPr="0031003E">
        <w:t>The Agency has provided me with the material required to undertake a review of the 202</w:t>
      </w:r>
      <w:r w:rsidR="00A43946" w:rsidRPr="0031003E">
        <w:t>5</w:t>
      </w:r>
      <w:r w:rsidRPr="0031003E">
        <w:t xml:space="preserve"> FSR. </w:t>
      </w:r>
      <w:r w:rsidR="00722CA1" w:rsidRPr="0031003E">
        <w:t>I have been provided with</w:t>
      </w:r>
      <w:r w:rsidR="399DF5C5" w:rsidRPr="0031003E">
        <w:t>:</w:t>
      </w:r>
      <w:r w:rsidR="00722CA1" w:rsidRPr="0031003E">
        <w:t xml:space="preserve"> [1] </w:t>
      </w:r>
      <w:r w:rsidR="00574665">
        <w:t>paper</w:t>
      </w:r>
      <w:r w:rsidR="0093576D">
        <w:t>s</w:t>
      </w:r>
      <w:r w:rsidR="00574665">
        <w:t xml:space="preserve"> to the </w:t>
      </w:r>
      <w:r w:rsidR="00722CA1" w:rsidRPr="0031003E">
        <w:t xml:space="preserve">Sustainability Committee </w:t>
      </w:r>
      <w:r w:rsidR="00574665">
        <w:t xml:space="preserve">from the </w:t>
      </w:r>
      <w:r w:rsidR="00574665" w:rsidRPr="0031003E">
        <w:t>Scheme Actuary</w:t>
      </w:r>
      <w:r w:rsidR="00722CA1" w:rsidRPr="0031003E">
        <w:t xml:space="preserve">, setting out </w:t>
      </w:r>
      <w:r w:rsidR="008D4947" w:rsidRPr="0031003E">
        <w:t xml:space="preserve">draft </w:t>
      </w:r>
      <w:r w:rsidR="007B0C95" w:rsidRPr="0031003E">
        <w:t xml:space="preserve">and final </w:t>
      </w:r>
      <w:r w:rsidR="00722CA1" w:rsidRPr="0031003E">
        <w:t>projection</w:t>
      </w:r>
      <w:r w:rsidR="00570416" w:rsidRPr="0031003E">
        <w:t xml:space="preserve"> results</w:t>
      </w:r>
      <w:r w:rsidR="00722CA1" w:rsidRPr="0031003E">
        <w:t>; [</w:t>
      </w:r>
      <w:r w:rsidR="001D32F9" w:rsidRPr="0031003E">
        <w:t>2</w:t>
      </w:r>
      <w:r w:rsidR="00722CA1" w:rsidRPr="0031003E">
        <w:t xml:space="preserve">] </w:t>
      </w:r>
      <w:r w:rsidR="00346876" w:rsidRPr="0031003E">
        <w:t xml:space="preserve">the Original Cohort Model </w:t>
      </w:r>
      <w:r w:rsidR="00B4373C" w:rsidRPr="0031003E">
        <w:t xml:space="preserve">(OCM) </w:t>
      </w:r>
      <w:r w:rsidR="00722CA1" w:rsidRPr="0031003E">
        <w:t>used to derive the June 202</w:t>
      </w:r>
      <w:r w:rsidR="00A43946" w:rsidRPr="0031003E">
        <w:t>5</w:t>
      </w:r>
      <w:r w:rsidR="00722CA1" w:rsidRPr="0031003E">
        <w:t xml:space="preserve"> projection</w:t>
      </w:r>
      <w:r w:rsidR="5DCA38F7" w:rsidRPr="0031003E">
        <w:t xml:space="preserve">, </w:t>
      </w:r>
      <w:r w:rsidR="5409CDD4" w:rsidRPr="0031003E">
        <w:t xml:space="preserve">with the final version </w:t>
      </w:r>
      <w:r w:rsidR="5DCA38F7" w:rsidRPr="0031003E">
        <w:t xml:space="preserve">supplied on </w:t>
      </w:r>
      <w:r w:rsidR="0022201F" w:rsidRPr="0031003E">
        <w:t>26</w:t>
      </w:r>
      <w:r w:rsidR="60F90112" w:rsidRPr="0031003E">
        <w:t xml:space="preserve"> August</w:t>
      </w:r>
      <w:r w:rsidR="00F67206" w:rsidRPr="0031003E">
        <w:t xml:space="preserve"> </w:t>
      </w:r>
      <w:r w:rsidR="001330BA" w:rsidRPr="0031003E">
        <w:t>202</w:t>
      </w:r>
      <w:r w:rsidR="10F9F9AB" w:rsidRPr="0031003E">
        <w:t>5</w:t>
      </w:r>
      <w:r w:rsidR="00722CA1" w:rsidRPr="0031003E">
        <w:t xml:space="preserve">; </w:t>
      </w:r>
      <w:r w:rsidR="00D87487" w:rsidRPr="0031003E">
        <w:t xml:space="preserve">[3] </w:t>
      </w:r>
      <w:r w:rsidR="0050470D" w:rsidRPr="0031003E">
        <w:t>a</w:t>
      </w:r>
      <w:r w:rsidR="001D32F9" w:rsidRPr="0031003E">
        <w:t xml:space="preserve"> </w:t>
      </w:r>
      <w:r w:rsidR="000D3B72" w:rsidRPr="0031003E">
        <w:t xml:space="preserve">final draft of the </w:t>
      </w:r>
      <w:r w:rsidR="726EF3E1" w:rsidRPr="0031003E">
        <w:t>202</w:t>
      </w:r>
      <w:r w:rsidR="00044357" w:rsidRPr="0031003E">
        <w:t>5</w:t>
      </w:r>
      <w:r w:rsidR="726EF3E1" w:rsidRPr="0031003E">
        <w:t xml:space="preserve"> </w:t>
      </w:r>
      <w:r w:rsidR="001D32F9" w:rsidRPr="0031003E">
        <w:t>FSR</w:t>
      </w:r>
      <w:r w:rsidR="00B360EF" w:rsidRPr="0031003E">
        <w:t xml:space="preserve">, supplied on </w:t>
      </w:r>
      <w:r w:rsidR="001C698B">
        <w:t>17</w:t>
      </w:r>
      <w:r w:rsidR="000F41EF" w:rsidRPr="0031003E">
        <w:t xml:space="preserve"> October </w:t>
      </w:r>
      <w:r w:rsidR="001C7EB4" w:rsidRPr="0031003E">
        <w:t>202</w:t>
      </w:r>
      <w:r w:rsidR="00A32027" w:rsidRPr="0031003E">
        <w:t>5</w:t>
      </w:r>
      <w:r w:rsidR="001D32F9" w:rsidRPr="0031003E">
        <w:t>;</w:t>
      </w:r>
      <w:r w:rsidR="00722CA1" w:rsidRPr="0031003E">
        <w:t xml:space="preserve"> [</w:t>
      </w:r>
      <w:r w:rsidR="5AA57360" w:rsidRPr="0031003E">
        <w:t>4</w:t>
      </w:r>
      <w:r w:rsidR="00722CA1" w:rsidRPr="0031003E">
        <w:t>] summaris</w:t>
      </w:r>
      <w:r w:rsidR="00413280" w:rsidRPr="0031003E">
        <w:t>ed</w:t>
      </w:r>
      <w:r w:rsidR="00722CA1" w:rsidRPr="0031003E">
        <w:t xml:space="preserve"> </w:t>
      </w:r>
      <w:r w:rsidR="00794C47" w:rsidRPr="0031003E">
        <w:t xml:space="preserve">Scheme </w:t>
      </w:r>
      <w:r w:rsidR="00722CA1" w:rsidRPr="0031003E">
        <w:t>experience that enables me to examine the reasonableness of some assumptions underpinning</w:t>
      </w:r>
      <w:r w:rsidR="00722CA1">
        <w:t xml:space="preserve"> the </w:t>
      </w:r>
      <w:r w:rsidR="00232533">
        <w:t>June 202</w:t>
      </w:r>
      <w:r w:rsidR="7157E69F">
        <w:t>5</w:t>
      </w:r>
      <w:r w:rsidR="00722CA1">
        <w:t xml:space="preserve"> projection</w:t>
      </w:r>
      <w:r w:rsidR="00F3554F">
        <w:t xml:space="preserve">; </w:t>
      </w:r>
      <w:r w:rsidR="0A6C9981">
        <w:t>[</w:t>
      </w:r>
      <w:r w:rsidR="3A972217">
        <w:t>5</w:t>
      </w:r>
      <w:r w:rsidR="0A6C9981">
        <w:t>] presentations prepared by the NDIA’s actuarial team</w:t>
      </w:r>
      <w:r w:rsidR="0592B0F0">
        <w:t>, setting out key features of the experience and assumptions adopted;</w:t>
      </w:r>
      <w:r w:rsidR="0A6C9981">
        <w:t xml:space="preserve"> </w:t>
      </w:r>
      <w:r w:rsidR="01EA0183">
        <w:t xml:space="preserve">[6] </w:t>
      </w:r>
      <w:r w:rsidR="01EA0183" w:rsidRPr="0022201F">
        <w:t xml:space="preserve">the </w:t>
      </w:r>
      <w:r w:rsidR="01EA0183" w:rsidRPr="000B1547">
        <w:t>Plan Reassessment Model</w:t>
      </w:r>
      <w:r w:rsidR="6D77BBB1" w:rsidRPr="000B1547">
        <w:t xml:space="preserve"> (PRM)</w:t>
      </w:r>
      <w:r w:rsidR="0592B0F0" w:rsidRPr="00A32027">
        <w:t>;</w:t>
      </w:r>
      <w:r w:rsidR="0A6C9981" w:rsidRPr="00A32027" w:rsidDel="00A933FB">
        <w:t xml:space="preserve"> </w:t>
      </w:r>
      <w:r w:rsidR="00F3554F" w:rsidRPr="00A32027">
        <w:t xml:space="preserve">and </w:t>
      </w:r>
      <w:r w:rsidR="005E5321" w:rsidRPr="00A32027">
        <w:t>[</w:t>
      </w:r>
      <w:r w:rsidR="00A933FB" w:rsidRPr="00A32027">
        <w:t>7</w:t>
      </w:r>
      <w:r w:rsidR="005E5321" w:rsidRPr="00A32027">
        <w:t>] the microsimulation model (MSM) and supporting spreadsheets</w:t>
      </w:r>
      <w:r w:rsidR="00722CA1" w:rsidRPr="00A32027">
        <w:t>. I have</w:t>
      </w:r>
      <w:r w:rsidR="00722CA1" w:rsidRPr="00EB6C6A">
        <w:t xml:space="preserve"> discussed these materials with members of the Agency’s actuarial team.</w:t>
      </w:r>
    </w:p>
    <w:p w14:paraId="7AF355AA" w14:textId="79A30D1B" w:rsidR="00C24CE4" w:rsidRPr="006D73D3" w:rsidRDefault="00830835" w:rsidP="00722CA1">
      <w:pPr>
        <w:spacing w:after="320"/>
      </w:pPr>
      <w:r w:rsidRPr="00EB6C6A">
        <w:t>Th</w:t>
      </w:r>
      <w:r w:rsidR="008058F2" w:rsidRPr="00EB6C6A">
        <w:t>e projections included in this FSR a</w:t>
      </w:r>
      <w:r w:rsidR="00DC043B" w:rsidRPr="00EB6C6A">
        <w:t xml:space="preserve">llow for experience to moderate over time, largely a result of </w:t>
      </w:r>
      <w:r w:rsidR="00B10561" w:rsidRPr="00EB6C6A">
        <w:t xml:space="preserve">the expected impact of </w:t>
      </w:r>
      <w:r w:rsidR="00D00590">
        <w:t>Scheme R</w:t>
      </w:r>
      <w:r w:rsidR="00DC043B" w:rsidRPr="00EB6C6A">
        <w:t>eform</w:t>
      </w:r>
      <w:r w:rsidR="00CA0360" w:rsidRPr="00EB6C6A">
        <w:t>s</w:t>
      </w:r>
      <w:r w:rsidR="00DC043B" w:rsidRPr="00EB6C6A">
        <w:t xml:space="preserve">. </w:t>
      </w:r>
      <w:r w:rsidR="00CA0360" w:rsidRPr="00EB6C6A">
        <w:t xml:space="preserve">This review </w:t>
      </w:r>
      <w:r w:rsidR="00DF6FBA" w:rsidRPr="00EB6C6A">
        <w:t xml:space="preserve">considers </w:t>
      </w:r>
      <w:r w:rsidR="00B30C64" w:rsidRPr="00EB6C6A">
        <w:t xml:space="preserve">whether </w:t>
      </w:r>
      <w:r w:rsidR="00CA0360" w:rsidRPr="00EB6C6A">
        <w:t xml:space="preserve">the </w:t>
      </w:r>
      <w:r w:rsidR="00097E45" w:rsidRPr="00EB6C6A">
        <w:t xml:space="preserve">adjustments </w:t>
      </w:r>
      <w:r w:rsidR="0008483A" w:rsidRPr="00EB6C6A">
        <w:t xml:space="preserve">made to </w:t>
      </w:r>
      <w:r w:rsidR="00097E45" w:rsidRPr="00EB6C6A">
        <w:t xml:space="preserve">past experience </w:t>
      </w:r>
      <w:r w:rsidR="00B30C64" w:rsidRPr="00EB6C6A">
        <w:t>are proportionate to the expected impacts of these reforms.</w:t>
      </w:r>
    </w:p>
    <w:p w14:paraId="2EC0FA27" w14:textId="7CC560BD" w:rsidR="00722CA1" w:rsidRDefault="00722CA1" w:rsidP="00F255B6">
      <w:pPr>
        <w:keepLines/>
        <w:spacing w:after="320"/>
      </w:pPr>
      <w:r>
        <w:t>For this review, commentary on the short</w:t>
      </w:r>
      <w:r w:rsidR="47069F8C">
        <w:t xml:space="preserve"> </w:t>
      </w:r>
      <w:r>
        <w:t xml:space="preserve">term refers to the four-year Budget period; the medium term refers to the balance of the ten-year projection presented in the FSR; the long term refers to the period beyond </w:t>
      </w:r>
      <w:r w:rsidR="002869BC">
        <w:t>ten years</w:t>
      </w:r>
      <w:r>
        <w:t>.</w:t>
      </w:r>
      <w:r w:rsidR="00ED4BFF" w:rsidRPr="00ED4BFF">
        <w:t xml:space="preserve"> Graphs are constructed on a financial year basis, with, for example, 2025 representing the 2024-25 financial year.</w:t>
      </w:r>
    </w:p>
    <w:p w14:paraId="07DF9674" w14:textId="49873ED2" w:rsidR="003F41A6" w:rsidRPr="006D73D3" w:rsidRDefault="000863B5" w:rsidP="00F255B6">
      <w:pPr>
        <w:keepLines/>
        <w:spacing w:after="320"/>
      </w:pPr>
      <w:r>
        <w:lastRenderedPageBreak/>
        <w:t>M</w:t>
      </w:r>
      <w:r w:rsidR="003F41A6">
        <w:t xml:space="preserve">y </w:t>
      </w:r>
      <w:r w:rsidR="00FB28C0">
        <w:t xml:space="preserve">letter </w:t>
      </w:r>
      <w:r w:rsidR="003F41A6">
        <w:t>review</w:t>
      </w:r>
      <w:r w:rsidR="00FB28C0">
        <w:t>s</w:t>
      </w:r>
      <w:r w:rsidR="003F41A6">
        <w:t xml:space="preserve"> </w:t>
      </w:r>
      <w:r w:rsidR="00D14F3C">
        <w:t xml:space="preserve">the main judgments </w:t>
      </w:r>
      <w:r w:rsidR="00C90ADD">
        <w:t xml:space="preserve">taken by the Scheme Actuary in the projections. </w:t>
      </w:r>
      <w:r w:rsidR="0023679C">
        <w:t xml:space="preserve">I have not undertaken a </w:t>
      </w:r>
      <w:r w:rsidR="008D2D3A">
        <w:t xml:space="preserve">full </w:t>
      </w:r>
      <w:r w:rsidR="0023679C">
        <w:t xml:space="preserve">technical review of </w:t>
      </w:r>
      <w:r w:rsidR="00193193">
        <w:t xml:space="preserve">all of </w:t>
      </w:r>
      <w:r w:rsidR="0023679C">
        <w:t>the models</w:t>
      </w:r>
      <w:r w:rsidR="008D2D3A">
        <w:t xml:space="preserve"> used</w:t>
      </w:r>
      <w:r w:rsidR="00745B76">
        <w:t>. S</w:t>
      </w:r>
      <w:r w:rsidR="008D2D3A">
        <w:t>pot checks have been carried out.</w:t>
      </w:r>
    </w:p>
    <w:p w14:paraId="572FD36A" w14:textId="775895BA" w:rsidR="009E1CEC" w:rsidRPr="00044357" w:rsidRDefault="7C88CEA6" w:rsidP="003E2B1E">
      <w:pPr>
        <w:pStyle w:val="Heading2"/>
        <w:rPr>
          <w:rFonts w:eastAsia="Arial_MSFontService"/>
        </w:rPr>
      </w:pPr>
      <w:r w:rsidRPr="3D36590C">
        <w:rPr>
          <w:rFonts w:eastAsia="Arial_MSFontService"/>
        </w:rPr>
        <w:t>Context</w:t>
      </w:r>
    </w:p>
    <w:p w14:paraId="5F8867C0" w14:textId="141B9C6F" w:rsidR="001B6DED" w:rsidRDefault="7C88CEA6">
      <w:pPr>
        <w:rPr>
          <w:rFonts w:eastAsia="Arial" w:cs="Arial"/>
          <w:color w:val="000000" w:themeColor="text1"/>
        </w:rPr>
      </w:pPr>
      <w:r w:rsidRPr="3D36590C">
        <w:rPr>
          <w:rFonts w:eastAsia="Arial" w:cs="Arial"/>
          <w:color w:val="000000" w:themeColor="text1"/>
        </w:rPr>
        <w:t xml:space="preserve">The Scheme is </w:t>
      </w:r>
      <w:r w:rsidR="00775427">
        <w:rPr>
          <w:rFonts w:eastAsia="Arial" w:cs="Arial"/>
          <w:color w:val="000000" w:themeColor="text1"/>
        </w:rPr>
        <w:t>undertaking</w:t>
      </w:r>
      <w:r w:rsidRPr="3D36590C">
        <w:rPr>
          <w:rFonts w:eastAsia="Arial" w:cs="Arial"/>
          <w:color w:val="000000" w:themeColor="text1"/>
        </w:rPr>
        <w:t xml:space="preserve"> a significant program of </w:t>
      </w:r>
      <w:r w:rsidR="00A9724C">
        <w:rPr>
          <w:rFonts w:eastAsia="Arial" w:cs="Arial"/>
          <w:color w:val="000000" w:themeColor="text1"/>
        </w:rPr>
        <w:t xml:space="preserve">Scheme </w:t>
      </w:r>
      <w:r w:rsidR="00A9724C" w:rsidRPr="00524622">
        <w:rPr>
          <w:rFonts w:eastAsia="Arial" w:cs="Arial"/>
          <w:color w:val="000000" w:themeColor="text1"/>
        </w:rPr>
        <w:t>R</w:t>
      </w:r>
      <w:r w:rsidRPr="00524622">
        <w:rPr>
          <w:rFonts w:eastAsia="Arial" w:cs="Arial"/>
          <w:color w:val="000000" w:themeColor="text1"/>
        </w:rPr>
        <w:t>eforms</w:t>
      </w:r>
      <w:r w:rsidR="00DE63C1">
        <w:rPr>
          <w:rStyle w:val="FootnoteReference"/>
          <w:rFonts w:eastAsia="Arial" w:cs="Arial"/>
          <w:color w:val="000000" w:themeColor="text1"/>
        </w:rPr>
        <w:footnoteReference w:id="2"/>
      </w:r>
      <w:r w:rsidR="008453E4">
        <w:rPr>
          <w:rFonts w:eastAsia="Arial" w:cs="Arial"/>
          <w:color w:val="000000" w:themeColor="text1"/>
        </w:rPr>
        <w:t xml:space="preserve">, </w:t>
      </w:r>
      <w:r w:rsidR="008453E4" w:rsidRPr="006169F9">
        <w:rPr>
          <w:rFonts w:eastAsia="Arial" w:cs="Arial"/>
          <w:color w:val="000000" w:themeColor="text1"/>
        </w:rPr>
        <w:t>aimed at improving the sustainability of the Scheme</w:t>
      </w:r>
      <w:r w:rsidRPr="00524622">
        <w:rPr>
          <w:rFonts w:eastAsia="Arial" w:cs="Arial"/>
          <w:color w:val="000000" w:themeColor="text1"/>
        </w:rPr>
        <w:t xml:space="preserve">. </w:t>
      </w:r>
      <w:r w:rsidR="00AB3D21">
        <w:rPr>
          <w:rFonts w:eastAsia="Arial" w:cs="Arial"/>
          <w:color w:val="000000" w:themeColor="text1"/>
        </w:rPr>
        <w:t>T</w:t>
      </w:r>
      <w:r w:rsidRPr="3D36590C">
        <w:rPr>
          <w:rFonts w:eastAsia="Arial" w:cs="Arial"/>
          <w:color w:val="000000" w:themeColor="text1"/>
        </w:rPr>
        <w:t>hese include</w:t>
      </w:r>
      <w:r w:rsidR="001B6DED">
        <w:rPr>
          <w:rFonts w:eastAsia="Arial" w:cs="Arial"/>
          <w:color w:val="000000" w:themeColor="text1"/>
        </w:rPr>
        <w:t>:</w:t>
      </w:r>
    </w:p>
    <w:p w14:paraId="29DE6108" w14:textId="2D311299" w:rsidR="001B6DED" w:rsidRDefault="001B6DED" w:rsidP="00AE4A2C">
      <w:pPr>
        <w:pStyle w:val="Bullet"/>
        <w:spacing w:after="120"/>
        <w:rPr>
          <w:rFonts w:eastAsia="Arial"/>
        </w:rPr>
      </w:pPr>
      <w:r>
        <w:rPr>
          <w:rFonts w:eastAsia="Arial"/>
        </w:rPr>
        <w:t>R</w:t>
      </w:r>
      <w:r w:rsidR="00155206">
        <w:rPr>
          <w:rFonts w:eastAsia="Arial"/>
        </w:rPr>
        <w:t>eforms that impact the profile of new entrants</w:t>
      </w:r>
      <w:r>
        <w:rPr>
          <w:rFonts w:eastAsia="Arial"/>
        </w:rPr>
        <w:t>. This include</w:t>
      </w:r>
      <w:r w:rsidR="00CC09D6">
        <w:rPr>
          <w:rFonts w:eastAsia="Arial"/>
        </w:rPr>
        <w:t>s</w:t>
      </w:r>
      <w:r>
        <w:rPr>
          <w:rFonts w:eastAsia="Arial"/>
        </w:rPr>
        <w:t xml:space="preserve"> </w:t>
      </w:r>
      <w:r w:rsidR="004C0255">
        <w:rPr>
          <w:rFonts w:eastAsia="Arial"/>
        </w:rPr>
        <w:t xml:space="preserve">improving </w:t>
      </w:r>
      <w:r w:rsidR="00FC3E2D">
        <w:rPr>
          <w:rFonts w:eastAsia="Arial"/>
        </w:rPr>
        <w:t xml:space="preserve">evidence </w:t>
      </w:r>
      <w:r w:rsidR="004C0255">
        <w:rPr>
          <w:rFonts w:eastAsia="Arial"/>
        </w:rPr>
        <w:t xml:space="preserve">for children with developmental delay </w:t>
      </w:r>
      <w:r w:rsidR="0023462C">
        <w:rPr>
          <w:rFonts w:eastAsia="Arial"/>
        </w:rPr>
        <w:t xml:space="preserve">(from 1 </w:t>
      </w:r>
      <w:r w:rsidR="00E46172">
        <w:rPr>
          <w:rFonts w:eastAsia="Arial"/>
        </w:rPr>
        <w:t xml:space="preserve">October </w:t>
      </w:r>
      <w:r w:rsidR="0023462C">
        <w:rPr>
          <w:rFonts w:eastAsia="Arial"/>
        </w:rPr>
        <w:t>202</w:t>
      </w:r>
      <w:r w:rsidR="007A3070">
        <w:rPr>
          <w:rFonts w:eastAsia="Arial"/>
        </w:rPr>
        <w:t>4</w:t>
      </w:r>
      <w:r w:rsidR="0023462C">
        <w:rPr>
          <w:rFonts w:eastAsia="Arial"/>
        </w:rPr>
        <w:t xml:space="preserve">) </w:t>
      </w:r>
      <w:r w:rsidR="007A3070">
        <w:rPr>
          <w:rFonts w:eastAsia="Arial"/>
        </w:rPr>
        <w:t xml:space="preserve">and </w:t>
      </w:r>
      <w:r w:rsidR="007F26CA" w:rsidRPr="00C37A29">
        <w:rPr>
          <w:rFonts w:eastAsia="Arial"/>
        </w:rPr>
        <w:t xml:space="preserve">an allowance for Foundational Supports </w:t>
      </w:r>
      <w:r w:rsidR="0023462C" w:rsidRPr="00C37A29">
        <w:rPr>
          <w:rFonts w:eastAsia="Arial"/>
        </w:rPr>
        <w:t>(</w:t>
      </w:r>
      <w:r w:rsidR="00F951A7" w:rsidRPr="00C37A29">
        <w:rPr>
          <w:rFonts w:eastAsia="Arial"/>
        </w:rPr>
        <w:t xml:space="preserve">effective </w:t>
      </w:r>
      <w:r w:rsidR="007A3070" w:rsidRPr="00C37A29">
        <w:rPr>
          <w:rFonts w:eastAsia="Arial"/>
        </w:rPr>
        <w:t>from 1 July 2026</w:t>
      </w:r>
      <w:r w:rsidR="0023462C" w:rsidRPr="00C37A29">
        <w:rPr>
          <w:rFonts w:eastAsia="Arial"/>
        </w:rPr>
        <w:t>)</w:t>
      </w:r>
      <w:r w:rsidR="00C37A29" w:rsidRPr="00C37A29">
        <w:rPr>
          <w:rFonts w:eastAsia="Arial"/>
        </w:rPr>
        <w:t>, which we understa</w:t>
      </w:r>
      <w:r w:rsidR="00C37A29">
        <w:rPr>
          <w:rFonts w:eastAsia="Arial"/>
        </w:rPr>
        <w:t xml:space="preserve">nd will be updated to allow for </w:t>
      </w:r>
      <w:r w:rsidR="004C0255">
        <w:rPr>
          <w:rFonts w:eastAsia="Arial"/>
        </w:rPr>
        <w:t xml:space="preserve">the </w:t>
      </w:r>
      <w:r w:rsidR="001F1C2F">
        <w:rPr>
          <w:rFonts w:eastAsia="Arial"/>
        </w:rPr>
        <w:t>Thriving Kids program</w:t>
      </w:r>
      <w:r w:rsidR="0023462C">
        <w:rPr>
          <w:rFonts w:eastAsia="Arial"/>
        </w:rPr>
        <w:t xml:space="preserve"> </w:t>
      </w:r>
      <w:r w:rsidR="00510FAD">
        <w:rPr>
          <w:rFonts w:eastAsia="Arial"/>
        </w:rPr>
        <w:t>(</w:t>
      </w:r>
      <w:r w:rsidR="00CA4245">
        <w:rPr>
          <w:rFonts w:eastAsia="Arial"/>
        </w:rPr>
        <w:t xml:space="preserve">announced </w:t>
      </w:r>
      <w:r w:rsidR="00510FAD">
        <w:rPr>
          <w:rFonts w:eastAsia="Arial"/>
        </w:rPr>
        <w:t>in</w:t>
      </w:r>
      <w:r w:rsidR="00CA4245">
        <w:rPr>
          <w:rFonts w:eastAsia="Arial"/>
        </w:rPr>
        <w:t xml:space="preserve"> August 2025</w:t>
      </w:r>
      <w:r w:rsidR="00510FAD">
        <w:rPr>
          <w:rFonts w:eastAsia="Arial"/>
        </w:rPr>
        <w:t xml:space="preserve">) </w:t>
      </w:r>
      <w:r w:rsidR="00C37A29">
        <w:rPr>
          <w:rFonts w:eastAsia="Arial"/>
        </w:rPr>
        <w:t>when the design</w:t>
      </w:r>
      <w:r w:rsidR="007A3070">
        <w:rPr>
          <w:rFonts w:eastAsia="Arial"/>
        </w:rPr>
        <w:t xml:space="preserve"> </w:t>
      </w:r>
      <w:r w:rsidR="00141C49">
        <w:rPr>
          <w:rFonts w:eastAsia="Arial"/>
        </w:rPr>
        <w:t xml:space="preserve">of </w:t>
      </w:r>
      <w:r w:rsidR="00C37A29">
        <w:rPr>
          <w:rFonts w:eastAsia="Arial"/>
        </w:rPr>
        <w:t xml:space="preserve">that program is </w:t>
      </w:r>
      <w:proofErr w:type="gramStart"/>
      <w:r w:rsidR="00C37A29">
        <w:rPr>
          <w:rFonts w:eastAsia="Arial"/>
        </w:rPr>
        <w:t>available</w:t>
      </w:r>
      <w:r w:rsidR="009B47D9">
        <w:rPr>
          <w:rFonts w:eastAsia="Arial"/>
        </w:rPr>
        <w:t>;</w:t>
      </w:r>
      <w:proofErr w:type="gramEnd"/>
      <w:r w:rsidR="00FC3E2D">
        <w:rPr>
          <w:rFonts w:eastAsia="Arial"/>
        </w:rPr>
        <w:t xml:space="preserve"> </w:t>
      </w:r>
    </w:p>
    <w:p w14:paraId="61D63693" w14:textId="7A0D264C" w:rsidR="001B6DED" w:rsidRDefault="00E303FD" w:rsidP="00AE4A2C">
      <w:pPr>
        <w:pStyle w:val="Bullet"/>
        <w:spacing w:after="120"/>
        <w:rPr>
          <w:rFonts w:eastAsia="Arial"/>
        </w:rPr>
      </w:pPr>
      <w:r>
        <w:rPr>
          <w:rFonts w:eastAsia="Arial"/>
        </w:rPr>
        <w:t xml:space="preserve">Operational measures and </w:t>
      </w:r>
      <w:r w:rsidR="00145C59">
        <w:rPr>
          <w:rFonts w:eastAsia="Arial"/>
        </w:rPr>
        <w:t>r</w:t>
      </w:r>
      <w:r w:rsidR="00FC3E2D">
        <w:rPr>
          <w:rFonts w:eastAsia="Arial"/>
        </w:rPr>
        <w:t xml:space="preserve">eforms </w:t>
      </w:r>
      <w:r w:rsidR="7C88CEA6" w:rsidRPr="3D36590C">
        <w:rPr>
          <w:rFonts w:eastAsia="Arial"/>
        </w:rPr>
        <w:t xml:space="preserve">aimed at reducing </w:t>
      </w:r>
      <w:r w:rsidR="00FC3E2D">
        <w:rPr>
          <w:rFonts w:eastAsia="Arial"/>
        </w:rPr>
        <w:t>plan growth</w:t>
      </w:r>
      <w:r w:rsidR="00CC09D6">
        <w:rPr>
          <w:rFonts w:eastAsia="Arial"/>
        </w:rPr>
        <w:t xml:space="preserve">. This includes </w:t>
      </w:r>
      <w:r w:rsidR="009D6127">
        <w:rPr>
          <w:rFonts w:eastAsia="Arial"/>
        </w:rPr>
        <w:t>increasing planning consistency on reassessments</w:t>
      </w:r>
      <w:r w:rsidR="00B83762">
        <w:rPr>
          <w:rFonts w:eastAsia="Arial"/>
        </w:rPr>
        <w:t xml:space="preserve">, </w:t>
      </w:r>
      <w:r w:rsidR="003C5483">
        <w:rPr>
          <w:rFonts w:eastAsia="Arial"/>
        </w:rPr>
        <w:t xml:space="preserve">strengthening evidentiary standards </w:t>
      </w:r>
      <w:r w:rsidR="00A1339D">
        <w:rPr>
          <w:rFonts w:eastAsia="Arial"/>
        </w:rPr>
        <w:t xml:space="preserve">for plan change requests, </w:t>
      </w:r>
      <w:r w:rsidR="005C704B">
        <w:rPr>
          <w:rFonts w:eastAsia="Arial"/>
        </w:rPr>
        <w:t xml:space="preserve">building </w:t>
      </w:r>
      <w:r w:rsidR="00B83762">
        <w:rPr>
          <w:rFonts w:eastAsia="Arial"/>
        </w:rPr>
        <w:t xml:space="preserve">staff </w:t>
      </w:r>
      <w:r w:rsidR="005C704B">
        <w:rPr>
          <w:rFonts w:eastAsia="Arial"/>
        </w:rPr>
        <w:t xml:space="preserve">capability </w:t>
      </w:r>
      <w:r w:rsidR="00B83762">
        <w:rPr>
          <w:rFonts w:eastAsia="Arial"/>
        </w:rPr>
        <w:t xml:space="preserve">to </w:t>
      </w:r>
      <w:r w:rsidR="00625C5F">
        <w:rPr>
          <w:rFonts w:eastAsia="Arial"/>
        </w:rPr>
        <w:t xml:space="preserve">ensure a </w:t>
      </w:r>
      <w:r w:rsidR="00811A30">
        <w:rPr>
          <w:rFonts w:eastAsia="Arial"/>
        </w:rPr>
        <w:t>greater focus on Scheme sustainability,</w:t>
      </w:r>
      <w:r w:rsidR="009D6127">
        <w:rPr>
          <w:rFonts w:eastAsia="Arial"/>
        </w:rPr>
        <w:t xml:space="preserve"> and </w:t>
      </w:r>
      <w:r w:rsidR="00DE41CD">
        <w:rPr>
          <w:rFonts w:eastAsia="Arial"/>
        </w:rPr>
        <w:t xml:space="preserve">the </w:t>
      </w:r>
      <w:r w:rsidR="009D6127">
        <w:rPr>
          <w:rFonts w:eastAsia="Arial"/>
        </w:rPr>
        <w:t xml:space="preserve">introduction </w:t>
      </w:r>
      <w:r w:rsidR="00EC2B89">
        <w:rPr>
          <w:rFonts w:eastAsia="Arial"/>
        </w:rPr>
        <w:t xml:space="preserve">from 1 July 2026 </w:t>
      </w:r>
      <w:r w:rsidR="009D6127">
        <w:rPr>
          <w:rFonts w:eastAsia="Arial"/>
        </w:rPr>
        <w:t xml:space="preserve">of </w:t>
      </w:r>
      <w:r w:rsidR="00E070EC">
        <w:rPr>
          <w:rFonts w:eastAsia="Arial"/>
        </w:rPr>
        <w:t>N</w:t>
      </w:r>
      <w:r w:rsidR="7C88CEA6" w:rsidRPr="3D36590C">
        <w:rPr>
          <w:rFonts w:eastAsia="Arial"/>
        </w:rPr>
        <w:t xml:space="preserve">ew </w:t>
      </w:r>
      <w:r w:rsidR="00B94315">
        <w:rPr>
          <w:rFonts w:eastAsia="Arial"/>
        </w:rPr>
        <w:t xml:space="preserve">Framework </w:t>
      </w:r>
      <w:proofErr w:type="gramStart"/>
      <w:r w:rsidR="00E070EC">
        <w:rPr>
          <w:rFonts w:eastAsia="Arial"/>
        </w:rPr>
        <w:t>P</w:t>
      </w:r>
      <w:r w:rsidR="7C88CEA6" w:rsidRPr="3D36590C">
        <w:rPr>
          <w:rFonts w:eastAsia="Arial"/>
        </w:rPr>
        <w:t>lanning</w:t>
      </w:r>
      <w:r w:rsidR="009B47D9">
        <w:rPr>
          <w:rFonts w:eastAsia="Arial"/>
        </w:rPr>
        <w:t>;</w:t>
      </w:r>
      <w:proofErr w:type="gramEnd"/>
    </w:p>
    <w:p w14:paraId="612E4A14" w14:textId="55552070" w:rsidR="001B6DED" w:rsidRDefault="001B6DED" w:rsidP="00AE4A2C">
      <w:pPr>
        <w:pStyle w:val="Bullet"/>
        <w:spacing w:after="120"/>
        <w:rPr>
          <w:rFonts w:eastAsia="Arial"/>
        </w:rPr>
      </w:pPr>
      <w:r>
        <w:rPr>
          <w:rFonts w:eastAsia="Arial"/>
        </w:rPr>
        <w:t>R</w:t>
      </w:r>
      <w:r w:rsidR="00B543CD">
        <w:rPr>
          <w:rFonts w:eastAsia="Arial"/>
        </w:rPr>
        <w:t xml:space="preserve">esourcing that will impact the numbers of people leaving the </w:t>
      </w:r>
      <w:r w:rsidR="0052458B">
        <w:rPr>
          <w:rFonts w:eastAsia="Arial"/>
        </w:rPr>
        <w:t>S</w:t>
      </w:r>
      <w:r w:rsidR="00B543CD">
        <w:rPr>
          <w:rFonts w:eastAsia="Arial"/>
        </w:rPr>
        <w:t>cheme</w:t>
      </w:r>
      <w:r w:rsidR="0023462C">
        <w:rPr>
          <w:rFonts w:eastAsia="Arial"/>
        </w:rPr>
        <w:t xml:space="preserve"> by </w:t>
      </w:r>
      <w:r w:rsidR="00A23252">
        <w:rPr>
          <w:rFonts w:eastAsia="Arial"/>
        </w:rPr>
        <w:t xml:space="preserve">processing the backlog of </w:t>
      </w:r>
      <w:r w:rsidR="7C88CEA6" w:rsidRPr="3D36590C">
        <w:rPr>
          <w:rFonts w:eastAsia="Arial"/>
        </w:rPr>
        <w:t>eligibility reassessment</w:t>
      </w:r>
      <w:r w:rsidR="00A23252">
        <w:rPr>
          <w:rFonts w:eastAsia="Arial"/>
        </w:rPr>
        <w:t>s</w:t>
      </w:r>
      <w:r w:rsidR="009B47D9">
        <w:rPr>
          <w:rFonts w:eastAsia="Arial"/>
        </w:rPr>
        <w:t>;</w:t>
      </w:r>
      <w:r w:rsidR="7C88CEA6" w:rsidRPr="3D36590C">
        <w:rPr>
          <w:rFonts w:eastAsia="Arial"/>
        </w:rPr>
        <w:t xml:space="preserve"> </w:t>
      </w:r>
      <w:r w:rsidR="00A23252">
        <w:rPr>
          <w:rFonts w:eastAsia="Arial"/>
        </w:rPr>
        <w:t xml:space="preserve">and </w:t>
      </w:r>
    </w:p>
    <w:p w14:paraId="3886D158" w14:textId="48599CF7" w:rsidR="00851B1D" w:rsidRDefault="001B6DED" w:rsidP="00851B1D">
      <w:pPr>
        <w:pStyle w:val="Bullet"/>
        <w:spacing w:after="120"/>
        <w:rPr>
          <w:rFonts w:eastAsia="Arial"/>
        </w:rPr>
      </w:pPr>
      <w:r>
        <w:rPr>
          <w:rFonts w:eastAsia="Arial"/>
        </w:rPr>
        <w:t>R</w:t>
      </w:r>
      <w:r w:rsidR="00A23252">
        <w:rPr>
          <w:rFonts w:eastAsia="Arial"/>
        </w:rPr>
        <w:t>eforms that will impact the rate at which participants utilise their plan</w:t>
      </w:r>
      <w:r w:rsidR="0052458B">
        <w:rPr>
          <w:rFonts w:eastAsia="Arial"/>
        </w:rPr>
        <w:t>s</w:t>
      </w:r>
      <w:r w:rsidR="0023462C">
        <w:rPr>
          <w:rFonts w:eastAsia="Arial"/>
        </w:rPr>
        <w:t xml:space="preserve">. This includes </w:t>
      </w:r>
      <w:r w:rsidR="7C88CEA6" w:rsidRPr="3D36590C">
        <w:rPr>
          <w:rFonts w:eastAsia="Arial"/>
        </w:rPr>
        <w:t xml:space="preserve">the </w:t>
      </w:r>
      <w:r w:rsidR="00BA3D74">
        <w:rPr>
          <w:rFonts w:eastAsia="Arial"/>
        </w:rPr>
        <w:t xml:space="preserve">list of approved supports </w:t>
      </w:r>
      <w:r w:rsidR="00BF62C3">
        <w:rPr>
          <w:rFonts w:eastAsia="Arial"/>
        </w:rPr>
        <w:t xml:space="preserve">implemented in October 2024, </w:t>
      </w:r>
      <w:r w:rsidR="00562ADB">
        <w:rPr>
          <w:rFonts w:eastAsia="Arial"/>
        </w:rPr>
        <w:t xml:space="preserve">the roll out of Funding Periods from May 2025, </w:t>
      </w:r>
      <w:r w:rsidR="00BA3D74">
        <w:rPr>
          <w:rFonts w:eastAsia="Arial"/>
        </w:rPr>
        <w:t xml:space="preserve">and the </w:t>
      </w:r>
      <w:r w:rsidR="00D97345">
        <w:rPr>
          <w:rFonts w:eastAsia="Arial"/>
        </w:rPr>
        <w:t xml:space="preserve">Scheme Integrity measures </w:t>
      </w:r>
      <w:r w:rsidR="003F4DA4">
        <w:rPr>
          <w:rFonts w:eastAsia="Arial"/>
        </w:rPr>
        <w:t xml:space="preserve">(of which </w:t>
      </w:r>
      <w:r w:rsidR="7C88CEA6" w:rsidRPr="3D36590C">
        <w:rPr>
          <w:rFonts w:eastAsia="Arial"/>
        </w:rPr>
        <w:t xml:space="preserve">Crack Down on Fraud (CDoF) </w:t>
      </w:r>
      <w:r w:rsidR="003F4DA4">
        <w:rPr>
          <w:rFonts w:eastAsia="Arial"/>
        </w:rPr>
        <w:t>is a part)</w:t>
      </w:r>
      <w:r w:rsidR="00AB3D21">
        <w:rPr>
          <w:rFonts w:eastAsia="Arial"/>
        </w:rPr>
        <w:t>.</w:t>
      </w:r>
    </w:p>
    <w:p w14:paraId="577C7EEF" w14:textId="378EB458" w:rsidR="009D7B1B" w:rsidRPr="00DE63C1" w:rsidRDefault="006F3C24" w:rsidP="007B4251">
      <w:pPr>
        <w:pStyle w:val="Bullet"/>
        <w:numPr>
          <w:ilvl w:val="0"/>
          <w:numId w:val="0"/>
        </w:numPr>
        <w:spacing w:after="120"/>
        <w:rPr>
          <w:rFonts w:eastAsia="Arial"/>
        </w:rPr>
      </w:pPr>
      <w:r>
        <w:rPr>
          <w:rFonts w:eastAsia="Arial"/>
        </w:rPr>
        <w:t xml:space="preserve">The reforms are in various stages of </w:t>
      </w:r>
      <w:r w:rsidR="00A2347C">
        <w:rPr>
          <w:rFonts w:eastAsia="Arial"/>
        </w:rPr>
        <w:t xml:space="preserve">planning, design </w:t>
      </w:r>
      <w:r>
        <w:rPr>
          <w:rFonts w:eastAsia="Arial"/>
        </w:rPr>
        <w:t>and implementation</w:t>
      </w:r>
      <w:r w:rsidR="009A04D9">
        <w:rPr>
          <w:rFonts w:eastAsia="Arial"/>
        </w:rPr>
        <w:t xml:space="preserve">. </w:t>
      </w:r>
      <w:r w:rsidR="003C6CE8">
        <w:rPr>
          <w:rFonts w:eastAsia="Arial"/>
        </w:rPr>
        <w:t>T</w:t>
      </w:r>
      <w:r w:rsidR="00D67ABA">
        <w:rPr>
          <w:rFonts w:eastAsia="Arial"/>
        </w:rPr>
        <w:t xml:space="preserve">he Scheme Actuary has allowed for these reforms based on </w:t>
      </w:r>
      <w:r w:rsidR="00A83AFB">
        <w:rPr>
          <w:rFonts w:eastAsia="Arial"/>
        </w:rPr>
        <w:t xml:space="preserve">the </w:t>
      </w:r>
      <w:r w:rsidR="00D67ABA">
        <w:rPr>
          <w:rFonts w:eastAsia="Arial"/>
        </w:rPr>
        <w:t>current understanding of the reform</w:t>
      </w:r>
      <w:r w:rsidR="0025048B">
        <w:rPr>
          <w:rFonts w:eastAsia="Arial"/>
        </w:rPr>
        <w:t xml:space="preserve"> design</w:t>
      </w:r>
      <w:r w:rsidR="003C6CE8">
        <w:rPr>
          <w:rFonts w:eastAsia="Arial"/>
        </w:rPr>
        <w:t>.</w:t>
      </w:r>
      <w:r w:rsidR="00D67ABA">
        <w:rPr>
          <w:rFonts w:eastAsia="Arial"/>
        </w:rPr>
        <w:t xml:space="preserve"> </w:t>
      </w:r>
      <w:r w:rsidR="00FD220C" w:rsidRPr="00782DC9">
        <w:rPr>
          <w:rFonts w:eastAsia="Arial"/>
        </w:rPr>
        <w:t>W</w:t>
      </w:r>
      <w:r w:rsidR="0076041C" w:rsidRPr="00782DC9">
        <w:rPr>
          <w:rFonts w:eastAsia="Arial"/>
        </w:rPr>
        <w:t>e</w:t>
      </w:r>
      <w:r w:rsidR="0076041C">
        <w:rPr>
          <w:rFonts w:eastAsia="Arial"/>
        </w:rPr>
        <w:t xml:space="preserve"> note that </w:t>
      </w:r>
      <w:r w:rsidR="0017756D">
        <w:rPr>
          <w:rFonts w:eastAsia="Arial"/>
        </w:rPr>
        <w:t xml:space="preserve">design of </w:t>
      </w:r>
      <w:r w:rsidR="0076041C">
        <w:rPr>
          <w:rFonts w:eastAsia="Arial"/>
        </w:rPr>
        <w:t xml:space="preserve">the </w:t>
      </w:r>
      <w:r w:rsidR="00772DD7">
        <w:rPr>
          <w:rFonts w:eastAsia="Arial"/>
        </w:rPr>
        <w:t xml:space="preserve">Thriving Kids program </w:t>
      </w:r>
      <w:r w:rsidR="0017756D">
        <w:rPr>
          <w:rFonts w:eastAsia="Arial"/>
        </w:rPr>
        <w:t xml:space="preserve">has not yet been </w:t>
      </w:r>
      <w:proofErr w:type="gramStart"/>
      <w:r w:rsidR="00FD220C" w:rsidRPr="00782DC9">
        <w:rPr>
          <w:rFonts w:eastAsia="Arial"/>
        </w:rPr>
        <w:t>completed</w:t>
      </w:r>
      <w:proofErr w:type="gramEnd"/>
      <w:r w:rsidR="00E6355A">
        <w:rPr>
          <w:rFonts w:eastAsia="Arial"/>
        </w:rPr>
        <w:t xml:space="preserve"> </w:t>
      </w:r>
      <w:r w:rsidR="001F6329">
        <w:rPr>
          <w:rFonts w:eastAsia="Arial"/>
        </w:rPr>
        <w:t xml:space="preserve">and </w:t>
      </w:r>
      <w:r w:rsidR="00870871">
        <w:rPr>
          <w:rFonts w:eastAsia="Arial"/>
        </w:rPr>
        <w:t xml:space="preserve">the </w:t>
      </w:r>
      <w:r w:rsidR="00870871" w:rsidRPr="00870871">
        <w:rPr>
          <w:rFonts w:eastAsia="Arial"/>
        </w:rPr>
        <w:t xml:space="preserve">scenario assumed for Foundational Supports </w:t>
      </w:r>
      <w:r w:rsidR="001F6329">
        <w:rPr>
          <w:rFonts w:eastAsia="Arial"/>
        </w:rPr>
        <w:t xml:space="preserve">does not </w:t>
      </w:r>
      <w:r w:rsidR="00870871" w:rsidRPr="00870871">
        <w:rPr>
          <w:rFonts w:eastAsia="Arial"/>
        </w:rPr>
        <w:t>reflect the expected design</w:t>
      </w:r>
      <w:r w:rsidR="006365D1">
        <w:rPr>
          <w:rFonts w:eastAsia="Arial"/>
        </w:rPr>
        <w:t xml:space="preserve">. </w:t>
      </w:r>
      <w:r w:rsidR="0096167F">
        <w:rPr>
          <w:rFonts w:eastAsia="Arial"/>
        </w:rPr>
        <w:t>T</w:t>
      </w:r>
      <w:r w:rsidR="0096167F" w:rsidRPr="00782DC9">
        <w:rPr>
          <w:rFonts w:eastAsia="Arial"/>
        </w:rPr>
        <w:t>herefore,</w:t>
      </w:r>
      <w:r w:rsidR="00FD220C" w:rsidRPr="00782DC9">
        <w:rPr>
          <w:rFonts w:eastAsia="Arial"/>
        </w:rPr>
        <w:t xml:space="preserve"> projections related to Foundational Supports are</w:t>
      </w:r>
      <w:r w:rsidR="00E6355A">
        <w:rPr>
          <w:rFonts w:eastAsia="Arial"/>
        </w:rPr>
        <w:t xml:space="preserve"> subject to a higher degree of uncertainty than other reforms</w:t>
      </w:r>
      <w:r w:rsidR="00542DBD">
        <w:rPr>
          <w:rFonts w:eastAsia="Arial"/>
        </w:rPr>
        <w:t xml:space="preserve"> </w:t>
      </w:r>
      <w:r w:rsidR="00542DBD" w:rsidRPr="00ED6FCC">
        <w:rPr>
          <w:rFonts w:eastAsia="Arial"/>
        </w:rPr>
        <w:t xml:space="preserve">and should be updated when the design of the Thriving Kids program </w:t>
      </w:r>
      <w:r w:rsidR="004F61AB">
        <w:rPr>
          <w:rFonts w:eastAsia="Arial"/>
        </w:rPr>
        <w:t>is sufficiently certain</w:t>
      </w:r>
      <w:r w:rsidR="00A15372">
        <w:rPr>
          <w:rFonts w:eastAsia="Arial"/>
        </w:rPr>
        <w:t>.</w:t>
      </w:r>
    </w:p>
    <w:p w14:paraId="7963EA86" w14:textId="7B2A50FB" w:rsidR="00543424" w:rsidRDefault="001B01E6" w:rsidP="00543424">
      <w:r>
        <w:rPr>
          <w:rFonts w:eastAsia="Arial" w:cs="Arial"/>
          <w:color w:val="000000" w:themeColor="text1"/>
        </w:rPr>
        <w:t>The</w:t>
      </w:r>
      <w:r w:rsidR="00910F41">
        <w:rPr>
          <w:rFonts w:eastAsia="Arial" w:cs="Arial"/>
          <w:color w:val="000000" w:themeColor="text1"/>
        </w:rPr>
        <w:t xml:space="preserve"> A</w:t>
      </w:r>
      <w:r w:rsidR="004D6192">
        <w:rPr>
          <w:rFonts w:eastAsia="Arial" w:cs="Arial"/>
          <w:color w:val="000000" w:themeColor="text1"/>
        </w:rPr>
        <w:t xml:space="preserve">gency </w:t>
      </w:r>
      <w:r w:rsidR="002A0A63">
        <w:rPr>
          <w:rFonts w:eastAsia="Arial" w:cs="Arial"/>
          <w:color w:val="000000" w:themeColor="text1"/>
        </w:rPr>
        <w:t xml:space="preserve">implemented a new computer system (PACE) </w:t>
      </w:r>
      <w:r w:rsidR="002516C5">
        <w:rPr>
          <w:rFonts w:eastAsia="Arial" w:cs="Arial"/>
          <w:color w:val="000000" w:themeColor="text1"/>
        </w:rPr>
        <w:t>in late 2023</w:t>
      </w:r>
      <w:r w:rsidR="002F2A32">
        <w:rPr>
          <w:rFonts w:eastAsia="Arial" w:cs="Arial"/>
          <w:color w:val="000000" w:themeColor="text1"/>
        </w:rPr>
        <w:t>. This</w:t>
      </w:r>
      <w:r w:rsidR="00CE6BD9">
        <w:rPr>
          <w:rFonts w:eastAsia="Arial" w:cs="Arial"/>
          <w:color w:val="000000" w:themeColor="text1"/>
        </w:rPr>
        <w:t xml:space="preserve"> resulted in lower numbers of new entrants </w:t>
      </w:r>
      <w:r w:rsidR="00197EAA">
        <w:rPr>
          <w:rFonts w:eastAsia="Arial" w:cs="Arial"/>
          <w:color w:val="000000" w:themeColor="text1"/>
        </w:rPr>
        <w:t xml:space="preserve">in </w:t>
      </w:r>
      <w:r w:rsidR="00CE6BD9">
        <w:rPr>
          <w:rFonts w:eastAsia="Arial" w:cs="Arial"/>
          <w:color w:val="000000" w:themeColor="text1"/>
        </w:rPr>
        <w:t>the second half 2023-24 and the first half of 2024-25</w:t>
      </w:r>
      <w:r w:rsidR="00197EAA">
        <w:rPr>
          <w:rFonts w:eastAsia="Arial" w:cs="Arial"/>
          <w:color w:val="000000" w:themeColor="text1"/>
        </w:rPr>
        <w:t>.</w:t>
      </w:r>
      <w:r>
        <w:rPr>
          <w:rFonts w:eastAsia="Arial" w:cs="Arial"/>
          <w:color w:val="000000" w:themeColor="text1"/>
        </w:rPr>
        <w:t xml:space="preserve"> </w:t>
      </w:r>
      <w:r w:rsidR="00197EAA">
        <w:rPr>
          <w:rFonts w:eastAsia="Arial" w:cs="Arial"/>
          <w:color w:val="000000" w:themeColor="text1"/>
        </w:rPr>
        <w:t>T</w:t>
      </w:r>
      <w:r>
        <w:rPr>
          <w:rFonts w:eastAsia="Arial" w:cs="Arial"/>
          <w:color w:val="000000" w:themeColor="text1"/>
        </w:rPr>
        <w:t xml:space="preserve">his is </w:t>
      </w:r>
      <w:r w:rsidR="00CE6BD9" w:rsidRPr="00CE6BD9">
        <w:rPr>
          <w:rFonts w:eastAsia="Arial" w:cs="Arial"/>
          <w:color w:val="000000" w:themeColor="text1"/>
        </w:rPr>
        <w:t xml:space="preserve">an outcome of </w:t>
      </w:r>
      <w:r w:rsidR="00481DB7">
        <w:rPr>
          <w:rFonts w:eastAsia="Arial" w:cs="Arial"/>
          <w:color w:val="000000" w:themeColor="text1"/>
        </w:rPr>
        <w:t>changes to p</w:t>
      </w:r>
      <w:r w:rsidR="00CE6BD9" w:rsidRPr="00CE6BD9">
        <w:rPr>
          <w:rFonts w:eastAsia="Arial" w:cs="Arial"/>
          <w:color w:val="000000" w:themeColor="text1"/>
        </w:rPr>
        <w:t xml:space="preserve">rocesses </w:t>
      </w:r>
      <w:r w:rsidR="006D1D90">
        <w:rPr>
          <w:rFonts w:eastAsia="Arial" w:cs="Arial"/>
          <w:color w:val="000000" w:themeColor="text1"/>
        </w:rPr>
        <w:t xml:space="preserve">and operational disruption </w:t>
      </w:r>
      <w:r w:rsidR="00CE6BD9" w:rsidRPr="00CE6BD9">
        <w:rPr>
          <w:rFonts w:eastAsia="Arial" w:cs="Arial"/>
          <w:color w:val="000000" w:themeColor="text1"/>
        </w:rPr>
        <w:t>associated with the rollout of the new system</w:t>
      </w:r>
      <w:r>
        <w:rPr>
          <w:rFonts w:eastAsia="Arial" w:cs="Arial"/>
          <w:color w:val="000000" w:themeColor="text1"/>
        </w:rPr>
        <w:t xml:space="preserve"> rather than a real feature of the experience. </w:t>
      </w:r>
      <w:r w:rsidR="00F25795">
        <w:rPr>
          <w:rFonts w:eastAsia="Arial" w:cs="Arial"/>
          <w:color w:val="000000" w:themeColor="text1"/>
        </w:rPr>
        <w:t>In addition,</w:t>
      </w:r>
      <w:r>
        <w:rPr>
          <w:rFonts w:eastAsia="Arial" w:cs="Arial"/>
          <w:color w:val="000000" w:themeColor="text1"/>
        </w:rPr>
        <w:t xml:space="preserve"> </w:t>
      </w:r>
      <w:r w:rsidR="005813F6" w:rsidRPr="005813F6">
        <w:rPr>
          <w:rFonts w:eastAsia="Arial" w:cs="Arial"/>
          <w:color w:val="000000" w:themeColor="text1"/>
        </w:rPr>
        <w:t>as the Agency manages resources across a range of processes according to demand, the resources applied to process new entrants ha</w:t>
      </w:r>
      <w:r w:rsidR="006F6DED">
        <w:rPr>
          <w:rFonts w:eastAsia="Arial" w:cs="Arial"/>
          <w:color w:val="000000" w:themeColor="text1"/>
        </w:rPr>
        <w:t>ve</w:t>
      </w:r>
      <w:r w:rsidR="005813F6" w:rsidRPr="005813F6">
        <w:rPr>
          <w:rFonts w:eastAsia="Arial" w:cs="Arial"/>
          <w:color w:val="000000" w:themeColor="text1"/>
        </w:rPr>
        <w:t xml:space="preserve"> not been consistent over time</w:t>
      </w:r>
      <w:r w:rsidR="005F3467">
        <w:rPr>
          <w:rFonts w:eastAsia="Arial" w:cs="Arial"/>
          <w:color w:val="000000" w:themeColor="text1"/>
        </w:rPr>
        <w:t xml:space="preserve">. The combined impacts of the new computer system and </w:t>
      </w:r>
      <w:r w:rsidR="00B3057F">
        <w:rPr>
          <w:rFonts w:eastAsia="Arial" w:cs="Arial"/>
          <w:color w:val="000000" w:themeColor="text1"/>
        </w:rPr>
        <w:t>constraints on processing capacity have distorted the underlying</w:t>
      </w:r>
      <w:r w:rsidR="005F3467">
        <w:rPr>
          <w:rFonts w:eastAsia="Arial" w:cs="Arial"/>
          <w:color w:val="000000" w:themeColor="text1"/>
        </w:rPr>
        <w:t xml:space="preserve"> </w:t>
      </w:r>
      <w:r w:rsidR="00A3235D">
        <w:rPr>
          <w:rFonts w:eastAsia="Arial" w:cs="Arial"/>
          <w:color w:val="000000" w:themeColor="text1"/>
        </w:rPr>
        <w:t xml:space="preserve">experience of the Scheme </w:t>
      </w:r>
      <w:r w:rsidR="00EA6D9A">
        <w:rPr>
          <w:rFonts w:eastAsia="Arial" w:cs="Arial"/>
          <w:color w:val="000000" w:themeColor="text1"/>
        </w:rPr>
        <w:t>and make interpretation of trends more difficult.</w:t>
      </w:r>
      <w:r w:rsidR="00FA1F0B">
        <w:rPr>
          <w:rFonts w:eastAsia="Arial" w:cs="Arial"/>
          <w:color w:val="000000" w:themeColor="text1"/>
        </w:rPr>
        <w:t xml:space="preserve"> </w:t>
      </w:r>
      <w:r w:rsidR="00EF1B1E">
        <w:rPr>
          <w:rFonts w:eastAsia="Arial" w:cs="Arial"/>
          <w:color w:val="000000" w:themeColor="text1"/>
        </w:rPr>
        <w:t>T</w:t>
      </w:r>
      <w:r w:rsidR="00FA1F0B">
        <w:rPr>
          <w:rFonts w:eastAsia="Arial" w:cs="Arial"/>
          <w:color w:val="000000" w:themeColor="text1"/>
        </w:rPr>
        <w:t xml:space="preserve">he Scheme Actuary </w:t>
      </w:r>
      <w:r w:rsidR="00EF1B1E">
        <w:rPr>
          <w:rFonts w:eastAsia="Arial" w:cs="Arial"/>
          <w:color w:val="000000" w:themeColor="text1"/>
        </w:rPr>
        <w:t xml:space="preserve">has </w:t>
      </w:r>
      <w:r w:rsidR="00FA1F0B">
        <w:rPr>
          <w:rFonts w:eastAsia="Arial" w:cs="Arial"/>
          <w:color w:val="000000" w:themeColor="text1"/>
        </w:rPr>
        <w:t>adjusted new entrant data to inform new entrant assumptions</w:t>
      </w:r>
      <w:r w:rsidR="001118AD">
        <w:rPr>
          <w:rFonts w:eastAsia="Arial" w:cs="Arial"/>
          <w:color w:val="000000" w:themeColor="text1"/>
        </w:rPr>
        <w:t>; this</w:t>
      </w:r>
      <w:r w:rsidR="00FA1F0B">
        <w:rPr>
          <w:rFonts w:eastAsia="Arial" w:cs="Arial"/>
          <w:color w:val="000000" w:themeColor="text1"/>
        </w:rPr>
        <w:t xml:space="preserve"> is discussed </w:t>
      </w:r>
      <w:r w:rsidR="00AE554E">
        <w:rPr>
          <w:rFonts w:eastAsia="Arial" w:cs="Arial"/>
          <w:color w:val="000000" w:themeColor="text1"/>
        </w:rPr>
        <w:t>later in this l</w:t>
      </w:r>
      <w:r w:rsidR="001118AD">
        <w:rPr>
          <w:rFonts w:eastAsia="Arial" w:cs="Arial"/>
          <w:color w:val="000000" w:themeColor="text1"/>
        </w:rPr>
        <w:t>e</w:t>
      </w:r>
      <w:r w:rsidR="00AE554E">
        <w:rPr>
          <w:rFonts w:eastAsia="Arial" w:cs="Arial"/>
          <w:color w:val="000000" w:themeColor="text1"/>
        </w:rPr>
        <w:t>tter.</w:t>
      </w:r>
    </w:p>
    <w:p w14:paraId="653D0F47" w14:textId="0EE7A78C" w:rsidR="00B664AE" w:rsidRDefault="00B664AE" w:rsidP="009E1CEC">
      <w:pPr>
        <w:pStyle w:val="Heading2"/>
      </w:pPr>
      <w:r>
        <w:lastRenderedPageBreak/>
        <w:t>Models</w:t>
      </w:r>
      <w:r w:rsidR="00AF6D5B">
        <w:t xml:space="preserve"> Used</w:t>
      </w:r>
    </w:p>
    <w:p w14:paraId="7B6FF142" w14:textId="3996B225" w:rsidR="009E1CEC" w:rsidRPr="00044357" w:rsidRDefault="00894CD7" w:rsidP="007D330A">
      <w:pPr>
        <w:pStyle w:val="Heading4"/>
      </w:pPr>
      <w:r>
        <w:t xml:space="preserve">Original </w:t>
      </w:r>
      <w:r w:rsidR="009E1CEC">
        <w:t>Cohort Model</w:t>
      </w:r>
    </w:p>
    <w:p w14:paraId="0462480D" w14:textId="43227B33" w:rsidR="00980582" w:rsidRDefault="6D3C5C2B" w:rsidP="00126A33">
      <w:pPr>
        <w:keepLines/>
      </w:pPr>
      <w:r>
        <w:t xml:space="preserve">The </w:t>
      </w:r>
      <w:r w:rsidR="37EDA066">
        <w:t>202</w:t>
      </w:r>
      <w:r w:rsidR="2A102520">
        <w:t>5</w:t>
      </w:r>
      <w:r w:rsidR="37EDA066">
        <w:t xml:space="preserve"> </w:t>
      </w:r>
      <w:r>
        <w:t xml:space="preserve">FSR presents a ten-year projection of expected </w:t>
      </w:r>
      <w:r w:rsidR="3CC11438">
        <w:t>S</w:t>
      </w:r>
      <w:r>
        <w:t>cheme</w:t>
      </w:r>
      <w:r w:rsidR="7BB31AD0">
        <w:t xml:space="preserve"> expenses</w:t>
      </w:r>
      <w:r>
        <w:t xml:space="preserve">. The projection </w:t>
      </w:r>
      <w:r w:rsidR="7F68162D">
        <w:t xml:space="preserve">has been developed in </w:t>
      </w:r>
      <w:r>
        <w:t xml:space="preserve">the </w:t>
      </w:r>
      <w:r w:rsidR="61DC1EC3">
        <w:t xml:space="preserve">Original </w:t>
      </w:r>
      <w:r w:rsidR="5D98405B">
        <w:t>C</w:t>
      </w:r>
      <w:r w:rsidR="010475AD">
        <w:t xml:space="preserve">ohort </w:t>
      </w:r>
      <w:r w:rsidR="1F59477E">
        <w:t>M</w:t>
      </w:r>
      <w:r w:rsidR="010475AD">
        <w:t>odel</w:t>
      </w:r>
      <w:r w:rsidR="590F3815">
        <w:t xml:space="preserve"> (OCM)</w:t>
      </w:r>
      <w:r w:rsidR="010475AD">
        <w:t xml:space="preserve">. The </w:t>
      </w:r>
      <w:r w:rsidR="57C6F47A">
        <w:t>OCM</w:t>
      </w:r>
      <w:r w:rsidR="010475AD">
        <w:t xml:space="preserve"> comprises an assumptions spreadsheet that is used by a SAS model to project the </w:t>
      </w:r>
      <w:r w:rsidR="3FC020E4">
        <w:t>S</w:t>
      </w:r>
      <w:r w:rsidR="010475AD">
        <w:t>cheme population and cash flows. These results are then formatted in spreadsheets</w:t>
      </w:r>
      <w:r w:rsidR="141EFEFF">
        <w:t xml:space="preserve">. In reviewing earlier projections, we have verified the accuracy of the SAS model, relative to the original spreadsheet models. We have performed </w:t>
      </w:r>
      <w:r w:rsidR="1B6ED4ED">
        <w:t>spot checks for consist</w:t>
      </w:r>
      <w:r w:rsidR="6B58A1E6">
        <w:t>e</w:t>
      </w:r>
      <w:r w:rsidR="1B6ED4ED">
        <w:t>ncy</w:t>
      </w:r>
      <w:r w:rsidR="2C40BAFD">
        <w:t xml:space="preserve"> during this review</w:t>
      </w:r>
      <w:r w:rsidR="010475AD">
        <w:t>.</w:t>
      </w:r>
    </w:p>
    <w:p w14:paraId="771158B4" w14:textId="70BAD3D9" w:rsidR="006169F9" w:rsidRPr="006169F9" w:rsidRDefault="006169F9" w:rsidP="006169F9">
      <w:pPr>
        <w:rPr>
          <w:rFonts w:eastAsia="Arial" w:cs="Arial"/>
          <w:color w:val="000000" w:themeColor="text1"/>
        </w:rPr>
      </w:pPr>
      <w:r w:rsidRPr="006169F9">
        <w:rPr>
          <w:rFonts w:eastAsia="Arial" w:cs="Arial"/>
          <w:color w:val="000000" w:themeColor="text1"/>
        </w:rPr>
        <w:t xml:space="preserve">The </w:t>
      </w:r>
      <w:r w:rsidR="00D85BF6">
        <w:rPr>
          <w:rFonts w:eastAsia="Arial" w:cs="Arial"/>
          <w:color w:val="000000" w:themeColor="text1"/>
        </w:rPr>
        <w:t xml:space="preserve">OCM </w:t>
      </w:r>
      <w:r w:rsidRPr="006169F9">
        <w:rPr>
          <w:rFonts w:eastAsia="Arial" w:cs="Arial"/>
          <w:color w:val="000000" w:themeColor="text1"/>
        </w:rPr>
        <w:t xml:space="preserve">projection methodology is broadly the same as that which was used </w:t>
      </w:r>
      <w:r w:rsidR="00D85BF6">
        <w:rPr>
          <w:rFonts w:eastAsia="Arial" w:cs="Arial"/>
          <w:color w:val="000000" w:themeColor="text1"/>
        </w:rPr>
        <w:t>for</w:t>
      </w:r>
      <w:r w:rsidRPr="006169F9">
        <w:rPr>
          <w:rFonts w:eastAsia="Arial" w:cs="Arial"/>
          <w:color w:val="000000" w:themeColor="text1"/>
        </w:rPr>
        <w:t xml:space="preserve"> the 2024 FSR. T</w:t>
      </w:r>
      <w:r>
        <w:rPr>
          <w:rFonts w:eastAsia="Arial" w:cs="Arial"/>
          <w:color w:val="000000" w:themeColor="text1"/>
        </w:rPr>
        <w:t>hree</w:t>
      </w:r>
      <w:r w:rsidRPr="006169F9">
        <w:rPr>
          <w:rFonts w:eastAsia="Arial" w:cs="Arial"/>
          <w:color w:val="000000" w:themeColor="text1"/>
        </w:rPr>
        <w:t xml:space="preserve"> key differences are:   </w:t>
      </w:r>
    </w:p>
    <w:p w14:paraId="6F84E4ED" w14:textId="56E1312D" w:rsidR="006169F9" w:rsidRPr="006169F9" w:rsidRDefault="00AD6695" w:rsidP="007240D2">
      <w:pPr>
        <w:numPr>
          <w:ilvl w:val="0"/>
          <w:numId w:val="44"/>
        </w:numPr>
        <w:spacing w:after="120"/>
        <w:ind w:left="714" w:hanging="357"/>
        <w:rPr>
          <w:rFonts w:eastAsia="Arial" w:cs="Arial"/>
          <w:color w:val="000000" w:themeColor="text1"/>
        </w:rPr>
      </w:pPr>
      <w:r>
        <w:rPr>
          <w:rFonts w:eastAsia="Arial" w:cs="Arial"/>
          <w:color w:val="000000" w:themeColor="text1"/>
        </w:rPr>
        <w:t>T</w:t>
      </w:r>
      <w:r w:rsidR="006169F9" w:rsidRPr="006169F9">
        <w:rPr>
          <w:rFonts w:eastAsia="Arial" w:cs="Arial"/>
          <w:color w:val="000000" w:themeColor="text1"/>
        </w:rPr>
        <w:t>he</w:t>
      </w:r>
      <w:r w:rsidR="009C3A23">
        <w:rPr>
          <w:rFonts w:eastAsia="Arial" w:cs="Arial"/>
          <w:color w:val="000000" w:themeColor="text1"/>
        </w:rPr>
        <w:t xml:space="preserve"> FSR presents </w:t>
      </w:r>
      <w:r w:rsidR="006169F9" w:rsidRPr="006169F9">
        <w:rPr>
          <w:rFonts w:eastAsia="Arial" w:cs="Arial"/>
          <w:color w:val="000000" w:themeColor="text1"/>
        </w:rPr>
        <w:t>a single projection</w:t>
      </w:r>
      <w:r w:rsidR="008E09BE">
        <w:rPr>
          <w:rFonts w:eastAsia="Arial" w:cs="Arial"/>
          <w:color w:val="000000" w:themeColor="text1"/>
        </w:rPr>
        <w:t xml:space="preserve"> </w:t>
      </w:r>
      <w:r w:rsidR="006169F9" w:rsidRPr="006169F9">
        <w:rPr>
          <w:rFonts w:eastAsia="Arial" w:cs="Arial"/>
          <w:color w:val="000000" w:themeColor="text1"/>
        </w:rPr>
        <w:t>allow</w:t>
      </w:r>
      <w:r w:rsidR="0073366E">
        <w:rPr>
          <w:rFonts w:eastAsia="Arial" w:cs="Arial"/>
          <w:color w:val="000000" w:themeColor="text1"/>
        </w:rPr>
        <w:t>ing</w:t>
      </w:r>
      <w:r w:rsidR="006169F9" w:rsidRPr="006169F9">
        <w:rPr>
          <w:rFonts w:eastAsia="Arial" w:cs="Arial"/>
          <w:color w:val="000000" w:themeColor="text1"/>
        </w:rPr>
        <w:t xml:space="preserve"> for the expected impact of </w:t>
      </w:r>
      <w:r w:rsidR="00625918">
        <w:rPr>
          <w:rFonts w:eastAsia="Arial" w:cs="Arial"/>
          <w:color w:val="000000" w:themeColor="text1"/>
        </w:rPr>
        <w:t>Scheme R</w:t>
      </w:r>
      <w:r w:rsidR="009B638C">
        <w:rPr>
          <w:rFonts w:eastAsia="Arial" w:cs="Arial"/>
          <w:color w:val="000000" w:themeColor="text1"/>
        </w:rPr>
        <w:t>eforms</w:t>
      </w:r>
      <w:r w:rsidR="006169F9" w:rsidRPr="006169F9">
        <w:rPr>
          <w:rFonts w:eastAsia="Arial" w:cs="Arial"/>
          <w:color w:val="000000" w:themeColor="text1"/>
        </w:rPr>
        <w:t xml:space="preserve">. The 2024 FSR provided projections both before (“initial June 2024”) and after (“final June 2024”) allowance </w:t>
      </w:r>
      <w:r w:rsidR="00B77691" w:rsidRPr="006169F9">
        <w:rPr>
          <w:rFonts w:eastAsia="Arial" w:cs="Arial"/>
          <w:color w:val="000000" w:themeColor="text1"/>
        </w:rPr>
        <w:t xml:space="preserve">for </w:t>
      </w:r>
      <w:r w:rsidR="00B77691">
        <w:rPr>
          <w:rFonts w:eastAsia="Arial" w:cs="Arial"/>
          <w:color w:val="000000" w:themeColor="text1"/>
        </w:rPr>
        <w:t>part</w:t>
      </w:r>
      <w:r w:rsidR="003D04ED">
        <w:rPr>
          <w:rFonts w:eastAsia="Arial" w:cs="Arial"/>
          <w:color w:val="000000" w:themeColor="text1"/>
        </w:rPr>
        <w:t xml:space="preserve"> </w:t>
      </w:r>
      <w:r w:rsidR="003A2F76">
        <w:rPr>
          <w:rFonts w:eastAsia="Arial" w:cs="Arial"/>
          <w:color w:val="000000" w:themeColor="text1"/>
        </w:rPr>
        <w:t>of these reforms</w:t>
      </w:r>
      <w:r w:rsidR="006F4E69">
        <w:rPr>
          <w:rStyle w:val="FootnoteReference"/>
          <w:rFonts w:eastAsia="Arial" w:cs="Arial"/>
          <w:i/>
          <w:iCs/>
          <w:color w:val="000000" w:themeColor="text1"/>
        </w:rPr>
        <w:footnoteReference w:id="3"/>
      </w:r>
      <w:r w:rsidR="00853D9E">
        <w:rPr>
          <w:rFonts w:eastAsia="Arial" w:cs="Arial"/>
          <w:color w:val="000000" w:themeColor="text1"/>
        </w:rPr>
        <w:t xml:space="preserve">. </w:t>
      </w:r>
      <w:r w:rsidR="00853D9E" w:rsidRPr="00F86F9E">
        <w:t xml:space="preserve">Commentary in this letter on changes </w:t>
      </w:r>
      <w:r w:rsidR="00853D9E">
        <w:t>to</w:t>
      </w:r>
      <w:r w:rsidR="00853D9E" w:rsidRPr="00F86F9E">
        <w:t xml:space="preserve"> projections </w:t>
      </w:r>
      <w:r w:rsidR="00853D9E">
        <w:t xml:space="preserve">generally </w:t>
      </w:r>
      <w:r w:rsidR="00853D9E" w:rsidRPr="00F86F9E">
        <w:t>refer</w:t>
      </w:r>
      <w:r w:rsidR="00853D9E">
        <w:t>s</w:t>
      </w:r>
      <w:r w:rsidR="00853D9E" w:rsidRPr="00F86F9E">
        <w:t xml:space="preserve"> to changes since the </w:t>
      </w:r>
      <w:r w:rsidR="00853D9E">
        <w:t xml:space="preserve">“final” </w:t>
      </w:r>
      <w:r w:rsidR="00853D9E" w:rsidRPr="00F86F9E">
        <w:t>2024 FSR projection</w:t>
      </w:r>
      <w:r w:rsidR="008E09BE">
        <w:t>.</w:t>
      </w:r>
      <w:r w:rsidR="00B40C5B" w:rsidRPr="00B40C5B">
        <w:t xml:space="preserve"> </w:t>
      </w:r>
      <w:r w:rsidR="00B40C5B">
        <w:t xml:space="preserve">Whilst it is not required, I believe that presenting a projection of the current trajectory of the Scheme and a projection after the effect of Scheme Reforms </w:t>
      </w:r>
      <w:r w:rsidR="00747E92">
        <w:t>can</w:t>
      </w:r>
      <w:r w:rsidR="00B40C5B">
        <w:t xml:space="preserve"> assist understanding of </w:t>
      </w:r>
      <w:r w:rsidR="00EA4A39">
        <w:t>the</w:t>
      </w:r>
      <w:r w:rsidR="00B40C5B">
        <w:t xml:space="preserve"> sustainability pressures faced by the </w:t>
      </w:r>
      <w:proofErr w:type="gramStart"/>
      <w:r w:rsidR="00B40C5B">
        <w:t>Scheme</w:t>
      </w:r>
      <w:r w:rsidR="00002091">
        <w:t>;</w:t>
      </w:r>
      <w:proofErr w:type="gramEnd"/>
    </w:p>
    <w:p w14:paraId="584F5BE5" w14:textId="46D1B270" w:rsidR="006169F9" w:rsidRDefault="00AD6695" w:rsidP="007240D2">
      <w:pPr>
        <w:numPr>
          <w:ilvl w:val="0"/>
          <w:numId w:val="45"/>
        </w:numPr>
        <w:spacing w:after="120"/>
        <w:ind w:left="714" w:hanging="357"/>
        <w:rPr>
          <w:rFonts w:eastAsia="Arial" w:cs="Arial"/>
          <w:color w:val="000000" w:themeColor="text1"/>
        </w:rPr>
      </w:pPr>
      <w:r>
        <w:rPr>
          <w:rFonts w:eastAsia="Arial" w:cs="Arial"/>
          <w:color w:val="000000" w:themeColor="text1"/>
        </w:rPr>
        <w:t>T</w:t>
      </w:r>
      <w:r w:rsidR="006169F9" w:rsidRPr="006169F9">
        <w:rPr>
          <w:rFonts w:eastAsia="Arial" w:cs="Arial"/>
          <w:color w:val="000000" w:themeColor="text1"/>
        </w:rPr>
        <w:t xml:space="preserve">he age bands modelled for children have changed slightly, with the Scheme Actuary now modelling ages 0-8 years and 9-14 years (previously 0-6 years and 7-14 years). This change was made to align the modelled age bands more closely with </w:t>
      </w:r>
      <w:r w:rsidR="00903F30">
        <w:rPr>
          <w:rFonts w:eastAsia="Arial" w:cs="Arial"/>
          <w:color w:val="000000" w:themeColor="text1"/>
        </w:rPr>
        <w:t xml:space="preserve">operational changes </w:t>
      </w:r>
      <w:r w:rsidR="007A7F10">
        <w:rPr>
          <w:rFonts w:eastAsia="Arial" w:cs="Arial"/>
          <w:color w:val="000000" w:themeColor="text1"/>
        </w:rPr>
        <w:t xml:space="preserve">for </w:t>
      </w:r>
      <w:r w:rsidR="00BA3CF8">
        <w:rPr>
          <w:rFonts w:eastAsia="Arial" w:cs="Arial"/>
          <w:color w:val="000000" w:themeColor="text1"/>
        </w:rPr>
        <w:t>children</w:t>
      </w:r>
      <w:r w:rsidR="00B40C5B">
        <w:rPr>
          <w:rFonts w:eastAsia="Arial" w:cs="Arial"/>
          <w:color w:val="000000" w:themeColor="text1"/>
        </w:rPr>
        <w:t xml:space="preserve">. Aligning modelling with </w:t>
      </w:r>
      <w:r w:rsidR="00BF30E1">
        <w:rPr>
          <w:rFonts w:eastAsia="Arial" w:cs="Arial"/>
          <w:color w:val="000000" w:themeColor="text1"/>
        </w:rPr>
        <w:t>operational requirements in the Scheme can help monitor actual and expected experience in a more meaningful manner</w:t>
      </w:r>
      <w:r w:rsidR="00AC09E5">
        <w:rPr>
          <w:rFonts w:eastAsia="Arial" w:cs="Arial"/>
          <w:color w:val="000000" w:themeColor="text1"/>
        </w:rPr>
        <w:t>; and</w:t>
      </w:r>
    </w:p>
    <w:p w14:paraId="73EA61BC" w14:textId="2062D987" w:rsidR="00AC09E5" w:rsidRPr="006169F9" w:rsidRDefault="00AD6695" w:rsidP="007240D2">
      <w:pPr>
        <w:numPr>
          <w:ilvl w:val="0"/>
          <w:numId w:val="45"/>
        </w:numPr>
        <w:spacing w:after="120"/>
        <w:ind w:left="714" w:hanging="357"/>
        <w:rPr>
          <w:rFonts w:eastAsia="Arial" w:cs="Arial"/>
          <w:color w:val="000000" w:themeColor="text1"/>
        </w:rPr>
      </w:pPr>
      <w:r>
        <w:rPr>
          <w:rFonts w:eastAsia="Arial" w:cs="Arial"/>
          <w:color w:val="000000" w:themeColor="text1"/>
        </w:rPr>
        <w:t>T</w:t>
      </w:r>
      <w:r w:rsidR="001371C6">
        <w:rPr>
          <w:rFonts w:eastAsia="Arial" w:cs="Arial"/>
          <w:color w:val="000000" w:themeColor="text1"/>
        </w:rPr>
        <w:t xml:space="preserve">he approach taken in this review was to model average committed supports </w:t>
      </w:r>
      <w:r w:rsidR="007A484D">
        <w:rPr>
          <w:rFonts w:eastAsia="Arial" w:cs="Arial"/>
          <w:color w:val="000000" w:themeColor="text1"/>
        </w:rPr>
        <w:t xml:space="preserve">(i.e. </w:t>
      </w:r>
      <w:r w:rsidR="00A73D1B">
        <w:rPr>
          <w:rFonts w:eastAsia="Arial" w:cs="Arial"/>
          <w:color w:val="000000" w:themeColor="text1"/>
        </w:rPr>
        <w:t>participant plans)</w:t>
      </w:r>
      <w:r w:rsidR="001371C6">
        <w:rPr>
          <w:rFonts w:eastAsia="Arial" w:cs="Arial"/>
          <w:color w:val="000000" w:themeColor="text1"/>
        </w:rPr>
        <w:t xml:space="preserve"> and utilisation rates (i.e. payments </w:t>
      </w:r>
      <w:r w:rsidR="002A4241">
        <w:rPr>
          <w:rFonts w:eastAsia="Arial" w:cs="Arial"/>
          <w:color w:val="000000" w:themeColor="text1"/>
        </w:rPr>
        <w:t>as a percentage of</w:t>
      </w:r>
      <w:r w:rsidR="001371C6">
        <w:rPr>
          <w:rFonts w:eastAsia="Arial" w:cs="Arial"/>
          <w:color w:val="000000" w:themeColor="text1"/>
        </w:rPr>
        <w:t xml:space="preserve"> committed supports) separately</w:t>
      </w:r>
      <w:r w:rsidR="00DE5D06">
        <w:rPr>
          <w:rFonts w:eastAsia="Arial" w:cs="Arial"/>
          <w:color w:val="000000" w:themeColor="text1"/>
        </w:rPr>
        <w:t>,</w:t>
      </w:r>
      <w:r w:rsidR="00DE5D06" w:rsidRPr="00DE5D06">
        <w:t xml:space="preserve"> </w:t>
      </w:r>
      <w:r w:rsidR="00DE5D06" w:rsidRPr="00DE5D06">
        <w:rPr>
          <w:rFonts w:eastAsia="Arial" w:cs="Arial"/>
          <w:color w:val="000000" w:themeColor="text1"/>
        </w:rPr>
        <w:t>with the combination of these two metrics result in average payments per participant</w:t>
      </w:r>
      <w:r w:rsidR="00DE5D06">
        <w:rPr>
          <w:rFonts w:eastAsia="Arial" w:cs="Arial"/>
          <w:color w:val="000000" w:themeColor="text1"/>
        </w:rPr>
        <w:t xml:space="preserve"> (p</w:t>
      </w:r>
      <w:r w:rsidR="00AC09E5">
        <w:rPr>
          <w:rFonts w:eastAsia="Arial" w:cs="Arial"/>
          <w:color w:val="000000" w:themeColor="text1"/>
        </w:rPr>
        <w:t xml:space="preserve">reviously the Scheme </w:t>
      </w:r>
      <w:r w:rsidR="00DE5D06">
        <w:rPr>
          <w:rFonts w:eastAsia="Arial" w:cs="Arial"/>
          <w:color w:val="000000" w:themeColor="text1"/>
        </w:rPr>
        <w:t>A</w:t>
      </w:r>
      <w:r w:rsidR="00AC09E5">
        <w:rPr>
          <w:rFonts w:eastAsia="Arial" w:cs="Arial"/>
          <w:color w:val="000000" w:themeColor="text1"/>
        </w:rPr>
        <w:t xml:space="preserve">ctuary modelled </w:t>
      </w:r>
      <w:r w:rsidR="0077508A">
        <w:rPr>
          <w:rFonts w:eastAsia="Arial" w:cs="Arial"/>
          <w:color w:val="000000" w:themeColor="text1"/>
        </w:rPr>
        <w:t>average payments per participant</w:t>
      </w:r>
      <w:r w:rsidR="00DE5D06">
        <w:rPr>
          <w:rFonts w:eastAsia="Arial" w:cs="Arial"/>
          <w:color w:val="000000" w:themeColor="text1"/>
        </w:rPr>
        <w:t xml:space="preserve"> directly)</w:t>
      </w:r>
      <w:r w:rsidR="0077508A">
        <w:rPr>
          <w:rFonts w:eastAsia="Arial" w:cs="Arial"/>
          <w:color w:val="000000" w:themeColor="text1"/>
        </w:rPr>
        <w:t>.</w:t>
      </w:r>
      <w:r w:rsidR="006F1A17">
        <w:rPr>
          <w:rFonts w:eastAsia="Arial" w:cs="Arial"/>
          <w:color w:val="000000" w:themeColor="text1"/>
        </w:rPr>
        <w:t xml:space="preserve"> This change was made to enable </w:t>
      </w:r>
      <w:r w:rsidR="00AF2B31" w:rsidRPr="00AF2B31">
        <w:rPr>
          <w:rFonts w:eastAsia="Arial" w:cs="Arial"/>
          <w:color w:val="000000" w:themeColor="text1"/>
        </w:rPr>
        <w:t>more explicit modelling of the impacts of plan inflation and utilisation</w:t>
      </w:r>
      <w:r w:rsidR="009E614D">
        <w:rPr>
          <w:rFonts w:eastAsia="Arial" w:cs="Arial"/>
          <w:color w:val="000000" w:themeColor="text1"/>
        </w:rPr>
        <w:t>,</w:t>
      </w:r>
      <w:r w:rsidR="00AF2B31" w:rsidRPr="00AF2B31">
        <w:rPr>
          <w:rFonts w:eastAsia="Arial" w:cs="Arial"/>
          <w:color w:val="000000" w:themeColor="text1"/>
        </w:rPr>
        <w:t xml:space="preserve"> and a better understanding of the projected committed supports and utilisation separately.</w:t>
      </w:r>
      <w:r w:rsidR="001B7ED2">
        <w:rPr>
          <w:rFonts w:eastAsia="Arial" w:cs="Arial"/>
          <w:color w:val="000000" w:themeColor="text1"/>
        </w:rPr>
        <w:t xml:space="preserve"> I support this change.</w:t>
      </w:r>
    </w:p>
    <w:p w14:paraId="42814396" w14:textId="77777777" w:rsidR="007D330A" w:rsidRDefault="007D330A" w:rsidP="007D330A">
      <w:pPr>
        <w:pStyle w:val="Heading4"/>
      </w:pPr>
      <w:r>
        <w:t>Plan Reassessment Model</w:t>
      </w:r>
    </w:p>
    <w:p w14:paraId="55121800" w14:textId="77777777" w:rsidR="0050577A" w:rsidRDefault="0046647F" w:rsidP="0046647F">
      <w:r>
        <w:t xml:space="preserve">The Plan Reassessment Model </w:t>
      </w:r>
      <w:r w:rsidR="00802D56">
        <w:t xml:space="preserve">(PRM) </w:t>
      </w:r>
      <w:r>
        <w:t>is a new model developed by the Agency in 2024-25. It is being used in the FSR for the first time this year.</w:t>
      </w:r>
      <w:r w:rsidRPr="004B6E62">
        <w:t xml:space="preserve"> </w:t>
      </w:r>
    </w:p>
    <w:p w14:paraId="1FB3E926" w14:textId="1ADD1496" w:rsidR="0046647F" w:rsidRDefault="0046647F" w:rsidP="0046647F">
      <w:r>
        <w:t xml:space="preserve">The PRM </w:t>
      </w:r>
      <w:r w:rsidR="00ED2FF1">
        <w:t>projects</w:t>
      </w:r>
      <w:r>
        <w:t xml:space="preserve"> </w:t>
      </w:r>
      <w:r w:rsidR="00D3445E">
        <w:t xml:space="preserve">resourcing levels </w:t>
      </w:r>
      <w:r w:rsidR="00310D33">
        <w:t xml:space="preserve">for Agency activities, in particular </w:t>
      </w:r>
      <w:r>
        <w:t xml:space="preserve">plan reassessment processes </w:t>
      </w:r>
      <w:r w:rsidR="00CC6873" w:rsidRPr="00CC6873">
        <w:t>(i.e. volume and inflation outcomes by type of plan reassessment</w:t>
      </w:r>
      <w:r w:rsidR="00D3445E">
        <w:t>, including new entrants</w:t>
      </w:r>
      <w:r w:rsidR="00CC6873" w:rsidRPr="00CC6873">
        <w:t>)</w:t>
      </w:r>
      <w:r w:rsidR="000E33C2">
        <w:t>,</w:t>
      </w:r>
      <w:r w:rsidR="00926131">
        <w:t xml:space="preserve"> by month</w:t>
      </w:r>
      <w:r w:rsidR="000E33C2">
        <w:t>,</w:t>
      </w:r>
      <w:r w:rsidR="00926131">
        <w:t xml:space="preserve"> for two years. </w:t>
      </w:r>
      <w:r w:rsidR="00242597">
        <w:t xml:space="preserve">The PRM provides </w:t>
      </w:r>
      <w:r w:rsidR="00B2338D">
        <w:t>some additional</w:t>
      </w:r>
      <w:r w:rsidR="00D3445E">
        <w:t xml:space="preserve"> </w:t>
      </w:r>
      <w:r>
        <w:t xml:space="preserve">detail </w:t>
      </w:r>
      <w:r w:rsidR="005D4DF8">
        <w:t xml:space="preserve">compared </w:t>
      </w:r>
      <w:r w:rsidR="00FB3D36">
        <w:t>to</w:t>
      </w:r>
      <w:r w:rsidR="005D4DF8">
        <w:t xml:space="preserve"> </w:t>
      </w:r>
      <w:r>
        <w:t xml:space="preserve">the OCM. However, it does not </w:t>
      </w:r>
      <w:r>
        <w:lastRenderedPageBreak/>
        <w:t>model participant demographics</w:t>
      </w:r>
      <w:r w:rsidR="00802D56">
        <w:t xml:space="preserve">; </w:t>
      </w:r>
      <w:r>
        <w:t xml:space="preserve">participants are modelled as a single group rather than by disability type, level of function, </w:t>
      </w:r>
      <w:r w:rsidR="00080C8F">
        <w:t xml:space="preserve">age, </w:t>
      </w:r>
      <w:r>
        <w:t>etc.</w:t>
      </w:r>
    </w:p>
    <w:p w14:paraId="25206A8E" w14:textId="322F99DC" w:rsidR="007424E0" w:rsidRDefault="007424E0" w:rsidP="0046647F">
      <w:r>
        <w:t xml:space="preserve">The </w:t>
      </w:r>
      <w:r w:rsidR="001B7D6B">
        <w:t>PRM is not yet mature. As such, I have not been able to fully review this model in the</w:t>
      </w:r>
      <w:r w:rsidR="00975ACF">
        <w:t xml:space="preserve"> time available. Whilst I have not checked the detail of this mode</w:t>
      </w:r>
      <w:r w:rsidR="00C60E77">
        <w:t>l</w:t>
      </w:r>
      <w:r w:rsidR="00975ACF">
        <w:t xml:space="preserve">, </w:t>
      </w:r>
      <w:r w:rsidR="0044091A">
        <w:t xml:space="preserve">I note that the participant numbers </w:t>
      </w:r>
      <w:r w:rsidR="00E91056">
        <w:t xml:space="preserve">(including assumed numbers of new entrants and exits) </w:t>
      </w:r>
      <w:r w:rsidR="0044091A">
        <w:t>are consistent with those in the OCM.</w:t>
      </w:r>
    </w:p>
    <w:p w14:paraId="4E8187E2" w14:textId="4E427226" w:rsidR="00B57953" w:rsidRPr="00997B85" w:rsidRDefault="00B57953" w:rsidP="00B57953">
      <w:pPr>
        <w:pStyle w:val="Heading4"/>
      </w:pPr>
      <w:r w:rsidRPr="00997B85">
        <w:t xml:space="preserve">Interaction </w:t>
      </w:r>
      <w:r>
        <w:t>between</w:t>
      </w:r>
      <w:r w:rsidRPr="00997B85">
        <w:t xml:space="preserve"> the </w:t>
      </w:r>
      <w:r>
        <w:t>OCM and PRM</w:t>
      </w:r>
    </w:p>
    <w:p w14:paraId="5D9F6139" w14:textId="28E59F62" w:rsidR="00284AFF" w:rsidRDefault="00284AFF" w:rsidP="00284AFF">
      <w:r>
        <w:t>There are complex interdependencies between the OCM and the PRM:</w:t>
      </w:r>
    </w:p>
    <w:p w14:paraId="4661A3CB" w14:textId="1D685EF0" w:rsidR="00284AFF" w:rsidRDefault="00284AFF" w:rsidP="00AE4A2C">
      <w:pPr>
        <w:pStyle w:val="Bullet"/>
        <w:spacing w:after="120"/>
      </w:pPr>
      <w:r>
        <w:t xml:space="preserve">New entrants and exits are modelled in the OCM, and the PRM </w:t>
      </w:r>
      <w:r w:rsidR="0068464F">
        <w:t xml:space="preserve">is </w:t>
      </w:r>
      <w:r>
        <w:t xml:space="preserve">calibrated to achieve the same numbers of participant </w:t>
      </w:r>
      <w:proofErr w:type="gramStart"/>
      <w:r>
        <w:t>movements;</w:t>
      </w:r>
      <w:proofErr w:type="gramEnd"/>
    </w:p>
    <w:p w14:paraId="2AD585A7" w14:textId="3281CC20" w:rsidR="00284AFF" w:rsidRDefault="00895633" w:rsidP="00AE4A2C">
      <w:pPr>
        <w:pStyle w:val="Bullet"/>
        <w:spacing w:after="120"/>
      </w:pPr>
      <w:r w:rsidRPr="00895633">
        <w:t xml:space="preserve">Average committed supports for new entrants and exits in the PRM are based on the starting average committed supports in the </w:t>
      </w:r>
      <w:proofErr w:type="gramStart"/>
      <w:r w:rsidRPr="00895633">
        <w:t>OCM</w:t>
      </w:r>
      <w:r w:rsidR="00284AFF">
        <w:t>;</w:t>
      </w:r>
      <w:proofErr w:type="gramEnd"/>
    </w:p>
    <w:p w14:paraId="5C752884" w14:textId="38C4B19F" w:rsidR="00284AFF" w:rsidRDefault="00284AFF" w:rsidP="00AE4A2C">
      <w:pPr>
        <w:pStyle w:val="Bullet"/>
        <w:spacing w:after="120"/>
      </w:pPr>
      <w:r>
        <w:t>Plan inflation and utilisation are modelled in the PRM, including the expected impacts of Scheme Reforms</w:t>
      </w:r>
      <w:r w:rsidR="0045193E">
        <w:t>.</w:t>
      </w:r>
    </w:p>
    <w:p w14:paraId="54041153" w14:textId="47AB2F2C" w:rsidR="0046647F" w:rsidRDefault="0046647F" w:rsidP="0046647F">
      <w:r>
        <w:t>For the 2025</w:t>
      </w:r>
      <w:r w:rsidR="00B10484">
        <w:t xml:space="preserve"> </w:t>
      </w:r>
      <w:r w:rsidR="00710BF0">
        <w:t>FSR</w:t>
      </w:r>
      <w:r>
        <w:t>, the Scheme Actuary has adopted</w:t>
      </w:r>
      <w:r w:rsidR="00B10484">
        <w:t xml:space="preserve"> the</w:t>
      </w:r>
      <w:r>
        <w:t xml:space="preserve"> projected payments from the PRM for the 2025-26 and 2026-27 </w:t>
      </w:r>
      <w:r w:rsidR="00B10484">
        <w:t xml:space="preserve">projection </w:t>
      </w:r>
      <w:r>
        <w:t xml:space="preserve">years. This is based on the view that the </w:t>
      </w:r>
      <w:r w:rsidR="00D3445E">
        <w:t xml:space="preserve">resourcing levels and </w:t>
      </w:r>
      <w:r>
        <w:t>plan reassessment processes that are modelled in the PRM are more important drivers of cost than demographics</w:t>
      </w:r>
      <w:r w:rsidR="003B6F60">
        <w:t xml:space="preserve"> in these years</w:t>
      </w:r>
      <w:r>
        <w:t>. This is achieved by calibrating the OCM model such that it produces the same total payments as the PRM for these two projection years.</w:t>
      </w:r>
    </w:p>
    <w:p w14:paraId="03449884" w14:textId="6DF4DAAC" w:rsidR="0046647F" w:rsidRDefault="0046647F" w:rsidP="0046647F">
      <w:r>
        <w:t xml:space="preserve">For 2027-28 and later years, the Scheme Actuary has adopted projected payments from the OCM, as demographic changes become increasingly important drivers of cost. </w:t>
      </w:r>
      <w:r w:rsidR="003E456E">
        <w:t xml:space="preserve">Importantly, the </w:t>
      </w:r>
      <w:r w:rsidR="009B0A63">
        <w:t>plan</w:t>
      </w:r>
      <w:r w:rsidR="003E456E">
        <w:t xml:space="preserve"> growth assumptions used in the OCM </w:t>
      </w:r>
      <w:r w:rsidR="009B0A63">
        <w:t xml:space="preserve">for these projection years are </w:t>
      </w:r>
      <w:r w:rsidR="00BD4A23">
        <w:t>based on</w:t>
      </w:r>
      <w:r w:rsidR="009B0A63">
        <w:t xml:space="preserve"> the plan growth assumption </w:t>
      </w:r>
      <w:r w:rsidR="001633BD">
        <w:t>implied by the PRM model.</w:t>
      </w:r>
      <w:r w:rsidR="009B0A63">
        <w:t xml:space="preserve"> </w:t>
      </w:r>
    </w:p>
    <w:p w14:paraId="501A15D4" w14:textId="2F777411" w:rsidR="008A2910" w:rsidRDefault="006B0F72" w:rsidP="0046647F">
      <w:r>
        <w:t xml:space="preserve">While I </w:t>
      </w:r>
      <w:r w:rsidR="00536E61">
        <w:t xml:space="preserve">commend the development of the PRM, </w:t>
      </w:r>
      <w:r w:rsidR="00C82B00">
        <w:t>t</w:t>
      </w:r>
      <w:r w:rsidR="00A44E90">
        <w:t xml:space="preserve">he </w:t>
      </w:r>
      <w:r w:rsidR="0007251F">
        <w:t xml:space="preserve">immaturity of the model combined with </w:t>
      </w:r>
      <w:r w:rsidR="00C219D6">
        <w:t>the</w:t>
      </w:r>
      <w:r w:rsidR="00A44E90">
        <w:t xml:space="preserve"> interdependencies</w:t>
      </w:r>
      <w:r w:rsidR="00624CB1">
        <w:t xml:space="preserve"> and calibrations </w:t>
      </w:r>
      <w:r w:rsidR="00C219D6">
        <w:t>with the OCM</w:t>
      </w:r>
      <w:r w:rsidR="00A44E90">
        <w:t xml:space="preserve"> </w:t>
      </w:r>
      <w:r w:rsidR="00FA3611">
        <w:t xml:space="preserve">add complexity to </w:t>
      </w:r>
      <w:r w:rsidR="007A5EED">
        <w:t xml:space="preserve">the </w:t>
      </w:r>
      <w:r w:rsidR="00934700">
        <w:t>projections</w:t>
      </w:r>
      <w:r w:rsidR="00E5698A">
        <w:t>.</w:t>
      </w:r>
      <w:r w:rsidR="00177645">
        <w:t xml:space="preserve"> </w:t>
      </w:r>
      <w:r w:rsidR="009F22F7">
        <w:t xml:space="preserve">Model proliferation, whilst necessary at this time due to limitations of the OCM, raises risks </w:t>
      </w:r>
      <w:r w:rsidR="00410A96">
        <w:t xml:space="preserve">in </w:t>
      </w:r>
      <w:r w:rsidR="009F22F7">
        <w:t>the actuarial process that will need to be addressed</w:t>
      </w:r>
      <w:r w:rsidR="00185989">
        <w:t xml:space="preserve"> at some point. More flexible model</w:t>
      </w:r>
      <w:r w:rsidR="005B394A">
        <w:t>s</w:t>
      </w:r>
      <w:r w:rsidR="00A4198B">
        <w:t>, perhaps project</w:t>
      </w:r>
      <w:r w:rsidR="00370FE7">
        <w:t>ing</w:t>
      </w:r>
      <w:r w:rsidR="00A4198B">
        <w:t xml:space="preserve"> participants individually, may</w:t>
      </w:r>
      <w:r w:rsidR="004A399A">
        <w:t xml:space="preserve"> need to be considered as a way of consolidating</w:t>
      </w:r>
      <w:r w:rsidR="005E483F">
        <w:t xml:space="preserve"> projection tools.</w:t>
      </w:r>
    </w:p>
    <w:p w14:paraId="6C47F9D8" w14:textId="6399DC49" w:rsidR="00CC21F8" w:rsidRDefault="00CC21F8" w:rsidP="00CC21F8">
      <w:pPr>
        <w:pStyle w:val="Heading4"/>
      </w:pPr>
      <w:r>
        <w:t>Microsimulation Model</w:t>
      </w:r>
    </w:p>
    <w:p w14:paraId="7FE4152B" w14:textId="6E46895A" w:rsidR="008F7D09" w:rsidRDefault="00CC21F8" w:rsidP="00CC21F8">
      <w:r>
        <w:t xml:space="preserve">The Scheme Actuary has been developing the </w:t>
      </w:r>
      <w:r w:rsidR="005D7C77">
        <w:t>microsimulation model (</w:t>
      </w:r>
      <w:r>
        <w:t>MSM</w:t>
      </w:r>
      <w:r w:rsidR="005D7C77">
        <w:t>)</w:t>
      </w:r>
      <w:r>
        <w:t xml:space="preserve"> over the last two years</w:t>
      </w:r>
      <w:proofErr w:type="gramStart"/>
      <w:r>
        <w:t xml:space="preserve">.  </w:t>
      </w:r>
      <w:proofErr w:type="gramEnd"/>
      <w:r w:rsidR="00273529">
        <w:t xml:space="preserve">This model </w:t>
      </w:r>
      <w:r w:rsidR="003702E9" w:rsidRPr="003702E9">
        <w:t>simulates the pathways of current and future NDIS participants at an individual level, modelling the evolution of participant attributes and payments</w:t>
      </w:r>
      <w:r w:rsidR="002D29E0">
        <w:t>.</w:t>
      </w:r>
      <w:r w:rsidR="006316B2">
        <w:t xml:space="preserve"> </w:t>
      </w:r>
      <w:r w:rsidR="00274CE5">
        <w:t>T</w:t>
      </w:r>
      <w:r w:rsidR="006316B2">
        <w:t xml:space="preserve">he MSM </w:t>
      </w:r>
      <w:r w:rsidR="00103791">
        <w:t>provides a complimentary forecast</w:t>
      </w:r>
      <w:r w:rsidR="00274CE5">
        <w:t>. I</w:t>
      </w:r>
      <w:r w:rsidR="00103791">
        <w:t xml:space="preserve">t </w:t>
      </w:r>
      <w:r w:rsidR="006316B2">
        <w:t>has not been relied on for the 2025 FSR.</w:t>
      </w:r>
    </w:p>
    <w:p w14:paraId="21A02541" w14:textId="4C00D8E2" w:rsidR="00CC21F8" w:rsidRDefault="00CC21F8" w:rsidP="00CC21F8">
      <w:r>
        <w:t>I am</w:t>
      </w:r>
      <w:r w:rsidRPr="00B364E5">
        <w:t xml:space="preserve"> review</w:t>
      </w:r>
      <w:r>
        <w:t>ing</w:t>
      </w:r>
      <w:r w:rsidRPr="00B364E5">
        <w:t xml:space="preserve"> th</w:t>
      </w:r>
      <w:r>
        <w:t xml:space="preserve">e MSM </w:t>
      </w:r>
      <w:r w:rsidRPr="00B364E5">
        <w:t xml:space="preserve">and </w:t>
      </w:r>
      <w:r>
        <w:t xml:space="preserve">will </w:t>
      </w:r>
      <w:r w:rsidRPr="00B364E5">
        <w:t xml:space="preserve">provide </w:t>
      </w:r>
      <w:r w:rsidR="00617CBD">
        <w:t xml:space="preserve">this </w:t>
      </w:r>
      <w:r w:rsidRPr="00B364E5">
        <w:t xml:space="preserve">advice to the Scheme Actuary. I regard the ongoing enhancement and use of the MSM as a healthy development to the actuarial management of the Scheme. I encourage the Scheme Actuary to continue the development of the MSM as </w:t>
      </w:r>
      <w:r>
        <w:t xml:space="preserve">it can provide contrasting insights into the Scheme experience compared with </w:t>
      </w:r>
      <w:r w:rsidRPr="00B364E5">
        <w:t>the OCM</w:t>
      </w:r>
      <w:proofErr w:type="gramStart"/>
      <w:r w:rsidRPr="00B364E5">
        <w:t xml:space="preserve">.  </w:t>
      </w:r>
      <w:proofErr w:type="gramEnd"/>
    </w:p>
    <w:p w14:paraId="2128FCE3" w14:textId="4FDD6B1A" w:rsidR="009E1CEC" w:rsidRPr="00ED625B" w:rsidRDefault="007E570F" w:rsidP="009E1CEC">
      <w:pPr>
        <w:pStyle w:val="Heading2"/>
      </w:pPr>
      <w:r w:rsidRPr="00ED625B">
        <w:lastRenderedPageBreak/>
        <w:t>Projection of Scheme expenses</w:t>
      </w:r>
    </w:p>
    <w:p w14:paraId="765C43F6" w14:textId="5C1DF9F1" w:rsidR="00D041CE" w:rsidRPr="006E4048" w:rsidRDefault="00D041CE" w:rsidP="00D041CE">
      <w:pPr>
        <w:pStyle w:val="Heading3"/>
      </w:pPr>
      <w:r w:rsidRPr="006E4048">
        <w:t>Comment on key population assumptions</w:t>
      </w:r>
    </w:p>
    <w:p w14:paraId="4CA81E3E" w14:textId="4A63FC3A" w:rsidR="00D041CE" w:rsidRPr="006D73D3" w:rsidRDefault="00D041CE" w:rsidP="001F00FC">
      <w:pPr>
        <w:pStyle w:val="Heading4"/>
        <w:rPr>
          <w:highlight w:val="yellow"/>
        </w:rPr>
      </w:pPr>
      <w:r w:rsidRPr="006E4048">
        <w:t>Starting population</w:t>
      </w:r>
    </w:p>
    <w:p w14:paraId="3D8701BF" w14:textId="5D2326C7" w:rsidR="00D16A10" w:rsidRPr="00680BF8" w:rsidRDefault="00DB6D75" w:rsidP="00D041CE">
      <w:pPr>
        <w:spacing w:after="320"/>
      </w:pPr>
      <w:r w:rsidRPr="00680BF8">
        <w:t xml:space="preserve">The </w:t>
      </w:r>
      <w:r w:rsidR="00C06B0A" w:rsidRPr="00680BF8">
        <w:t>starting</w:t>
      </w:r>
      <w:r w:rsidRPr="00680BF8">
        <w:t xml:space="preserve"> population </w:t>
      </w:r>
      <w:r w:rsidR="00243FCC" w:rsidRPr="00680BF8">
        <w:t xml:space="preserve">is </w:t>
      </w:r>
      <w:r w:rsidRPr="00680BF8">
        <w:t xml:space="preserve">the </w:t>
      </w:r>
      <w:r w:rsidR="00800324" w:rsidRPr="00680BF8">
        <w:t xml:space="preserve">actual </w:t>
      </w:r>
      <w:r w:rsidR="0AC93A97" w:rsidRPr="00680BF8">
        <w:t>S</w:t>
      </w:r>
      <w:r w:rsidR="00860355" w:rsidRPr="00680BF8">
        <w:t xml:space="preserve">cheme </w:t>
      </w:r>
      <w:r w:rsidR="00800324" w:rsidRPr="00680BF8">
        <w:t xml:space="preserve">population </w:t>
      </w:r>
      <w:r w:rsidR="00CE7DB3" w:rsidRPr="00680BF8">
        <w:t>on</w:t>
      </w:r>
      <w:r w:rsidR="00800324" w:rsidRPr="00680BF8">
        <w:t xml:space="preserve"> 30 June 202</w:t>
      </w:r>
      <w:r w:rsidR="00ED625B" w:rsidRPr="00680BF8">
        <w:t>5</w:t>
      </w:r>
      <w:r w:rsidR="00800324" w:rsidRPr="00680BF8">
        <w:t xml:space="preserve">. </w:t>
      </w:r>
      <w:r w:rsidR="00DB7FA8" w:rsidRPr="00680BF8">
        <w:t>Th</w:t>
      </w:r>
      <w:r w:rsidR="00704B0D" w:rsidRPr="00680BF8">
        <w:t>e</w:t>
      </w:r>
      <w:r w:rsidR="00DB7FA8" w:rsidRPr="00680BF8">
        <w:t xml:space="preserve"> </w:t>
      </w:r>
      <w:r w:rsidR="00C13244" w:rsidRPr="00680BF8">
        <w:t xml:space="preserve">starting population of </w:t>
      </w:r>
      <w:r w:rsidR="00AC2FAB" w:rsidRPr="00680BF8">
        <w:t>739,414</w:t>
      </w:r>
      <w:r w:rsidR="00E97332" w:rsidRPr="00680BF8">
        <w:t xml:space="preserve"> </w:t>
      </w:r>
      <w:r w:rsidR="00D16A10" w:rsidRPr="00680BF8">
        <w:t xml:space="preserve">is </w:t>
      </w:r>
      <w:r w:rsidR="00915253" w:rsidRPr="00680BF8">
        <w:t>2.5</w:t>
      </w:r>
      <w:r w:rsidR="00D16A10" w:rsidRPr="00680BF8">
        <w:t xml:space="preserve">% </w:t>
      </w:r>
      <w:r w:rsidR="00915253" w:rsidRPr="00680BF8">
        <w:t>(</w:t>
      </w:r>
      <w:r w:rsidR="00680BF8" w:rsidRPr="00680BF8">
        <w:t xml:space="preserve">17,830) </w:t>
      </w:r>
      <w:r w:rsidR="00915253" w:rsidRPr="00680BF8">
        <w:t>higher</w:t>
      </w:r>
      <w:r w:rsidR="001C1FBF" w:rsidRPr="00680BF8">
        <w:t xml:space="preserve"> </w:t>
      </w:r>
      <w:r w:rsidR="00DB7FA8" w:rsidRPr="00680BF8">
        <w:t xml:space="preserve">than </w:t>
      </w:r>
      <w:r w:rsidR="00D16A10" w:rsidRPr="00680BF8">
        <w:t xml:space="preserve">the population that was </w:t>
      </w:r>
      <w:r w:rsidR="00DB7FA8" w:rsidRPr="00680BF8">
        <w:t>expected in the June 202</w:t>
      </w:r>
      <w:r w:rsidR="00785B01" w:rsidRPr="00680BF8">
        <w:t>4</w:t>
      </w:r>
      <w:r w:rsidR="00DB7FA8" w:rsidRPr="00680BF8">
        <w:t xml:space="preserve"> FSR</w:t>
      </w:r>
      <w:r w:rsidR="00993EF6" w:rsidRPr="00680BF8">
        <w:t xml:space="preserve">. </w:t>
      </w:r>
    </w:p>
    <w:p w14:paraId="67961505" w14:textId="222BB829" w:rsidR="0024139F" w:rsidRDefault="009B44E0" w:rsidP="001F00FC">
      <w:pPr>
        <w:pStyle w:val="Heading4"/>
      </w:pPr>
      <w:r>
        <w:t>Impact</w:t>
      </w:r>
      <w:r w:rsidR="009F531E">
        <w:t>s</w:t>
      </w:r>
      <w:r>
        <w:t xml:space="preserve"> of </w:t>
      </w:r>
      <w:r w:rsidR="00D621CF">
        <w:t>PACE/</w:t>
      </w:r>
      <w:r>
        <w:t>Processing Capacity</w:t>
      </w:r>
    </w:p>
    <w:p w14:paraId="07CD9EDB" w14:textId="3C6210B7" w:rsidR="00704686" w:rsidRDefault="00D41CD8" w:rsidP="00D41CD8">
      <w:r>
        <w:t xml:space="preserve">For this FSR, the Scheme Actuary </w:t>
      </w:r>
      <w:r w:rsidR="00AE1A91">
        <w:t xml:space="preserve">has </w:t>
      </w:r>
      <w:proofErr w:type="gramStart"/>
      <w:r w:rsidR="00AE1A91">
        <w:t>taken into account</w:t>
      </w:r>
      <w:proofErr w:type="gramEnd"/>
      <w:r w:rsidR="00AE1A91">
        <w:t xml:space="preserve"> the numbers of participants </w:t>
      </w:r>
      <w:r w:rsidR="008108D4">
        <w:t xml:space="preserve">at </w:t>
      </w:r>
      <w:r w:rsidR="00D61FDA">
        <w:t>various</w:t>
      </w:r>
      <w:r w:rsidR="008108D4">
        <w:t xml:space="preserve"> touchpoints in the process of being either admitted to the Scheme </w:t>
      </w:r>
      <w:r w:rsidR="00D61FDA">
        <w:t xml:space="preserve">or </w:t>
      </w:r>
      <w:r w:rsidR="00F47017">
        <w:t xml:space="preserve">leaving </w:t>
      </w:r>
      <w:r w:rsidR="00D61FDA">
        <w:t xml:space="preserve">the Scheme. </w:t>
      </w:r>
      <w:r w:rsidR="00704686">
        <w:t xml:space="preserve">Virtual “queues” of participants </w:t>
      </w:r>
      <w:r w:rsidR="006B58CD">
        <w:t xml:space="preserve">have </w:t>
      </w:r>
      <w:r w:rsidR="00704686">
        <w:t>form</w:t>
      </w:r>
      <w:r w:rsidR="006B58CD">
        <w:t>ed over the last two years due to the impacts of the new PACE system and processing constraints</w:t>
      </w:r>
      <w:r w:rsidR="00704686">
        <w:t>:</w:t>
      </w:r>
    </w:p>
    <w:p w14:paraId="46617A61" w14:textId="301AD669" w:rsidR="00122C94" w:rsidRDefault="00901895" w:rsidP="007240D2">
      <w:pPr>
        <w:pStyle w:val="Bullet"/>
        <w:spacing w:after="120"/>
      </w:pPr>
      <w:r>
        <w:t xml:space="preserve">After an applicant to the Scheme has submitted their application, </w:t>
      </w:r>
      <w:r w:rsidR="00130EF9">
        <w:t xml:space="preserve">their </w:t>
      </w:r>
      <w:r w:rsidR="00722F9F">
        <w:t xml:space="preserve">access request needs to be validated. At </w:t>
      </w:r>
      <w:r w:rsidR="00E67385">
        <w:t xml:space="preserve">June </w:t>
      </w:r>
      <w:r w:rsidR="004D638C">
        <w:t>2024, there were around 22,000 access requests awaiting validation</w:t>
      </w:r>
      <w:r w:rsidR="00D41D34">
        <w:t>, much higher than the usual level</w:t>
      </w:r>
      <w:r w:rsidR="004D638C">
        <w:t xml:space="preserve">. </w:t>
      </w:r>
      <w:r w:rsidR="00072FB7">
        <w:t xml:space="preserve">This large queue </w:t>
      </w:r>
      <w:r w:rsidR="002F7787">
        <w:t xml:space="preserve">was cleared over the latter half of 2024 and </w:t>
      </w:r>
      <w:r w:rsidR="00A838FE" w:rsidRPr="005D3F76">
        <w:t>on</w:t>
      </w:r>
      <w:r w:rsidR="002F7787">
        <w:t xml:space="preserve"> 31 May 2025 there were 1,600 </w:t>
      </w:r>
      <w:r w:rsidR="00122C94">
        <w:t>people in this queue</w:t>
      </w:r>
      <w:r w:rsidR="00C80EAA" w:rsidRPr="005D3F76">
        <w:t>.</w:t>
      </w:r>
    </w:p>
    <w:p w14:paraId="093E7CC0" w14:textId="536A3608" w:rsidR="00D41CD8" w:rsidRDefault="00611F54" w:rsidP="007240D2">
      <w:pPr>
        <w:pStyle w:val="Bullet"/>
        <w:spacing w:after="120"/>
      </w:pPr>
      <w:r>
        <w:t>Once an access request has been validated, a deci</w:t>
      </w:r>
      <w:r w:rsidR="004A1F7D">
        <w:t xml:space="preserve">sion as to whether the person </w:t>
      </w:r>
      <w:r w:rsidR="008D5DEC" w:rsidRPr="005D3F76">
        <w:t>is eligible for</w:t>
      </w:r>
      <w:r w:rsidR="004A1F7D">
        <w:t xml:space="preserve"> the Scheme needs to be made</w:t>
      </w:r>
      <w:r w:rsidR="00CE6528">
        <w:t xml:space="preserve">. Over the latter half of 2024, the number of requests awaiting an access decision grew to around </w:t>
      </w:r>
      <w:r w:rsidR="001D68B2">
        <w:t>23,000 people (as the access request validation queue was processed).</w:t>
      </w:r>
      <w:r w:rsidR="00C30714">
        <w:t xml:space="preserve"> Over the first half of 2025, this large queue was cleared </w:t>
      </w:r>
      <w:r w:rsidR="0070552A">
        <w:t xml:space="preserve">and </w:t>
      </w:r>
      <w:r w:rsidR="00A838FE">
        <w:t>on</w:t>
      </w:r>
      <w:r w:rsidR="0070552A">
        <w:t xml:space="preserve"> 31 May 2025 there were around 2,000 people in this queue</w:t>
      </w:r>
      <w:r w:rsidR="00C80EAA">
        <w:t>.</w:t>
      </w:r>
    </w:p>
    <w:p w14:paraId="1C8AD97D" w14:textId="4ED5C4C3" w:rsidR="005D47D8" w:rsidRDefault="0076145A" w:rsidP="007240D2">
      <w:pPr>
        <w:pStyle w:val="Bullet"/>
        <w:spacing w:after="120"/>
      </w:pPr>
      <w:r>
        <w:t xml:space="preserve">In 2024-25, 83% of </w:t>
      </w:r>
      <w:r w:rsidR="005D47D8" w:rsidRPr="005D47D8">
        <w:t>non-mortality exits</w:t>
      </w:r>
      <w:r w:rsidR="0020532C">
        <w:t xml:space="preserve"> (</w:t>
      </w:r>
      <w:r w:rsidR="005D47D8" w:rsidRPr="005D47D8">
        <w:t>participants leav</w:t>
      </w:r>
      <w:r w:rsidR="0020532C">
        <w:t>ing</w:t>
      </w:r>
      <w:r w:rsidR="005D47D8" w:rsidRPr="005D47D8">
        <w:t xml:space="preserve"> the Scheme</w:t>
      </w:r>
      <w:r w:rsidR="0020532C">
        <w:t>) were</w:t>
      </w:r>
      <w:r w:rsidR="005D47D8" w:rsidRPr="005D47D8">
        <w:t xml:space="preserve"> due to Agency-initiated eligibility reassessments</w:t>
      </w:r>
      <w:r w:rsidR="00174D62">
        <w:rPr>
          <w:rStyle w:val="FootnoteReference"/>
        </w:rPr>
        <w:footnoteReference w:id="4"/>
      </w:r>
      <w:r w:rsidR="005D47D8" w:rsidRPr="005D47D8">
        <w:t>. There have also been processing capacity constraints around the number of eligibility reassessments that have been able to be undertaken</w:t>
      </w:r>
      <w:r w:rsidR="007C32BA">
        <w:t xml:space="preserve"> (as resources have been diverted to </w:t>
      </w:r>
      <w:r w:rsidR="00CB0554">
        <w:t>processing access requests)</w:t>
      </w:r>
      <w:r w:rsidR="005D47D8" w:rsidRPr="005D47D8">
        <w:t xml:space="preserve">. At the end of June 2025, there were </w:t>
      </w:r>
      <w:r w:rsidR="00AA7777">
        <w:t>43,5</w:t>
      </w:r>
      <w:r w:rsidR="005D47D8" w:rsidRPr="005D47D8">
        <w:t>00 participants due for an eligibility reassessment.</w:t>
      </w:r>
    </w:p>
    <w:p w14:paraId="78F9D025" w14:textId="132E85EC" w:rsidR="0049724A" w:rsidRDefault="00ED5223" w:rsidP="00D32DFC">
      <w:r w:rsidRPr="007D42C2">
        <w:t>Th</w:t>
      </w:r>
      <w:r>
        <w:t>ese processing impacts have resulted in distortions in the natural flow of new entrants</w:t>
      </w:r>
      <w:r w:rsidR="005D47D8">
        <w:t xml:space="preserve"> </w:t>
      </w:r>
      <w:r>
        <w:t xml:space="preserve">into </w:t>
      </w:r>
      <w:r w:rsidR="00566B1E">
        <w:t xml:space="preserve">the Scheme </w:t>
      </w:r>
      <w:r w:rsidR="005D47D8">
        <w:t xml:space="preserve">and </w:t>
      </w:r>
      <w:r w:rsidR="00566B1E">
        <w:t>of</w:t>
      </w:r>
      <w:r w:rsidR="005D47D8">
        <w:t xml:space="preserve"> </w:t>
      </w:r>
      <w:r w:rsidR="00EC3B8F">
        <w:t>participants leaving</w:t>
      </w:r>
      <w:r w:rsidR="005D47D8">
        <w:t xml:space="preserve"> </w:t>
      </w:r>
      <w:r>
        <w:t>the Scheme.</w:t>
      </w:r>
      <w:r w:rsidR="00D140A4">
        <w:t xml:space="preserve"> </w:t>
      </w:r>
    </w:p>
    <w:p w14:paraId="07B0E46F" w14:textId="5AE2D855" w:rsidR="00C971EE" w:rsidRDefault="00D140A4" w:rsidP="00D32DFC">
      <w:r>
        <w:t>The Scheme Actuary has considered the impact</w:t>
      </w:r>
      <w:r w:rsidR="004C5887">
        <w:t xml:space="preserve"> on historical new entrant numbers </w:t>
      </w:r>
      <w:r>
        <w:t xml:space="preserve">by adjusting the </w:t>
      </w:r>
      <w:r w:rsidR="00837812">
        <w:t>period</w:t>
      </w:r>
      <w:r w:rsidR="007D4BDD">
        <w:t xml:space="preserve"> in which new entrants would have joined, had processing constraints not existed</w:t>
      </w:r>
      <w:r w:rsidR="004C5887">
        <w:t>, and using these adjusted numbers to inform assumptions for future new entrants</w:t>
      </w:r>
      <w:r w:rsidR="007D4BDD">
        <w:t>.</w:t>
      </w:r>
      <w:r w:rsidR="003D0110">
        <w:t xml:space="preserve"> </w:t>
      </w:r>
      <w:r w:rsidR="0031108C">
        <w:t>These adjusted numbers are termed ‘remediated’ new entrant</w:t>
      </w:r>
      <w:r w:rsidR="000D4382">
        <w:t>s</w:t>
      </w:r>
      <w:r w:rsidR="0031108C">
        <w:t xml:space="preserve"> </w:t>
      </w:r>
      <w:r w:rsidR="00100810">
        <w:t xml:space="preserve">and </w:t>
      </w:r>
      <w:r w:rsidR="00100810" w:rsidRPr="003270FE">
        <w:t>estimat</w:t>
      </w:r>
      <w:r w:rsidR="00100810">
        <w:t xml:space="preserve">e </w:t>
      </w:r>
      <w:r w:rsidR="00100810" w:rsidRPr="003270FE">
        <w:t>the underlying trend in new entrants if not for the new computer system and processing capacity constraints</w:t>
      </w:r>
      <w:r w:rsidR="0031108C">
        <w:t xml:space="preserve">. </w:t>
      </w:r>
      <w:r w:rsidR="00006E0B" w:rsidRPr="003270FE">
        <w:t>The remediated figures shift new entrants from the 2024-25 year to the 2023-24 year, with the shift linked to the timing of when new access requests were made.</w:t>
      </w:r>
      <w:r w:rsidR="00006E0B">
        <w:t xml:space="preserve"> </w:t>
      </w:r>
      <w:r w:rsidR="00621B9F">
        <w:t>I regard these data adjustments as appropriate.</w:t>
      </w:r>
    </w:p>
    <w:p w14:paraId="69AF39F5" w14:textId="6679BEB5" w:rsidR="00D041CE" w:rsidRPr="00EF0B9D" w:rsidRDefault="00D041CE" w:rsidP="001F00FC">
      <w:pPr>
        <w:pStyle w:val="Heading4"/>
      </w:pPr>
      <w:r w:rsidRPr="00EF0B9D">
        <w:lastRenderedPageBreak/>
        <w:t>New entrants</w:t>
      </w:r>
    </w:p>
    <w:p w14:paraId="29239B31" w14:textId="0A2C21D3" w:rsidR="00CA5214" w:rsidRDefault="001A459F" w:rsidP="00D041CE">
      <w:pPr>
        <w:spacing w:after="320"/>
      </w:pPr>
      <w:r>
        <w:fldChar w:fldCharType="begin"/>
      </w:r>
      <w:r>
        <w:instrText xml:space="preserve"> REF _Ref206144515 \h </w:instrText>
      </w:r>
      <w:r>
        <w:fldChar w:fldCharType="separate"/>
      </w:r>
      <w:r w:rsidR="0093576D" w:rsidRPr="00D6090D">
        <w:t xml:space="preserve">Figure </w:t>
      </w:r>
      <w:r w:rsidR="0093576D">
        <w:rPr>
          <w:noProof/>
        </w:rPr>
        <w:t>1</w:t>
      </w:r>
      <w:r>
        <w:fldChar w:fldCharType="end"/>
      </w:r>
      <w:r w:rsidR="00B67668" w:rsidRPr="007D42C2">
        <w:t xml:space="preserve"> shows the actual number of new entrants</w:t>
      </w:r>
      <w:r w:rsidR="006336CD">
        <w:t>, and</w:t>
      </w:r>
      <w:r w:rsidR="00B67668" w:rsidRPr="007D42C2">
        <w:t xml:space="preserve"> </w:t>
      </w:r>
      <w:r w:rsidR="00EA6D9A" w:rsidRPr="007D42C2">
        <w:t>remediated number</w:t>
      </w:r>
      <w:r w:rsidR="00381DF4">
        <w:t>s for the two most recent financial years</w:t>
      </w:r>
      <w:r w:rsidR="00EA6D9A" w:rsidRPr="007D42C2">
        <w:t xml:space="preserve">. </w:t>
      </w:r>
      <w:r w:rsidR="1568BDF4" w:rsidRPr="00EF0B9D">
        <w:t xml:space="preserve">Attachment A shows the same information broken down by age </w:t>
      </w:r>
      <w:r w:rsidR="1568BDF4" w:rsidRPr="005505EA">
        <w:t>and by disability type</w:t>
      </w:r>
      <w:r w:rsidR="00B67668" w:rsidRPr="005505EA">
        <w:t>.</w:t>
      </w:r>
    </w:p>
    <w:p w14:paraId="2BB93FEC" w14:textId="3437B6C0" w:rsidR="0010536B" w:rsidRPr="005505EA" w:rsidRDefault="0010536B" w:rsidP="0010536B">
      <w:r w:rsidRPr="005505EA">
        <w:t xml:space="preserve">Given the disruptions to the usual pattern of new entrants joining the Scheme, combined with expected future changes in experience due to NDIS initiatives, setting new entrant assumptions is more </w:t>
      </w:r>
      <w:r w:rsidR="009B0C21">
        <w:t xml:space="preserve">uncertain </w:t>
      </w:r>
      <w:r w:rsidRPr="005505EA">
        <w:t xml:space="preserve">than in previous projections. </w:t>
      </w:r>
    </w:p>
    <w:p w14:paraId="0C9DBE8A" w14:textId="17B9D613" w:rsidR="000A088A" w:rsidRPr="00D6090D" w:rsidRDefault="000A088A" w:rsidP="000A088A">
      <w:pPr>
        <w:pStyle w:val="Caption"/>
      </w:pPr>
      <w:bookmarkStart w:id="2" w:name="_Ref110501683"/>
      <w:bookmarkStart w:id="3" w:name="_Ref206144515"/>
      <w:r w:rsidRPr="00D6090D">
        <w:t xml:space="preserve">Figure </w:t>
      </w:r>
      <w:bookmarkEnd w:id="2"/>
      <w:r w:rsidR="001A459F">
        <w:fldChar w:fldCharType="begin"/>
      </w:r>
      <w:r w:rsidR="001A459F">
        <w:instrText xml:space="preserve"> SEQ Figure \* ARABIC </w:instrText>
      </w:r>
      <w:r w:rsidR="001A459F">
        <w:fldChar w:fldCharType="separate"/>
      </w:r>
      <w:r w:rsidR="0093576D">
        <w:rPr>
          <w:noProof/>
        </w:rPr>
        <w:t>1</w:t>
      </w:r>
      <w:r w:rsidR="001A459F">
        <w:fldChar w:fldCharType="end"/>
      </w:r>
      <w:bookmarkEnd w:id="3"/>
      <w:r w:rsidRPr="00D6090D">
        <w:t xml:space="preserve">: Actual &amp; projected total number of new </w:t>
      </w:r>
      <w:proofErr w:type="gramStart"/>
      <w:r w:rsidRPr="00D6090D">
        <w:t>entrants</w:t>
      </w:r>
      <w:proofErr w:type="gramEnd"/>
    </w:p>
    <w:p w14:paraId="1AA35A20" w14:textId="47ADC185" w:rsidR="000A088A" w:rsidRPr="00D6090D" w:rsidRDefault="00701FAB" w:rsidP="00992EEC">
      <w:pPr>
        <w:pStyle w:val="ChartGraphic"/>
        <w:keepNext/>
      </w:pPr>
      <w:r>
        <w:drawing>
          <wp:inline distT="0" distB="0" distL="0" distR="0" wp14:anchorId="185964D4" wp14:editId="20487B3B">
            <wp:extent cx="5709285" cy="2639063"/>
            <wp:effectExtent l="0" t="0" r="5715" b="8890"/>
            <wp:docPr id="1907473693" name="Picture 1" descr="Beginning of Alt text for Figure 1: Actual &amp; projected total number of new entrants. The figure charts the results across the years from 2018 to 2035 for, Actual, actual remediated, 2024 FSR and 2025 FSR totals for: Actual was charted from 2018 to 2025 – the new entrants figures fluctuated from approx. 85000 in total in 2018, increased to just under 120000 in total in 2019. In 2022 the figure for new entrants was 80000 in total, declining for 2024 to approx. 65000 in total, finishing in 2025 at approx. 98000 in total. For actual remediated charts across the years from 2023 to 2025. In 2023 the approx. total was 87000 and in 2025, the approx. total was 80000. The 2024 FSR charted across the years from 2024 to 2034 the results were in 2024 the approx. total was 65000, the projection increased in 2025 to approx. 80000 then the projection decreased to 2027 to approx. 52000. Between 2027 and 2034 there was a slight increase from approx. 55000 (2027) ending in 2024 at 58000. The 2025 projection commenced at 80000 then showed a decrease in 2028 to 53000. Across the years from 2029 to 2025 showed only a slight increase to approx. 59500.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73693" name="Picture 1" descr="Beginning of Alt text for Figure 1: Actual &amp; projected total number of new entrants. The figure charts the results across the years from 2018 to 2035 for, Actual, actual remediated, 2024 FSR and 2025 FSR totals for: Actual was charted from 2018 to 2025 – the new entrants figures fluctuated from approx. 85000 in total in 2018, increased to just under 120000 in total in 2019. In 2022 the figure for new entrants was 80000 in total, declining for 2024 to approx. 65000 in total, finishing in 2025 at approx. 98000 in total. For actual remediated charts across the years from 2023 to 2025. In 2023 the approx. total was 87000 and in 2025, the approx. total was 80000. The 2024 FSR charted across the years from 2024 to 2034 the results were in 2024 the approx. total was 65000, the projection increased in 2025 to approx. 80000 then the projection decreased to 2027 to approx. 52000. Between 2027 and 2034 there was a slight increase from approx. 55000 (2027) ending in 2024 at 58000. The 2025 projection commenced at 80000 then showed a decrease in 2028 to 53000. Across the years from 2029 to 2025 showed only a slight increase to approx. 59500. End of alt tex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2556" cy="2640575"/>
                    </a:xfrm>
                    <a:prstGeom prst="rect">
                      <a:avLst/>
                    </a:prstGeom>
                    <a:noFill/>
                  </pic:spPr>
                </pic:pic>
              </a:graphicData>
            </a:graphic>
          </wp:inline>
        </w:drawing>
      </w:r>
    </w:p>
    <w:p w14:paraId="46ECD2D5" w14:textId="77777777" w:rsidR="003C3CA7" w:rsidRPr="00D6090D" w:rsidRDefault="003C3CA7" w:rsidP="00116731">
      <w:pPr>
        <w:rPr>
          <w:sz w:val="18"/>
          <w:szCs w:val="18"/>
        </w:rPr>
      </w:pPr>
      <w:r w:rsidRPr="00D6090D">
        <w:rPr>
          <w:sz w:val="18"/>
          <w:szCs w:val="18"/>
        </w:rPr>
        <w:t>End of Figure</w:t>
      </w:r>
    </w:p>
    <w:p w14:paraId="31D9517B" w14:textId="7FD6FF63" w:rsidR="00001E45" w:rsidRDefault="005C77FB" w:rsidP="00184247">
      <w:r w:rsidRPr="00AD0D93">
        <w:t xml:space="preserve">New entrant assumptions have </w:t>
      </w:r>
      <w:r w:rsidR="007E22E3" w:rsidRPr="00AD0D93">
        <w:t xml:space="preserve">primarily </w:t>
      </w:r>
      <w:r w:rsidRPr="00AD0D93">
        <w:t xml:space="preserve">been set having regard to the </w:t>
      </w:r>
      <w:r w:rsidR="007E22E3" w:rsidRPr="00AD0D93">
        <w:t>remediated data over the period November 2023 to October 2024</w:t>
      </w:r>
      <w:r w:rsidR="00AD0D93" w:rsidRPr="00AD0D93">
        <w:t>, by disability type</w:t>
      </w:r>
      <w:r w:rsidR="007E22E3" w:rsidRPr="00AD0D93">
        <w:t>.</w:t>
      </w:r>
      <w:r w:rsidR="00D60F3D">
        <w:t xml:space="preserve"> </w:t>
      </w:r>
      <w:r w:rsidR="000F4FD6">
        <w:t xml:space="preserve">The exceptions </w:t>
      </w:r>
      <w:r w:rsidR="004F021F">
        <w:t xml:space="preserve">to this are for </w:t>
      </w:r>
      <w:r w:rsidR="009B7761">
        <w:t xml:space="preserve">applicants with </w:t>
      </w:r>
      <w:r w:rsidR="00832088">
        <w:t>developmental delay and autism</w:t>
      </w:r>
      <w:r w:rsidR="004F021F">
        <w:t xml:space="preserve"> where</w:t>
      </w:r>
      <w:r w:rsidR="00001E45">
        <w:t>:</w:t>
      </w:r>
    </w:p>
    <w:p w14:paraId="41CA4FD4" w14:textId="453D21F7" w:rsidR="006B270D" w:rsidRDefault="00FF5507" w:rsidP="007240D2">
      <w:pPr>
        <w:pStyle w:val="Bullet"/>
        <w:spacing w:after="120"/>
      </w:pPr>
      <w:r>
        <w:t xml:space="preserve">Short term adjustments </w:t>
      </w:r>
      <w:r w:rsidR="00FD44D4">
        <w:t>have been</w:t>
      </w:r>
      <w:r w:rsidR="004F021F">
        <w:t xml:space="preserve"> made </w:t>
      </w:r>
      <w:r w:rsidR="00B14655">
        <w:t xml:space="preserve">to allow for </w:t>
      </w:r>
      <w:r w:rsidR="009E0756">
        <w:t xml:space="preserve">declining numbers of </w:t>
      </w:r>
      <w:r w:rsidR="00B14655">
        <w:t xml:space="preserve">new entrants with </w:t>
      </w:r>
      <w:r w:rsidR="009E0756">
        <w:t xml:space="preserve">a </w:t>
      </w:r>
      <w:r w:rsidR="00B14655">
        <w:t>previously unmet need (PUN</w:t>
      </w:r>
      <w:r w:rsidR="009E0756">
        <w:t>)</w:t>
      </w:r>
      <w:r w:rsidR="00AC604E">
        <w:t>. T</w:t>
      </w:r>
      <w:r w:rsidR="009E0756" w:rsidRPr="004F021F">
        <w:t xml:space="preserve">hese are participants </w:t>
      </w:r>
      <w:r w:rsidR="00B601DC">
        <w:t>who</w:t>
      </w:r>
      <w:r w:rsidR="007D5690">
        <w:t xml:space="preserve"> </w:t>
      </w:r>
      <w:r w:rsidR="009E0756" w:rsidRPr="004F021F">
        <w:t>would have entered the Scheme earlier had they been able to request access and provide evidence about their disability.</w:t>
      </w:r>
      <w:r w:rsidR="005C26C6">
        <w:t xml:space="preserve"> The assum</w:t>
      </w:r>
      <w:r w:rsidR="00392251">
        <w:t>ed reduction</w:t>
      </w:r>
      <w:r w:rsidR="005C26C6">
        <w:t xml:space="preserve"> </w:t>
      </w:r>
      <w:r w:rsidR="00500A8A">
        <w:t>is</w:t>
      </w:r>
      <w:r w:rsidR="005C26C6">
        <w:t xml:space="preserve"> the same as </w:t>
      </w:r>
      <w:r w:rsidR="002922AD">
        <w:t>was used in</w:t>
      </w:r>
      <w:r w:rsidR="005C26C6">
        <w:t xml:space="preserve"> the 2024 FSR</w:t>
      </w:r>
      <w:r w:rsidR="00E7782A">
        <w:t>.</w:t>
      </w:r>
      <w:r w:rsidR="005C26C6">
        <w:t xml:space="preserve"> </w:t>
      </w:r>
      <w:r w:rsidR="002E52FF">
        <w:t xml:space="preserve">By contrast, the number of new entrants with autism </w:t>
      </w:r>
      <w:r w:rsidR="000B4978">
        <w:t xml:space="preserve">has </w:t>
      </w:r>
      <w:r w:rsidR="002E52FF">
        <w:t xml:space="preserve">increased </w:t>
      </w:r>
      <w:r w:rsidR="000B4978">
        <w:t xml:space="preserve">in each of the </w:t>
      </w:r>
      <w:r w:rsidR="002E52FF">
        <w:t xml:space="preserve">last </w:t>
      </w:r>
      <w:r w:rsidR="000B4978">
        <w:t xml:space="preserve">four </w:t>
      </w:r>
      <w:r w:rsidR="002E52FF">
        <w:t>years</w:t>
      </w:r>
      <w:r w:rsidR="00213326">
        <w:t xml:space="preserve"> (based on adjusted data from the Scheme Actuary)</w:t>
      </w:r>
      <w:r w:rsidR="002E52FF">
        <w:t xml:space="preserve">. </w:t>
      </w:r>
      <w:r w:rsidR="00B75377">
        <w:t xml:space="preserve">Considerable </w:t>
      </w:r>
      <w:r w:rsidR="00D67F6B" w:rsidRPr="00D77039">
        <w:t xml:space="preserve">uncertainty </w:t>
      </w:r>
      <w:r w:rsidR="00B75377">
        <w:t xml:space="preserve">remains </w:t>
      </w:r>
      <w:r w:rsidR="00D67F6B" w:rsidRPr="00D77039">
        <w:t>around the long-term level of autism in the population requiring support</w:t>
      </w:r>
      <w:r w:rsidR="00D67F6B">
        <w:t>.</w:t>
      </w:r>
    </w:p>
    <w:p w14:paraId="775E645D" w14:textId="6605B79E" w:rsidR="001F5AFF" w:rsidRDefault="00043483" w:rsidP="007240D2">
      <w:pPr>
        <w:pStyle w:val="Bullet"/>
        <w:spacing w:after="120"/>
      </w:pPr>
      <w:r>
        <w:t>T</w:t>
      </w:r>
      <w:r w:rsidR="00D238E3">
        <w:t>ighter evidence requirements</w:t>
      </w:r>
      <w:r w:rsidR="00E765A3">
        <w:t xml:space="preserve"> for access to the Scheme for developmental delay </w:t>
      </w:r>
      <w:r w:rsidR="00162465">
        <w:t>were</w:t>
      </w:r>
      <w:r w:rsidR="00D238E3">
        <w:t xml:space="preserve"> introduced</w:t>
      </w:r>
      <w:r w:rsidR="00162465">
        <w:t xml:space="preserve"> in October 2024</w:t>
      </w:r>
      <w:r w:rsidR="00E765A3">
        <w:t xml:space="preserve">. </w:t>
      </w:r>
      <w:r w:rsidR="00C130B2">
        <w:t>It has been a</w:t>
      </w:r>
      <w:r w:rsidR="00EB68EC">
        <w:t xml:space="preserve">ssumed </w:t>
      </w:r>
      <w:r w:rsidR="00C130B2">
        <w:t xml:space="preserve">that this will </w:t>
      </w:r>
      <w:r w:rsidR="00EB68EC">
        <w:t>result a 10% reduction in the rate of new entrants</w:t>
      </w:r>
      <w:r w:rsidR="00C130B2">
        <w:t xml:space="preserve"> with developmental de</w:t>
      </w:r>
      <w:r w:rsidR="008B334C">
        <w:t>lay</w:t>
      </w:r>
      <w:r w:rsidR="00B93C7F">
        <w:t>. This is</w:t>
      </w:r>
      <w:r w:rsidR="00001E45">
        <w:t xml:space="preserve"> </w:t>
      </w:r>
      <w:r w:rsidR="00185944">
        <w:t xml:space="preserve">lower than the reduction assumed </w:t>
      </w:r>
      <w:r w:rsidR="0040334C">
        <w:t>in the 2024 FSR</w:t>
      </w:r>
      <w:r w:rsidR="0086473F">
        <w:t>, which was 15%</w:t>
      </w:r>
      <w:r w:rsidR="00185944">
        <w:t xml:space="preserve">. This assumption is supported by the </w:t>
      </w:r>
      <w:r w:rsidR="00737D36">
        <w:t>limited experience so far</w:t>
      </w:r>
      <w:r w:rsidR="006B2FDD">
        <w:t>.</w:t>
      </w:r>
    </w:p>
    <w:p w14:paraId="273592F2" w14:textId="0432E222" w:rsidR="00723308" w:rsidRDefault="00433FC3" w:rsidP="0010536B">
      <w:pPr>
        <w:pStyle w:val="Bullet"/>
        <w:spacing w:after="120"/>
      </w:pPr>
      <w:r>
        <w:t>R</w:t>
      </w:r>
      <w:r w:rsidR="00D67F6B">
        <w:t xml:space="preserve">eductions were </w:t>
      </w:r>
      <w:r w:rsidR="00AA6782">
        <w:t xml:space="preserve">also </w:t>
      </w:r>
      <w:r w:rsidR="00D67F6B">
        <w:t xml:space="preserve">made to allow for diversions </w:t>
      </w:r>
      <w:r w:rsidR="00E25E0E">
        <w:t xml:space="preserve">away from the Scheme </w:t>
      </w:r>
      <w:r w:rsidR="00AA6782">
        <w:t xml:space="preserve">after </w:t>
      </w:r>
      <w:r w:rsidR="00E25E0E">
        <w:t xml:space="preserve">the establishment of </w:t>
      </w:r>
      <w:r w:rsidR="009055B5">
        <w:t>Foundational Supports</w:t>
      </w:r>
      <w:r w:rsidR="00C10A32">
        <w:t>,</w:t>
      </w:r>
      <w:r w:rsidR="00E25E0E">
        <w:t xml:space="preserve"> </w:t>
      </w:r>
      <w:r w:rsidR="00C10A32" w:rsidRPr="00932C3F">
        <w:t>changing the way supports are provided to children</w:t>
      </w:r>
      <w:r w:rsidR="00C10A32">
        <w:t xml:space="preserve">, </w:t>
      </w:r>
      <w:r w:rsidR="00823C7F">
        <w:t>commencing 1</w:t>
      </w:r>
      <w:r w:rsidR="00D818BC">
        <w:t> </w:t>
      </w:r>
      <w:r w:rsidR="00823C7F">
        <w:t>July 2026</w:t>
      </w:r>
      <w:r w:rsidR="008459FE">
        <w:t xml:space="preserve"> (noting this commencement date is one year later than assumed in </w:t>
      </w:r>
      <w:r w:rsidR="00CA34CA">
        <w:t>t</w:t>
      </w:r>
      <w:r w:rsidR="008459FE">
        <w:t>he 2024 FSR)</w:t>
      </w:r>
      <w:r w:rsidR="003B6014">
        <w:t>.</w:t>
      </w:r>
      <w:r w:rsidR="00823C7F">
        <w:t xml:space="preserve"> </w:t>
      </w:r>
      <w:r w:rsidR="00C10A32" w:rsidRPr="00932C3F">
        <w:t>This</w:t>
      </w:r>
      <w:r w:rsidR="00C10A32">
        <w:t xml:space="preserve"> change is expected to reduce the number of children with developmental </w:t>
      </w:r>
      <w:r w:rsidR="00C10A32">
        <w:lastRenderedPageBreak/>
        <w:t xml:space="preserve">delay entering the Scheme. </w:t>
      </w:r>
      <w:r w:rsidR="004725FF">
        <w:t>D</w:t>
      </w:r>
      <w:r w:rsidR="00EF2F4E">
        <w:t>iversions away from the Scheme are assumed to be 50% effective in the first year of operation</w:t>
      </w:r>
      <w:r w:rsidR="001903BB">
        <w:t>.</w:t>
      </w:r>
      <w:r w:rsidR="002E0B52">
        <w:t xml:space="preserve"> Allowance is also made for </w:t>
      </w:r>
      <w:r w:rsidR="00C448D9">
        <w:t>delayed entry into the Scheme</w:t>
      </w:r>
      <w:r w:rsidR="004725FF">
        <w:t>. P</w:t>
      </w:r>
      <w:r w:rsidR="00704F50" w:rsidRPr="00704F50">
        <w:t>articipants who</w:t>
      </w:r>
      <w:r w:rsidR="001F0762">
        <w:t xml:space="preserve"> (if not for </w:t>
      </w:r>
      <w:r w:rsidR="00346FDD">
        <w:t>Foundational Supports</w:t>
      </w:r>
      <w:r w:rsidR="001F0762">
        <w:t xml:space="preserve">) </w:t>
      </w:r>
      <w:r w:rsidR="0066774A">
        <w:t xml:space="preserve">would have joined the Scheme and been </w:t>
      </w:r>
      <w:r w:rsidR="00704F50" w:rsidRPr="00704F50">
        <w:t xml:space="preserve">expected to transition to </w:t>
      </w:r>
      <w:r w:rsidR="00610FB6">
        <w:t xml:space="preserve">a </w:t>
      </w:r>
      <w:r w:rsidR="00704F50" w:rsidRPr="00704F50">
        <w:t>higher cost cohort</w:t>
      </w:r>
      <w:r w:rsidR="001F0762">
        <w:t xml:space="preserve"> later</w:t>
      </w:r>
      <w:r w:rsidR="00704F50" w:rsidRPr="00704F50">
        <w:t>,</w:t>
      </w:r>
      <w:r w:rsidR="000E51C2">
        <w:t xml:space="preserve"> are assumed </w:t>
      </w:r>
      <w:r w:rsidR="00704F50" w:rsidRPr="00704F50">
        <w:t xml:space="preserve">have a delayed entry into the Scheme into these higher cost cohorts at their </w:t>
      </w:r>
      <w:r w:rsidR="008F1012">
        <w:t xml:space="preserve">expected </w:t>
      </w:r>
      <w:r w:rsidR="00704F50" w:rsidRPr="00704F50">
        <w:t>point of transition.</w:t>
      </w:r>
    </w:p>
    <w:p w14:paraId="5439FD36" w14:textId="3A337617" w:rsidR="005D1F06" w:rsidRDefault="005D1F06" w:rsidP="005D1F06">
      <w:pPr>
        <w:pStyle w:val="Bullet"/>
        <w:numPr>
          <w:ilvl w:val="0"/>
          <w:numId w:val="0"/>
        </w:numPr>
      </w:pPr>
      <w:r w:rsidRPr="00947B34">
        <w:t>The</w:t>
      </w:r>
      <w:r>
        <w:t xml:space="preserve">se three factors are the reasons why </w:t>
      </w:r>
      <w:r w:rsidRPr="00947B34">
        <w:t xml:space="preserve">new entrants </w:t>
      </w:r>
      <w:r w:rsidR="00EE57EA">
        <w:t>are</w:t>
      </w:r>
      <w:r w:rsidRPr="00947B34">
        <w:t xml:space="preserve"> assumed to decline over </w:t>
      </w:r>
      <w:r w:rsidR="001D19B7">
        <w:t xml:space="preserve">2025-26, </w:t>
      </w:r>
      <w:r>
        <w:t>2026-27 and 2027-28</w:t>
      </w:r>
      <w:r w:rsidRPr="00947B34">
        <w:t>, before increasing with population growth</w:t>
      </w:r>
      <w:r w:rsidR="00C10A32">
        <w:t>.</w:t>
      </w:r>
    </w:p>
    <w:p w14:paraId="7EC11CB6" w14:textId="7FBB8D62" w:rsidR="006B270D" w:rsidRDefault="00D367C3" w:rsidP="006B270D">
      <w:pPr>
        <w:pStyle w:val="Bullet"/>
        <w:numPr>
          <w:ilvl w:val="0"/>
          <w:numId w:val="0"/>
        </w:numPr>
      </w:pPr>
      <w:r>
        <w:t>T</w:t>
      </w:r>
      <w:r w:rsidR="006B270D" w:rsidRPr="001F0F88">
        <w:t>he 2024 FSR</w:t>
      </w:r>
      <w:r>
        <w:t xml:space="preserve"> incorporated </w:t>
      </w:r>
      <w:r w:rsidR="006B270D" w:rsidRPr="001F0F88">
        <w:t xml:space="preserve">a PUN allowance for all disability types. This has been removed in this FSR </w:t>
      </w:r>
      <w:r w:rsidR="003A21ED" w:rsidRPr="001F0F88">
        <w:t xml:space="preserve">(other than </w:t>
      </w:r>
      <w:r w:rsidR="006B270D" w:rsidRPr="001F0F88">
        <w:t xml:space="preserve">for </w:t>
      </w:r>
      <w:r w:rsidR="00B26194">
        <w:t xml:space="preserve">applicants with </w:t>
      </w:r>
      <w:r w:rsidR="006B270D" w:rsidRPr="001F0F88">
        <w:t>developmental delay and autism</w:t>
      </w:r>
      <w:r w:rsidR="003A21ED" w:rsidRPr="001F0F88">
        <w:t>)</w:t>
      </w:r>
      <w:r w:rsidR="006B270D" w:rsidRPr="001F0F88">
        <w:t xml:space="preserve"> as the remediated new entrant numbers suggest that new entrant rates may have reached the assumed long-term level. Assumptions that the number of new entrants with previously unmet needs will reduce have exhibited material levels of uncertainty in the past</w:t>
      </w:r>
      <w:r w:rsidR="001F0F88" w:rsidRPr="001F0F88">
        <w:t>.</w:t>
      </w:r>
      <w:r w:rsidR="006B270D" w:rsidRPr="001F0F88">
        <w:t xml:space="preserve"> </w:t>
      </w:r>
      <w:r w:rsidR="000F4514">
        <w:t xml:space="preserve">I </w:t>
      </w:r>
      <w:r w:rsidR="006B270D" w:rsidRPr="001F0F88">
        <w:t>support of the removal of this assumption.</w:t>
      </w:r>
    </w:p>
    <w:p w14:paraId="6C78DA41" w14:textId="1A5E5A45" w:rsidR="002528AB" w:rsidRPr="00B93F57" w:rsidRDefault="0079412E" w:rsidP="00F566BF">
      <w:r>
        <w:t>Given that the design of the Thriving Kids program is still in its early stages, t</w:t>
      </w:r>
      <w:r w:rsidR="00DB6E13" w:rsidRPr="00B93F57">
        <w:t xml:space="preserve">he </w:t>
      </w:r>
      <w:r w:rsidR="000B75C2" w:rsidRPr="00B93F57">
        <w:t xml:space="preserve">assumptions around the </w:t>
      </w:r>
      <w:r w:rsidR="00DB6E13" w:rsidRPr="00B93F57">
        <w:t xml:space="preserve">reduction in </w:t>
      </w:r>
      <w:r w:rsidR="002D649E" w:rsidRPr="00B93F57">
        <w:t xml:space="preserve">children entering the </w:t>
      </w:r>
      <w:r w:rsidR="000B75C2" w:rsidRPr="00B93F57">
        <w:t>S</w:t>
      </w:r>
      <w:r w:rsidR="002D649E" w:rsidRPr="00B93F57">
        <w:t xml:space="preserve">cheme </w:t>
      </w:r>
      <w:r w:rsidR="006103CD" w:rsidRPr="00B93F57">
        <w:t>are the same as those adopted in the 2024 FSR</w:t>
      </w:r>
      <w:r w:rsidR="004E6E3A">
        <w:t xml:space="preserve"> for Foundational Supports</w:t>
      </w:r>
      <w:r w:rsidR="006103CD" w:rsidRPr="00B93F57">
        <w:t>, delay</w:t>
      </w:r>
      <w:r w:rsidR="00C62E24">
        <w:t>ed one year</w:t>
      </w:r>
      <w:r w:rsidR="00430C50" w:rsidRPr="00B93F57">
        <w:t xml:space="preserve"> to reflect the delay</w:t>
      </w:r>
      <w:r w:rsidR="001D1733" w:rsidRPr="00B93F57">
        <w:t>ed start date</w:t>
      </w:r>
      <w:r w:rsidR="006103CD" w:rsidRPr="00B93F57">
        <w:t>.</w:t>
      </w:r>
    </w:p>
    <w:p w14:paraId="30F00D05" w14:textId="1FC9A8F5" w:rsidR="003D55E2" w:rsidRPr="006D73D3" w:rsidRDefault="00B050C4" w:rsidP="003D55E2">
      <w:pPr>
        <w:spacing w:after="320"/>
        <w:rPr>
          <w:highlight w:val="yellow"/>
        </w:rPr>
      </w:pPr>
      <w:r w:rsidRPr="000D702B">
        <w:t>U</w:t>
      </w:r>
      <w:r w:rsidR="003D55E2" w:rsidRPr="000D702B">
        <w:t xml:space="preserve">ncertainty in </w:t>
      </w:r>
      <w:r w:rsidR="004B743A" w:rsidRPr="000D702B">
        <w:t xml:space="preserve">this year’s </w:t>
      </w:r>
      <w:r w:rsidR="003D55E2" w:rsidRPr="000D702B">
        <w:t xml:space="preserve">new entrant assumptions </w:t>
      </w:r>
      <w:r w:rsidR="00611323" w:rsidRPr="000D702B">
        <w:t xml:space="preserve">is </w:t>
      </w:r>
      <w:r w:rsidR="00F905E8">
        <w:t xml:space="preserve">primarily in </w:t>
      </w:r>
      <w:r w:rsidR="00750A89">
        <w:t xml:space="preserve">the </w:t>
      </w:r>
      <w:r w:rsidR="00F905E8">
        <w:t>assumed numbers of participants with developmental del</w:t>
      </w:r>
      <w:r w:rsidR="00750A89">
        <w:t>a</w:t>
      </w:r>
      <w:r w:rsidR="00F905E8">
        <w:t>y and autism</w:t>
      </w:r>
      <w:r w:rsidR="00750A89">
        <w:t xml:space="preserve">, particularly </w:t>
      </w:r>
      <w:r w:rsidR="00DF251C">
        <w:t xml:space="preserve">the </w:t>
      </w:r>
      <w:r w:rsidR="00B34834">
        <w:t xml:space="preserve">moderation in </w:t>
      </w:r>
      <w:r w:rsidR="00706F34">
        <w:t xml:space="preserve">the number of </w:t>
      </w:r>
      <w:r w:rsidR="00B34834">
        <w:t>new entrant</w:t>
      </w:r>
      <w:r w:rsidR="00706F34">
        <w:t>s</w:t>
      </w:r>
      <w:r w:rsidR="00B34834">
        <w:t xml:space="preserve"> </w:t>
      </w:r>
      <w:r w:rsidR="00F905E8">
        <w:t>with a PUN</w:t>
      </w:r>
      <w:r w:rsidR="00750A89">
        <w:t xml:space="preserve"> and the impact of </w:t>
      </w:r>
      <w:r w:rsidR="000679DF">
        <w:t xml:space="preserve">the </w:t>
      </w:r>
      <w:r w:rsidR="001B4F1B">
        <w:t>Thriving Kids program</w:t>
      </w:r>
      <w:r w:rsidR="00750A89">
        <w:t>.</w:t>
      </w:r>
    </w:p>
    <w:p w14:paraId="3A1F9423" w14:textId="034C96AF" w:rsidR="00D041CE" w:rsidRPr="000966A7" w:rsidRDefault="00330B55" w:rsidP="00BC03E4">
      <w:pPr>
        <w:pStyle w:val="Heading4"/>
      </w:pPr>
      <w:r w:rsidRPr="000966A7">
        <w:t xml:space="preserve">Leaving the </w:t>
      </w:r>
      <w:r w:rsidR="0EEABAB9" w:rsidRPr="000966A7">
        <w:t>S</w:t>
      </w:r>
      <w:r w:rsidRPr="000966A7">
        <w:t>cheme</w:t>
      </w:r>
    </w:p>
    <w:p w14:paraId="4060D8D4" w14:textId="2C3D59F8" w:rsidR="007F0955" w:rsidRDefault="00330B55" w:rsidP="009D0714">
      <w:r w:rsidRPr="000966A7">
        <w:t>The projection assum</w:t>
      </w:r>
      <w:r w:rsidR="00AA18D9" w:rsidRPr="000966A7">
        <w:t>es</w:t>
      </w:r>
      <w:r w:rsidRPr="000966A7">
        <w:t xml:space="preserve"> </w:t>
      </w:r>
      <w:r w:rsidR="00AA18D9" w:rsidRPr="000966A7">
        <w:t xml:space="preserve">a </w:t>
      </w:r>
      <w:r w:rsidRPr="000966A7">
        <w:t xml:space="preserve">proportion of participants will leave the </w:t>
      </w:r>
      <w:r w:rsidR="47967604" w:rsidRPr="000966A7">
        <w:t>S</w:t>
      </w:r>
      <w:r w:rsidRPr="000966A7">
        <w:t xml:space="preserve">cheme to live independently. </w:t>
      </w:r>
      <w:r w:rsidR="005546B9" w:rsidRPr="000966A7">
        <w:t xml:space="preserve">Attachment B </w:t>
      </w:r>
      <w:r w:rsidR="00EE5E3A" w:rsidRPr="000966A7">
        <w:t xml:space="preserve">compares recent </w:t>
      </w:r>
      <w:r w:rsidR="001735E3" w:rsidRPr="000966A7">
        <w:t xml:space="preserve">and </w:t>
      </w:r>
      <w:r w:rsidR="00EE5E3A" w:rsidRPr="000966A7">
        <w:t>projected</w:t>
      </w:r>
      <w:r w:rsidR="001735E3" w:rsidRPr="000966A7">
        <w:t xml:space="preserve"> experience.</w:t>
      </w:r>
      <w:r w:rsidR="008F6C51" w:rsidRPr="000966A7">
        <w:t xml:space="preserve"> </w:t>
      </w:r>
    </w:p>
    <w:p w14:paraId="79A11B02" w14:textId="15D894F0" w:rsidR="00B7412C" w:rsidRDefault="00F72C4C" w:rsidP="00A67B7D">
      <w:r>
        <w:t>P</w:t>
      </w:r>
      <w:r w:rsidR="00354FA8">
        <w:t>rocessing capacity has impacted on the ability to undertake eligibility reassessments in a timely manner</w:t>
      </w:r>
      <w:r w:rsidR="00354FA8" w:rsidRPr="00A77F01">
        <w:t>.</w:t>
      </w:r>
      <w:r w:rsidR="00B13697" w:rsidRPr="00A77F01">
        <w:t xml:space="preserve"> </w:t>
      </w:r>
      <w:r w:rsidR="00A67B7D" w:rsidRPr="00AE55BF">
        <w:t xml:space="preserve">For this FSR, the </w:t>
      </w:r>
      <w:r w:rsidR="00544A0B" w:rsidRPr="00AE55BF">
        <w:t xml:space="preserve">Scheme Actuary has </w:t>
      </w:r>
      <w:r w:rsidR="00A67B7D" w:rsidRPr="00AE55BF">
        <w:t xml:space="preserve">again </w:t>
      </w:r>
      <w:r w:rsidR="00544A0B" w:rsidRPr="00AE55BF">
        <w:t xml:space="preserve">modelled the number of exits arising from eligibility </w:t>
      </w:r>
      <w:r w:rsidR="005A40B3">
        <w:t>reassessments</w:t>
      </w:r>
      <w:r w:rsidR="007B7285" w:rsidRPr="00AE55BF">
        <w:t xml:space="preserve"> in line with the expected resourcing of this</w:t>
      </w:r>
      <w:r w:rsidR="00544A0B" w:rsidRPr="00AE55BF">
        <w:t xml:space="preserve"> activity</w:t>
      </w:r>
      <w:r w:rsidR="00284FEC">
        <w:t xml:space="preserve">, noting that </w:t>
      </w:r>
      <w:r w:rsidR="007C1406">
        <w:t>allowance has been made for less than maximum capacity</w:t>
      </w:r>
      <w:r w:rsidR="00924778">
        <w:t xml:space="preserve"> on the expectation that </w:t>
      </w:r>
      <w:r w:rsidR="00924778" w:rsidRPr="00062916">
        <w:t xml:space="preserve">some resources may be diverted </w:t>
      </w:r>
      <w:r w:rsidR="00B370E3">
        <w:t>to processing access requests</w:t>
      </w:r>
      <w:proofErr w:type="gramStart"/>
      <w:r w:rsidR="007B7285" w:rsidRPr="00062916">
        <w:t>.</w:t>
      </w:r>
      <w:r w:rsidR="000B080B">
        <w:t xml:space="preserve">  </w:t>
      </w:r>
      <w:proofErr w:type="gramEnd"/>
    </w:p>
    <w:p w14:paraId="5B935DA1" w14:textId="0C20CC7B" w:rsidR="00FD018C" w:rsidRDefault="000B080B" w:rsidP="00A67B7D">
      <w:r>
        <w:t xml:space="preserve">It is assumed that </w:t>
      </w:r>
      <w:r w:rsidR="00745A69">
        <w:t>45% of eligibility reassessments will result in a</w:t>
      </w:r>
      <w:r w:rsidR="00CB6D02">
        <w:t>ccess revocation</w:t>
      </w:r>
      <w:r w:rsidR="00B7412C">
        <w:t>, based on recent experience</w:t>
      </w:r>
      <w:r w:rsidR="00CB6D02">
        <w:t>.</w:t>
      </w:r>
      <w:r w:rsidR="00B7412C">
        <w:t xml:space="preserve"> </w:t>
      </w:r>
      <w:r w:rsidR="00D5131E">
        <w:t xml:space="preserve">While this is appropriate, we note that recent experience includes </w:t>
      </w:r>
      <w:r w:rsidR="008E5654">
        <w:t>a large backlog component</w:t>
      </w:r>
      <w:r w:rsidR="003E54FF">
        <w:t xml:space="preserve">. As a result, the profile of plans undertaking </w:t>
      </w:r>
      <w:r w:rsidR="006C2D3A">
        <w:t xml:space="preserve">eligibility reassessment </w:t>
      </w:r>
      <w:r w:rsidR="003E54FF">
        <w:t xml:space="preserve">may change as the backlog is cleared. </w:t>
      </w:r>
      <w:r w:rsidR="008B0D06">
        <w:t>Whether</w:t>
      </w:r>
      <w:r w:rsidR="009F0874">
        <w:t xml:space="preserve"> adop</w:t>
      </w:r>
      <w:r w:rsidR="00140F5C">
        <w:t>t</w:t>
      </w:r>
      <w:r w:rsidR="009F0874">
        <w:t>ing</w:t>
      </w:r>
      <w:r w:rsidR="00140F5C">
        <w:t xml:space="preserve"> 45% after the backlog has been cleared </w:t>
      </w:r>
      <w:r w:rsidR="009F0874">
        <w:t>(202</w:t>
      </w:r>
      <w:r w:rsidR="004C26D9">
        <w:t>8</w:t>
      </w:r>
      <w:r w:rsidR="00FD018C">
        <w:t>-2</w:t>
      </w:r>
      <w:r w:rsidR="004C26D9">
        <w:t>9</w:t>
      </w:r>
      <w:r w:rsidR="00FD018C">
        <w:t xml:space="preserve"> and later years) </w:t>
      </w:r>
      <w:r w:rsidR="008B0D06">
        <w:t xml:space="preserve">is appropriate will need </w:t>
      </w:r>
      <w:r w:rsidR="004679DB">
        <w:t>to be monitored</w:t>
      </w:r>
      <w:r w:rsidR="00FD018C">
        <w:t>.</w:t>
      </w:r>
    </w:p>
    <w:p w14:paraId="58236E5E" w14:textId="08065753" w:rsidR="0042053B" w:rsidRPr="00062916" w:rsidRDefault="00D05C7D" w:rsidP="00A67B7D">
      <w:r>
        <w:fldChar w:fldCharType="begin"/>
      </w:r>
      <w:r>
        <w:instrText xml:space="preserve"> REF _Ref206144667 \h </w:instrText>
      </w:r>
      <w:r>
        <w:fldChar w:fldCharType="separate"/>
      </w:r>
      <w:r w:rsidR="0093576D" w:rsidRPr="00D6090D">
        <w:t xml:space="preserve">Figure </w:t>
      </w:r>
      <w:r w:rsidR="0093576D">
        <w:rPr>
          <w:noProof/>
        </w:rPr>
        <w:t>2</w:t>
      </w:r>
      <w:r>
        <w:fldChar w:fldCharType="end"/>
      </w:r>
      <w:r>
        <w:t xml:space="preserve"> </w:t>
      </w:r>
      <w:r w:rsidR="0042053B">
        <w:t xml:space="preserve">shows </w:t>
      </w:r>
      <w:r w:rsidR="007D7119">
        <w:t xml:space="preserve">the </w:t>
      </w:r>
      <w:r w:rsidR="0042053B">
        <w:t xml:space="preserve">actual and projected </w:t>
      </w:r>
      <w:r w:rsidR="007D7119">
        <w:t xml:space="preserve">number of </w:t>
      </w:r>
      <w:r w:rsidR="00CB6D02">
        <w:t>non-</w:t>
      </w:r>
      <w:proofErr w:type="gramStart"/>
      <w:r w:rsidR="00CB6D02">
        <w:t>mortality</w:t>
      </w:r>
      <w:proofErr w:type="gramEnd"/>
      <w:r w:rsidR="00CB6D02">
        <w:t xml:space="preserve"> </w:t>
      </w:r>
      <w:r w:rsidR="007D7119">
        <w:t>exits.</w:t>
      </w:r>
    </w:p>
    <w:p w14:paraId="495EE033" w14:textId="4C460DA5" w:rsidR="0042053B" w:rsidRPr="00D6090D" w:rsidRDefault="0042053B" w:rsidP="0042053B">
      <w:pPr>
        <w:pStyle w:val="Caption"/>
      </w:pPr>
      <w:bookmarkStart w:id="4" w:name="_Ref204265044"/>
      <w:bookmarkStart w:id="5" w:name="_Ref206144667"/>
      <w:bookmarkStart w:id="6" w:name="_Hlk210744144"/>
      <w:r w:rsidRPr="00D6090D">
        <w:lastRenderedPageBreak/>
        <w:t xml:space="preserve">Figure </w:t>
      </w:r>
      <w:bookmarkEnd w:id="4"/>
      <w:r w:rsidR="001A459F">
        <w:fldChar w:fldCharType="begin"/>
      </w:r>
      <w:r w:rsidR="001A459F">
        <w:instrText xml:space="preserve"> SEQ Figure \* ARABIC </w:instrText>
      </w:r>
      <w:r w:rsidR="001A459F">
        <w:fldChar w:fldCharType="separate"/>
      </w:r>
      <w:r w:rsidR="0093576D">
        <w:rPr>
          <w:noProof/>
        </w:rPr>
        <w:t>2</w:t>
      </w:r>
      <w:r w:rsidR="001A459F">
        <w:fldChar w:fldCharType="end"/>
      </w:r>
      <w:bookmarkEnd w:id="5"/>
      <w:r w:rsidRPr="00D6090D">
        <w:t xml:space="preserve">: Actual &amp; projected total number of </w:t>
      </w:r>
      <w:proofErr w:type="gramStart"/>
      <w:r w:rsidR="007D7119">
        <w:t>exits</w:t>
      </w:r>
      <w:proofErr w:type="gramEnd"/>
    </w:p>
    <w:bookmarkEnd w:id="6"/>
    <w:p w14:paraId="57CBDC1E" w14:textId="232A917D" w:rsidR="0042053B" w:rsidRPr="00D6090D" w:rsidRDefault="008C3F90" w:rsidP="00AF3EA0">
      <w:pPr>
        <w:pStyle w:val="ChartGraphic"/>
      </w:pPr>
      <w:r>
        <w:drawing>
          <wp:inline distT="0" distB="0" distL="0" distR="0" wp14:anchorId="0A3E8F0D" wp14:editId="01532DAF">
            <wp:extent cx="5708315" cy="2571750"/>
            <wp:effectExtent l="0" t="0" r="6985" b="0"/>
            <wp:docPr id="202815229" name="Picture 2" descr="Beginning of alt text for Figure 2: Actual &amp; projected total number of exits. The figure charts the results across the years from 2018 to 2034 totals for Actual, 2024 FSR and 2025 FSR. For actual in 2018 commenced at approx. 2500. This total remained the same until 2021 where there was an increase to approx. 3200. In 2024 there was increase approx. to 8000. There also was an increase in 2025 to just under 15000. The 2024 FSR projections commenced at 2024 at approx. 8000, then showed an increase across the years from 2025 to 2029 approx. 20000. From 2029 the number of exits declines across the years to 2032 where the total exit figure maintains across to 2034 at approx.12000. The 2025 FSR projection commenced at just under 15000 with a steep climb in 2026 to approx. 26000. Across the years from 2027 to 2029 there was a decrease to approx. 13500. This total was maintained to 2034.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5229" name="Picture 2" descr="Beginning of alt text for Figure 2: Actual &amp; projected total number of exits. The figure charts the results across the years from 2018 to 2034 totals for Actual, 2024 FSR and 2025 FSR. For actual in 2018 commenced at approx. 2500. This total remained the same until 2021 where there was an increase to approx. 3200. In 2024 there was increase approx. to 8000. There also was an increase in 2025 to just under 15000. The 2024 FSR projections commenced at 2024 at approx. 8000, then showed an increase across the years from 2025 to 2029 approx. 20000. From 2029 the number of exits declines across the years to 2032 where the total exit figure maintains across to 2034 at approx.12000. The 2025 FSR projection commenced at just under 15000 with a steep climb in 2026 to approx. 26000. Across the years from 2027 to 2029 there was a decrease to approx. 13500. This total was maintained to 2034. End of alt tex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1678" cy="2573265"/>
                    </a:xfrm>
                    <a:prstGeom prst="rect">
                      <a:avLst/>
                    </a:prstGeom>
                    <a:noFill/>
                  </pic:spPr>
                </pic:pic>
              </a:graphicData>
            </a:graphic>
          </wp:inline>
        </w:drawing>
      </w:r>
    </w:p>
    <w:p w14:paraId="42C851B3" w14:textId="77777777" w:rsidR="0042053B" w:rsidRPr="00D6090D" w:rsidRDefault="0042053B" w:rsidP="0042053B">
      <w:pPr>
        <w:rPr>
          <w:sz w:val="18"/>
          <w:szCs w:val="18"/>
        </w:rPr>
      </w:pPr>
      <w:r w:rsidRPr="00D6090D">
        <w:rPr>
          <w:sz w:val="18"/>
          <w:szCs w:val="18"/>
        </w:rPr>
        <w:t>End of Figure</w:t>
      </w:r>
    </w:p>
    <w:p w14:paraId="5870193D" w14:textId="02ED907B" w:rsidR="00C628CD" w:rsidRPr="00062916" w:rsidRDefault="008923E4" w:rsidP="00A67B7D">
      <w:r>
        <w:t>I</w:t>
      </w:r>
      <w:r w:rsidR="00400987" w:rsidRPr="00062916">
        <w:t xml:space="preserve">n </w:t>
      </w:r>
      <w:r>
        <w:t xml:space="preserve">the </w:t>
      </w:r>
      <w:r w:rsidR="00A73CF0" w:rsidRPr="00062916">
        <w:t>202</w:t>
      </w:r>
      <w:r w:rsidR="00394E2C" w:rsidRPr="00062916">
        <w:t>5</w:t>
      </w:r>
      <w:r w:rsidR="00A73CF0" w:rsidRPr="00062916">
        <w:t xml:space="preserve"> </w:t>
      </w:r>
      <w:r w:rsidR="00704262" w:rsidRPr="00062916">
        <w:t>FSR</w:t>
      </w:r>
      <w:r>
        <w:t>, exits</w:t>
      </w:r>
      <w:r w:rsidR="001035A6" w:rsidRPr="00062916">
        <w:t xml:space="preserve"> </w:t>
      </w:r>
      <w:r w:rsidR="00FE704E" w:rsidRPr="00062916">
        <w:t>a</w:t>
      </w:r>
      <w:r w:rsidR="00400987" w:rsidRPr="00062916">
        <w:t xml:space="preserve">re assumed to </w:t>
      </w:r>
      <w:r w:rsidR="00685A31" w:rsidRPr="00062916">
        <w:t xml:space="preserve">increase </w:t>
      </w:r>
      <w:r w:rsidR="00474326" w:rsidRPr="00062916">
        <w:t xml:space="preserve">substantially </w:t>
      </w:r>
      <w:r w:rsidR="005A40B3" w:rsidRPr="00062916">
        <w:t>from 2024-25 levels (14,</w:t>
      </w:r>
      <w:r w:rsidR="00BE50C7">
        <w:t>6</w:t>
      </w:r>
      <w:r w:rsidR="005A40B3" w:rsidRPr="00062916">
        <w:t xml:space="preserve">00 exits) </w:t>
      </w:r>
      <w:r w:rsidR="00846820">
        <w:t>in</w:t>
      </w:r>
      <w:r w:rsidR="00062916" w:rsidRPr="00062916">
        <w:t xml:space="preserve"> </w:t>
      </w:r>
      <w:r w:rsidR="00563A29">
        <w:t xml:space="preserve">each of the next three years </w:t>
      </w:r>
      <w:r w:rsidR="00BD5B6E" w:rsidRPr="00062916">
        <w:t>(</w:t>
      </w:r>
      <w:r w:rsidR="00650D2E">
        <w:t>between 23,</w:t>
      </w:r>
      <w:r w:rsidR="000A0631">
        <w:t>2</w:t>
      </w:r>
      <w:r w:rsidR="00650D2E">
        <w:t xml:space="preserve">00 </w:t>
      </w:r>
      <w:r w:rsidR="00BD0C96">
        <w:t xml:space="preserve">and </w:t>
      </w:r>
      <w:r w:rsidR="00650D2E">
        <w:t>27,</w:t>
      </w:r>
      <w:r w:rsidR="00C01F4B">
        <w:t>3</w:t>
      </w:r>
      <w:r w:rsidR="00650D2E">
        <w:t xml:space="preserve">00 </w:t>
      </w:r>
      <w:r w:rsidR="00BD5B6E" w:rsidRPr="00062916">
        <w:t>exits</w:t>
      </w:r>
      <w:r w:rsidR="00650D2E">
        <w:t xml:space="preserve"> per year</w:t>
      </w:r>
      <w:r w:rsidR="00BD5B6E" w:rsidRPr="00062916">
        <w:t>)</w:t>
      </w:r>
      <w:r w:rsidR="0064023E">
        <w:t xml:space="preserve"> </w:t>
      </w:r>
      <w:r w:rsidR="00474326" w:rsidRPr="00062916">
        <w:t>as the backlog of eligibility reassessments are processed.</w:t>
      </w:r>
      <w:r w:rsidR="0097672F">
        <w:t xml:space="preserve"> The backlog is assumed to be cleared by the end of 202</w:t>
      </w:r>
      <w:r w:rsidR="00BA5B60">
        <w:t>7</w:t>
      </w:r>
      <w:r w:rsidR="0097672F">
        <w:t>-2</w:t>
      </w:r>
      <w:r w:rsidR="00BA5B60">
        <w:t>8</w:t>
      </w:r>
      <w:r w:rsidR="00155E60">
        <w:t xml:space="preserve">, after which exits are assumed to </w:t>
      </w:r>
      <w:r w:rsidR="00A4454C">
        <w:t>revert</w:t>
      </w:r>
      <w:r w:rsidR="0032630C">
        <w:t xml:space="preserve"> to </w:t>
      </w:r>
      <w:r w:rsidR="00A4454C">
        <w:t>long ter</w:t>
      </w:r>
      <w:r w:rsidR="000B2CAA">
        <w:t>m</w:t>
      </w:r>
      <w:r w:rsidR="0032630C">
        <w:t xml:space="preserve"> levels</w:t>
      </w:r>
      <w:proofErr w:type="gramStart"/>
      <w:r w:rsidR="0032630C">
        <w:t>.</w:t>
      </w:r>
      <w:r w:rsidR="00474326" w:rsidRPr="00062916">
        <w:t xml:space="preserve">  </w:t>
      </w:r>
      <w:proofErr w:type="gramEnd"/>
      <w:r w:rsidR="00A62011" w:rsidRPr="00062916">
        <w:t xml:space="preserve"> </w:t>
      </w:r>
    </w:p>
    <w:p w14:paraId="46B1730E" w14:textId="2ACB8054" w:rsidR="009D0714" w:rsidRPr="007535B5" w:rsidRDefault="00C01F4B" w:rsidP="009D0714">
      <w:r w:rsidRPr="000D702B">
        <w:t xml:space="preserve">Uncertainty in this year’s </w:t>
      </w:r>
      <w:r>
        <w:t>exit</w:t>
      </w:r>
      <w:r w:rsidRPr="000D702B">
        <w:t xml:space="preserve"> assumptions is </w:t>
      </w:r>
      <w:r>
        <w:t xml:space="preserve">primarily </w:t>
      </w:r>
      <w:r w:rsidR="00FD2C43">
        <w:t xml:space="preserve">related to the availability of resources </w:t>
      </w:r>
      <w:r w:rsidR="00F6534C">
        <w:t xml:space="preserve">to process eligibility reassessments and the assumed proportion that will </w:t>
      </w:r>
      <w:r w:rsidR="00466921">
        <w:t xml:space="preserve">leave the </w:t>
      </w:r>
      <w:r w:rsidR="00612C72">
        <w:t>S</w:t>
      </w:r>
      <w:r w:rsidR="00466921">
        <w:t>cheme</w:t>
      </w:r>
      <w:r w:rsidR="00F6534C">
        <w:t xml:space="preserve">. </w:t>
      </w:r>
      <w:r w:rsidR="007535B5">
        <w:t xml:space="preserve">With the large number of projected exits in the next </w:t>
      </w:r>
      <w:r w:rsidR="00B7412C">
        <w:t>three</w:t>
      </w:r>
      <w:r w:rsidR="007535B5">
        <w:t xml:space="preserve"> years, c</w:t>
      </w:r>
      <w:r w:rsidR="007535B5" w:rsidRPr="007535B5">
        <w:t>ontinued monitoring of</w:t>
      </w:r>
      <w:r w:rsidR="00AE34C2" w:rsidRPr="007535B5">
        <w:t xml:space="preserve"> p</w:t>
      </w:r>
      <w:r w:rsidR="003D57C6" w:rsidRPr="007535B5">
        <w:t>rogress against these assumptions is</w:t>
      </w:r>
      <w:r w:rsidR="00FD262D" w:rsidRPr="007535B5">
        <w:t xml:space="preserve"> </w:t>
      </w:r>
      <w:r w:rsidR="007535B5" w:rsidRPr="007535B5">
        <w:t>important</w:t>
      </w:r>
      <w:r w:rsidR="003A45FD" w:rsidRPr="007535B5">
        <w:t>, with either resource</w:t>
      </w:r>
      <w:r w:rsidR="0063790E" w:rsidRPr="007535B5">
        <w:t>s</w:t>
      </w:r>
      <w:r w:rsidR="003A45FD" w:rsidRPr="007535B5">
        <w:t xml:space="preserve"> adjusted to meet expectations, or assumptions adjusted, as appropriate</w:t>
      </w:r>
      <w:r w:rsidR="007535B5">
        <w:t>.</w:t>
      </w:r>
    </w:p>
    <w:p w14:paraId="674C7322" w14:textId="164E7A22" w:rsidR="006C5014" w:rsidRPr="00C67632" w:rsidRDefault="006C5014" w:rsidP="006C5014">
      <w:pPr>
        <w:pStyle w:val="Heading4"/>
      </w:pPr>
      <w:r w:rsidRPr="00C67632">
        <w:t>Deaths</w:t>
      </w:r>
    </w:p>
    <w:p w14:paraId="255C7C63" w14:textId="57B3481D" w:rsidR="006C5014" w:rsidRPr="006D73D3" w:rsidRDefault="00F769FF" w:rsidP="00C14905">
      <w:pPr>
        <w:rPr>
          <w:highlight w:val="yellow"/>
        </w:rPr>
      </w:pPr>
      <w:r w:rsidRPr="00C67632">
        <w:t xml:space="preserve">The projection </w:t>
      </w:r>
      <w:r w:rsidR="004337FB">
        <w:t xml:space="preserve">assumes that a </w:t>
      </w:r>
      <w:r w:rsidRPr="00C67632">
        <w:t xml:space="preserve">proportion of participants that will die. </w:t>
      </w:r>
      <w:r w:rsidR="313220EB" w:rsidRPr="00C67632">
        <w:t>Attachment B compares recent</w:t>
      </w:r>
      <w:r w:rsidR="00B413AC" w:rsidRPr="00C67632">
        <w:t xml:space="preserve"> and projected </w:t>
      </w:r>
      <w:r w:rsidR="313220EB" w:rsidRPr="00C67632">
        <w:t>experience</w:t>
      </w:r>
      <w:r w:rsidR="313220EB" w:rsidRPr="00FF4108">
        <w:t xml:space="preserve">. </w:t>
      </w:r>
      <w:r w:rsidR="00C2131D" w:rsidRPr="00FF4108">
        <w:t>This shows that</w:t>
      </w:r>
      <w:r w:rsidR="00C67632" w:rsidRPr="00FF4108">
        <w:t>, overall,</w:t>
      </w:r>
      <w:r w:rsidR="00C2131D" w:rsidRPr="00FF4108">
        <w:t xml:space="preserve"> the rate of exits </w:t>
      </w:r>
      <w:r w:rsidR="4255530A" w:rsidRPr="00FF4108">
        <w:t xml:space="preserve">due to </w:t>
      </w:r>
      <w:r w:rsidR="00C2131D" w:rsidRPr="00FF4108">
        <w:t xml:space="preserve">mortality </w:t>
      </w:r>
      <w:r w:rsidR="00076104">
        <w:t>was</w:t>
      </w:r>
      <w:r w:rsidR="00C2131D" w:rsidRPr="00FF4108">
        <w:t xml:space="preserve"> close to that </w:t>
      </w:r>
      <w:r w:rsidR="0054629C" w:rsidRPr="00FF4108">
        <w:t>which was expected in the 202</w:t>
      </w:r>
      <w:r w:rsidR="00C67632" w:rsidRPr="00FF4108">
        <w:t>4</w:t>
      </w:r>
      <w:r w:rsidR="0054629C" w:rsidRPr="00FF4108">
        <w:t xml:space="preserve"> FSR</w:t>
      </w:r>
      <w:r w:rsidR="002A7ECE" w:rsidRPr="00FF4108">
        <w:t xml:space="preserve"> (6,131 actu</w:t>
      </w:r>
      <w:r w:rsidR="00EF38A2" w:rsidRPr="00FF4108">
        <w:t>a</w:t>
      </w:r>
      <w:r w:rsidR="002A7ECE" w:rsidRPr="00FF4108">
        <w:t xml:space="preserve">l deaths compared with </w:t>
      </w:r>
      <w:r w:rsidR="00EF38A2" w:rsidRPr="00FF4108">
        <w:t>6,005 expected)</w:t>
      </w:r>
      <w:r w:rsidR="0054629C" w:rsidRPr="00FF4108">
        <w:t xml:space="preserve">. </w:t>
      </w:r>
      <w:r w:rsidR="00FF4108">
        <w:t xml:space="preserve">However, </w:t>
      </w:r>
      <w:r w:rsidR="00A0608E">
        <w:t>the</w:t>
      </w:r>
      <w:r w:rsidR="00076104">
        <w:t xml:space="preserve"> </w:t>
      </w:r>
      <w:r w:rsidR="00A0608E">
        <w:t xml:space="preserve">number of deaths </w:t>
      </w:r>
      <w:r w:rsidR="00FF4108">
        <w:t>for participants</w:t>
      </w:r>
      <w:r w:rsidR="00A0608E">
        <w:t xml:space="preserve"> </w:t>
      </w:r>
      <w:r w:rsidR="007C697E">
        <w:t xml:space="preserve">with higher support needs </w:t>
      </w:r>
      <w:r w:rsidR="00A0608E">
        <w:t xml:space="preserve">was </w:t>
      </w:r>
      <w:r w:rsidR="00076104">
        <w:t xml:space="preserve">considerably </w:t>
      </w:r>
      <w:r w:rsidR="009F4B0E">
        <w:t>higher than expected</w:t>
      </w:r>
      <w:r w:rsidR="00840549">
        <w:t>. This is</w:t>
      </w:r>
      <w:r w:rsidR="00F739CF">
        <w:t xml:space="preserve"> a feature we have </w:t>
      </w:r>
      <w:r w:rsidR="009162E7">
        <w:t>observed</w:t>
      </w:r>
      <w:r w:rsidR="00F739CF">
        <w:t xml:space="preserve"> for a </w:t>
      </w:r>
      <w:r w:rsidR="00C63F03">
        <w:t>few</w:t>
      </w:r>
      <w:r w:rsidR="00F739CF">
        <w:t xml:space="preserve"> years </w:t>
      </w:r>
      <w:r w:rsidR="00F739CF" w:rsidRPr="002C44C5">
        <w:t>now</w:t>
      </w:r>
      <w:r w:rsidR="00053627" w:rsidRPr="002C44C5">
        <w:t>.</w:t>
      </w:r>
      <w:r w:rsidR="00FF4108" w:rsidRPr="002C44C5">
        <w:t xml:space="preserve"> </w:t>
      </w:r>
      <w:r w:rsidR="0054629C" w:rsidRPr="002C44C5">
        <w:t xml:space="preserve">The </w:t>
      </w:r>
      <w:r w:rsidR="000062B1" w:rsidRPr="002C44C5">
        <w:t>202</w:t>
      </w:r>
      <w:r w:rsidR="003C04FB" w:rsidRPr="002C44C5">
        <w:t>5</w:t>
      </w:r>
      <w:r w:rsidR="000062B1" w:rsidRPr="002C44C5">
        <w:t xml:space="preserve"> FSR </w:t>
      </w:r>
      <w:r w:rsidR="002C44C5" w:rsidRPr="002C44C5">
        <w:t xml:space="preserve">has increased the </w:t>
      </w:r>
      <w:r w:rsidR="0054629C" w:rsidRPr="002C44C5">
        <w:t>mortality assumptions</w:t>
      </w:r>
      <w:r w:rsidR="00840549">
        <w:t xml:space="preserve"> for participants with higher support needs</w:t>
      </w:r>
      <w:r w:rsidR="0054629C" w:rsidRPr="002C44C5">
        <w:t xml:space="preserve">. I agree with this </w:t>
      </w:r>
      <w:r w:rsidR="00005E73">
        <w:t>change</w:t>
      </w:r>
      <w:r w:rsidR="0054629C" w:rsidRPr="002C44C5">
        <w:t xml:space="preserve">. </w:t>
      </w:r>
    </w:p>
    <w:p w14:paraId="456BAE6E" w14:textId="39A9ED0A" w:rsidR="00BF7F90" w:rsidRPr="009424DA" w:rsidRDefault="00EA646C" w:rsidP="00315F42">
      <w:pPr>
        <w:pStyle w:val="Heading4"/>
      </w:pPr>
      <w:r w:rsidRPr="009424DA">
        <w:t xml:space="preserve">Supported Independent Living </w:t>
      </w:r>
      <w:r w:rsidR="00BF7F90" w:rsidRPr="009424DA">
        <w:t xml:space="preserve">population </w:t>
      </w:r>
      <w:proofErr w:type="gramStart"/>
      <w:r w:rsidR="00BF7F90" w:rsidRPr="009424DA">
        <w:t>projection</w:t>
      </w:r>
      <w:proofErr w:type="gramEnd"/>
    </w:p>
    <w:p w14:paraId="5DA635AB" w14:textId="04D35B24" w:rsidR="00276E79" w:rsidRDefault="00276E79" w:rsidP="00276E79">
      <w:r>
        <w:t>P</w:t>
      </w:r>
      <w:r w:rsidRPr="00B25962">
        <w:t xml:space="preserve">articipants receiving SIL account for around </w:t>
      </w:r>
      <w:r>
        <w:t>one third</w:t>
      </w:r>
      <w:r w:rsidRPr="00B25962">
        <w:t xml:space="preserve"> of </w:t>
      </w:r>
      <w:r>
        <w:t xml:space="preserve">Scheme </w:t>
      </w:r>
      <w:r w:rsidRPr="00B25962">
        <w:t xml:space="preserve">outlays, despite </w:t>
      </w:r>
      <w:r>
        <w:t xml:space="preserve">comprising </w:t>
      </w:r>
      <w:r w:rsidRPr="00B25962">
        <w:t xml:space="preserve">only </w:t>
      </w:r>
      <w:r w:rsidRPr="00AA49AB">
        <w:t>5% of participants</w:t>
      </w:r>
      <w:r w:rsidRPr="00B25962">
        <w:t xml:space="preserve">. Small changes in the SIL population </w:t>
      </w:r>
      <w:r>
        <w:t xml:space="preserve">can </w:t>
      </w:r>
      <w:r w:rsidRPr="00B25962">
        <w:t>have a material impact on costs.</w:t>
      </w:r>
    </w:p>
    <w:p w14:paraId="787FB3E5" w14:textId="1B6A2B86" w:rsidR="00530B94" w:rsidRDefault="00350E8F" w:rsidP="00A0385C">
      <w:r w:rsidRPr="009424DA">
        <w:t xml:space="preserve">The number of participants with SIL supports grew by </w:t>
      </w:r>
      <w:r w:rsidR="00A17D78" w:rsidRPr="009424DA">
        <w:t>5.2</w:t>
      </w:r>
      <w:r w:rsidRPr="009424DA">
        <w:t>% in the year to 30 June 202</w:t>
      </w:r>
      <w:r w:rsidR="00910C01" w:rsidRPr="009424DA">
        <w:t>5</w:t>
      </w:r>
      <w:r w:rsidRPr="009424DA">
        <w:t xml:space="preserve">. </w:t>
      </w:r>
      <w:r w:rsidR="00612EF3" w:rsidRPr="009424DA">
        <w:t xml:space="preserve">This was </w:t>
      </w:r>
      <w:r w:rsidR="00BB0703" w:rsidRPr="009424DA">
        <w:t>2.3</w:t>
      </w:r>
      <w:r w:rsidR="00B33631" w:rsidRPr="009424DA">
        <w:t xml:space="preserve">% below </w:t>
      </w:r>
      <w:r w:rsidR="009A1BBD" w:rsidRPr="009424DA">
        <w:t xml:space="preserve">what </w:t>
      </w:r>
      <w:r w:rsidR="00B33631" w:rsidRPr="009424DA">
        <w:t xml:space="preserve">was </w:t>
      </w:r>
      <w:r w:rsidR="00EE4C3E" w:rsidRPr="009424DA">
        <w:t xml:space="preserve">expected in the </w:t>
      </w:r>
      <w:r w:rsidR="0066303F" w:rsidRPr="009424DA">
        <w:t>202</w:t>
      </w:r>
      <w:r w:rsidR="00BB0703" w:rsidRPr="009424DA">
        <w:t>4</w:t>
      </w:r>
      <w:r w:rsidR="0066303F" w:rsidRPr="009424DA">
        <w:t xml:space="preserve"> </w:t>
      </w:r>
      <w:r w:rsidR="00C6140B" w:rsidRPr="009424DA">
        <w:t>FSR</w:t>
      </w:r>
      <w:r w:rsidR="00822B57">
        <w:t xml:space="preserve"> and is a result of both</w:t>
      </w:r>
      <w:r w:rsidR="005F1D4F">
        <w:t>:</w:t>
      </w:r>
    </w:p>
    <w:p w14:paraId="53146355" w14:textId="77777777" w:rsidR="00530B94" w:rsidRDefault="00530B94">
      <w:pPr>
        <w:spacing w:after="0" w:line="240" w:lineRule="auto"/>
      </w:pPr>
      <w:r>
        <w:br w:type="page"/>
      </w:r>
    </w:p>
    <w:p w14:paraId="21E687E2" w14:textId="4F7EBB9B" w:rsidR="00A628F6" w:rsidRPr="005507F4" w:rsidRDefault="00D24766" w:rsidP="007240D2">
      <w:pPr>
        <w:pStyle w:val="OutlineNumbered1"/>
        <w:spacing w:after="120"/>
        <w:ind w:left="471" w:hanging="471"/>
      </w:pPr>
      <w:r>
        <w:lastRenderedPageBreak/>
        <w:t>F</w:t>
      </w:r>
      <w:r w:rsidR="00822B57">
        <w:t xml:space="preserve">ewer participants transitioning into SIL </w:t>
      </w:r>
      <w:r w:rsidR="005F1D4F">
        <w:t>than expected</w:t>
      </w:r>
      <w:r w:rsidR="000D7989">
        <w:t>.</w:t>
      </w:r>
      <w:r w:rsidR="000D7989" w:rsidRPr="000D7989">
        <w:t xml:space="preserve"> </w:t>
      </w:r>
      <w:r w:rsidR="000D7989">
        <w:t>While fewer participants transitioned to SIL than expected in 2024-25, the expected number was a sizeable reduction on the 2023-24 actual transitions, and the overall trend in SIL transitions was broadly in line with expectations</w:t>
      </w:r>
      <w:proofErr w:type="gramStart"/>
      <w:r w:rsidR="000D7989">
        <w:t xml:space="preserve">.  </w:t>
      </w:r>
      <w:proofErr w:type="gramEnd"/>
      <w:r w:rsidR="000D7989">
        <w:t>As a result, the rate of SIL transitions is unchanged from the 2024 FSR assumptions.</w:t>
      </w:r>
      <w:r w:rsidR="00A628F6" w:rsidRPr="00A628F6">
        <w:t xml:space="preserve"> </w:t>
      </w:r>
      <w:r w:rsidR="00A628F6" w:rsidRPr="005507F4">
        <w:t>I concur with this approach but note the dependency on uncertain future moderation in the net intake</w:t>
      </w:r>
      <w:r w:rsidR="00A628F6">
        <w:t xml:space="preserve"> (discussed further below)</w:t>
      </w:r>
      <w:r w:rsidR="00A628F6" w:rsidRPr="005507F4">
        <w:t>.</w:t>
      </w:r>
    </w:p>
    <w:p w14:paraId="31ADC554" w14:textId="796CE455" w:rsidR="005F1D4F" w:rsidRDefault="00A26511" w:rsidP="007240D2">
      <w:pPr>
        <w:pStyle w:val="OutlineNumbered1"/>
        <w:spacing w:after="120"/>
        <w:ind w:left="471" w:hanging="471"/>
      </w:pPr>
      <w:r>
        <w:t>H</w:t>
      </w:r>
      <w:r w:rsidR="00DA1C59">
        <w:t xml:space="preserve">igher </w:t>
      </w:r>
      <w:r w:rsidR="005F1D4F">
        <w:t xml:space="preserve">than expected </w:t>
      </w:r>
      <w:r w:rsidR="00DA1C59">
        <w:t>numbers of participants with SIL support</w:t>
      </w:r>
      <w:r w:rsidR="005F1D4F">
        <w:t>s</w:t>
      </w:r>
      <w:r w:rsidR="00DA1C59">
        <w:t xml:space="preserve"> leaving the Scheme</w:t>
      </w:r>
      <w:r w:rsidR="000D7989">
        <w:t xml:space="preserve">. </w:t>
      </w:r>
      <w:r w:rsidR="000045CC">
        <w:t>Mortality is the main cause of exit for participants with SIL supports</w:t>
      </w:r>
      <w:r w:rsidR="00B3091A">
        <w:t>. SIL</w:t>
      </w:r>
      <w:r w:rsidR="00C47F5D">
        <w:t xml:space="preserve"> mortality rates have been increased</w:t>
      </w:r>
      <w:r w:rsidR="00B3091A">
        <w:t>. This has been</w:t>
      </w:r>
      <w:r w:rsidR="00C47F5D">
        <w:t xml:space="preserve"> </w:t>
      </w:r>
      <w:r w:rsidR="00DA1C59">
        <w:t>discussed above</w:t>
      </w:r>
      <w:r w:rsidR="008A0E1B" w:rsidRPr="009424DA">
        <w:t>.</w:t>
      </w:r>
      <w:r w:rsidR="006F43C7" w:rsidRPr="009424DA">
        <w:t xml:space="preserve"> </w:t>
      </w:r>
    </w:p>
    <w:p w14:paraId="7DA12823" w14:textId="2602DFA2" w:rsidR="00A628F6" w:rsidRPr="005507F4" w:rsidRDefault="00C35DB3" w:rsidP="00A628F6">
      <w:r>
        <w:fldChar w:fldCharType="begin"/>
      </w:r>
      <w:r>
        <w:instrText xml:space="preserve"> REF _Ref206144771 \h </w:instrText>
      </w:r>
      <w:r>
        <w:fldChar w:fldCharType="separate"/>
      </w:r>
      <w:r w:rsidR="0093576D" w:rsidRPr="000817E7">
        <w:t xml:space="preserve">Figure </w:t>
      </w:r>
      <w:r w:rsidR="0093576D">
        <w:rPr>
          <w:noProof/>
        </w:rPr>
        <w:t>3</w:t>
      </w:r>
      <w:r>
        <w:fldChar w:fldCharType="end"/>
      </w:r>
      <w:r>
        <w:t xml:space="preserve"> </w:t>
      </w:r>
      <w:r w:rsidR="006D3CE2" w:rsidRPr="001148F2">
        <w:t>shows that t</w:t>
      </w:r>
      <w:r w:rsidR="00A22C1B" w:rsidRPr="001148F2">
        <w:t xml:space="preserve">he </w:t>
      </w:r>
      <w:r w:rsidR="009F2EFE" w:rsidRPr="001148F2">
        <w:t>net intake</w:t>
      </w:r>
      <w:r w:rsidR="00705A94" w:rsidRPr="001148F2">
        <w:t xml:space="preserve"> </w:t>
      </w:r>
      <w:r w:rsidR="002A227B" w:rsidRPr="001148F2">
        <w:t xml:space="preserve">to SIL </w:t>
      </w:r>
      <w:r w:rsidR="001148F2" w:rsidRPr="001148F2">
        <w:t xml:space="preserve">has </w:t>
      </w:r>
      <w:r w:rsidR="005C35C3" w:rsidRPr="001148F2">
        <w:t>moderate</w:t>
      </w:r>
      <w:r w:rsidR="00BC2F22" w:rsidRPr="001148F2">
        <w:t>d</w:t>
      </w:r>
      <w:r w:rsidR="005C35C3" w:rsidRPr="001148F2">
        <w:t xml:space="preserve"> over </w:t>
      </w:r>
      <w:r w:rsidR="001148F2" w:rsidRPr="001148F2">
        <w:t>the last three years</w:t>
      </w:r>
      <w:r w:rsidR="00D01B5B">
        <w:t xml:space="preserve"> and is expected to </w:t>
      </w:r>
      <w:r w:rsidR="00ED2D34">
        <w:t>further moderate in 20</w:t>
      </w:r>
      <w:r w:rsidR="00094DEB">
        <w:t>26-</w:t>
      </w:r>
      <w:r w:rsidR="00ED2D34">
        <w:t>27</w:t>
      </w:r>
      <w:r w:rsidR="00613521">
        <w:t>.</w:t>
      </w:r>
      <w:r w:rsidR="0053442F">
        <w:t xml:space="preserve"> </w:t>
      </w:r>
      <w:r w:rsidR="00D545BD">
        <w:t>T</w:t>
      </w:r>
      <w:r w:rsidR="0053442F">
        <w:t xml:space="preserve">he higher mortality rates </w:t>
      </w:r>
      <w:r w:rsidR="00D545BD">
        <w:t xml:space="preserve">assumed </w:t>
      </w:r>
      <w:r w:rsidR="0053442F">
        <w:t>for participants</w:t>
      </w:r>
      <w:r w:rsidR="009B4189">
        <w:t xml:space="preserve"> </w:t>
      </w:r>
      <w:r w:rsidR="00610362">
        <w:t xml:space="preserve">with higher support needs </w:t>
      </w:r>
      <w:r w:rsidR="009E6312">
        <w:t xml:space="preserve">results in a lower </w:t>
      </w:r>
      <w:r w:rsidR="009B4189">
        <w:t>projected SIL net intake</w:t>
      </w:r>
      <w:r w:rsidR="009E6312">
        <w:t xml:space="preserve">, compared to the </w:t>
      </w:r>
      <w:r w:rsidR="003D0D70">
        <w:t>2024 FSR.</w:t>
      </w:r>
      <w:r w:rsidR="003241A9">
        <w:t xml:space="preserve"> </w:t>
      </w:r>
    </w:p>
    <w:p w14:paraId="36912C52" w14:textId="045E64CD" w:rsidR="00F076A5" w:rsidRPr="000817E7" w:rsidRDefault="00F076A5" w:rsidP="00F076A5">
      <w:pPr>
        <w:pStyle w:val="Caption"/>
      </w:pPr>
      <w:bookmarkStart w:id="7" w:name="_Ref142208205"/>
      <w:bookmarkStart w:id="8" w:name="_Ref206144771"/>
      <w:bookmarkStart w:id="9" w:name="_Hlk210745289"/>
      <w:r w:rsidRPr="000817E7">
        <w:t xml:space="preserve">Figure </w:t>
      </w:r>
      <w:bookmarkEnd w:id="7"/>
      <w:r w:rsidR="001A459F">
        <w:fldChar w:fldCharType="begin"/>
      </w:r>
      <w:r w:rsidR="001A459F">
        <w:instrText xml:space="preserve"> SEQ Figure \* ARABIC </w:instrText>
      </w:r>
      <w:r w:rsidR="001A459F">
        <w:fldChar w:fldCharType="separate"/>
      </w:r>
      <w:r w:rsidR="0093576D">
        <w:rPr>
          <w:noProof/>
        </w:rPr>
        <w:t>3</w:t>
      </w:r>
      <w:r w:rsidR="001A459F">
        <w:fldChar w:fldCharType="end"/>
      </w:r>
      <w:bookmarkEnd w:id="8"/>
      <w:r w:rsidRPr="000817E7">
        <w:t xml:space="preserve">: </w:t>
      </w:r>
      <w:r w:rsidR="00ED0D1F" w:rsidRPr="000817E7">
        <w:t xml:space="preserve">Projected SIL </w:t>
      </w:r>
      <w:r w:rsidR="003F4091" w:rsidRPr="000817E7">
        <w:t xml:space="preserve">net </w:t>
      </w:r>
      <w:proofErr w:type="gramStart"/>
      <w:r w:rsidR="003F4091" w:rsidRPr="000817E7">
        <w:t>intake</w:t>
      </w:r>
      <w:proofErr w:type="gramEnd"/>
    </w:p>
    <w:bookmarkEnd w:id="9"/>
    <w:p w14:paraId="522471D7" w14:textId="6E093146" w:rsidR="003D5D87" w:rsidRPr="000817E7" w:rsidRDefault="00764767" w:rsidP="00534BC0">
      <w:pPr>
        <w:pStyle w:val="ChartGraphic"/>
      </w:pPr>
      <w:r>
        <w:drawing>
          <wp:inline distT="0" distB="0" distL="0" distR="0" wp14:anchorId="755B886F" wp14:editId="045FCED8">
            <wp:extent cx="5751613" cy="2667000"/>
            <wp:effectExtent l="0" t="0" r="1905" b="0"/>
            <wp:docPr id="1290668225" name="Picture 3" descr="Beginning of alt text for Figure 3: Projected SIL net intake. The figure charts the projected results across the years from 2018 to 2035, totals for Actual, 2024 FSR and 2025 FSR. Actual across the years from 2018 to 2024: The net intake figure commenced in 2018 at approx. 8200, dropped to 300 in 2021, and finished in 2024 (30 June) at approx. 1900. For the 2024 FSR assumed net intake the total for 2025 commenced at 2800, dropping to 1600 in 2028. For the 2025 FSR the total assumed net intake projected figure commenced at 2000 in 2026 and drops to 1400 in 2027. The total assumed net intake for 2035 increases to about 2000 for the 2024 FSR and 1950 for the 2025 FSR.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68225" name="Picture 3" descr="Beginning of alt text for Figure 3: Projected SIL net intake. The figure charts the projected results across the years from 2018 to 2035, totals for Actual, 2024 FSR and 2025 FSR. Actual across the years from 2018 to 2024: The net intake figure commenced in 2018 at approx. 8200, dropped to 300 in 2021, and finished in 2024 (30 June) at approx. 1900. For the 2024 FSR assumed net intake the total for 2025 commenced at 2800, dropping to 1600 in 2028. For the 2025 FSR the total assumed net intake projected figure commenced at 2000 in 2026 and drops to 1400 in 2027. The total assumed net intake for 2035 increases to about 2000 for the 2024 FSR and 1950 for the 2025 FSR. End of alt tex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406" cy="2667831"/>
                    </a:xfrm>
                    <a:prstGeom prst="rect">
                      <a:avLst/>
                    </a:prstGeom>
                    <a:noFill/>
                  </pic:spPr>
                </pic:pic>
              </a:graphicData>
            </a:graphic>
          </wp:inline>
        </w:drawing>
      </w:r>
    </w:p>
    <w:p w14:paraId="1DB382FC" w14:textId="49784069" w:rsidR="00EB037F" w:rsidRDefault="00EB037F" w:rsidP="00EB037F">
      <w:pPr>
        <w:rPr>
          <w:sz w:val="18"/>
          <w:szCs w:val="18"/>
        </w:rPr>
      </w:pPr>
      <w:r w:rsidRPr="00EB037F">
        <w:rPr>
          <w:sz w:val="18"/>
          <w:szCs w:val="18"/>
        </w:rPr>
        <w:t>End of Figure</w:t>
      </w:r>
    </w:p>
    <w:p w14:paraId="6EF64112" w14:textId="554D9FD8" w:rsidR="00530B94" w:rsidRDefault="00A553F1" w:rsidP="00A553F1">
      <w:r>
        <w:t xml:space="preserve">As the projected </w:t>
      </w:r>
      <w:r w:rsidR="00647F60">
        <w:t xml:space="preserve">SIL </w:t>
      </w:r>
      <w:r>
        <w:t xml:space="preserve">net intake is </w:t>
      </w:r>
      <w:r w:rsidR="00647F60">
        <w:t xml:space="preserve">lower than in the 2024 FSR, </w:t>
      </w:r>
      <w:r>
        <w:t xml:space="preserve">the projected SIL population is </w:t>
      </w:r>
      <w:r w:rsidR="00647F60">
        <w:t xml:space="preserve">also </w:t>
      </w:r>
      <w:r>
        <w:t>lower in the 2025 FSR compared with the 2024 FSR.</w:t>
      </w:r>
      <w:r w:rsidR="00912DA3">
        <w:t xml:space="preserve"> This is shown in </w:t>
      </w:r>
      <w:r w:rsidR="00912DA3">
        <w:fldChar w:fldCharType="begin"/>
      </w:r>
      <w:r w:rsidR="00912DA3">
        <w:instrText xml:space="preserve"> REF _Ref206068674 \h </w:instrText>
      </w:r>
      <w:r w:rsidR="00912DA3">
        <w:fldChar w:fldCharType="separate"/>
      </w:r>
      <w:r w:rsidR="0093576D">
        <w:t xml:space="preserve">Figure </w:t>
      </w:r>
      <w:r w:rsidR="0093576D">
        <w:rPr>
          <w:noProof/>
        </w:rPr>
        <w:t>4</w:t>
      </w:r>
      <w:r w:rsidR="00912DA3">
        <w:fldChar w:fldCharType="end"/>
      </w:r>
      <w:r w:rsidR="00912DA3">
        <w:t>.</w:t>
      </w:r>
    </w:p>
    <w:p w14:paraId="1DF9F6E4" w14:textId="77777777" w:rsidR="00530B94" w:rsidRDefault="00530B94">
      <w:pPr>
        <w:spacing w:after="0" w:line="240" w:lineRule="auto"/>
      </w:pPr>
      <w:r>
        <w:br w:type="page"/>
      </w:r>
    </w:p>
    <w:p w14:paraId="6BCCBA27" w14:textId="55ADA6E3" w:rsidR="00EB037F" w:rsidRPr="00EB037F" w:rsidRDefault="00562793" w:rsidP="00562793">
      <w:pPr>
        <w:pStyle w:val="Caption"/>
      </w:pPr>
      <w:bookmarkStart w:id="10" w:name="_Ref206068674"/>
      <w:bookmarkStart w:id="11" w:name="_Hlk210748152"/>
      <w:r>
        <w:lastRenderedPageBreak/>
        <w:t xml:space="preserve">Figure </w:t>
      </w:r>
      <w:r w:rsidR="001A459F">
        <w:fldChar w:fldCharType="begin"/>
      </w:r>
      <w:r w:rsidR="001A459F">
        <w:instrText xml:space="preserve"> SEQ Figure \* ARABIC </w:instrText>
      </w:r>
      <w:r w:rsidR="001A459F">
        <w:fldChar w:fldCharType="separate"/>
      </w:r>
      <w:r w:rsidR="0093576D">
        <w:rPr>
          <w:noProof/>
        </w:rPr>
        <w:t>4</w:t>
      </w:r>
      <w:r w:rsidR="001A459F">
        <w:fldChar w:fldCharType="end"/>
      </w:r>
      <w:bookmarkEnd w:id="10"/>
      <w:r>
        <w:t xml:space="preserve">: Projected SIL </w:t>
      </w:r>
      <w:proofErr w:type="gramStart"/>
      <w:r w:rsidR="00F7391A">
        <w:t>p</w:t>
      </w:r>
      <w:r>
        <w:t>opulation</w:t>
      </w:r>
      <w:proofErr w:type="gramEnd"/>
    </w:p>
    <w:bookmarkEnd w:id="11"/>
    <w:p w14:paraId="42309DC0" w14:textId="4B6CC76D" w:rsidR="00362626" w:rsidRPr="000817E7" w:rsidRDefault="00C810A6" w:rsidP="00207EE9">
      <w:pPr>
        <w:pStyle w:val="ChartGraphic"/>
      </w:pPr>
      <w:r>
        <w:drawing>
          <wp:inline distT="0" distB="0" distL="0" distR="0" wp14:anchorId="1183F9DE" wp14:editId="53DD8B65">
            <wp:extent cx="5794545" cy="2676525"/>
            <wp:effectExtent l="0" t="0" r="0" b="0"/>
            <wp:docPr id="584001429" name="Picture 4" descr="Beginning of alt text for Figure 4: Projected SIL population. The figure shows the results for the FSR from 2020 to 2025. The focus of this alt text is on the 2024 FSR and the 2025 FSR. Across all years the projected SIL population total shows that it increased. When comparing the results from the 2024 FSR and 2025 FSR, the 2025 FSR was lower than the 2024 FSR for all years. The 2024 FSR commenced at 35000 and finished in 2035 at 55000. The 2025 FSR commenced at 37000 in 2025 and finished in 2035 at 53000. End of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01429" name="Picture 4" descr="Beginning of alt text for Figure 4: Projected SIL population. The figure shows the results for the FSR from 2020 to 2025. The focus of this alt text is on the 2024 FSR and the 2025 FSR. Across all years the projected SIL population total shows that it increased. When comparing the results from the 2024 FSR and 2025 FSR, the 2025 FSR was lower than the 2024 FSR for all years. The 2024 FSR commenced at 35000 and finished in 2035 at 55000. The 2025 FSR commenced at 37000 in 2025 and finished in 2035 at 53000. End of alt 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5259" cy="2676855"/>
                    </a:xfrm>
                    <a:prstGeom prst="rect">
                      <a:avLst/>
                    </a:prstGeom>
                    <a:noFill/>
                  </pic:spPr>
                </pic:pic>
              </a:graphicData>
            </a:graphic>
          </wp:inline>
        </w:drawing>
      </w:r>
    </w:p>
    <w:p w14:paraId="3042EE10" w14:textId="77777777" w:rsidR="00262697" w:rsidRPr="000817E7" w:rsidRDefault="00262697" w:rsidP="002B42A5">
      <w:pPr>
        <w:rPr>
          <w:sz w:val="18"/>
          <w:szCs w:val="18"/>
        </w:rPr>
      </w:pPr>
      <w:r w:rsidRPr="000817E7">
        <w:rPr>
          <w:sz w:val="18"/>
          <w:szCs w:val="18"/>
        </w:rPr>
        <w:t>End of Figure</w:t>
      </w:r>
    </w:p>
    <w:p w14:paraId="04E603EE" w14:textId="0DA0863D" w:rsidR="001F00FC" w:rsidRPr="00134313" w:rsidRDefault="00D239ED" w:rsidP="00315F42">
      <w:pPr>
        <w:pStyle w:val="Heading4"/>
      </w:pPr>
      <w:r w:rsidRPr="00134313">
        <w:t xml:space="preserve">Comment on </w:t>
      </w:r>
      <w:r w:rsidR="001F00FC" w:rsidRPr="00134313">
        <w:t xml:space="preserve">the </w:t>
      </w:r>
      <w:r w:rsidR="00B64681" w:rsidRPr="00134313">
        <w:t xml:space="preserve">total </w:t>
      </w:r>
      <w:r w:rsidR="00646FCC" w:rsidRPr="00134313">
        <w:t xml:space="preserve">NDIS </w:t>
      </w:r>
      <w:r w:rsidR="001F00FC" w:rsidRPr="00134313">
        <w:t>population projection</w:t>
      </w:r>
    </w:p>
    <w:p w14:paraId="4DCE1138" w14:textId="6A4F2942" w:rsidR="008F7878" w:rsidRPr="00C652D8" w:rsidRDefault="00473F47" w:rsidP="448A9B1F">
      <w:pPr>
        <w:spacing w:after="320"/>
        <w:rPr>
          <w:highlight w:val="yellow"/>
        </w:rPr>
      </w:pPr>
      <w:r>
        <w:fldChar w:fldCharType="begin"/>
      </w:r>
      <w:r>
        <w:instrText xml:space="preserve"> REF _Ref206145345 \h </w:instrText>
      </w:r>
      <w:r>
        <w:fldChar w:fldCharType="separate"/>
      </w:r>
      <w:r w:rsidR="0093576D" w:rsidRPr="00476251">
        <w:t xml:space="preserve">Figure </w:t>
      </w:r>
      <w:r w:rsidR="0093576D">
        <w:rPr>
          <w:noProof/>
        </w:rPr>
        <w:t>5</w:t>
      </w:r>
      <w:r>
        <w:fldChar w:fldCharType="end"/>
      </w:r>
      <w:r>
        <w:t xml:space="preserve"> </w:t>
      </w:r>
      <w:r w:rsidR="00134313">
        <w:t>shows t</w:t>
      </w:r>
      <w:r w:rsidR="00134313" w:rsidRPr="009C1366">
        <w:t>he projected number of participants in successive FSR projections</w:t>
      </w:r>
      <w:r w:rsidR="0003493B">
        <w:t xml:space="preserve">. </w:t>
      </w:r>
      <w:r w:rsidR="001956EB">
        <w:t>T</w:t>
      </w:r>
      <w:r w:rsidR="00865238">
        <w:t xml:space="preserve">he 2025 FSR is projecting </w:t>
      </w:r>
      <w:r w:rsidR="006171BC">
        <w:t>2</w:t>
      </w:r>
      <w:r w:rsidR="00006613">
        <w:t>.</w:t>
      </w:r>
      <w:r w:rsidR="001956EB">
        <w:t>1</w:t>
      </w:r>
      <w:r w:rsidR="006171BC">
        <w:t>%</w:t>
      </w:r>
      <w:r w:rsidR="00865238">
        <w:t xml:space="preserve"> higher number</w:t>
      </w:r>
      <w:r w:rsidR="006171BC">
        <w:t>s</w:t>
      </w:r>
      <w:r w:rsidR="00865238">
        <w:t xml:space="preserve"> of participants </w:t>
      </w:r>
      <w:r w:rsidR="009D62E0">
        <w:t xml:space="preserve">on 30 June 2026 </w:t>
      </w:r>
      <w:r w:rsidR="00865238">
        <w:t>tha</w:t>
      </w:r>
      <w:r w:rsidR="003148C4">
        <w:t xml:space="preserve">n the 2024 FSR. </w:t>
      </w:r>
      <w:r w:rsidR="009D62E0">
        <w:t xml:space="preserve">Participant numbers are projected to be </w:t>
      </w:r>
      <w:r w:rsidR="002A7F4A">
        <w:t>1.</w:t>
      </w:r>
      <w:r w:rsidR="009D62E0">
        <w:t>8</w:t>
      </w:r>
      <w:r w:rsidR="002A7F4A">
        <w:t>% higher</w:t>
      </w:r>
      <w:r w:rsidR="009D62E0">
        <w:t xml:space="preserve"> on 30 June 2029</w:t>
      </w:r>
      <w:r w:rsidR="00130208">
        <w:t>.</w:t>
      </w:r>
    </w:p>
    <w:p w14:paraId="0EF2816B" w14:textId="0E776466" w:rsidR="00506D42" w:rsidRPr="00476251" w:rsidRDefault="00506D42" w:rsidP="00506D42">
      <w:pPr>
        <w:pStyle w:val="Caption"/>
      </w:pPr>
      <w:bookmarkStart w:id="12" w:name="_Ref110408715"/>
      <w:bookmarkStart w:id="13" w:name="_Ref206145345"/>
      <w:bookmarkStart w:id="14" w:name="_Hlk210800626"/>
      <w:r w:rsidRPr="00476251">
        <w:t xml:space="preserve">Figure </w:t>
      </w:r>
      <w:bookmarkEnd w:id="12"/>
      <w:r w:rsidR="001A459F">
        <w:fldChar w:fldCharType="begin"/>
      </w:r>
      <w:r w:rsidR="001A459F">
        <w:instrText xml:space="preserve"> SEQ Figure \* ARABIC </w:instrText>
      </w:r>
      <w:r w:rsidR="001A459F">
        <w:fldChar w:fldCharType="separate"/>
      </w:r>
      <w:r w:rsidR="0093576D">
        <w:rPr>
          <w:noProof/>
        </w:rPr>
        <w:t>5</w:t>
      </w:r>
      <w:r w:rsidR="001A459F">
        <w:fldChar w:fldCharType="end"/>
      </w:r>
      <w:bookmarkEnd w:id="13"/>
      <w:r w:rsidRPr="00476251">
        <w:t xml:space="preserve">: Actual &amp; projected number of participants </w:t>
      </w:r>
      <w:r w:rsidR="00E51AE0" w:rsidRPr="00476251">
        <w:t xml:space="preserve">at 30 </w:t>
      </w:r>
      <w:proofErr w:type="gramStart"/>
      <w:r w:rsidR="00E51AE0" w:rsidRPr="00476251">
        <w:t>June</w:t>
      </w:r>
      <w:proofErr w:type="gramEnd"/>
      <w:r w:rsidR="00E30D0D">
        <w:t xml:space="preserve"> </w:t>
      </w:r>
    </w:p>
    <w:bookmarkEnd w:id="14"/>
    <w:p w14:paraId="4C6DBB2D" w14:textId="46B57249" w:rsidR="00EC4D83" w:rsidRDefault="00535B5E" w:rsidP="000D38B0">
      <w:pPr>
        <w:pStyle w:val="ChartGraphic"/>
        <w:jc w:val="left"/>
      </w:pPr>
      <w:r>
        <w:drawing>
          <wp:inline distT="0" distB="0" distL="0" distR="0" wp14:anchorId="727347B7" wp14:editId="15FFDF1C">
            <wp:extent cx="5584190" cy="2493645"/>
            <wp:effectExtent l="0" t="0" r="0" b="1905"/>
            <wp:docPr id="1506094853" name="Picture 5" descr="Beginning of alt text for Figure 5: Actual &amp; projected number of participants at 30 June. The figure shows the results for actual and the FSR from 2022 to 2025. The focus of this alt text is on actual, the 2024 FSR and the 2025 FSR. The actual results from 2020 to 2025 showed in 2020 the results commenced at 390000 (approx.) climbed steadily to approx. 750000. Across all years the projected number of participants total shows an increase, however at a slower rate than historically. When comparing the results from the 2024 FSR and 2025 FSR, the 2025 FSR is slightly higher. The 2024 FSR projection commenced at approx. 660000 in 2024 and finished in 2034 at just over 1000000. The 2025 FSR projection commenced at approx 710000 in 2025 and finished in 2034 at just over 1005000.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94853" name="Picture 5" descr="Beginning of alt text for Figure 5: Actual &amp; projected number of participants at 30 June. The figure shows the results for actual and the FSR from 2022 to 2025. The focus of this alt text is on actual, the 2024 FSR and the 2025 FSR. The actual results from 2020 to 2025 showed in 2020 the results commenced at 390000 (approx.) climbed steadily to approx. 750000. Across all years the projected number of participants total shows an increase, however at a slower rate than historically. When comparing the results from the 2024 FSR and 2025 FSR, the 2025 FSR is slightly higher. The 2024 FSR projection commenced at approx. 660000 in 2024 and finished in 2034 at just over 1000000. The 2025 FSR projection commenced at approx 710000 in 2025 and finished in 2034 at just over 1005000. End of alt tex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4190" cy="2493645"/>
                    </a:xfrm>
                    <a:prstGeom prst="rect">
                      <a:avLst/>
                    </a:prstGeom>
                    <a:noFill/>
                  </pic:spPr>
                </pic:pic>
              </a:graphicData>
            </a:graphic>
          </wp:inline>
        </w:drawing>
      </w:r>
    </w:p>
    <w:p w14:paraId="0BDB006E" w14:textId="3469696A" w:rsidR="0003493B" w:rsidRDefault="00F466B1" w:rsidP="0003493B">
      <w:pPr>
        <w:rPr>
          <w:sz w:val="18"/>
          <w:szCs w:val="18"/>
        </w:rPr>
      </w:pPr>
      <w:r w:rsidRPr="00F466B1">
        <w:rPr>
          <w:sz w:val="18"/>
          <w:szCs w:val="18"/>
        </w:rPr>
        <w:t>End of Figure</w:t>
      </w:r>
    </w:p>
    <w:p w14:paraId="03815D7A" w14:textId="421BB129" w:rsidR="001E5189" w:rsidRDefault="001E5189" w:rsidP="0003493B">
      <w:pPr>
        <w:rPr>
          <w:sz w:val="18"/>
          <w:szCs w:val="18"/>
        </w:rPr>
      </w:pPr>
      <w:r>
        <w:fldChar w:fldCharType="begin"/>
      </w:r>
      <w:r>
        <w:instrText xml:space="preserve"> REF _Ref206068848 \h </w:instrText>
      </w:r>
      <w:r>
        <w:fldChar w:fldCharType="separate"/>
      </w:r>
      <w:r w:rsidR="0093576D">
        <w:t xml:space="preserve">Figure </w:t>
      </w:r>
      <w:r w:rsidR="0093576D">
        <w:rPr>
          <w:noProof/>
        </w:rPr>
        <w:t>6</w:t>
      </w:r>
      <w:r>
        <w:fldChar w:fldCharType="end"/>
      </w:r>
      <w:r>
        <w:t xml:space="preserve"> shows the recent and projected participation rates.</w:t>
      </w:r>
    </w:p>
    <w:p w14:paraId="08564989" w14:textId="1610596B" w:rsidR="00F466B1" w:rsidRPr="00F466B1" w:rsidRDefault="00F466B1" w:rsidP="00F466B1">
      <w:pPr>
        <w:pStyle w:val="Caption"/>
      </w:pPr>
      <w:bookmarkStart w:id="15" w:name="_Ref206068848"/>
      <w:bookmarkStart w:id="16" w:name="_Hlk210801328"/>
      <w:r>
        <w:lastRenderedPageBreak/>
        <w:t xml:space="preserve">Figure </w:t>
      </w:r>
      <w:r w:rsidR="001A459F">
        <w:fldChar w:fldCharType="begin"/>
      </w:r>
      <w:r w:rsidR="001A459F">
        <w:instrText xml:space="preserve"> SEQ Figure \* ARABIC </w:instrText>
      </w:r>
      <w:r w:rsidR="001A459F">
        <w:fldChar w:fldCharType="separate"/>
      </w:r>
      <w:r w:rsidR="0093576D">
        <w:rPr>
          <w:noProof/>
        </w:rPr>
        <w:t>6</w:t>
      </w:r>
      <w:r w:rsidR="001A459F">
        <w:fldChar w:fldCharType="end"/>
      </w:r>
      <w:bookmarkEnd w:id="15"/>
      <w:r>
        <w:t xml:space="preserve">: Projected </w:t>
      </w:r>
      <w:r w:rsidR="00AE5DD1">
        <w:t xml:space="preserve">participation </w:t>
      </w:r>
      <w:proofErr w:type="gramStart"/>
      <w:r w:rsidR="00AE5DD1">
        <w:t>rate</w:t>
      </w:r>
      <w:proofErr w:type="gramEnd"/>
    </w:p>
    <w:bookmarkEnd w:id="16"/>
    <w:p w14:paraId="7B4D9539" w14:textId="6730F6C8" w:rsidR="00E772AF" w:rsidRPr="00E772AF" w:rsidRDefault="00D51F82" w:rsidP="00E91723">
      <w:pPr>
        <w:pStyle w:val="ChartGraphic"/>
        <w:jc w:val="left"/>
      </w:pPr>
      <w:r>
        <w:drawing>
          <wp:inline distT="0" distB="0" distL="0" distR="0" wp14:anchorId="7BD34D28" wp14:editId="7B42AF83">
            <wp:extent cx="5648325" cy="2528065"/>
            <wp:effectExtent l="0" t="0" r="0" b="5715"/>
            <wp:docPr id="2088456126" name="Picture 6" descr="Beginning of alt text Figure 6: Projected participation rate (as a percentage) The figure shows the results for actual (from 2017 to 2025) and the FSR from 2024 and 2025, across the years 2025 to 2035. The actual results from 2017 to 2025 showed in 2017 0.4% increasing steadily to approx. 2.6%. When comparing the results from the 2024 FSR and 2025 FSR, both projections show a slight increase across the years 2025 to 2035. The 2024 FSR projection for participation rate commenced at 2.6% in 2025 (actual figure as well) and increased steadily to finish in 2035 at 3.4%. The 2025 FSR projection also increased steadily across the years from 2026 to 2035 commencing at 2.7% and finishes at 3.4%. End of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56126" name="Picture 6" descr="Beginning of alt text Figure 6: Projected participation rate (as a percentage) The figure shows the results for actual (from 2017 to 2025) and the FSR from 2024 and 2025, across the years 2025 to 2035. The actual results from 2017 to 2025 showed in 2017 0.4% increasing steadily to approx. 2.6%. When comparing the results from the 2024 FSR and 2025 FSR, both projections show a slight increase across the years 2025 to 2035. The 2024 FSR projection for participation rate commenced at 2.6% in 2025 (actual figure as well) and increased steadily to finish in 2035 at 3.4%. The 2025 FSR projection also increased steadily across the years from 2026 to 2035 commencing at 2.7% and finishes at 3.4%. End of alt 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9724" cy="2528691"/>
                    </a:xfrm>
                    <a:prstGeom prst="rect">
                      <a:avLst/>
                    </a:prstGeom>
                    <a:noFill/>
                  </pic:spPr>
                </pic:pic>
              </a:graphicData>
            </a:graphic>
          </wp:inline>
        </w:drawing>
      </w:r>
    </w:p>
    <w:p w14:paraId="3224E9AE" w14:textId="0DE64C83" w:rsidR="00C004D8" w:rsidRPr="007E0FBD" w:rsidRDefault="00605351" w:rsidP="00083B15">
      <w:pPr>
        <w:spacing w:after="0"/>
        <w:rPr>
          <w:sz w:val="18"/>
          <w:szCs w:val="18"/>
        </w:rPr>
      </w:pPr>
      <w:r w:rsidRPr="007E0FBD">
        <w:rPr>
          <w:i/>
          <w:iCs/>
          <w:sz w:val="18"/>
          <w:szCs w:val="18"/>
        </w:rPr>
        <w:t xml:space="preserve">Note: </w:t>
      </w:r>
      <w:r w:rsidR="00FE3E1E" w:rsidRPr="007E0FBD">
        <w:rPr>
          <w:i/>
          <w:iCs/>
          <w:sz w:val="18"/>
          <w:szCs w:val="18"/>
        </w:rPr>
        <w:t xml:space="preserve">Participation rate = NDIS participants </w:t>
      </w:r>
      <w:r w:rsidR="002B51D3" w:rsidRPr="007E0FBD">
        <w:rPr>
          <w:i/>
          <w:iCs/>
          <w:sz w:val="18"/>
          <w:szCs w:val="18"/>
        </w:rPr>
        <w:t xml:space="preserve">expressed as a percentage of the </w:t>
      </w:r>
      <w:r w:rsidR="00FE3E1E" w:rsidRPr="007E0FBD">
        <w:rPr>
          <w:i/>
          <w:iCs/>
          <w:sz w:val="18"/>
          <w:szCs w:val="18"/>
        </w:rPr>
        <w:t>Australian population</w:t>
      </w:r>
      <w:r w:rsidRPr="007E0FBD">
        <w:rPr>
          <w:i/>
          <w:iCs/>
          <w:sz w:val="18"/>
          <w:szCs w:val="18"/>
        </w:rPr>
        <w:t xml:space="preserve"> </w:t>
      </w:r>
    </w:p>
    <w:p w14:paraId="7522CB01" w14:textId="4532BA21" w:rsidR="00083B15" w:rsidRPr="007E0FBD" w:rsidRDefault="00083B15" w:rsidP="00506D42">
      <w:pPr>
        <w:rPr>
          <w:sz w:val="18"/>
          <w:szCs w:val="18"/>
        </w:rPr>
      </w:pPr>
      <w:r w:rsidRPr="007E0FBD">
        <w:rPr>
          <w:sz w:val="18"/>
          <w:szCs w:val="18"/>
        </w:rPr>
        <w:t>End of Figure</w:t>
      </w:r>
    </w:p>
    <w:p w14:paraId="467F46A6" w14:textId="4F11D2DE" w:rsidR="00733FB4" w:rsidRPr="006D73D3" w:rsidRDefault="00733FB4" w:rsidP="00733FB4">
      <w:pPr>
        <w:spacing w:after="320"/>
        <w:rPr>
          <w:highlight w:val="yellow"/>
        </w:rPr>
      </w:pPr>
      <w:r w:rsidRPr="0004663D">
        <w:t xml:space="preserve">I have previously pointed to greater uncertainty where projection assumptions were assumed to moderate over time as the Scheme matured and that moderation was not supported by any change in the Scheme. </w:t>
      </w:r>
      <w:r w:rsidR="00EB525C" w:rsidRPr="0004663D">
        <w:t>For this FSR</w:t>
      </w:r>
      <w:r w:rsidR="00C80F27" w:rsidRPr="0004663D">
        <w:t xml:space="preserve">, </w:t>
      </w:r>
      <w:r w:rsidRPr="0004663D">
        <w:t xml:space="preserve">the assumed moderation in experience is supported by </w:t>
      </w:r>
      <w:r w:rsidR="00F4173C" w:rsidRPr="0004663D">
        <w:t xml:space="preserve">numerous </w:t>
      </w:r>
      <w:r w:rsidR="00C524BE">
        <w:t>Scheme</w:t>
      </w:r>
      <w:r w:rsidR="00604A51" w:rsidRPr="0004663D">
        <w:t xml:space="preserve"> </w:t>
      </w:r>
      <w:r w:rsidR="00C524BE">
        <w:t>R</w:t>
      </w:r>
      <w:r w:rsidR="00604A51" w:rsidRPr="0004663D">
        <w:t xml:space="preserve">eforms </w:t>
      </w:r>
      <w:r w:rsidR="00E34DD0" w:rsidRPr="0004663D">
        <w:t xml:space="preserve">that are either in place already or are expected to be </w:t>
      </w:r>
      <w:r w:rsidR="0004663D">
        <w:t xml:space="preserve">in place </w:t>
      </w:r>
      <w:r w:rsidR="00604A51" w:rsidRPr="0004663D">
        <w:t>in the short term</w:t>
      </w:r>
      <w:r w:rsidRPr="0004663D">
        <w:t xml:space="preserve">. </w:t>
      </w:r>
      <w:r w:rsidR="00827D1E" w:rsidRPr="0004663D">
        <w:t xml:space="preserve">While these </w:t>
      </w:r>
      <w:r w:rsidR="00C524BE">
        <w:t>Scheme</w:t>
      </w:r>
      <w:r w:rsidR="00827D1E" w:rsidRPr="0004663D">
        <w:t xml:space="preserve"> </w:t>
      </w:r>
      <w:r w:rsidR="00C524BE">
        <w:t>R</w:t>
      </w:r>
      <w:r w:rsidR="00827D1E" w:rsidRPr="0004663D">
        <w:t xml:space="preserve">eforms </w:t>
      </w:r>
      <w:r w:rsidRPr="0004663D">
        <w:t xml:space="preserve">increase the level of confidence </w:t>
      </w:r>
      <w:r w:rsidR="00827D1E" w:rsidRPr="0004663D">
        <w:t xml:space="preserve">that the experience will moderate, </w:t>
      </w:r>
      <w:r w:rsidR="00881258" w:rsidRPr="0004663D">
        <w:t xml:space="preserve">the quantum of this moderation is </w:t>
      </w:r>
      <w:r w:rsidR="002B68B5">
        <w:t>highly</w:t>
      </w:r>
      <w:r w:rsidR="00881258" w:rsidRPr="0004663D">
        <w:t xml:space="preserve"> uncertain given </w:t>
      </w:r>
      <w:r w:rsidR="008F1158" w:rsidRPr="0004663D">
        <w:t>the limited experience on which assump</w:t>
      </w:r>
      <w:r w:rsidR="0004663D" w:rsidRPr="0004663D">
        <w:t>t</w:t>
      </w:r>
      <w:r w:rsidR="008F1158" w:rsidRPr="0004663D">
        <w:t>ions can be based.</w:t>
      </w:r>
    </w:p>
    <w:p w14:paraId="0B3CA348" w14:textId="71A5B33A" w:rsidR="00495F6B" w:rsidRPr="00A343FB" w:rsidRDefault="00495F6B" w:rsidP="00FC5960">
      <w:pPr>
        <w:spacing w:after="320"/>
      </w:pPr>
      <w:r w:rsidRPr="00A343FB">
        <w:t xml:space="preserve">The modelling and monitoring of </w:t>
      </w:r>
      <w:r w:rsidR="004D28F0" w:rsidRPr="00A343FB">
        <w:t>each</w:t>
      </w:r>
      <w:r w:rsidRPr="00A343FB">
        <w:t xml:space="preserve"> </w:t>
      </w:r>
      <w:r w:rsidR="00DC1712" w:rsidRPr="00A343FB">
        <w:t>Scheme Reform</w:t>
      </w:r>
      <w:r w:rsidRPr="00A343FB">
        <w:t xml:space="preserve"> </w:t>
      </w:r>
      <w:r w:rsidR="00D82A36">
        <w:t>is</w:t>
      </w:r>
      <w:r w:rsidR="74BEE3ED" w:rsidRPr="00A343FB">
        <w:t xml:space="preserve"> </w:t>
      </w:r>
      <w:r w:rsidR="00BA44DA" w:rsidRPr="00A343FB">
        <w:t xml:space="preserve">at </w:t>
      </w:r>
      <w:r w:rsidR="00D82A36">
        <w:t xml:space="preserve">a </w:t>
      </w:r>
      <w:r w:rsidR="00BA44DA" w:rsidRPr="00A343FB">
        <w:t>different level</w:t>
      </w:r>
      <w:r w:rsidR="00D82A36">
        <w:t xml:space="preserve"> </w:t>
      </w:r>
      <w:r w:rsidR="00BA44DA" w:rsidRPr="00A343FB">
        <w:t xml:space="preserve">of maturity, depending on </w:t>
      </w:r>
      <w:r w:rsidR="00A3148C" w:rsidRPr="00A343FB">
        <w:t xml:space="preserve">when </w:t>
      </w:r>
      <w:r w:rsidR="00BA44DA" w:rsidRPr="00A343FB">
        <w:t xml:space="preserve">the </w:t>
      </w:r>
      <w:r w:rsidR="008A382A">
        <w:t>reform</w:t>
      </w:r>
      <w:r w:rsidR="008A382A" w:rsidRPr="00A343FB">
        <w:t xml:space="preserve"> </w:t>
      </w:r>
      <w:r w:rsidR="00ED7D99" w:rsidRPr="00A343FB">
        <w:t xml:space="preserve">commenced. </w:t>
      </w:r>
      <w:r w:rsidR="002E5306" w:rsidRPr="00A343FB">
        <w:t xml:space="preserve">It is recommended </w:t>
      </w:r>
      <w:r w:rsidR="008A382A">
        <w:t>the modelling and monitoring</w:t>
      </w:r>
      <w:r w:rsidR="008A382A" w:rsidRPr="00A343FB">
        <w:t xml:space="preserve"> </w:t>
      </w:r>
      <w:r w:rsidR="00427001" w:rsidRPr="00A343FB">
        <w:t xml:space="preserve">continue to </w:t>
      </w:r>
      <w:r w:rsidR="002E5306" w:rsidRPr="00A343FB">
        <w:t xml:space="preserve">be </w:t>
      </w:r>
      <w:r w:rsidR="008F46A0" w:rsidRPr="00A343FB">
        <w:t xml:space="preserve">developed and </w:t>
      </w:r>
      <w:r w:rsidR="002E5306" w:rsidRPr="00A343FB">
        <w:t xml:space="preserve">extended across all </w:t>
      </w:r>
      <w:r w:rsidR="008A382A">
        <w:t>reforms</w:t>
      </w:r>
      <w:r w:rsidR="008A382A" w:rsidRPr="00A343FB">
        <w:t xml:space="preserve"> </w:t>
      </w:r>
      <w:r w:rsidR="002E5306" w:rsidRPr="00A343FB">
        <w:t>at the appropriate time</w:t>
      </w:r>
      <w:r w:rsidR="00B656CE" w:rsidRPr="00A343FB">
        <w:t xml:space="preserve">. </w:t>
      </w:r>
      <w:r w:rsidR="008F2683" w:rsidRPr="00A343FB">
        <w:t xml:space="preserve">Monitoring </w:t>
      </w:r>
      <w:r w:rsidR="00B656CE" w:rsidRPr="00A343FB">
        <w:t xml:space="preserve">should be used </w:t>
      </w:r>
      <w:r w:rsidR="00D8106B" w:rsidRPr="00A343FB">
        <w:t xml:space="preserve">to </w:t>
      </w:r>
      <w:r w:rsidR="008F2683" w:rsidRPr="00A343FB">
        <w:t xml:space="preserve">check </w:t>
      </w:r>
      <w:r w:rsidR="009300F6" w:rsidRPr="00A343FB">
        <w:t xml:space="preserve">progress </w:t>
      </w:r>
      <w:r w:rsidR="00D8106B" w:rsidRPr="00A343FB">
        <w:t xml:space="preserve">and </w:t>
      </w:r>
      <w:r w:rsidR="003879CA" w:rsidRPr="00A343FB">
        <w:t xml:space="preserve">either </w:t>
      </w:r>
      <w:r w:rsidR="00D8106B" w:rsidRPr="00A343FB">
        <w:t xml:space="preserve">adjust the resourcing, or </w:t>
      </w:r>
      <w:r w:rsidR="003879CA" w:rsidRPr="00A343FB">
        <w:t xml:space="preserve">adjust the </w:t>
      </w:r>
      <w:r w:rsidR="00D8106B" w:rsidRPr="00A343FB">
        <w:t>projection assumptions, accordingly.</w:t>
      </w:r>
      <w:r w:rsidR="00820BFF" w:rsidRPr="00A343FB">
        <w:t xml:space="preserve"> This will help to manage uncertainty.</w:t>
      </w:r>
    </w:p>
    <w:p w14:paraId="0CD40F62" w14:textId="7BB0E9D9" w:rsidR="002C2DE0" w:rsidRDefault="002C2DE0" w:rsidP="00E91C29">
      <w:r w:rsidRPr="00EB341B">
        <w:t xml:space="preserve">Key areas of uncertainty in the population projection </w:t>
      </w:r>
      <w:r>
        <w:t>are</w:t>
      </w:r>
      <w:r w:rsidRPr="00EB341B">
        <w:t>:</w:t>
      </w:r>
    </w:p>
    <w:p w14:paraId="3E5EE104" w14:textId="17F33D8D" w:rsidR="002C2DE0" w:rsidRPr="00EB341B" w:rsidRDefault="002C2DE0" w:rsidP="00A343FB">
      <w:pPr>
        <w:pStyle w:val="Bullet"/>
        <w:keepNext/>
        <w:keepLines/>
        <w:spacing w:after="120"/>
      </w:pPr>
      <w:r>
        <w:t xml:space="preserve">Assumptions regarding the rate at which new entrants </w:t>
      </w:r>
      <w:r w:rsidR="00B873AB">
        <w:t xml:space="preserve">with developmental delay and autism </w:t>
      </w:r>
      <w:r>
        <w:t>will moderate</w:t>
      </w:r>
      <w:r w:rsidR="005D03A8">
        <w:t xml:space="preserve">, </w:t>
      </w:r>
      <w:r w:rsidR="008971D1">
        <w:t>including</w:t>
      </w:r>
      <w:r w:rsidR="00D35F13">
        <w:t>,</w:t>
      </w:r>
      <w:r w:rsidR="008971D1">
        <w:t xml:space="preserve"> but not limited to</w:t>
      </w:r>
      <w:r w:rsidR="00D35F13">
        <w:t>,</w:t>
      </w:r>
      <w:r w:rsidR="008971D1">
        <w:t xml:space="preserve"> the </w:t>
      </w:r>
      <w:r w:rsidR="00AE2DE6">
        <w:t xml:space="preserve">timing and </w:t>
      </w:r>
      <w:r w:rsidR="008971D1">
        <w:t xml:space="preserve">impact of diversions from the Scheme to </w:t>
      </w:r>
      <w:r w:rsidR="000D570A">
        <w:t>Foundational Supports/</w:t>
      </w:r>
      <w:r w:rsidR="001B4F1B">
        <w:t xml:space="preserve">Thriving Kids </w:t>
      </w:r>
      <w:r w:rsidR="00AB1CE0">
        <w:t>program.</w:t>
      </w:r>
    </w:p>
    <w:p w14:paraId="58EB3C0E" w14:textId="037D137E" w:rsidR="002C2DE0" w:rsidRPr="00EB341B" w:rsidRDefault="002C2DE0" w:rsidP="00A343FB">
      <w:pPr>
        <w:pStyle w:val="Bullet"/>
        <w:keepNext/>
        <w:keepLines/>
        <w:spacing w:after="120"/>
      </w:pPr>
      <w:r>
        <w:t>Assumptions regarding participants leaving the Scheme</w:t>
      </w:r>
      <w:r w:rsidR="00D212AA">
        <w:t xml:space="preserve">, </w:t>
      </w:r>
      <w:r w:rsidR="005C25FC">
        <w:t xml:space="preserve">which are dependent </w:t>
      </w:r>
      <w:r w:rsidR="00283F64">
        <w:t>on resourcing to undertake eligibility reassessments</w:t>
      </w:r>
      <w:r>
        <w:t>;</w:t>
      </w:r>
      <w:r w:rsidR="00AE2DE6">
        <w:t xml:space="preserve"> and</w:t>
      </w:r>
    </w:p>
    <w:p w14:paraId="536BCA9D" w14:textId="674190E9" w:rsidR="002C2DE0" w:rsidRPr="00B56979" w:rsidRDefault="002C2DE0" w:rsidP="00A343FB">
      <w:pPr>
        <w:pStyle w:val="Bullet"/>
        <w:keepLines/>
        <w:spacing w:after="120"/>
      </w:pPr>
      <w:r w:rsidRPr="00B56979">
        <w:t>Assuming the net increase in SIL participants will moderate over the next</w:t>
      </w:r>
      <w:r w:rsidR="00F628E9">
        <w:t xml:space="preserve"> two </w:t>
      </w:r>
      <w:r w:rsidRPr="00B56979">
        <w:t>years</w:t>
      </w:r>
      <w:r w:rsidR="00AE2DE6">
        <w:t>.</w:t>
      </w:r>
    </w:p>
    <w:p w14:paraId="51EBE5F6" w14:textId="220D080B" w:rsidR="0F366F5C" w:rsidRPr="00872916" w:rsidRDefault="0F366F5C" w:rsidP="00C22BBE">
      <w:r w:rsidRPr="00544730">
        <w:t>Noting the above</w:t>
      </w:r>
      <w:r w:rsidR="0D6C042D" w:rsidRPr="00544730">
        <w:t xml:space="preserve"> uncertainty</w:t>
      </w:r>
      <w:r w:rsidRPr="00544730">
        <w:t xml:space="preserve">, my view is that </w:t>
      </w:r>
      <w:r w:rsidR="004813DB" w:rsidRPr="00544730">
        <w:t xml:space="preserve">this </w:t>
      </w:r>
      <w:r w:rsidRPr="00544730">
        <w:t xml:space="preserve">projection </w:t>
      </w:r>
      <w:r w:rsidR="00A61E5F" w:rsidRPr="00544730">
        <w:t xml:space="preserve">provides </w:t>
      </w:r>
      <w:r w:rsidR="00A61E5F" w:rsidRPr="00747813">
        <w:t xml:space="preserve">a reasonable </w:t>
      </w:r>
      <w:r w:rsidR="00747813" w:rsidRPr="00747813">
        <w:t xml:space="preserve">scenario of </w:t>
      </w:r>
      <w:r w:rsidR="00747813">
        <w:t xml:space="preserve">the </w:t>
      </w:r>
      <w:r w:rsidR="00747813" w:rsidRPr="00747813">
        <w:t xml:space="preserve">projected </w:t>
      </w:r>
      <w:r w:rsidR="00747813">
        <w:t>population</w:t>
      </w:r>
      <w:r w:rsidRPr="00544730">
        <w:t>.</w:t>
      </w:r>
      <w:r w:rsidR="00DD7D10" w:rsidRPr="00544730">
        <w:t xml:space="preserve"> </w:t>
      </w:r>
      <w:r w:rsidR="00CB663B" w:rsidRPr="00C4455C">
        <w:t>T</w:t>
      </w:r>
      <w:r w:rsidR="00A16BC3" w:rsidRPr="00C4455C">
        <w:t xml:space="preserve">o reach this conclusion it is critical that </w:t>
      </w:r>
      <w:r w:rsidR="00DD7D10" w:rsidRPr="00C4455C">
        <w:t xml:space="preserve">the </w:t>
      </w:r>
      <w:r w:rsidR="00222058" w:rsidRPr="00C4455C">
        <w:t xml:space="preserve">scope, </w:t>
      </w:r>
      <w:r w:rsidR="00DD7D10" w:rsidRPr="00C4455C">
        <w:t xml:space="preserve">timing and effectiveness of the </w:t>
      </w:r>
      <w:r w:rsidR="00947E69" w:rsidRPr="00C4455C">
        <w:t xml:space="preserve">program of </w:t>
      </w:r>
      <w:r w:rsidR="0063786D">
        <w:t>Scheme</w:t>
      </w:r>
      <w:r w:rsidR="00F14CDA" w:rsidRPr="00C4455C">
        <w:t xml:space="preserve"> </w:t>
      </w:r>
      <w:r w:rsidR="0063786D">
        <w:t>R</w:t>
      </w:r>
      <w:r w:rsidR="00F14CDA" w:rsidRPr="00C4455C">
        <w:t xml:space="preserve">eforms </w:t>
      </w:r>
      <w:r w:rsidR="00A16BC3" w:rsidRPr="00C4455C">
        <w:t xml:space="preserve">occurs as </w:t>
      </w:r>
      <w:r w:rsidR="00222058" w:rsidRPr="00C4455C">
        <w:t xml:space="preserve">has been </w:t>
      </w:r>
      <w:r w:rsidR="00A16BC3" w:rsidRPr="00C4455C">
        <w:t xml:space="preserve">assumed. </w:t>
      </w:r>
      <w:r w:rsidR="00A16BC3" w:rsidRPr="00872916">
        <w:t xml:space="preserve">This underlines the importance of </w:t>
      </w:r>
      <w:r w:rsidR="001B1D81" w:rsidRPr="00872916">
        <w:t xml:space="preserve">extending the </w:t>
      </w:r>
      <w:r w:rsidR="003279E4" w:rsidRPr="00872916">
        <w:t xml:space="preserve">modelling and </w:t>
      </w:r>
      <w:r w:rsidR="001B1D81" w:rsidRPr="00872916">
        <w:t xml:space="preserve">monitoring </w:t>
      </w:r>
      <w:r w:rsidR="008C2490" w:rsidRPr="00872916">
        <w:t xml:space="preserve">of </w:t>
      </w:r>
      <w:r w:rsidR="00966965" w:rsidRPr="00872916">
        <w:t xml:space="preserve">each </w:t>
      </w:r>
      <w:r w:rsidR="003279E4" w:rsidRPr="00872916">
        <w:t>reform</w:t>
      </w:r>
      <w:r w:rsidR="009B5A4F" w:rsidRPr="00872916">
        <w:t xml:space="preserve">, </w:t>
      </w:r>
      <w:r w:rsidR="002C4A3F" w:rsidRPr="00872916">
        <w:t xml:space="preserve">particularly in </w:t>
      </w:r>
      <w:r w:rsidR="009B5A4F" w:rsidRPr="00872916">
        <w:t>areas where experience is assumed to moderate</w:t>
      </w:r>
      <w:r w:rsidR="001B1D81" w:rsidRPr="00872916">
        <w:t>.</w:t>
      </w:r>
    </w:p>
    <w:p w14:paraId="6C076D46" w14:textId="44E6B1BE" w:rsidR="00D041CE" w:rsidRPr="00EB48D3" w:rsidRDefault="00D041CE" w:rsidP="00D041CE">
      <w:pPr>
        <w:pStyle w:val="Heading3"/>
      </w:pPr>
      <w:r w:rsidRPr="00EB48D3">
        <w:lastRenderedPageBreak/>
        <w:t xml:space="preserve">Comment on key </w:t>
      </w:r>
      <w:r w:rsidR="00B4261A" w:rsidRPr="00EB48D3">
        <w:t>participant spend</w:t>
      </w:r>
      <w:r w:rsidRPr="00EB48D3">
        <w:t xml:space="preserve"> </w:t>
      </w:r>
      <w:proofErr w:type="gramStart"/>
      <w:r w:rsidR="00235EE9" w:rsidRPr="00EB48D3">
        <w:t>assumptions</w:t>
      </w:r>
      <w:proofErr w:type="gramEnd"/>
    </w:p>
    <w:p w14:paraId="7A60DE85" w14:textId="7DD7B828" w:rsidR="00726727" w:rsidRPr="00726727" w:rsidRDefault="00726727" w:rsidP="00726727">
      <w:pPr>
        <w:pStyle w:val="Heading4"/>
      </w:pPr>
      <w:r w:rsidRPr="00726727">
        <w:t xml:space="preserve">Committed </w:t>
      </w:r>
      <w:proofErr w:type="gramStart"/>
      <w:r w:rsidRPr="00726727">
        <w:t>supports</w:t>
      </w:r>
      <w:proofErr w:type="gramEnd"/>
    </w:p>
    <w:p w14:paraId="514AFA06" w14:textId="2266544E" w:rsidR="00980419" w:rsidRDefault="0028324D" w:rsidP="00C22BBE">
      <w:r w:rsidRPr="00FD0B16">
        <w:t xml:space="preserve">The starting </w:t>
      </w:r>
      <w:r w:rsidR="00FD0B16" w:rsidRPr="00FD0B16">
        <w:t>committed supports</w:t>
      </w:r>
      <w:r w:rsidR="002609B7" w:rsidRPr="00FD0B16">
        <w:t xml:space="preserve"> </w:t>
      </w:r>
      <w:r w:rsidR="00A212A8">
        <w:t xml:space="preserve">used </w:t>
      </w:r>
      <w:r w:rsidR="002609B7" w:rsidRPr="00FD0B16">
        <w:t xml:space="preserve">in </w:t>
      </w:r>
      <w:r w:rsidR="000537C4" w:rsidRPr="00FD0B16">
        <w:t xml:space="preserve">the </w:t>
      </w:r>
      <w:r w:rsidR="002B4380" w:rsidRPr="00FD0B16">
        <w:t>202</w:t>
      </w:r>
      <w:r w:rsidR="00545BC0" w:rsidRPr="00FD0B16">
        <w:t>5</w:t>
      </w:r>
      <w:r w:rsidR="00FD0B16" w:rsidRPr="00FD0B16">
        <w:t xml:space="preserve"> FSR</w:t>
      </w:r>
      <w:r w:rsidR="002B4380" w:rsidRPr="00FD0B16">
        <w:t xml:space="preserve"> </w:t>
      </w:r>
      <w:r w:rsidR="5E5D10B4" w:rsidRPr="00FD0B16">
        <w:t>projection</w:t>
      </w:r>
      <w:r w:rsidR="004C74C5">
        <w:t xml:space="preserve"> are, in aggregate,</w:t>
      </w:r>
      <w:r w:rsidR="5E5D10B4" w:rsidRPr="00FD0B16">
        <w:t xml:space="preserve"> </w:t>
      </w:r>
      <w:r w:rsidR="00AE0716">
        <w:t>the 2024-25 projected ultimate committed supports</w:t>
      </w:r>
      <w:r w:rsidR="00A212A8">
        <w:t xml:space="preserve"> (taken from the </w:t>
      </w:r>
      <w:r w:rsidR="00787062">
        <w:t>Participant Plan Provision valuation)</w:t>
      </w:r>
      <w:r w:rsidR="00433AE6">
        <w:t xml:space="preserve">. The </w:t>
      </w:r>
      <w:r w:rsidR="005214E8">
        <w:t xml:space="preserve">assumed </w:t>
      </w:r>
      <w:r w:rsidR="006224A3">
        <w:t>“</w:t>
      </w:r>
      <w:r w:rsidR="00B7486D">
        <w:t>shape</w:t>
      </w:r>
      <w:r w:rsidR="006224A3">
        <w:t>”</w:t>
      </w:r>
      <w:r w:rsidR="00B7486D">
        <w:t xml:space="preserve"> of </w:t>
      </w:r>
      <w:r w:rsidR="00A212A8">
        <w:t xml:space="preserve">committed supports by </w:t>
      </w:r>
      <w:r w:rsidR="00D87237">
        <w:t xml:space="preserve">participant </w:t>
      </w:r>
      <w:r w:rsidR="00A212A8" w:rsidRPr="006224A3">
        <w:t xml:space="preserve">cohort </w:t>
      </w:r>
      <w:r w:rsidR="005214E8">
        <w:t>is</w:t>
      </w:r>
      <w:r w:rsidR="00A212A8" w:rsidRPr="006224A3">
        <w:t xml:space="preserve"> the </w:t>
      </w:r>
      <w:r w:rsidR="006224A3" w:rsidRPr="006224A3">
        <w:t>same as</w:t>
      </w:r>
      <w:r w:rsidR="009E7880">
        <w:t xml:space="preserve"> </w:t>
      </w:r>
      <w:r w:rsidR="0016414E">
        <w:t xml:space="preserve">the </w:t>
      </w:r>
      <w:r w:rsidR="009E7880">
        <w:t xml:space="preserve">actual </w:t>
      </w:r>
      <w:r w:rsidR="006224A3" w:rsidRPr="006224A3">
        <w:t>committed supports</w:t>
      </w:r>
      <w:r w:rsidR="0016414E">
        <w:t xml:space="preserve"> in April 2025</w:t>
      </w:r>
      <w:r w:rsidR="00A212A8" w:rsidRPr="006224A3">
        <w:t>.</w:t>
      </w:r>
      <w:r w:rsidR="00702D32">
        <w:t xml:space="preserve"> </w:t>
      </w:r>
      <w:r w:rsidR="002D1F60">
        <w:t>C</w:t>
      </w:r>
      <w:r w:rsidR="006224A3" w:rsidRPr="006224A3">
        <w:t>ommitted supports</w:t>
      </w:r>
      <w:r w:rsidR="00980419" w:rsidRPr="006224A3">
        <w:t xml:space="preserve"> are </w:t>
      </w:r>
      <w:r w:rsidR="00F85E5B" w:rsidRPr="006224A3">
        <w:t xml:space="preserve">then </w:t>
      </w:r>
      <w:r w:rsidR="00202166">
        <w:t>increased</w:t>
      </w:r>
      <w:r w:rsidR="00980419" w:rsidRPr="006224A3">
        <w:t xml:space="preserve"> </w:t>
      </w:r>
      <w:r w:rsidR="00202166">
        <w:t>in each future year</w:t>
      </w:r>
      <w:r w:rsidR="005849F6">
        <w:t xml:space="preserve"> and </w:t>
      </w:r>
      <w:r w:rsidR="00202166">
        <w:t xml:space="preserve">spent </w:t>
      </w:r>
      <w:r w:rsidR="0064113D">
        <w:t xml:space="preserve">at the assumed rate of utilisation. These two factors are discussed </w:t>
      </w:r>
      <w:r w:rsidR="00B96CB5">
        <w:t xml:space="preserve">below, with additional discussion in </w:t>
      </w:r>
      <w:r w:rsidR="0064113D">
        <w:t>Attachment C</w:t>
      </w:r>
      <w:r w:rsidR="00980419" w:rsidRPr="006224A3">
        <w:t xml:space="preserve">. </w:t>
      </w:r>
    </w:p>
    <w:p w14:paraId="19F1D533" w14:textId="20070EA9" w:rsidR="00D041CE" w:rsidRPr="009B658A" w:rsidRDefault="00A62B5E" w:rsidP="00BC665D">
      <w:pPr>
        <w:pStyle w:val="Heading4"/>
      </w:pPr>
      <w:r>
        <w:t xml:space="preserve">Future </w:t>
      </w:r>
      <w:r w:rsidR="009A7FF3">
        <w:t xml:space="preserve">Growth </w:t>
      </w:r>
      <w:r>
        <w:t xml:space="preserve">in </w:t>
      </w:r>
      <w:r w:rsidR="009A7FF3">
        <w:t>C</w:t>
      </w:r>
      <w:r>
        <w:t xml:space="preserve">ommitted </w:t>
      </w:r>
      <w:r w:rsidR="009A7FF3">
        <w:t>S</w:t>
      </w:r>
      <w:r>
        <w:t>upports</w:t>
      </w:r>
    </w:p>
    <w:p w14:paraId="7D7230A4" w14:textId="54089019" w:rsidR="008C450B" w:rsidRPr="009B658A" w:rsidRDefault="00C96D4F" w:rsidP="00D5205E">
      <w:r>
        <w:t xml:space="preserve">Future committed supports are increased to allow for normal </w:t>
      </w:r>
      <w:r w:rsidR="00475841">
        <w:t xml:space="preserve">plan </w:t>
      </w:r>
      <w:r>
        <w:t xml:space="preserve">inflation, modelled transitions </w:t>
      </w:r>
      <w:r w:rsidR="00270C55">
        <w:t xml:space="preserve">(including </w:t>
      </w:r>
      <w:r>
        <w:t>ageing</w:t>
      </w:r>
      <w:r w:rsidR="00270C55">
        <w:t>)</w:t>
      </w:r>
      <w:r>
        <w:t>, additional growth in plans beyond these factors</w:t>
      </w:r>
      <w:r w:rsidR="00270C55">
        <w:t>,</w:t>
      </w:r>
      <w:r>
        <w:t xml:space="preserve"> and the impact of Scheme Reforms. Modelled transitions and ageing are examined as part of the population projection and are not considered further in this </w:t>
      </w:r>
      <w:r w:rsidR="009A7FF3">
        <w:t>section</w:t>
      </w:r>
      <w:r>
        <w:t xml:space="preserve">. Normal inflation plus additional growth is termed Growth in Committed Supports. </w:t>
      </w:r>
      <w:r w:rsidR="00523F34" w:rsidRPr="009B658A">
        <w:t xml:space="preserve">As </w:t>
      </w:r>
      <w:r w:rsidR="00B01A1C">
        <w:t xml:space="preserve">Growth in Committed Supports </w:t>
      </w:r>
      <w:r w:rsidR="002714E2" w:rsidRPr="009B658A">
        <w:t>compound year</w:t>
      </w:r>
      <w:r w:rsidR="0010790F">
        <w:t>-</w:t>
      </w:r>
      <w:r w:rsidR="00724B7D" w:rsidRPr="009B658A">
        <w:t>on</w:t>
      </w:r>
      <w:r w:rsidR="0010790F">
        <w:t>-</w:t>
      </w:r>
      <w:r w:rsidR="00724B7D" w:rsidRPr="009B658A">
        <w:t>year</w:t>
      </w:r>
      <w:r w:rsidR="002714E2" w:rsidRPr="009B658A">
        <w:t xml:space="preserve">, projection results are increasingly sensitive to </w:t>
      </w:r>
      <w:r w:rsidR="0004084D">
        <w:t xml:space="preserve">these </w:t>
      </w:r>
      <w:r w:rsidR="002714E2" w:rsidRPr="009B658A">
        <w:t>assumptions with each projection year.</w:t>
      </w:r>
      <w:r w:rsidR="00D907CD" w:rsidRPr="009B658A">
        <w:t xml:space="preserve"> </w:t>
      </w:r>
    </w:p>
    <w:p w14:paraId="3451F13E" w14:textId="3185A3BD" w:rsidR="00897910" w:rsidRPr="009B658A" w:rsidRDefault="00AC2F83" w:rsidP="00D5205E">
      <w:r>
        <w:t xml:space="preserve">As noted above, </w:t>
      </w:r>
      <w:r w:rsidR="000814B6">
        <w:t xml:space="preserve">Growth in Committed Supports </w:t>
      </w:r>
      <w:r w:rsidR="006669C0" w:rsidRPr="009B658A">
        <w:t xml:space="preserve">is modelled in two </w:t>
      </w:r>
      <w:r>
        <w:t>parts</w:t>
      </w:r>
      <w:r w:rsidR="006669C0" w:rsidRPr="009B658A">
        <w:t xml:space="preserve">. The first is normal </w:t>
      </w:r>
      <w:r w:rsidR="009B2166">
        <w:t>plan</w:t>
      </w:r>
      <w:r w:rsidR="006669C0" w:rsidRPr="009B658A">
        <w:t xml:space="preserve"> inflation</w:t>
      </w:r>
      <w:r w:rsidR="009B2166">
        <w:t>, which reflects increases in prices and wages</w:t>
      </w:r>
      <w:r w:rsidR="0054066B">
        <w:t>. T</w:t>
      </w:r>
      <w:r w:rsidR="00FA4BFC">
        <w:t xml:space="preserve">he projection </w:t>
      </w:r>
      <w:r w:rsidR="003A0F8C">
        <w:t xml:space="preserve">includes </w:t>
      </w:r>
      <w:r w:rsidR="003079D0">
        <w:t xml:space="preserve">normal inflation </w:t>
      </w:r>
      <w:r w:rsidR="003A0F8C">
        <w:t xml:space="preserve">assumptions that vary by </w:t>
      </w:r>
      <w:r w:rsidR="003079D0">
        <w:t>payment type</w:t>
      </w:r>
      <w:r w:rsidR="0056193F">
        <w:t>; the overall Scheme-wide assumptions adopted are shown in Attachment C</w:t>
      </w:r>
      <w:r w:rsidR="006669C0" w:rsidRPr="009B658A">
        <w:t xml:space="preserve">. The second </w:t>
      </w:r>
      <w:r w:rsidR="009B2166">
        <w:t xml:space="preserve">component </w:t>
      </w:r>
      <w:r w:rsidR="006669C0" w:rsidRPr="009B658A">
        <w:t xml:space="preserve">is additional </w:t>
      </w:r>
      <w:r w:rsidR="00D77D9B" w:rsidRPr="009B658A">
        <w:t>Scheme</w:t>
      </w:r>
      <w:r w:rsidR="001877E9">
        <w:t>-</w:t>
      </w:r>
      <w:r w:rsidR="00D77D9B" w:rsidRPr="009B658A">
        <w:t>specific</w:t>
      </w:r>
      <w:r w:rsidR="00D77D9B">
        <w:t xml:space="preserve"> </w:t>
      </w:r>
      <w:r w:rsidR="00B772A7">
        <w:t xml:space="preserve">plan </w:t>
      </w:r>
      <w:r w:rsidR="006669C0" w:rsidRPr="009B658A">
        <w:t>growth</w:t>
      </w:r>
      <w:r w:rsidR="0054066B">
        <w:t>. T</w:t>
      </w:r>
      <w:r w:rsidR="00A468C8">
        <w:t>he projection</w:t>
      </w:r>
      <w:r w:rsidR="003A0F8C">
        <w:t xml:space="preserve"> </w:t>
      </w:r>
      <w:r w:rsidR="006A53DA">
        <w:t xml:space="preserve">assumes additional plan growth </w:t>
      </w:r>
      <w:r w:rsidR="00310872">
        <w:t>that is uniform across all payment types</w:t>
      </w:r>
      <w:r w:rsidR="006669C0" w:rsidRPr="009B658A">
        <w:t xml:space="preserve">. </w:t>
      </w:r>
      <w:r w:rsidR="00897910" w:rsidRPr="002C5917">
        <w:t xml:space="preserve">Assumptions quoted in this letter are averages and are provided to assist the reader understand the </w:t>
      </w:r>
      <w:r w:rsidR="00FC48E6" w:rsidRPr="002C5917">
        <w:t>trends in the projection</w:t>
      </w:r>
      <w:r w:rsidR="00897910" w:rsidRPr="002C5917">
        <w:t>.</w:t>
      </w:r>
    </w:p>
    <w:p w14:paraId="7BAF86ED" w14:textId="6FBF92EB" w:rsidR="002B11D1" w:rsidRDefault="00AB6C25" w:rsidP="003F344A">
      <w:r>
        <w:fldChar w:fldCharType="begin"/>
      </w:r>
      <w:r>
        <w:instrText xml:space="preserve"> REF _Ref207201183 \h </w:instrText>
      </w:r>
      <w:r>
        <w:fldChar w:fldCharType="separate"/>
      </w:r>
      <w:r w:rsidR="0093576D">
        <w:t xml:space="preserve">Figure </w:t>
      </w:r>
      <w:r w:rsidR="0093576D">
        <w:rPr>
          <w:noProof/>
        </w:rPr>
        <w:t>7</w:t>
      </w:r>
      <w:r>
        <w:fldChar w:fldCharType="end"/>
      </w:r>
      <w:r>
        <w:t xml:space="preserve"> shows historical and assumed future </w:t>
      </w:r>
      <w:r w:rsidR="00966A38">
        <w:t xml:space="preserve">Growth in Committed Supports </w:t>
      </w:r>
      <w:r w:rsidR="00B63004">
        <w:t>for the Scheme as a whole and for SIL and non-SIL participants.</w:t>
      </w:r>
      <w:r w:rsidR="003F344A">
        <w:t xml:space="preserve"> </w:t>
      </w:r>
      <w:r w:rsidR="00A67344">
        <w:t xml:space="preserve">Growth in Committed Supports </w:t>
      </w:r>
      <w:r w:rsidR="002B11D1">
        <w:t xml:space="preserve">has </w:t>
      </w:r>
      <w:r w:rsidR="00290F6A">
        <w:t xml:space="preserve">exceeded </w:t>
      </w:r>
      <w:r w:rsidR="002B11D1">
        <w:t xml:space="preserve">10% for each of the last three years. </w:t>
      </w:r>
      <w:r w:rsidR="00A67344">
        <w:t xml:space="preserve">Growth in Committed Supports </w:t>
      </w:r>
      <w:r w:rsidR="002B11D1">
        <w:t xml:space="preserve">for SIL participants has been consistently lower than for non-SIL participants. </w:t>
      </w:r>
      <w:r w:rsidR="00682246">
        <w:t xml:space="preserve">Growth in Committed Supports </w:t>
      </w:r>
      <w:r w:rsidR="002B11D1">
        <w:t xml:space="preserve">is assumed to moderate in 2025-26 to 5.6%. This is attributable to the Agency’s Sustainability Initiative (see Attachment C). </w:t>
      </w:r>
      <w:r w:rsidR="00682246">
        <w:t xml:space="preserve">It </w:t>
      </w:r>
      <w:r w:rsidR="002B11D1">
        <w:t>is assumed to further moderate in 2026-27 to 3.3% and to be 3.6% per annum thereafter</w:t>
      </w:r>
      <w:r w:rsidR="00BF2D83">
        <w:t>, attributable to</w:t>
      </w:r>
      <w:r w:rsidR="002B11D1">
        <w:t xml:space="preserve"> New Framework</w:t>
      </w:r>
      <w:r w:rsidR="003D6B06">
        <w:t xml:space="preserve"> Planning</w:t>
      </w:r>
      <w:r w:rsidR="002B11D1">
        <w:t>, expected to commence on 1</w:t>
      </w:r>
      <w:r w:rsidR="00C84843">
        <w:t> </w:t>
      </w:r>
      <w:r w:rsidR="002B11D1">
        <w:t xml:space="preserve">July 2026. We note that </w:t>
      </w:r>
      <w:r w:rsidR="00682246">
        <w:t xml:space="preserve">Growth in Committed Supports </w:t>
      </w:r>
      <w:r w:rsidR="002B11D1">
        <w:t>for 2026-27 is assumed to be lower than normal inflation (3.5% per annum), implying negative additional plan growth for this year.</w:t>
      </w:r>
    </w:p>
    <w:p w14:paraId="2B60104B" w14:textId="2374313E" w:rsidR="000808ED" w:rsidRPr="009B658A" w:rsidRDefault="000808ED" w:rsidP="00D5205E">
      <w:r>
        <w:t xml:space="preserve">There is no experience upon which to base the assumptions regarding the impact of these reforms. Further, </w:t>
      </w:r>
      <w:r w:rsidR="00B57BB9">
        <w:t xml:space="preserve">New Framework Planning </w:t>
      </w:r>
      <w:r>
        <w:t>is still subject to co-design. The reasonableness of this projection will depend on these reforms being implemented in the time frame, and with the effect</w:t>
      </w:r>
      <w:r w:rsidR="00985F51">
        <w:t>,</w:t>
      </w:r>
      <w:r>
        <w:t xml:space="preserve"> </w:t>
      </w:r>
      <w:proofErr w:type="gramStart"/>
      <w:r>
        <w:t>that</w:t>
      </w:r>
      <w:proofErr w:type="gramEnd"/>
      <w:r>
        <w:t xml:space="preserve"> is assumed. </w:t>
      </w:r>
      <w:r w:rsidRPr="005A054E">
        <w:t>In this situation, the Board should seek to enhance the monitoring of the progress towards the key assumptions that underpin the expected outcomes in each reform.</w:t>
      </w:r>
      <w:r>
        <w:t xml:space="preserve"> I note that monitoring of some Scheme Reforms has commenced, and reporting is expected to mature.</w:t>
      </w:r>
    </w:p>
    <w:p w14:paraId="46C845C5" w14:textId="5A778653" w:rsidR="009433D7" w:rsidRDefault="009433D7" w:rsidP="009433D7">
      <w:pPr>
        <w:pStyle w:val="Caption"/>
      </w:pPr>
      <w:bookmarkStart w:id="17" w:name="_Ref207201183"/>
      <w:bookmarkStart w:id="18" w:name="_Hlk210802074"/>
      <w:r>
        <w:lastRenderedPageBreak/>
        <w:t xml:space="preserve">Figure </w:t>
      </w:r>
      <w:r>
        <w:fldChar w:fldCharType="begin"/>
      </w:r>
      <w:r>
        <w:instrText xml:space="preserve"> SEQ Figure \* ARABIC </w:instrText>
      </w:r>
      <w:r>
        <w:fldChar w:fldCharType="separate"/>
      </w:r>
      <w:r w:rsidR="0093576D">
        <w:rPr>
          <w:noProof/>
        </w:rPr>
        <w:t>7</w:t>
      </w:r>
      <w:r>
        <w:fldChar w:fldCharType="end"/>
      </w:r>
      <w:bookmarkEnd w:id="17"/>
      <w:r>
        <w:t xml:space="preserve">: </w:t>
      </w:r>
      <w:r w:rsidR="00C866B3">
        <w:t xml:space="preserve">Growth in Committed Supports </w:t>
      </w:r>
      <w:r w:rsidR="008C7761">
        <w:t>(normal inflation and additional plan growth)</w:t>
      </w:r>
    </w:p>
    <w:bookmarkEnd w:id="18"/>
    <w:p w14:paraId="496B7FEE" w14:textId="680AAC79" w:rsidR="0040133F" w:rsidRDefault="00B0261A" w:rsidP="008532C7">
      <w:pPr>
        <w:pStyle w:val="ChartGraphic"/>
        <w:jc w:val="left"/>
      </w:pPr>
      <w:r>
        <w:drawing>
          <wp:inline distT="0" distB="0" distL="0" distR="0" wp14:anchorId="03C9E298" wp14:editId="03945AD8">
            <wp:extent cx="5547995" cy="2682240"/>
            <wp:effectExtent l="0" t="0" r="0" b="3810"/>
            <wp:docPr id="714562827" name="Picture 7" descr="Beginning of alt text for Figure 7: Growth in Committed Supports (normal inflation and additional plan growth). The figure shows the results for actual for Total, SIL and Non-SIL (from 2021 to 2025) and the 2025 FSR for Total, SIL and Non-SIL, from 2025 to 2035. The actual growth rate for non-SIL was higher than SIL for all historic years, with Total between SIL and Non-SIL. The Total growth rate fluctuated from approx. 6% in 2021 to 15% in 2023 before declining to 10% in 2025. For 2025, the non-SIL growth rate was approx. 13%, the total growth rate was 10% and the SIL growth rate was 5%. The projected growth rate declines to just under 4% from 2027 for total, SIL and non-SIL.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62827" name="Picture 7" descr="Beginning of alt text for Figure 7: Growth in Committed Supports (normal inflation and additional plan growth). The figure shows the results for actual for Total, SIL and Non-SIL (from 2021 to 2025) and the 2025 FSR for Total, SIL and Non-SIL, from 2025 to 2035. The actual growth rate for non-SIL was higher than SIL for all historic years, with Total between SIL and Non-SIL. The Total growth rate fluctuated from approx. 6% in 2021 to 15% in 2023 before declining to 10% in 2025. For 2025, the non-SIL growth rate was approx. 13%, the total growth rate was 10% and the SIL growth rate was 5%. The projected growth rate declines to just under 4% from 2027 for total, SIL and non-SIL. End of alt tex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7995" cy="2682240"/>
                    </a:xfrm>
                    <a:prstGeom prst="rect">
                      <a:avLst/>
                    </a:prstGeom>
                    <a:noFill/>
                  </pic:spPr>
                </pic:pic>
              </a:graphicData>
            </a:graphic>
          </wp:inline>
        </w:drawing>
      </w:r>
    </w:p>
    <w:p w14:paraId="73ADC3F6" w14:textId="77777777" w:rsidR="008532C7" w:rsidRPr="007E0FBD" w:rsidRDefault="008532C7" w:rsidP="008532C7">
      <w:pPr>
        <w:rPr>
          <w:sz w:val="18"/>
          <w:szCs w:val="18"/>
        </w:rPr>
      </w:pPr>
      <w:r w:rsidRPr="007E0FBD">
        <w:rPr>
          <w:sz w:val="18"/>
          <w:szCs w:val="18"/>
        </w:rPr>
        <w:t>End of Figure</w:t>
      </w:r>
    </w:p>
    <w:p w14:paraId="1B739668" w14:textId="2B57679C" w:rsidR="00557A07" w:rsidRDefault="00557A07" w:rsidP="009433D7">
      <w:r>
        <w:t xml:space="preserve">The projected </w:t>
      </w:r>
      <w:r w:rsidR="00710BED">
        <w:t xml:space="preserve">average committed supports for </w:t>
      </w:r>
      <w:r w:rsidR="009860B4">
        <w:t>the Scheme as a whole</w:t>
      </w:r>
      <w:r w:rsidR="00F864E1">
        <w:t>,</w:t>
      </w:r>
      <w:r w:rsidR="009860B4">
        <w:t xml:space="preserve"> for </w:t>
      </w:r>
      <w:r w:rsidR="00710BED">
        <w:t xml:space="preserve">SIL and </w:t>
      </w:r>
      <w:r w:rsidR="00154184">
        <w:t xml:space="preserve">for </w:t>
      </w:r>
      <w:r w:rsidR="00710BED">
        <w:t xml:space="preserve">non-SIL </w:t>
      </w:r>
      <w:r w:rsidR="009860B4">
        <w:t>participants</w:t>
      </w:r>
      <w:r w:rsidR="00F93311">
        <w:t xml:space="preserve"> </w:t>
      </w:r>
      <w:r w:rsidR="00710BED">
        <w:t xml:space="preserve">are shown in </w:t>
      </w:r>
      <w:r w:rsidR="00710BED">
        <w:fldChar w:fldCharType="begin"/>
      </w:r>
      <w:r w:rsidR="00710BED">
        <w:instrText xml:space="preserve"> REF _Ref207201109 \h </w:instrText>
      </w:r>
      <w:r w:rsidR="00710BED">
        <w:fldChar w:fldCharType="separate"/>
      </w:r>
      <w:r w:rsidR="0093576D">
        <w:t xml:space="preserve">Figure </w:t>
      </w:r>
      <w:r w:rsidR="0093576D">
        <w:rPr>
          <w:noProof/>
        </w:rPr>
        <w:t>8</w:t>
      </w:r>
      <w:r w:rsidR="00710BED">
        <w:fldChar w:fldCharType="end"/>
      </w:r>
      <w:r w:rsidR="00710BED">
        <w:t>.</w:t>
      </w:r>
      <w:r w:rsidR="00202123">
        <w:t xml:space="preserve"> SIL </w:t>
      </w:r>
      <w:r w:rsidR="001A6FFA">
        <w:t>average committed supports are shown against the right</w:t>
      </w:r>
      <w:r w:rsidR="003F7368">
        <w:t xml:space="preserve"> axis.</w:t>
      </w:r>
    </w:p>
    <w:p w14:paraId="16ACA2C7" w14:textId="6432DE2B" w:rsidR="00557A07" w:rsidRDefault="00557A07" w:rsidP="00557A07">
      <w:pPr>
        <w:pStyle w:val="Caption"/>
      </w:pPr>
      <w:bookmarkStart w:id="19" w:name="_Ref207201109"/>
      <w:r>
        <w:t xml:space="preserve">Figure </w:t>
      </w:r>
      <w:r>
        <w:fldChar w:fldCharType="begin"/>
      </w:r>
      <w:r>
        <w:instrText xml:space="preserve"> SEQ Figure \* ARABIC </w:instrText>
      </w:r>
      <w:r>
        <w:fldChar w:fldCharType="separate"/>
      </w:r>
      <w:r w:rsidR="0093576D">
        <w:rPr>
          <w:noProof/>
        </w:rPr>
        <w:t>8</w:t>
      </w:r>
      <w:r>
        <w:fldChar w:fldCharType="end"/>
      </w:r>
      <w:bookmarkEnd w:id="19"/>
      <w:r>
        <w:t xml:space="preserve">: </w:t>
      </w:r>
      <w:r w:rsidR="000F503C">
        <w:t>Average Committed Supports</w:t>
      </w:r>
      <w:r w:rsidR="00327E8F">
        <w:rPr>
          <w:rStyle w:val="FootnoteReference"/>
        </w:rPr>
        <w:footnoteReference w:id="5"/>
      </w:r>
    </w:p>
    <w:p w14:paraId="77ED635D" w14:textId="7550F3D1" w:rsidR="00557A07" w:rsidRDefault="00D91534" w:rsidP="00CA5D60">
      <w:pPr>
        <w:pStyle w:val="ChartGraphic"/>
        <w:jc w:val="left"/>
      </w:pPr>
      <w:r>
        <w:drawing>
          <wp:inline distT="0" distB="0" distL="0" distR="0" wp14:anchorId="2AE33F90" wp14:editId="0A85E5C8">
            <wp:extent cx="5572125" cy="2700655"/>
            <wp:effectExtent l="0" t="0" r="9525" b="4445"/>
            <wp:docPr id="692402252" name="Picture 8" descr="Beginning of alt text for Figure 8: Average committed supports. The figure shows the results for actual for Estimated/Actual Total (from 2018 to 2025) and the 2025 FSR for Total, SIL and Non-SIL, from 2025 to 2035. The result was 60,000 for 2018, increasing to 85,000 for 2025 for Estimated/Actual Total. For 2025, the Actual Non-SIL result was just above 60,000 and for Actual SIL it was approx 500,000. By 2035, the projected result increases to approx 90,000 for Non-SIL, 120,000 for Total, and 750,000 for SIL. End of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02252" name="Picture 8" descr="Beginning of alt text for Figure 8: Average committed supports. The figure shows the results for actual for Estimated/Actual Total (from 2018 to 2025) and the 2025 FSR for Total, SIL and Non-SIL, from 2025 to 2035. The result was 60,000 for 2018, increasing to 85,000 for 2025 for Estimated/Actual Total. For 2025, the Actual Non-SIL result was just above 60,000 and for Actual SIL it was approx 500,000. By 2035, the projected result increases to approx 90,000 for Non-SIL, 120,000 for Total, and 750,000 for SIL. End of alt 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2700655"/>
                    </a:xfrm>
                    <a:prstGeom prst="rect">
                      <a:avLst/>
                    </a:prstGeom>
                    <a:noFill/>
                  </pic:spPr>
                </pic:pic>
              </a:graphicData>
            </a:graphic>
          </wp:inline>
        </w:drawing>
      </w:r>
    </w:p>
    <w:p w14:paraId="6909D407" w14:textId="77777777" w:rsidR="00557A07" w:rsidRPr="007E0FBD" w:rsidRDefault="00557A07" w:rsidP="00557A07">
      <w:pPr>
        <w:rPr>
          <w:sz w:val="18"/>
          <w:szCs w:val="18"/>
        </w:rPr>
      </w:pPr>
      <w:r w:rsidRPr="007E0FBD">
        <w:rPr>
          <w:sz w:val="18"/>
          <w:szCs w:val="18"/>
        </w:rPr>
        <w:t>End of Figure</w:t>
      </w:r>
    </w:p>
    <w:p w14:paraId="5A9338C8" w14:textId="0345B7C9" w:rsidR="004D3981" w:rsidRDefault="004D3981" w:rsidP="004D3981">
      <w:pPr>
        <w:pStyle w:val="Heading4"/>
      </w:pPr>
      <w:r>
        <w:lastRenderedPageBreak/>
        <w:t>Utilisation</w:t>
      </w:r>
    </w:p>
    <w:p w14:paraId="5CF630A3" w14:textId="0935D255" w:rsidR="004D3981" w:rsidRDefault="004D3981" w:rsidP="004D3981">
      <w:r>
        <w:t xml:space="preserve">Utilisation is defined as payments </w:t>
      </w:r>
      <w:r w:rsidR="002C6EC5">
        <w:t xml:space="preserve">(on an accrual basis) </w:t>
      </w:r>
      <w:r>
        <w:t>divided by committed supports. The starting utilisation used in the 2025 FSR projection is the 2024-25 utilisation, with the 2024-25 utilisation rate adopted for each cohort.</w:t>
      </w:r>
    </w:p>
    <w:p w14:paraId="378AFE41" w14:textId="77777777" w:rsidR="001136E9" w:rsidRDefault="004D3981" w:rsidP="002924B5">
      <w:r>
        <w:t xml:space="preserve">Future utilisation rates are assumed to </w:t>
      </w:r>
      <w:r w:rsidR="00A60EB5">
        <w:t xml:space="preserve">moderate </w:t>
      </w:r>
      <w:r w:rsidR="00B71264">
        <w:t>because of</w:t>
      </w:r>
      <w:r w:rsidR="00A60EB5">
        <w:t xml:space="preserve"> i</w:t>
      </w:r>
      <w:r w:rsidRPr="00697D87">
        <w:t xml:space="preserve">ntegrity measures </w:t>
      </w:r>
      <w:r w:rsidR="00A60EB5">
        <w:t xml:space="preserve">that reduce </w:t>
      </w:r>
      <w:r w:rsidRPr="00697D87">
        <w:t>fraudulent</w:t>
      </w:r>
      <w:r w:rsidR="00A60EB5">
        <w:t xml:space="preserve"> and </w:t>
      </w:r>
      <w:r w:rsidRPr="00697D87">
        <w:t>unauthorised payments</w:t>
      </w:r>
      <w:r w:rsidR="001761F6">
        <w:t xml:space="preserve">. </w:t>
      </w:r>
      <w:r w:rsidR="00B80274">
        <w:t>T</w:t>
      </w:r>
      <w:r w:rsidR="001761F6">
        <w:t>he introduction of f</w:t>
      </w:r>
      <w:r w:rsidRPr="00697D87">
        <w:t xml:space="preserve">unding periods </w:t>
      </w:r>
      <w:r w:rsidR="00B71264" w:rsidRPr="00697D87">
        <w:t>is</w:t>
      </w:r>
      <w:r w:rsidRPr="00697D87">
        <w:t xml:space="preserve"> assumed to </w:t>
      </w:r>
      <w:r w:rsidR="001761F6">
        <w:t xml:space="preserve">further </w:t>
      </w:r>
      <w:r w:rsidRPr="00697D87">
        <w:t>reduce utilisation</w:t>
      </w:r>
      <w:r>
        <w:t>,</w:t>
      </w:r>
      <w:r w:rsidRPr="00697D87">
        <w:t xml:space="preserve"> by </w:t>
      </w:r>
      <w:r w:rsidR="001761F6">
        <w:t xml:space="preserve">reducing </w:t>
      </w:r>
      <w:r w:rsidRPr="00697D87">
        <w:t>the capacity of participants to over-spend</w:t>
      </w:r>
      <w:r w:rsidR="001761F6">
        <w:t xml:space="preserve">. </w:t>
      </w:r>
      <w:r w:rsidRPr="00697D87">
        <w:t>The</w:t>
      </w:r>
      <w:r w:rsidR="007967ED">
        <w:t>se</w:t>
      </w:r>
      <w:r>
        <w:t xml:space="preserve"> </w:t>
      </w:r>
      <w:r w:rsidR="00C003C6">
        <w:t xml:space="preserve">moderating </w:t>
      </w:r>
      <w:r>
        <w:t xml:space="preserve">impacts </w:t>
      </w:r>
      <w:r w:rsidRPr="00697D87">
        <w:t xml:space="preserve">are assumed to be partially offset </w:t>
      </w:r>
      <w:r w:rsidR="001A4C12">
        <w:t xml:space="preserve">in the </w:t>
      </w:r>
      <w:r w:rsidR="00BF5F78">
        <w:t>medium</w:t>
      </w:r>
      <w:r w:rsidR="001A4C12">
        <w:t xml:space="preserve"> term </w:t>
      </w:r>
      <w:r w:rsidR="00896373">
        <w:t xml:space="preserve">(in a small manner) by </w:t>
      </w:r>
      <w:r w:rsidR="007C0653">
        <w:t xml:space="preserve">behavioural factors arising from </w:t>
      </w:r>
      <w:r w:rsidRPr="00697D87">
        <w:t xml:space="preserve">lower plan inflation and flexible budgets </w:t>
      </w:r>
      <w:r>
        <w:t>(i.e. participants can more easily switch budgets from one support to another if one budget is exhausted)</w:t>
      </w:r>
      <w:r w:rsidRPr="00697D87">
        <w:t>.</w:t>
      </w:r>
      <w:r w:rsidR="001A4C12">
        <w:t xml:space="preserve"> </w:t>
      </w:r>
    </w:p>
    <w:p w14:paraId="7E16D70D" w14:textId="5F32B65D" w:rsidR="001A4C12" w:rsidRDefault="005D3581" w:rsidP="002924B5">
      <w:r>
        <w:t>As for the assumptions regarding changes in p</w:t>
      </w:r>
      <w:r w:rsidR="00F401D9">
        <w:t>l</w:t>
      </w:r>
      <w:r>
        <w:t>an growth</w:t>
      </w:r>
      <w:r w:rsidR="00B32B21">
        <w:t>, the reasonableness of this projection will depend on the</w:t>
      </w:r>
      <w:r w:rsidR="00CB4FA3">
        <w:t>se</w:t>
      </w:r>
      <w:r w:rsidR="00B32B21">
        <w:t xml:space="preserve"> reforms being implemented in the time frame, and with the effect that is assumed. They will also depend on behavioural change </w:t>
      </w:r>
      <w:r w:rsidR="00401F37" w:rsidRPr="00B5491A">
        <w:t xml:space="preserve">remaining </w:t>
      </w:r>
      <w:r w:rsidR="00CB4FA3" w:rsidRPr="00B5491A">
        <w:t>negligible</w:t>
      </w:r>
      <w:r w:rsidR="00401F37" w:rsidRPr="00B5491A">
        <w:t xml:space="preserve">. </w:t>
      </w:r>
      <w:r w:rsidR="00595D18" w:rsidRPr="00B5491A">
        <w:t xml:space="preserve">Enhancing </w:t>
      </w:r>
      <w:r w:rsidR="00B5491A" w:rsidRPr="00B5491A">
        <w:t xml:space="preserve">the </w:t>
      </w:r>
      <w:r w:rsidR="00595D18" w:rsidRPr="00B5491A">
        <w:t xml:space="preserve">monitoring of progress towards key assumptions is also recommended </w:t>
      </w:r>
      <w:r w:rsidR="005B0538" w:rsidRPr="00B5491A">
        <w:t>for these initiatives and reforms.</w:t>
      </w:r>
    </w:p>
    <w:p w14:paraId="6420039B" w14:textId="6697B6AD" w:rsidR="002E3A79" w:rsidRDefault="00402224" w:rsidP="002E3A79">
      <w:r>
        <w:t xml:space="preserve">Actual and </w:t>
      </w:r>
      <w:r w:rsidR="002E3A79">
        <w:t xml:space="preserve">projected utilisation for </w:t>
      </w:r>
      <w:r w:rsidR="009860B4">
        <w:t>the Scheme as a whole</w:t>
      </w:r>
      <w:r w:rsidR="00F864E1">
        <w:t>,</w:t>
      </w:r>
      <w:r w:rsidR="009860B4">
        <w:t xml:space="preserve"> and for </w:t>
      </w:r>
      <w:r w:rsidR="002E3A79">
        <w:t>SIL and non-SIL</w:t>
      </w:r>
      <w:r w:rsidR="009860B4">
        <w:t xml:space="preserve"> participants</w:t>
      </w:r>
      <w:r w:rsidR="00F864E1">
        <w:t>,</w:t>
      </w:r>
      <w:r w:rsidR="002E3A79">
        <w:t xml:space="preserve"> </w:t>
      </w:r>
      <w:r w:rsidR="00F864E1">
        <w:t>is</w:t>
      </w:r>
      <w:r w:rsidR="002E3A79">
        <w:t xml:space="preserve"> shown in </w:t>
      </w:r>
      <w:r w:rsidR="00BC645F">
        <w:fldChar w:fldCharType="begin"/>
      </w:r>
      <w:r w:rsidR="00BC645F">
        <w:instrText xml:space="preserve"> REF _Ref207274209 \h </w:instrText>
      </w:r>
      <w:r w:rsidR="00BC645F">
        <w:fldChar w:fldCharType="separate"/>
      </w:r>
      <w:r w:rsidR="0093576D">
        <w:t xml:space="preserve">Figure </w:t>
      </w:r>
      <w:r w:rsidR="0093576D">
        <w:rPr>
          <w:noProof/>
        </w:rPr>
        <w:t>9</w:t>
      </w:r>
      <w:r w:rsidR="00BC645F">
        <w:fldChar w:fldCharType="end"/>
      </w:r>
      <w:r w:rsidR="002E3A79">
        <w:t>.</w:t>
      </w:r>
    </w:p>
    <w:p w14:paraId="3B374A78" w14:textId="297BC765" w:rsidR="002E3A79" w:rsidRDefault="002E3A79" w:rsidP="002E3A79">
      <w:pPr>
        <w:pStyle w:val="Caption"/>
      </w:pPr>
      <w:bookmarkStart w:id="20" w:name="_Ref207274209"/>
      <w:r>
        <w:t xml:space="preserve">Figure </w:t>
      </w:r>
      <w:r>
        <w:fldChar w:fldCharType="begin"/>
      </w:r>
      <w:r>
        <w:instrText xml:space="preserve"> SEQ Figure \* ARABIC </w:instrText>
      </w:r>
      <w:r>
        <w:fldChar w:fldCharType="separate"/>
      </w:r>
      <w:r w:rsidR="0093576D">
        <w:rPr>
          <w:noProof/>
        </w:rPr>
        <w:t>9</w:t>
      </w:r>
      <w:r>
        <w:fldChar w:fldCharType="end"/>
      </w:r>
      <w:bookmarkEnd w:id="20"/>
      <w:r>
        <w:t xml:space="preserve">: </w:t>
      </w:r>
      <w:proofErr w:type="gramStart"/>
      <w:r>
        <w:t>Utilisation</w:t>
      </w:r>
      <w:proofErr w:type="gramEnd"/>
    </w:p>
    <w:p w14:paraId="5330AC6B" w14:textId="60014AED" w:rsidR="002E3A79" w:rsidRDefault="005F318F" w:rsidP="00662472">
      <w:pPr>
        <w:pStyle w:val="ChartGraphic"/>
        <w:jc w:val="left"/>
      </w:pPr>
      <w:bookmarkStart w:id="21" w:name="_1817876123"/>
      <w:bookmarkEnd w:id="21"/>
      <w:r>
        <w:drawing>
          <wp:inline distT="0" distB="0" distL="0" distR="0" wp14:anchorId="5FA992FF" wp14:editId="06F3E1DB">
            <wp:extent cx="5438140" cy="2700655"/>
            <wp:effectExtent l="0" t="0" r="0" b="4445"/>
            <wp:docPr id="484114559" name="Picture 9" descr="Beginning of alt text for Figure 9: Utilisation. The figure shows the results for actual (from 2018 to 2025) and the 2025 FSR for Total, SIL and Non-SIL, from 2025 to 2035. The actual result was 70% for 2018, increasing to 77% in 2024 and 75% in 2025. For 2025, the actual Non-SIL result was 70% and 86% for SIL. For Non-SIL this decreases to 67% by 2035, while for SIL it remains stable at 85% in 2035. For Total, this decreases to 74% in 2035. End of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14559" name="Picture 9" descr="Beginning of alt text for Figure 9: Utilisation. The figure shows the results for actual (from 2018 to 2025) and the 2025 FSR for Total, SIL and Non-SIL, from 2025 to 2035. The actual result was 70% for 2018, increasing to 77% in 2024 and 75% in 2025. For 2025, the actual Non-SIL result was 70% and 86% for SIL. For Non-SIL this decreases to 67% by 2035, while for SIL it remains stable at 85% in 2035. For Total, this decreases to 74% in 2035. End of alt tex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8140" cy="2700655"/>
                    </a:xfrm>
                    <a:prstGeom prst="rect">
                      <a:avLst/>
                    </a:prstGeom>
                    <a:noFill/>
                  </pic:spPr>
                </pic:pic>
              </a:graphicData>
            </a:graphic>
          </wp:inline>
        </w:drawing>
      </w:r>
    </w:p>
    <w:p w14:paraId="147D85C7" w14:textId="03229DDE" w:rsidR="002E3A79" w:rsidRDefault="002E3A79">
      <w:pPr>
        <w:rPr>
          <w:sz w:val="18"/>
          <w:szCs w:val="18"/>
        </w:rPr>
      </w:pPr>
      <w:r w:rsidRPr="007E0FBD">
        <w:rPr>
          <w:sz w:val="18"/>
          <w:szCs w:val="18"/>
        </w:rPr>
        <w:t>End of Figure</w:t>
      </w:r>
    </w:p>
    <w:p w14:paraId="1CC8CEBC" w14:textId="3C9CD5BD" w:rsidR="00036919" w:rsidRPr="00F92ADD" w:rsidRDefault="00AA6097" w:rsidP="001A6537">
      <w:r w:rsidRPr="001A6537">
        <w:t xml:space="preserve">Utilisation for SIL participants is </w:t>
      </w:r>
      <w:r w:rsidR="009D220F">
        <w:t xml:space="preserve">projected to be </w:t>
      </w:r>
      <w:r w:rsidR="00270482">
        <w:t>16</w:t>
      </w:r>
      <w:r w:rsidR="00FC39EA">
        <w:t>.3</w:t>
      </w:r>
      <w:r w:rsidR="00270482">
        <w:t xml:space="preserve">% </w:t>
      </w:r>
      <w:r w:rsidRPr="001A6537">
        <w:t>higher than for non-SIL participants</w:t>
      </w:r>
      <w:r w:rsidR="00270482">
        <w:t xml:space="preserve"> in 2025-26</w:t>
      </w:r>
      <w:r w:rsidR="009D220F">
        <w:t xml:space="preserve">. This differential is projected to increase slightly over the projection to </w:t>
      </w:r>
      <w:r w:rsidR="00FC39EA">
        <w:t xml:space="preserve">17.4% in </w:t>
      </w:r>
      <w:r w:rsidR="008C19F5">
        <w:t>2034-35.</w:t>
      </w:r>
    </w:p>
    <w:p w14:paraId="2C96BA29" w14:textId="44D3FEDC" w:rsidR="00B35134" w:rsidRPr="00F92ADD" w:rsidRDefault="00B35134" w:rsidP="001A6537">
      <w:r w:rsidRPr="00B35134">
        <w:t xml:space="preserve">In the medium term, utilisation is assumed to remain </w:t>
      </w:r>
      <w:r w:rsidR="00E733B5">
        <w:t xml:space="preserve">reasonably </w:t>
      </w:r>
      <w:r w:rsidRPr="00B35134">
        <w:t>flat after 20</w:t>
      </w:r>
      <w:r w:rsidR="00A442AF">
        <w:t>28</w:t>
      </w:r>
      <w:r w:rsidRPr="00B35134">
        <w:t xml:space="preserve">. </w:t>
      </w:r>
    </w:p>
    <w:p w14:paraId="52625E64" w14:textId="4235D136" w:rsidR="00350D5C" w:rsidRDefault="00350D5C" w:rsidP="006269FE">
      <w:pPr>
        <w:pStyle w:val="Heading4"/>
      </w:pPr>
      <w:r>
        <w:t xml:space="preserve">Summary of </w:t>
      </w:r>
      <w:r w:rsidR="006269FE">
        <w:t xml:space="preserve">participant spend </w:t>
      </w:r>
      <w:proofErr w:type="gramStart"/>
      <w:r w:rsidR="006269FE">
        <w:t>assumptions</w:t>
      </w:r>
      <w:proofErr w:type="gramEnd"/>
    </w:p>
    <w:p w14:paraId="6C2F35C8" w14:textId="16019158" w:rsidR="00B71945" w:rsidRDefault="006269FE" w:rsidP="006269FE">
      <w:r>
        <w:fldChar w:fldCharType="begin"/>
      </w:r>
      <w:r>
        <w:instrText xml:space="preserve"> REF _Ref206485428 \h </w:instrText>
      </w:r>
      <w:r>
        <w:fldChar w:fldCharType="separate"/>
      </w:r>
      <w:r w:rsidR="0093576D">
        <w:t xml:space="preserve">Figure </w:t>
      </w:r>
      <w:r w:rsidR="0093576D">
        <w:rPr>
          <w:noProof/>
        </w:rPr>
        <w:t>10</w:t>
      </w:r>
      <w:r>
        <w:fldChar w:fldCharType="end"/>
      </w:r>
      <w:r>
        <w:t xml:space="preserve"> </w:t>
      </w:r>
      <w:r w:rsidR="006A2A05">
        <w:t>summarises the trend in committed supports and utilisation</w:t>
      </w:r>
      <w:r w:rsidR="0055161E">
        <w:t xml:space="preserve"> (both historical and projected)</w:t>
      </w:r>
      <w:r w:rsidR="006A2A05">
        <w:t>.</w:t>
      </w:r>
      <w:r w:rsidR="00C171B2">
        <w:t xml:space="preserve"> </w:t>
      </w:r>
    </w:p>
    <w:p w14:paraId="6B22225F" w14:textId="1A790C98" w:rsidR="00B67DA2" w:rsidRDefault="00B67DA2" w:rsidP="006269FE">
      <w:r>
        <w:lastRenderedPageBreak/>
        <w:t>Growth in average committed supports</w:t>
      </w:r>
      <w:r w:rsidDel="000A2A0B">
        <w:t xml:space="preserve"> </w:t>
      </w:r>
      <w:r>
        <w:t xml:space="preserve">is projected to reduce from </w:t>
      </w:r>
      <w:r w:rsidRPr="0065176E">
        <w:t>1</w:t>
      </w:r>
      <w:r>
        <w:t>0.</w:t>
      </w:r>
      <w:r w:rsidRPr="0065176E">
        <w:t xml:space="preserve">3% in 2024-25 </w:t>
      </w:r>
      <w:r w:rsidRPr="00793FA2">
        <w:t xml:space="preserve">to </w:t>
      </w:r>
      <w:r>
        <w:t>5.6</w:t>
      </w:r>
      <w:r w:rsidRPr="00793FA2">
        <w:t>%</w:t>
      </w:r>
      <w:r>
        <w:t xml:space="preserve"> in 2025</w:t>
      </w:r>
      <w:r>
        <w:noBreakHyphen/>
        <w:t xml:space="preserve">26, with additional growth in plans reducing from 8.3% to 2.5% over the same timeframe. The main mechanism for achieving this significant reduction in additional growth is through the Sustainability Initiative, particularly a slower growth in committed supports for unscheduled reassessments. </w:t>
      </w:r>
    </w:p>
    <w:p w14:paraId="7FBCDA9E" w14:textId="3B91D258" w:rsidR="00B67DA2" w:rsidRDefault="00B67DA2" w:rsidP="006269FE">
      <w:r>
        <w:t xml:space="preserve">The average growth in committed supports is expected to be </w:t>
      </w:r>
      <w:r w:rsidRPr="00223A96">
        <w:t>3.6%</w:t>
      </w:r>
      <w:r>
        <w:t xml:space="preserve"> per annum over the medium term. This is only marginally higher than the assumed level of normal inflation of </w:t>
      </w:r>
      <w:r w:rsidRPr="00223A96">
        <w:t>3.5%</w:t>
      </w:r>
      <w:r>
        <w:t xml:space="preserve"> per annum i.e. close to nil additional plan growth. I understand that the Scheme Actuary is relying on the ongoing effectiveness of </w:t>
      </w:r>
      <w:r w:rsidR="00B57BB9">
        <w:t xml:space="preserve">New Framework Planning </w:t>
      </w:r>
      <w:r>
        <w:t>to achieve this low level of additional growth. There is a risk that will not be achievable in the medium term.</w:t>
      </w:r>
    </w:p>
    <w:p w14:paraId="0572331B" w14:textId="664CF0B2" w:rsidR="008531AB" w:rsidRDefault="005236C2" w:rsidP="005236C2">
      <w:pPr>
        <w:pStyle w:val="Caption"/>
      </w:pPr>
      <w:bookmarkStart w:id="22" w:name="_Ref206485428"/>
      <w:r>
        <w:t xml:space="preserve">Figure </w:t>
      </w:r>
      <w:r>
        <w:fldChar w:fldCharType="begin"/>
      </w:r>
      <w:r>
        <w:instrText xml:space="preserve"> SEQ Figure \* ARABIC </w:instrText>
      </w:r>
      <w:r>
        <w:fldChar w:fldCharType="separate"/>
      </w:r>
      <w:r w:rsidR="0093576D">
        <w:rPr>
          <w:noProof/>
        </w:rPr>
        <w:t>10</w:t>
      </w:r>
      <w:r>
        <w:fldChar w:fldCharType="end"/>
      </w:r>
      <w:bookmarkEnd w:id="22"/>
      <w:r>
        <w:t xml:space="preserve">: Actual and projected </w:t>
      </w:r>
      <w:r w:rsidR="006A2A05">
        <w:t>committed supports</w:t>
      </w:r>
      <w:r w:rsidR="0054162C">
        <w:t xml:space="preserve">, </w:t>
      </w:r>
      <w:r w:rsidR="006A2A05">
        <w:t>utilisation</w:t>
      </w:r>
      <w:r w:rsidR="0054162C">
        <w:t xml:space="preserve"> and average spend</w:t>
      </w:r>
      <w:r w:rsidR="00CA11F7">
        <w:rPr>
          <w:rStyle w:val="FootnoteReference"/>
        </w:rPr>
        <w:footnoteReference w:id="6"/>
      </w:r>
    </w:p>
    <w:p w14:paraId="40CF1EF9" w14:textId="72A9D100" w:rsidR="0037268A" w:rsidRDefault="0057615D" w:rsidP="00671C0A">
      <w:pPr>
        <w:pStyle w:val="ChartGraphic"/>
        <w:keepNext/>
        <w:jc w:val="left"/>
      </w:pPr>
      <w:r>
        <w:drawing>
          <wp:inline distT="0" distB="0" distL="0" distR="0" wp14:anchorId="73102125" wp14:editId="58D9DBB3">
            <wp:extent cx="5487035" cy="2676525"/>
            <wp:effectExtent l="0" t="0" r="0" b="9525"/>
            <wp:docPr id="781225988" name="Picture 1" descr="Beginning of alt text for Figure 10: Actual and projected committed supports, utilisation and average spend. The figure shows the results for actual Avg spend, estimated/actual committed supports (CS) and actual utilisation (from 2018 to 2025). It also shows the 2025 FSR for Average spend, Average CS, and utilisation from 2025 to 2035. Average spend was approx 40,000 in 2018, increasing to approx 65,000 in 2025. Average CS was approx 60,000 in 2018, increasing to approx 87,000 in 2025. Average utilisation was about 70% in 2018, increasing to 75% in 2025. By 2035, the projected spend is approx 90,000, the projected CS just above 120,000, the projected utilisation 74%.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25988" name="Picture 1" descr="Beginning of alt text for Figure 10: Actual and projected committed supports, utilisation and average spend. The figure shows the results for actual Avg spend, estimated/actual committed supports (CS) and actual utilisation (from 2018 to 2025). It also shows the 2025 FSR for Average spend, Average CS, and utilisation from 2025 to 2035. Average spend was approx 40,000 in 2018, increasing to approx 65,000 in 2025. Average CS was approx 60,000 in 2018, increasing to approx 87,000 in 2025. Average utilisation was about 70% in 2018, increasing to 75% in 2025. By 2035, the projected spend is approx 90,000, the projected CS just above 120,000, the projected utilisation 74%. End of alt tex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7035" cy="2676525"/>
                    </a:xfrm>
                    <a:prstGeom prst="rect">
                      <a:avLst/>
                    </a:prstGeom>
                    <a:noFill/>
                  </pic:spPr>
                </pic:pic>
              </a:graphicData>
            </a:graphic>
          </wp:inline>
        </w:drawing>
      </w:r>
    </w:p>
    <w:p w14:paraId="67CCE4B6" w14:textId="58DE7D94" w:rsidR="0037268A" w:rsidRDefault="0037268A" w:rsidP="0037268A">
      <w:pPr>
        <w:rPr>
          <w:sz w:val="18"/>
          <w:szCs w:val="18"/>
        </w:rPr>
      </w:pPr>
      <w:r w:rsidRPr="0037268A">
        <w:rPr>
          <w:sz w:val="18"/>
          <w:szCs w:val="18"/>
        </w:rPr>
        <w:t>End of Figure</w:t>
      </w:r>
    </w:p>
    <w:p w14:paraId="56EA550C" w14:textId="28012CD4" w:rsidR="00F52AC6" w:rsidRDefault="00F52AC6" w:rsidP="00F52AC6">
      <w:r>
        <w:t>Average utilisation steadily increased from 2017-18 until 2023-24 and then fell a little in 2024-25. I have been advised that the drop in 2024-25 is attributable to the introduction of the list of approved supports (Section 10)</w:t>
      </w:r>
      <w:r w:rsidR="0003027C">
        <w:t xml:space="preserve"> and</w:t>
      </w:r>
      <w:r>
        <w:t xml:space="preserve"> the </w:t>
      </w:r>
      <w:proofErr w:type="spellStart"/>
      <w:r>
        <w:t>CrackDown</w:t>
      </w:r>
      <w:proofErr w:type="spellEnd"/>
      <w:r>
        <w:t xml:space="preserve"> on Fraud initiative. This projection expects that utilisation will reduce by 1.4% and 1.0%</w:t>
      </w:r>
      <w:r w:rsidR="00F520D7">
        <w:t xml:space="preserve"> </w:t>
      </w:r>
      <w:r w:rsidR="00447480">
        <w:t>over the next two years</w:t>
      </w:r>
      <w:r>
        <w:t xml:space="preserve">, from </w:t>
      </w:r>
      <w:r w:rsidRPr="009511C2">
        <w:t>75.7%</w:t>
      </w:r>
      <w:r>
        <w:t xml:space="preserve"> in 2024-25 to 73.2% in 2026-27. Average utilisation is then expected to remain flat over the medium term. </w:t>
      </w:r>
      <w:r w:rsidR="00D44835" w:rsidRPr="00D44835">
        <w:t>There is a risk that this does not happen as it contrasts with the experience of the Scheme.</w:t>
      </w:r>
    </w:p>
    <w:p w14:paraId="0569B6FA" w14:textId="4690EA9A" w:rsidR="00666758" w:rsidRPr="00884130" w:rsidRDefault="003565EA" w:rsidP="00084370">
      <w:pPr>
        <w:pStyle w:val="Heading4"/>
      </w:pPr>
      <w:r w:rsidRPr="00884130">
        <w:t>202</w:t>
      </w:r>
      <w:r w:rsidR="008A74C6" w:rsidRPr="00884130">
        <w:t>5</w:t>
      </w:r>
      <w:r w:rsidR="00084370">
        <w:t xml:space="preserve"> FSR</w:t>
      </w:r>
      <w:r w:rsidRPr="00884130">
        <w:t xml:space="preserve"> projection</w:t>
      </w:r>
    </w:p>
    <w:p w14:paraId="0579E7DB" w14:textId="3DC8D321" w:rsidR="006F1CFB" w:rsidRPr="00830900" w:rsidRDefault="008D4F60" w:rsidP="006F1CFB">
      <w:pPr>
        <w:spacing w:after="320"/>
      </w:pPr>
      <w:r>
        <w:fldChar w:fldCharType="begin"/>
      </w:r>
      <w:r>
        <w:instrText xml:space="preserve"> REF _Ref206153762 \h </w:instrText>
      </w:r>
      <w:r>
        <w:fldChar w:fldCharType="separate"/>
      </w:r>
      <w:r w:rsidR="0093576D" w:rsidRPr="00884130">
        <w:t xml:space="preserve">Figure </w:t>
      </w:r>
      <w:r w:rsidR="0093576D">
        <w:rPr>
          <w:noProof/>
        </w:rPr>
        <w:t>11</w:t>
      </w:r>
      <w:r>
        <w:fldChar w:fldCharType="end"/>
      </w:r>
      <w:r w:rsidR="006F1CFB" w:rsidRPr="00830900">
        <w:t xml:space="preserve"> shows that the resulting 202</w:t>
      </w:r>
      <w:r w:rsidR="008A74C6" w:rsidRPr="00830900">
        <w:t>5</w:t>
      </w:r>
      <w:r w:rsidR="006F1CFB" w:rsidRPr="00830900">
        <w:t xml:space="preserve"> </w:t>
      </w:r>
      <w:r w:rsidR="00084370" w:rsidRPr="00830900">
        <w:t xml:space="preserve">FSR </w:t>
      </w:r>
      <w:r w:rsidR="006F1CFB" w:rsidRPr="00830900">
        <w:t xml:space="preserve">projection (solid black line) is </w:t>
      </w:r>
      <w:r w:rsidR="00B56AD7" w:rsidRPr="00830900">
        <w:t xml:space="preserve">marginally lower than the </w:t>
      </w:r>
      <w:r w:rsidR="00830900" w:rsidRPr="00830900">
        <w:t>2024 FSR</w:t>
      </w:r>
      <w:proofErr w:type="gramStart"/>
      <w:r w:rsidR="006F1CFB" w:rsidRPr="00830900">
        <w:t xml:space="preserve">. </w:t>
      </w:r>
      <w:r w:rsidR="6B2C28D2" w:rsidRPr="00830900">
        <w:t xml:space="preserve"> </w:t>
      </w:r>
      <w:proofErr w:type="gramEnd"/>
    </w:p>
    <w:p w14:paraId="021F313C" w14:textId="79B45949" w:rsidR="0073495E" w:rsidRPr="00884130" w:rsidRDefault="0073495E" w:rsidP="0073495E">
      <w:pPr>
        <w:pStyle w:val="Caption"/>
      </w:pPr>
      <w:bookmarkStart w:id="23" w:name="_Ref111716433"/>
      <w:bookmarkStart w:id="24" w:name="_Ref206153762"/>
      <w:r w:rsidRPr="00884130">
        <w:lastRenderedPageBreak/>
        <w:t xml:space="preserve">Figure </w:t>
      </w:r>
      <w:bookmarkEnd w:id="23"/>
      <w:r w:rsidR="001A459F">
        <w:fldChar w:fldCharType="begin"/>
      </w:r>
      <w:r w:rsidR="001A459F">
        <w:instrText xml:space="preserve"> SEQ Figure \* ARABIC </w:instrText>
      </w:r>
      <w:r w:rsidR="001A459F">
        <w:fldChar w:fldCharType="separate"/>
      </w:r>
      <w:r w:rsidR="0093576D">
        <w:rPr>
          <w:noProof/>
        </w:rPr>
        <w:t>11</w:t>
      </w:r>
      <w:r w:rsidR="001A459F">
        <w:fldChar w:fldCharType="end"/>
      </w:r>
      <w:bookmarkEnd w:id="24"/>
      <w:r w:rsidRPr="00884130">
        <w:t xml:space="preserve">: Actual &amp; projected total </w:t>
      </w:r>
      <w:r w:rsidR="003D22A2" w:rsidRPr="00884130">
        <w:t xml:space="preserve">participant </w:t>
      </w:r>
      <w:proofErr w:type="gramStart"/>
      <w:r w:rsidR="003D22A2" w:rsidRPr="00884130">
        <w:t>spend</w:t>
      </w:r>
      <w:proofErr w:type="gramEnd"/>
    </w:p>
    <w:p w14:paraId="0B11A039" w14:textId="07AEF4DE" w:rsidR="00C90C4B" w:rsidRPr="00884130" w:rsidRDefault="00B46969" w:rsidP="002F56F1">
      <w:pPr>
        <w:pStyle w:val="ChartGraphic"/>
        <w:jc w:val="left"/>
      </w:pPr>
      <w:r>
        <w:drawing>
          <wp:inline distT="0" distB="0" distL="0" distR="0" wp14:anchorId="406D9F37" wp14:editId="0A7048AD">
            <wp:extent cx="5621020" cy="2859405"/>
            <wp:effectExtent l="0" t="0" r="0" b="0"/>
            <wp:docPr id="686238679" name="Picture 11" descr="Beginning of alt text for Figure 11. Actual &amp; projected total participant spend. The figure shows actual, and 2020-2025 FSR projections. The actual result increased from about $15bn in 2020 to about $45bn in 2025. The 2025 FSR projects the result to increase to approx $95bn by 2035. This is slightly lower than the 2024 FSR, and across the projection years, is lower than the 2022 and 2023 FSR, but higher than the 2020 and 2021 FSRs.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38679" name="Picture 11" descr="Beginning of alt text for Figure 11. Actual &amp; projected total participant spend. The figure shows actual, and 2020-2025 FSR projections. The actual result increased from about $15bn in 2020 to about $45bn in 2025. The 2025 FSR projects the result to increase to approx $95bn by 2035. This is slightly lower than the 2024 FSR, and across the projection years, is lower than the 2022 and 2023 FSR, but higher than the 2020 and 2021 FSRs. End of alt text.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1020" cy="2859405"/>
                    </a:xfrm>
                    <a:prstGeom prst="rect">
                      <a:avLst/>
                    </a:prstGeom>
                    <a:noFill/>
                  </pic:spPr>
                </pic:pic>
              </a:graphicData>
            </a:graphic>
          </wp:inline>
        </w:drawing>
      </w:r>
    </w:p>
    <w:p w14:paraId="66B1F503" w14:textId="6FC8D5CC" w:rsidR="00FD7387" w:rsidRPr="00884130" w:rsidRDefault="00FD7387" w:rsidP="00FD7387">
      <w:pPr>
        <w:rPr>
          <w:sz w:val="18"/>
          <w:szCs w:val="18"/>
        </w:rPr>
      </w:pPr>
      <w:bookmarkStart w:id="25" w:name="_Ref172281694"/>
      <w:r w:rsidRPr="00884130">
        <w:rPr>
          <w:sz w:val="18"/>
          <w:szCs w:val="18"/>
        </w:rPr>
        <w:t>End of Figure</w:t>
      </w:r>
    </w:p>
    <w:p w14:paraId="16EC559C" w14:textId="4C43F128" w:rsidR="00AB4928" w:rsidRPr="00986F76" w:rsidRDefault="00AB4928" w:rsidP="002B3779">
      <w:pPr>
        <w:pStyle w:val="Heading2"/>
      </w:pPr>
      <w:r w:rsidRPr="00986F76">
        <w:t>Sustainability</w:t>
      </w:r>
      <w:bookmarkEnd w:id="25"/>
    </w:p>
    <w:p w14:paraId="21D91500" w14:textId="0B736EA1" w:rsidR="00D40EE7" w:rsidRDefault="00D33D2C" w:rsidP="00480AD2">
      <w:r w:rsidRPr="001A02F7">
        <w:t xml:space="preserve">The </w:t>
      </w:r>
      <w:r w:rsidR="00A937E5" w:rsidRPr="001A02F7">
        <w:t>2025</w:t>
      </w:r>
      <w:r w:rsidR="00480AD2" w:rsidRPr="001A02F7">
        <w:t xml:space="preserve"> </w:t>
      </w:r>
      <w:r w:rsidR="00C52C96">
        <w:t>FSR</w:t>
      </w:r>
      <w:r w:rsidR="00480AD2" w:rsidRPr="001A02F7">
        <w:t xml:space="preserve"> projection allows for the </w:t>
      </w:r>
      <w:r w:rsidR="00B0153D" w:rsidRPr="001A02F7">
        <w:t>recent experience of the Scheme, adjust</w:t>
      </w:r>
      <w:r w:rsidR="00C52C96">
        <w:t>ed</w:t>
      </w:r>
      <w:r w:rsidR="00B0153D" w:rsidRPr="001A02F7">
        <w:t xml:space="preserve"> for the </w:t>
      </w:r>
      <w:r w:rsidR="00480AD2" w:rsidRPr="001A02F7">
        <w:t xml:space="preserve">expected impact of </w:t>
      </w:r>
      <w:r w:rsidR="00DD38ED">
        <w:t>Scheme R</w:t>
      </w:r>
      <w:r w:rsidR="00F852A2" w:rsidRPr="001A02F7">
        <w:t>eforms.</w:t>
      </w:r>
      <w:r w:rsidR="00ED332D" w:rsidRPr="00C05683">
        <w:t xml:space="preserve"> </w:t>
      </w:r>
      <w:r w:rsidR="007278D6">
        <w:t xml:space="preserve">The </w:t>
      </w:r>
      <w:r w:rsidR="00AD2AAC">
        <w:t>Scheme R</w:t>
      </w:r>
      <w:r w:rsidR="00F852A2" w:rsidRPr="001A02F7">
        <w:t xml:space="preserve">eforms </w:t>
      </w:r>
      <w:r w:rsidR="007278D6">
        <w:t xml:space="preserve">assume </w:t>
      </w:r>
      <w:r w:rsidR="001A1AE7">
        <w:t>that</w:t>
      </w:r>
      <w:r w:rsidR="00480AD2" w:rsidRPr="001A02F7">
        <w:t xml:space="preserve"> </w:t>
      </w:r>
      <w:r w:rsidR="007B5F50" w:rsidRPr="001A02F7">
        <w:t xml:space="preserve">plan growth </w:t>
      </w:r>
      <w:r w:rsidR="001A1AE7">
        <w:t xml:space="preserve">will reduce from </w:t>
      </w:r>
      <w:r w:rsidR="00480AD2" w:rsidRPr="001A02F7">
        <w:t>2025</w:t>
      </w:r>
      <w:r w:rsidR="007B5F50" w:rsidRPr="001A02F7">
        <w:t xml:space="preserve">-26, </w:t>
      </w:r>
      <w:r w:rsidR="0026747F">
        <w:t>plan utilisation will re</w:t>
      </w:r>
      <w:r w:rsidR="00A21474">
        <w:t>duce</w:t>
      </w:r>
      <w:r w:rsidR="00E07970">
        <w:t xml:space="preserve"> over the </w:t>
      </w:r>
      <w:r w:rsidR="003B1E88">
        <w:t>next</w:t>
      </w:r>
      <w:r w:rsidR="00E07970">
        <w:t xml:space="preserve"> two </w:t>
      </w:r>
      <w:r w:rsidR="006D63AF">
        <w:t>years</w:t>
      </w:r>
      <w:r w:rsidR="00A21474">
        <w:t>,</w:t>
      </w:r>
      <w:r w:rsidR="007B5F50" w:rsidRPr="001A02F7">
        <w:t xml:space="preserve"> </w:t>
      </w:r>
      <w:r w:rsidR="00480AD2" w:rsidRPr="001A02F7">
        <w:t xml:space="preserve">the number of new </w:t>
      </w:r>
      <w:r w:rsidR="00477197" w:rsidRPr="001A02F7">
        <w:t xml:space="preserve">children </w:t>
      </w:r>
      <w:r w:rsidR="001A1AE7">
        <w:t xml:space="preserve">joining the </w:t>
      </w:r>
      <w:r w:rsidR="00A468C7">
        <w:t>S</w:t>
      </w:r>
      <w:r w:rsidR="001A1AE7">
        <w:t xml:space="preserve">cheme </w:t>
      </w:r>
      <w:r w:rsidR="00480AD2" w:rsidRPr="001A02F7">
        <w:t xml:space="preserve">with developmental delay or autism </w:t>
      </w:r>
      <w:r w:rsidR="001A1AE7">
        <w:t xml:space="preserve">will reduce </w:t>
      </w:r>
      <w:r w:rsidR="00480AD2" w:rsidRPr="001A02F7">
        <w:t>from 2025-26</w:t>
      </w:r>
      <w:r w:rsidR="007B5F50" w:rsidRPr="001A02F7">
        <w:t xml:space="preserve">, and </w:t>
      </w:r>
      <w:r w:rsidR="00480AD2" w:rsidRPr="001A02F7">
        <w:t xml:space="preserve">the number of </w:t>
      </w:r>
      <w:r w:rsidR="00261B23" w:rsidRPr="001A02F7">
        <w:t xml:space="preserve">participants exiting the </w:t>
      </w:r>
      <w:r w:rsidR="00A468C7">
        <w:t>S</w:t>
      </w:r>
      <w:r w:rsidR="00261B23" w:rsidRPr="001A02F7">
        <w:t>cheme</w:t>
      </w:r>
      <w:r w:rsidR="001A1AE7">
        <w:t xml:space="preserve"> will increase </w:t>
      </w:r>
      <w:r w:rsidR="003B1E88">
        <w:t xml:space="preserve">over the next three years </w:t>
      </w:r>
      <w:r w:rsidR="001A1AE7">
        <w:t>as eligibility reassessments are resourced</w:t>
      </w:r>
      <w:r w:rsidR="00480AD2" w:rsidRPr="001A02F7">
        <w:t xml:space="preserve">. </w:t>
      </w:r>
    </w:p>
    <w:p w14:paraId="0346DBF3" w14:textId="17C1F70E" w:rsidR="00480AD2" w:rsidRPr="001A02F7" w:rsidRDefault="00D40EE7" w:rsidP="00480AD2">
      <w:r>
        <w:t>P</w:t>
      </w:r>
      <w:r w:rsidR="00480AD2" w:rsidRPr="001A02F7">
        <w:t xml:space="preserve">lanning and design of </w:t>
      </w:r>
      <w:r w:rsidR="006E4896" w:rsidRPr="001A02F7">
        <w:t xml:space="preserve">most of </w:t>
      </w:r>
      <w:r w:rsidR="00480AD2" w:rsidRPr="001A02F7">
        <w:t>the reforms is still progressing</w:t>
      </w:r>
      <w:r w:rsidR="0040609A" w:rsidRPr="001A02F7">
        <w:t xml:space="preserve">. </w:t>
      </w:r>
      <w:r>
        <w:t>I</w:t>
      </w:r>
      <w:r w:rsidR="00480AD2" w:rsidRPr="001A02F7">
        <w:t xml:space="preserve">t is </w:t>
      </w:r>
      <w:r>
        <w:t>therefore</w:t>
      </w:r>
      <w:r w:rsidR="00480AD2" w:rsidRPr="001A02F7">
        <w:t xml:space="preserve"> best to interpret </w:t>
      </w:r>
      <w:r w:rsidR="001B1E37" w:rsidRPr="001A02F7">
        <w:t>the 202</w:t>
      </w:r>
      <w:r w:rsidR="006E4896" w:rsidRPr="001A02F7">
        <w:t>5</w:t>
      </w:r>
      <w:r w:rsidR="001B1E37" w:rsidRPr="001A02F7">
        <w:t xml:space="preserve"> </w:t>
      </w:r>
      <w:r w:rsidR="007E14B6">
        <w:t xml:space="preserve">FSR </w:t>
      </w:r>
      <w:r w:rsidR="001B1E37" w:rsidRPr="001A02F7">
        <w:t xml:space="preserve">projection </w:t>
      </w:r>
      <w:r w:rsidR="00480AD2" w:rsidRPr="001A02F7">
        <w:t xml:space="preserve">as one scenario </w:t>
      </w:r>
      <w:r w:rsidR="00CD75CF" w:rsidRPr="001A02F7">
        <w:t xml:space="preserve">by which </w:t>
      </w:r>
      <w:r w:rsidR="00480AD2" w:rsidRPr="001A02F7">
        <w:t xml:space="preserve">the </w:t>
      </w:r>
      <w:r w:rsidR="16A3CB85" w:rsidRPr="001A02F7">
        <w:t>S</w:t>
      </w:r>
      <w:r w:rsidR="00480AD2" w:rsidRPr="001A02F7">
        <w:t>cheme</w:t>
      </w:r>
      <w:r w:rsidR="00DD63A3">
        <w:t>’s</w:t>
      </w:r>
      <w:r w:rsidR="00480AD2" w:rsidRPr="001A02F7">
        <w:t xml:space="preserve"> </w:t>
      </w:r>
      <w:r w:rsidR="00552EE6" w:rsidRPr="001A02F7">
        <w:t>rate of growth</w:t>
      </w:r>
      <w:r w:rsidR="00DD63A3">
        <w:t xml:space="preserve"> may slow</w:t>
      </w:r>
      <w:r w:rsidR="00480AD2" w:rsidRPr="001A02F7">
        <w:t>.</w:t>
      </w:r>
    </w:p>
    <w:p w14:paraId="7DC88115" w14:textId="63CED852" w:rsidR="00154185" w:rsidRDefault="00480AD2" w:rsidP="00480AD2">
      <w:r w:rsidRPr="001A02F7">
        <w:t xml:space="preserve">The impact on projected </w:t>
      </w:r>
      <w:r w:rsidR="00E27B4E" w:rsidRPr="001A02F7">
        <w:t xml:space="preserve">Scheme </w:t>
      </w:r>
      <w:r w:rsidR="000113E4">
        <w:t>expenditure</w:t>
      </w:r>
      <w:r w:rsidR="000113E4" w:rsidRPr="001A02F7">
        <w:t xml:space="preserve"> </w:t>
      </w:r>
      <w:r w:rsidRPr="001A02F7">
        <w:t xml:space="preserve">is set out in </w:t>
      </w:r>
      <w:r w:rsidR="000B17E0" w:rsidRPr="001A02F7">
        <w:fldChar w:fldCharType="begin"/>
      </w:r>
      <w:r w:rsidR="000B17E0" w:rsidRPr="001A02F7">
        <w:instrText xml:space="preserve"> REF _Ref206153762 \h </w:instrText>
      </w:r>
      <w:r w:rsidR="001A02F7">
        <w:instrText xml:space="preserve"> \* MERGEFORMAT </w:instrText>
      </w:r>
      <w:r w:rsidR="000B17E0" w:rsidRPr="001A02F7">
        <w:fldChar w:fldCharType="separate"/>
      </w:r>
      <w:r w:rsidR="0093576D" w:rsidRPr="00884130">
        <w:t xml:space="preserve">Figure </w:t>
      </w:r>
      <w:r w:rsidR="0093576D">
        <w:rPr>
          <w:noProof/>
        </w:rPr>
        <w:t>11</w:t>
      </w:r>
      <w:r w:rsidR="000B17E0" w:rsidRPr="001A02F7">
        <w:fldChar w:fldCharType="end"/>
      </w:r>
      <w:r w:rsidR="001961A6">
        <w:t xml:space="preserve"> above</w:t>
      </w:r>
      <w:r w:rsidRPr="001A02F7">
        <w:t xml:space="preserve">. </w:t>
      </w:r>
    </w:p>
    <w:p w14:paraId="36575A06" w14:textId="42444ADC" w:rsidR="00FB70E2" w:rsidRDefault="00154185" w:rsidP="00480AD2">
      <w:pPr>
        <w:pStyle w:val="Bullet"/>
      </w:pPr>
      <w:r>
        <w:t>In t</w:t>
      </w:r>
      <w:r w:rsidR="00480AD2" w:rsidRPr="001A02F7">
        <w:t xml:space="preserve">he </w:t>
      </w:r>
      <w:r w:rsidR="009D3669" w:rsidRPr="001A02F7">
        <w:t>short</w:t>
      </w:r>
      <w:r w:rsidR="00AB7DC9" w:rsidRPr="001A02F7">
        <w:t>-</w:t>
      </w:r>
      <w:r w:rsidR="009D3669" w:rsidRPr="001A02F7">
        <w:t>term</w:t>
      </w:r>
      <w:r>
        <w:t>, the</w:t>
      </w:r>
      <w:r w:rsidR="009D3669" w:rsidRPr="001A02F7">
        <w:t xml:space="preserve"> </w:t>
      </w:r>
      <w:r w:rsidR="00480AD2" w:rsidRPr="001A02F7">
        <w:t xml:space="preserve">growth </w:t>
      </w:r>
      <w:r w:rsidR="009D3669" w:rsidRPr="001A02F7">
        <w:t xml:space="preserve">rate </w:t>
      </w:r>
      <w:r>
        <w:t>is expected</w:t>
      </w:r>
      <w:r w:rsidR="009D3669" w:rsidRPr="001A02F7">
        <w:t xml:space="preserve"> </w:t>
      </w:r>
      <w:r w:rsidR="00E83581">
        <w:t xml:space="preserve">to </w:t>
      </w:r>
      <w:r w:rsidR="00480AD2" w:rsidRPr="001A02F7">
        <w:t xml:space="preserve">slow to levels that are </w:t>
      </w:r>
      <w:r w:rsidR="002062B2">
        <w:t xml:space="preserve">below </w:t>
      </w:r>
      <w:r w:rsidR="006513A7" w:rsidRPr="002062B2">
        <w:t xml:space="preserve">8% </w:t>
      </w:r>
      <w:r w:rsidR="0002255B" w:rsidRPr="002062B2">
        <w:t>per annum</w:t>
      </w:r>
      <w:r w:rsidR="00480AD2" w:rsidRPr="001A02F7">
        <w:t>.</w:t>
      </w:r>
      <w:r w:rsidR="00BB3033" w:rsidRPr="001A02F7">
        <w:t xml:space="preserve"> </w:t>
      </w:r>
      <w:r w:rsidR="008965FE">
        <w:t>For this to occur,</w:t>
      </w:r>
      <w:r w:rsidR="00D41567" w:rsidRPr="001A02F7">
        <w:t xml:space="preserve"> the </w:t>
      </w:r>
      <w:r w:rsidR="001477BD" w:rsidRPr="001A02F7">
        <w:t xml:space="preserve">reforms </w:t>
      </w:r>
      <w:r w:rsidR="00C21014">
        <w:t>must be</w:t>
      </w:r>
      <w:r w:rsidR="00FB70E2">
        <w:t xml:space="preserve"> implemented within the time frame,</w:t>
      </w:r>
      <w:r w:rsidR="0039123C" w:rsidRPr="001A02F7">
        <w:t xml:space="preserve"> </w:t>
      </w:r>
      <w:r w:rsidR="001477BD" w:rsidRPr="001A02F7">
        <w:t xml:space="preserve">and </w:t>
      </w:r>
      <w:r w:rsidR="009812D2">
        <w:t xml:space="preserve">have the </w:t>
      </w:r>
      <w:r w:rsidR="00586FDE">
        <w:t xml:space="preserve">effect, </w:t>
      </w:r>
      <w:proofErr w:type="gramStart"/>
      <w:r w:rsidR="00586FDE">
        <w:t>that</w:t>
      </w:r>
      <w:proofErr w:type="gramEnd"/>
      <w:r w:rsidR="00586FDE">
        <w:t xml:space="preserve"> is assumed. </w:t>
      </w:r>
      <w:r w:rsidR="002D30B9">
        <w:t xml:space="preserve">This is a complex reform program and </w:t>
      </w:r>
      <w:r w:rsidR="002C013B">
        <w:t xml:space="preserve">detailed analysis of the </w:t>
      </w:r>
      <w:r w:rsidR="002D30B9">
        <w:t xml:space="preserve">impact of all initiatives </w:t>
      </w:r>
      <w:r w:rsidR="00FB695A">
        <w:t xml:space="preserve">has not been </w:t>
      </w:r>
      <w:r w:rsidR="002C013B">
        <w:t>completed</w:t>
      </w:r>
      <w:r w:rsidR="00FB695A">
        <w:t xml:space="preserve">. </w:t>
      </w:r>
      <w:r w:rsidR="001C797D">
        <w:t xml:space="preserve">Assumptions relating to the timing of </w:t>
      </w:r>
      <w:r w:rsidR="00BD2FB8">
        <w:t>Foundational Supports</w:t>
      </w:r>
      <w:r w:rsidR="00C14532">
        <w:t xml:space="preserve"> </w:t>
      </w:r>
      <w:r w:rsidR="00653110">
        <w:t xml:space="preserve">and </w:t>
      </w:r>
      <w:r w:rsidR="00B57BB9">
        <w:t xml:space="preserve">New Framework Planning </w:t>
      </w:r>
      <w:r w:rsidR="00F75D81">
        <w:t xml:space="preserve">have been updated, </w:t>
      </w:r>
      <w:r w:rsidR="00F75D81" w:rsidRPr="00597095">
        <w:t xml:space="preserve">but there </w:t>
      </w:r>
      <w:r w:rsidR="00D17A09" w:rsidRPr="00597095">
        <w:t>is</w:t>
      </w:r>
      <w:r w:rsidR="00F75D81" w:rsidRPr="00597095">
        <w:t xml:space="preserve"> </w:t>
      </w:r>
      <w:r w:rsidR="00BD7AF6">
        <w:t>insufficient</w:t>
      </w:r>
      <w:r w:rsidR="002928EA" w:rsidRPr="00597095">
        <w:t xml:space="preserve"> </w:t>
      </w:r>
      <w:r w:rsidR="00F75D81" w:rsidRPr="00597095">
        <w:t xml:space="preserve">additional information available to further inform the </w:t>
      </w:r>
      <w:r w:rsidR="007E2A37" w:rsidRPr="00597095">
        <w:t>expected impact of these reforms since the last FSR.</w:t>
      </w:r>
      <w:r w:rsidR="007E2A37">
        <w:t xml:space="preserve"> </w:t>
      </w:r>
      <w:r w:rsidR="00B15C40">
        <w:t>C</w:t>
      </w:r>
      <w:r w:rsidR="0017685D">
        <w:t xml:space="preserve">onsiderable uncertainty </w:t>
      </w:r>
      <w:r w:rsidR="00501A91">
        <w:t xml:space="preserve">in the </w:t>
      </w:r>
      <w:r w:rsidR="006D674F">
        <w:t>projection</w:t>
      </w:r>
      <w:r w:rsidR="00B15C40">
        <w:t xml:space="preserve"> remains</w:t>
      </w:r>
      <w:r w:rsidR="006D674F">
        <w:t>.</w:t>
      </w:r>
    </w:p>
    <w:p w14:paraId="21519170" w14:textId="5AE3F4E8" w:rsidR="00480AD2" w:rsidRPr="001A02F7" w:rsidRDefault="00DD6DB2" w:rsidP="00480AD2">
      <w:pPr>
        <w:pStyle w:val="Bullet"/>
      </w:pPr>
      <w:r>
        <w:t>I</w:t>
      </w:r>
      <w:r w:rsidR="00771365" w:rsidRPr="001A02F7">
        <w:t xml:space="preserve">n the </w:t>
      </w:r>
      <w:r w:rsidR="009633CF" w:rsidRPr="001A02F7">
        <w:t>medium-term</w:t>
      </w:r>
      <w:r>
        <w:t xml:space="preserve">, growth is assumed to be around </w:t>
      </w:r>
      <w:r w:rsidR="002B26EA" w:rsidRPr="00BF69E5">
        <w:t>7.</w:t>
      </w:r>
      <w:r w:rsidR="00EA7D75" w:rsidRPr="00BF69E5">
        <w:t>4</w:t>
      </w:r>
      <w:r w:rsidR="002B26EA" w:rsidRPr="00BF69E5">
        <w:t>% per annum</w:t>
      </w:r>
      <w:r w:rsidR="002B26EA">
        <w:t xml:space="preserve">. </w:t>
      </w:r>
      <w:r w:rsidR="00DE52B2">
        <w:t xml:space="preserve">This requires a sustained reduction in the number of children entering the </w:t>
      </w:r>
      <w:r w:rsidR="00EA7D75">
        <w:t>S</w:t>
      </w:r>
      <w:r w:rsidR="00DE52B2">
        <w:t xml:space="preserve">cheme, sustained low </w:t>
      </w:r>
      <w:r w:rsidR="0008377E">
        <w:t xml:space="preserve">growth in committed supports </w:t>
      </w:r>
      <w:r w:rsidR="008A1C70">
        <w:t xml:space="preserve">(excluding growth due to transitions and ageing) </w:t>
      </w:r>
      <w:r w:rsidR="007E43C9">
        <w:t xml:space="preserve">of </w:t>
      </w:r>
      <w:r w:rsidR="00DE52B2">
        <w:t xml:space="preserve">around </w:t>
      </w:r>
      <w:r w:rsidR="00EA7D75">
        <w:t>3.5</w:t>
      </w:r>
      <w:r w:rsidR="00DE52B2">
        <w:t xml:space="preserve">% per annum </w:t>
      </w:r>
      <w:r w:rsidR="00334D81">
        <w:t>(</w:t>
      </w:r>
      <w:r w:rsidR="00A96082">
        <w:t xml:space="preserve">i.e. </w:t>
      </w:r>
      <w:r w:rsidR="001A1EAD">
        <w:t>negligible</w:t>
      </w:r>
      <w:r w:rsidR="00A96082">
        <w:t xml:space="preserve"> additional </w:t>
      </w:r>
      <w:r w:rsidR="00606FC2">
        <w:t xml:space="preserve">growth in </w:t>
      </w:r>
      <w:r w:rsidR="00A96082">
        <w:t>plan</w:t>
      </w:r>
      <w:r w:rsidR="00606FC2">
        <w:t>s</w:t>
      </w:r>
      <w:r w:rsidR="00A96082">
        <w:t xml:space="preserve">), </w:t>
      </w:r>
      <w:r w:rsidR="00DE52B2">
        <w:t xml:space="preserve">and </w:t>
      </w:r>
      <w:r w:rsidR="00D53B75">
        <w:t xml:space="preserve">plan utilisation to </w:t>
      </w:r>
      <w:r w:rsidR="00D67F85">
        <w:t xml:space="preserve">remain flat at around 73%. </w:t>
      </w:r>
      <w:r w:rsidR="00CC1205">
        <w:t>There is a risk that a com</w:t>
      </w:r>
      <w:r w:rsidR="00690F39">
        <w:t>bination of low plan increases, greater flexibility in how participants may spend their pla</w:t>
      </w:r>
      <w:r w:rsidR="007071D1">
        <w:t>n,</w:t>
      </w:r>
      <w:r w:rsidR="00690F39">
        <w:t xml:space="preserve"> and </w:t>
      </w:r>
      <w:r w:rsidR="007071D1">
        <w:t xml:space="preserve">associated </w:t>
      </w:r>
      <w:r w:rsidR="00CC1205">
        <w:t>beh</w:t>
      </w:r>
      <w:r w:rsidR="007071D1">
        <w:t>a</w:t>
      </w:r>
      <w:r w:rsidR="00CC1205">
        <w:t>vioural change</w:t>
      </w:r>
      <w:r w:rsidR="007071D1">
        <w:t>,</w:t>
      </w:r>
      <w:r w:rsidR="00CC1205">
        <w:t xml:space="preserve"> may see utilisation increase </w:t>
      </w:r>
      <w:r w:rsidR="007071D1">
        <w:t xml:space="preserve">in the medium term. </w:t>
      </w:r>
    </w:p>
    <w:p w14:paraId="6AC9224C" w14:textId="78F4F2AA" w:rsidR="00A74B35" w:rsidRPr="00A75DB1" w:rsidRDefault="00A74B35" w:rsidP="00A74B35">
      <w:r w:rsidRPr="00A75DB1">
        <w:lastRenderedPageBreak/>
        <w:t xml:space="preserve">Subject to resourcing and effective implementation, the planned reforms are expected to reduce the Scheme’s rate of growth in the short </w:t>
      </w:r>
      <w:proofErr w:type="gramStart"/>
      <w:r w:rsidRPr="00A75DB1">
        <w:t>term</w:t>
      </w:r>
      <w:proofErr w:type="gramEnd"/>
      <w:r w:rsidRPr="00A75DB1">
        <w:t xml:space="preserve"> and the modelling has focussed on that timeframe. Given the demographic momentum in a relatively young scheme, it is recommended the Scheme Actuary continue to enhance the modelling of these reforms to consider the longer-term implications for the Scheme. Medium term sustainability pressures may remain on the Scheme as the population ages.</w:t>
      </w:r>
    </w:p>
    <w:p w14:paraId="0EB914AE" w14:textId="31045417" w:rsidR="00F51CEC" w:rsidRPr="00912A65" w:rsidRDefault="00FF2FAD" w:rsidP="000D3ECB">
      <w:r w:rsidRPr="00912A65">
        <w:t xml:space="preserve">Given the higher level of uncertainty associated with any reform, it is recommended the Scheme Actuary continue to develop the </w:t>
      </w:r>
      <w:r w:rsidR="00F341D0" w:rsidRPr="00912A65">
        <w:t xml:space="preserve">models that estimate the impacts of the reforms and </w:t>
      </w:r>
      <w:r w:rsidR="00661F11" w:rsidRPr="00912A65">
        <w:t xml:space="preserve">regularly </w:t>
      </w:r>
      <w:r w:rsidR="00F341D0" w:rsidRPr="00912A65">
        <w:t xml:space="preserve">monitor progress against </w:t>
      </w:r>
      <w:r w:rsidR="003A2133" w:rsidRPr="00912A65">
        <w:t>experience.</w:t>
      </w:r>
    </w:p>
    <w:p w14:paraId="628A50E4" w14:textId="30517EB9" w:rsidR="005F0E92" w:rsidRPr="00DD5B72" w:rsidRDefault="008A0EBA" w:rsidP="00F0174F">
      <w:r w:rsidRPr="00DD5B72">
        <w:t>F</w:t>
      </w:r>
      <w:r w:rsidR="00BC38C6" w:rsidRPr="00DD5B72">
        <w:t>ocus</w:t>
      </w:r>
      <w:r w:rsidRPr="00DD5B72">
        <w:t>ing</w:t>
      </w:r>
      <w:r w:rsidR="00BC38C6" w:rsidRPr="00DD5B72">
        <w:t xml:space="preserve"> on the </w:t>
      </w:r>
      <w:r w:rsidR="00F0174F" w:rsidRPr="00DD5B72">
        <w:t>annual growth target for NDIS participant expenses of no more than 8</w:t>
      </w:r>
      <w:r w:rsidR="1618BD27" w:rsidRPr="00DD5B72">
        <w:t>%</w:t>
      </w:r>
      <w:r w:rsidR="00F0174F" w:rsidRPr="00DD5B72">
        <w:t xml:space="preserve"> by 1 July 2026</w:t>
      </w:r>
      <w:r w:rsidRPr="00DD5B72">
        <w:t xml:space="preserve"> </w:t>
      </w:r>
      <w:r w:rsidR="00705A0B" w:rsidRPr="00DD5B72">
        <w:t xml:space="preserve">risks </w:t>
      </w:r>
      <w:r w:rsidR="00F0174F" w:rsidRPr="00DD5B72">
        <w:t>focus</w:t>
      </w:r>
      <w:r w:rsidRPr="00DD5B72">
        <w:t>ing</w:t>
      </w:r>
      <w:r w:rsidR="00F0174F" w:rsidRPr="00DD5B72">
        <w:t xml:space="preserve"> </w:t>
      </w:r>
      <w:r w:rsidR="00411FAF" w:rsidRPr="00DD5B72">
        <w:t xml:space="preserve">too heavily </w:t>
      </w:r>
      <w:r w:rsidR="00BC4CC0" w:rsidRPr="00DD5B72">
        <w:t xml:space="preserve">on </w:t>
      </w:r>
      <w:r w:rsidR="00827062" w:rsidRPr="00DD5B72">
        <w:t>the short term</w:t>
      </w:r>
      <w:r w:rsidR="00F0174F" w:rsidRPr="00DD5B72">
        <w:t xml:space="preserve">. </w:t>
      </w:r>
      <w:r w:rsidR="00C431A3" w:rsidRPr="00DD5B72">
        <w:t xml:space="preserve">As </w:t>
      </w:r>
      <w:r w:rsidR="00272468" w:rsidRPr="00DD5B72">
        <w:t xml:space="preserve">I have noted in previous letters, </w:t>
      </w:r>
      <w:r w:rsidR="00C431A3" w:rsidRPr="00DD5B72">
        <w:t xml:space="preserve">a growth rate that persists above the rate of nominal growth in GDP </w:t>
      </w:r>
      <w:r w:rsidR="007E1AD4" w:rsidRPr="00DD5B72">
        <w:t>create</w:t>
      </w:r>
      <w:r w:rsidR="00272468" w:rsidRPr="00DD5B72">
        <w:t>s</w:t>
      </w:r>
      <w:r w:rsidR="007E1AD4" w:rsidRPr="00DD5B72">
        <w:t xml:space="preserve"> an increasing call on the </w:t>
      </w:r>
      <w:r w:rsidR="001D5E17" w:rsidRPr="00DD5B72">
        <w:t>B</w:t>
      </w:r>
      <w:r w:rsidR="007E1AD4" w:rsidRPr="00DD5B72">
        <w:t xml:space="preserve">udget, </w:t>
      </w:r>
      <w:r w:rsidR="00272468" w:rsidRPr="00DD5B72">
        <w:t xml:space="preserve">which itself </w:t>
      </w:r>
      <w:r w:rsidR="00051AF9" w:rsidRPr="00DD5B72">
        <w:t>can</w:t>
      </w:r>
      <w:r w:rsidR="00272468" w:rsidRPr="00DD5B72">
        <w:t xml:space="preserve"> bring risks to the sustainability of the Scheme. </w:t>
      </w:r>
      <w:r w:rsidR="00D35F64" w:rsidRPr="00DD5B72">
        <w:t xml:space="preserve">I note the </w:t>
      </w:r>
      <w:r w:rsidR="005C61C8" w:rsidRPr="00DD5B72">
        <w:t xml:space="preserve">Minister for </w:t>
      </w:r>
      <w:r w:rsidR="00F650A0" w:rsidRPr="00DD5B72">
        <w:t>Disability</w:t>
      </w:r>
      <w:r w:rsidR="005C61C8" w:rsidRPr="00DD5B72">
        <w:t xml:space="preserve"> and </w:t>
      </w:r>
      <w:r w:rsidR="00AF67A7" w:rsidRPr="00DD5B72">
        <w:t xml:space="preserve">the NDIS </w:t>
      </w:r>
      <w:r w:rsidR="00390653" w:rsidRPr="00DD5B72">
        <w:t xml:space="preserve">has </w:t>
      </w:r>
      <w:r w:rsidR="00E65911" w:rsidRPr="00DD5B72">
        <w:t>indicat</w:t>
      </w:r>
      <w:r w:rsidR="00390653" w:rsidRPr="00DD5B72">
        <w:t>ed</w:t>
      </w:r>
      <w:r w:rsidR="00E65911" w:rsidRPr="00DD5B72">
        <w:t xml:space="preserve"> that growth </w:t>
      </w:r>
      <w:r w:rsidR="00CE1DFF" w:rsidRPr="00DD5B72">
        <w:t xml:space="preserve">of 5% to 6% </w:t>
      </w:r>
      <w:r w:rsidR="00CE3D63" w:rsidRPr="00DD5B72">
        <w:t>is preferable</w:t>
      </w:r>
      <w:r w:rsidR="00092324" w:rsidRPr="00DD5B72">
        <w:t>.</w:t>
      </w:r>
      <w:r w:rsidR="007E1AD4" w:rsidRPr="00DD5B72">
        <w:t xml:space="preserve"> </w:t>
      </w:r>
      <w:r w:rsidR="00FA5541" w:rsidRPr="00DD5B72">
        <w:t>Growth at this level would be closer to</w:t>
      </w:r>
      <w:r w:rsidR="007B0DE2" w:rsidRPr="00DD5B72">
        <w:t xml:space="preserve"> expected </w:t>
      </w:r>
      <w:r w:rsidR="00990ADA" w:rsidRPr="00DD5B72">
        <w:t xml:space="preserve">long term GDP </w:t>
      </w:r>
      <w:r w:rsidR="007B0DE2" w:rsidRPr="00DD5B72">
        <w:t xml:space="preserve">growth </w:t>
      </w:r>
      <w:r w:rsidR="00990ADA" w:rsidRPr="00DD5B72">
        <w:t xml:space="preserve">and is therefore less likely to present sustainability </w:t>
      </w:r>
      <w:r w:rsidR="008C0B43" w:rsidRPr="00DD5B72">
        <w:t>pressure.</w:t>
      </w:r>
      <w:r w:rsidR="00FA5541" w:rsidRPr="00DD5B72">
        <w:t xml:space="preserve"> </w:t>
      </w:r>
      <w:r w:rsidR="001A702E" w:rsidRPr="00DD5B72">
        <w:t xml:space="preserve">Further reforms to the Scheme would be needed to achieve </w:t>
      </w:r>
      <w:r w:rsidR="000856AB" w:rsidRPr="00DD5B72">
        <w:t>a growth rate of 5% to 6%.</w:t>
      </w:r>
    </w:p>
    <w:p w14:paraId="1AFC0798" w14:textId="4FFDD038" w:rsidR="00007CE2" w:rsidRPr="00DB3C5B" w:rsidRDefault="00042A2F" w:rsidP="00C740D4">
      <w:r w:rsidRPr="00DD5B72">
        <w:t xml:space="preserve">Discussion of </w:t>
      </w:r>
      <w:r w:rsidR="7981E808" w:rsidRPr="00DD5B72">
        <w:t>S</w:t>
      </w:r>
      <w:r w:rsidRPr="00DD5B72">
        <w:t xml:space="preserve">cheme </w:t>
      </w:r>
      <w:r w:rsidR="212A6B66" w:rsidRPr="00DD5B72">
        <w:t xml:space="preserve">sustainability </w:t>
      </w:r>
      <w:r w:rsidRPr="00DD5B72">
        <w:t xml:space="preserve">in the context of </w:t>
      </w:r>
      <w:r w:rsidR="15912A6C" w:rsidRPr="00DD5B72">
        <w:t xml:space="preserve">Scheme </w:t>
      </w:r>
      <w:r w:rsidR="004F3FAF" w:rsidRPr="00DD5B72">
        <w:t>R</w:t>
      </w:r>
      <w:r w:rsidR="15912A6C" w:rsidRPr="00DD5B72">
        <w:t xml:space="preserve">eforms and </w:t>
      </w:r>
      <w:r w:rsidR="00CA1743" w:rsidRPr="00DD5B72">
        <w:t>targeted growth rate</w:t>
      </w:r>
      <w:r w:rsidR="00932829" w:rsidRPr="00DD5B72">
        <w:t>s</w:t>
      </w:r>
      <w:r w:rsidR="00CA1743" w:rsidRPr="00DD5B72">
        <w:t xml:space="preserve"> </w:t>
      </w:r>
      <w:r w:rsidR="00007CE2" w:rsidRPr="00DD5B72">
        <w:t xml:space="preserve">may be interpreted as focussing </w:t>
      </w:r>
      <w:r w:rsidR="6F6FAB77" w:rsidRPr="00DD5B72">
        <w:t>sole</w:t>
      </w:r>
      <w:r w:rsidR="48ED1587" w:rsidRPr="00DD5B72">
        <w:t>l</w:t>
      </w:r>
      <w:r w:rsidR="6F6FAB77" w:rsidRPr="00DD5B72">
        <w:t xml:space="preserve">y </w:t>
      </w:r>
      <w:r w:rsidR="00007CE2" w:rsidRPr="00DD5B72">
        <w:t xml:space="preserve">on aggregate </w:t>
      </w:r>
      <w:r w:rsidR="7B4F8F93" w:rsidRPr="00DD5B72">
        <w:t>S</w:t>
      </w:r>
      <w:r w:rsidR="00007CE2" w:rsidRPr="00DD5B72">
        <w:t xml:space="preserve">cheme expenditure. </w:t>
      </w:r>
      <w:r w:rsidR="4A374141" w:rsidRPr="00DD5B72">
        <w:t>While Scheme expenditure is clearly a key element to ensuring sustainability, i</w:t>
      </w:r>
      <w:r w:rsidR="00007CE2" w:rsidRPr="00DD5B72">
        <w:t>t is timely to remind ourselves that the NDIS Rules</w:t>
      </w:r>
      <w:r w:rsidR="00007CE2" w:rsidRPr="00DD5B72">
        <w:rPr>
          <w:rStyle w:val="FootnoteReference"/>
        </w:rPr>
        <w:footnoteReference w:id="7"/>
      </w:r>
      <w:r w:rsidR="00007CE2" w:rsidRPr="00DD5B72">
        <w:t xml:space="preserve"> requires that the FSR </w:t>
      </w:r>
      <w:r w:rsidR="00C2075E" w:rsidRPr="00DD5B72">
        <w:t xml:space="preserve">also </w:t>
      </w:r>
      <w:r w:rsidR="00007CE2" w:rsidRPr="00DD5B72">
        <w:t xml:space="preserve">report on participant outcomes. This means that the sustainability of the Scheme is supported by both the quantity and quality of the Scheme expenditure. </w:t>
      </w:r>
      <w:r w:rsidR="00634C6E" w:rsidRPr="00DD5B72">
        <w:t xml:space="preserve">A maturing </w:t>
      </w:r>
      <w:r w:rsidR="67070124" w:rsidRPr="00DD5B72">
        <w:t>microsimulation model (</w:t>
      </w:r>
      <w:r w:rsidR="00634C6E" w:rsidRPr="00DD5B72">
        <w:t>MSM</w:t>
      </w:r>
      <w:r w:rsidR="6B3108BE" w:rsidRPr="00DD5B72">
        <w:t>)</w:t>
      </w:r>
      <w:r w:rsidR="00634C6E" w:rsidRPr="00DD5B72">
        <w:t xml:space="preserve">, </w:t>
      </w:r>
      <w:r w:rsidR="00534876" w:rsidRPr="00DD5B72">
        <w:t xml:space="preserve">implementation of </w:t>
      </w:r>
      <w:r w:rsidR="00634C6E" w:rsidRPr="00DD5B72">
        <w:t xml:space="preserve">the National Disability Data Asset and </w:t>
      </w:r>
      <w:r w:rsidR="00534876" w:rsidRPr="00DD5B72">
        <w:t xml:space="preserve">further development of </w:t>
      </w:r>
      <w:r w:rsidR="007869D0" w:rsidRPr="00DD5B72">
        <w:t xml:space="preserve">the Investment Effectiveness Program may all </w:t>
      </w:r>
      <w:r w:rsidR="00EC4063" w:rsidRPr="00DD5B72">
        <w:t xml:space="preserve">increase the Scheme’s </w:t>
      </w:r>
      <w:r w:rsidR="007869D0" w:rsidRPr="00DD5B72">
        <w:t xml:space="preserve">capacity to </w:t>
      </w:r>
      <w:r w:rsidR="003809C2" w:rsidRPr="00DD5B72">
        <w:t xml:space="preserve">identify and encourage </w:t>
      </w:r>
      <w:r w:rsidR="006E6149" w:rsidRPr="00DD5B72">
        <w:t xml:space="preserve">a growing proportion of </w:t>
      </w:r>
      <w:r w:rsidR="45EFB8DC" w:rsidRPr="00DD5B72">
        <w:t>S</w:t>
      </w:r>
      <w:r w:rsidR="003809C2" w:rsidRPr="00DD5B72">
        <w:t>cheme expenditure that delivers improved outcomes</w:t>
      </w:r>
      <w:r w:rsidR="006E6149" w:rsidRPr="00DD5B72">
        <w:t xml:space="preserve">. </w:t>
      </w:r>
      <w:r w:rsidR="005231CC" w:rsidRPr="00DD5B72">
        <w:t xml:space="preserve">Utilising these tools, </w:t>
      </w:r>
      <w:r w:rsidR="00007CE2" w:rsidRPr="00DD5B72">
        <w:t xml:space="preserve">I </w:t>
      </w:r>
      <w:r w:rsidR="005231CC" w:rsidRPr="00DD5B72">
        <w:t xml:space="preserve">believe </w:t>
      </w:r>
      <w:r w:rsidR="00007CE2" w:rsidRPr="00DD5B72">
        <w:t xml:space="preserve">the FSR will </w:t>
      </w:r>
      <w:r w:rsidR="005231CC" w:rsidRPr="00DD5B72">
        <w:t xml:space="preserve">be able to </w:t>
      </w:r>
      <w:r w:rsidR="00007CE2" w:rsidRPr="00DD5B72">
        <w:t>increase its focus on participant outcomes over time.</w:t>
      </w:r>
    </w:p>
    <w:p w14:paraId="3B850414" w14:textId="55F55ACE" w:rsidR="00C727A1" w:rsidRPr="00DB3C5B" w:rsidRDefault="007B7777" w:rsidP="00C727A1">
      <w:r w:rsidRPr="00DB3C5B">
        <w:t xml:space="preserve">This projection does not include the costs of </w:t>
      </w:r>
      <w:r w:rsidR="000457CC">
        <w:t>the</w:t>
      </w:r>
      <w:r w:rsidR="006679C7" w:rsidRPr="00DB3C5B">
        <w:t xml:space="preserve"> </w:t>
      </w:r>
      <w:r w:rsidR="0057615D" w:rsidRPr="0057615D">
        <w:t>Foundational Supports/Thriving Kids</w:t>
      </w:r>
      <w:r w:rsidR="006679C7" w:rsidRPr="00DB3C5B">
        <w:t xml:space="preserve"> program </w:t>
      </w:r>
      <w:r w:rsidRPr="00DB3C5B">
        <w:t xml:space="preserve">that </w:t>
      </w:r>
      <w:r w:rsidR="006679C7" w:rsidRPr="00DB3C5B">
        <w:t>will</w:t>
      </w:r>
      <w:r w:rsidRPr="00DB3C5B">
        <w:t xml:space="preserve"> be provided in future. </w:t>
      </w:r>
      <w:r w:rsidR="00461C94" w:rsidRPr="00DB3C5B">
        <w:t xml:space="preserve">It is envisaged that these costs </w:t>
      </w:r>
      <w:r w:rsidRPr="00DB3C5B">
        <w:t xml:space="preserve">are </w:t>
      </w:r>
      <w:r w:rsidR="00461C94" w:rsidRPr="00DB3C5B">
        <w:t xml:space="preserve">separate to </w:t>
      </w:r>
      <w:r w:rsidRPr="00DB3C5B">
        <w:t>the NDIS.</w:t>
      </w:r>
      <w:r w:rsidR="00461C94" w:rsidRPr="00DB3C5B">
        <w:t xml:space="preserve"> </w:t>
      </w:r>
      <w:r w:rsidR="00CE1DD2" w:rsidRPr="00DB3C5B">
        <w:t>Whilst this is appropriate for th</w:t>
      </w:r>
      <w:r w:rsidR="001C51E2" w:rsidRPr="00DB3C5B">
        <w:t>is FSR, b</w:t>
      </w:r>
      <w:r w:rsidR="00461C94" w:rsidRPr="00DB3C5B">
        <w:t xml:space="preserve">roader </w:t>
      </w:r>
      <w:r w:rsidR="00A84B56" w:rsidRPr="00DB3C5B">
        <w:t xml:space="preserve">financial </w:t>
      </w:r>
      <w:r w:rsidR="00461C94" w:rsidRPr="00DB3C5B">
        <w:t xml:space="preserve">sustainability pressures may arise from the </w:t>
      </w:r>
      <w:r w:rsidR="00A84B56" w:rsidRPr="00DB3C5B">
        <w:t xml:space="preserve">costs of </w:t>
      </w:r>
      <w:r w:rsidR="00AF1E87" w:rsidRPr="00DB3C5B">
        <w:t>all</w:t>
      </w:r>
      <w:r w:rsidR="00461C94" w:rsidRPr="00DB3C5B">
        <w:t xml:space="preserve"> supports</w:t>
      </w:r>
      <w:r w:rsidR="00AF1E87" w:rsidRPr="00DB3C5B">
        <w:t xml:space="preserve"> that are provided</w:t>
      </w:r>
      <w:r w:rsidR="00461C94" w:rsidRPr="00DB3C5B">
        <w:t xml:space="preserve">. </w:t>
      </w:r>
      <w:r w:rsidR="00F479FC" w:rsidRPr="00DB3C5B">
        <w:t xml:space="preserve">Further, the use of linked data sets to </w:t>
      </w:r>
      <w:r w:rsidR="00F50307" w:rsidRPr="00DB3C5B">
        <w:t xml:space="preserve">better inform future participation in the </w:t>
      </w:r>
      <w:r w:rsidR="00845ECF" w:rsidRPr="00DB3C5B">
        <w:t xml:space="preserve">Scheme (transitions from </w:t>
      </w:r>
      <w:r w:rsidR="008F0924">
        <w:t>the</w:t>
      </w:r>
      <w:r w:rsidR="00F4630B">
        <w:t xml:space="preserve"> </w:t>
      </w:r>
      <w:r w:rsidR="0057615D" w:rsidRPr="0057615D">
        <w:t>Foundational Supports/Thriving Kids</w:t>
      </w:r>
      <w:r w:rsidR="00F4630B">
        <w:t xml:space="preserve"> program</w:t>
      </w:r>
      <w:r w:rsidR="00845ECF" w:rsidRPr="00DB3C5B">
        <w:t>) are likely to be required.</w:t>
      </w:r>
    </w:p>
    <w:p w14:paraId="362797F5" w14:textId="5AAA5967" w:rsidR="00E44F44" w:rsidRPr="00986F76" w:rsidRDefault="00B142E3" w:rsidP="00A02C77">
      <w:pPr>
        <w:pStyle w:val="Heading2"/>
      </w:pPr>
      <w:r w:rsidRPr="00986F76">
        <w:t>Operating Expenses</w:t>
      </w:r>
    </w:p>
    <w:p w14:paraId="0D6B4CB9" w14:textId="77777777" w:rsidR="004B502D" w:rsidRPr="00A1790B" w:rsidRDefault="00B75E3C" w:rsidP="00E44F44">
      <w:pPr>
        <w:spacing w:after="320"/>
      </w:pPr>
      <w:r w:rsidRPr="00A1790B">
        <w:t xml:space="preserve">The </w:t>
      </w:r>
      <w:r w:rsidR="00A116E2" w:rsidRPr="00A1790B">
        <w:t xml:space="preserve">FSR </w:t>
      </w:r>
      <w:r w:rsidRPr="00A1790B">
        <w:t xml:space="preserve">discusses </w:t>
      </w:r>
      <w:r w:rsidR="00F21959" w:rsidRPr="00A1790B">
        <w:t xml:space="preserve">the Scheme’s operating expenses. </w:t>
      </w:r>
      <w:r w:rsidR="004B502D" w:rsidRPr="00A1790B">
        <w:t>As there is no projection of expenses, I have not undertaken a review of any operating expense models.</w:t>
      </w:r>
    </w:p>
    <w:p w14:paraId="27FD5D15" w14:textId="1FDACFD3" w:rsidR="00E44F44" w:rsidRPr="006A2184" w:rsidRDefault="004B502D" w:rsidP="00E44F44">
      <w:pPr>
        <w:spacing w:after="320"/>
      </w:pPr>
      <w:r w:rsidRPr="006A2184">
        <w:t>T</w:t>
      </w:r>
      <w:r w:rsidR="00F15277" w:rsidRPr="006A2184">
        <w:t xml:space="preserve">he Scheme Actuary draws attention to the </w:t>
      </w:r>
      <w:r w:rsidR="00AF1F58" w:rsidRPr="006A2184">
        <w:t xml:space="preserve">reduction in operating expenses </w:t>
      </w:r>
      <w:r w:rsidR="00C62470">
        <w:t xml:space="preserve">embedded </w:t>
      </w:r>
      <w:r w:rsidR="0017429D" w:rsidRPr="00903E80">
        <w:t xml:space="preserve">in </w:t>
      </w:r>
      <w:r w:rsidR="0073157E">
        <w:t>the</w:t>
      </w:r>
      <w:r w:rsidR="0017429D">
        <w:t xml:space="preserve"> </w:t>
      </w:r>
      <w:r w:rsidR="00CD5F9B" w:rsidRPr="006A2184">
        <w:t>2025</w:t>
      </w:r>
      <w:r w:rsidR="002320A2">
        <w:noBreakHyphen/>
      </w:r>
      <w:r w:rsidR="00CD5F9B" w:rsidRPr="006A2184">
        <w:t>26</w:t>
      </w:r>
      <w:r w:rsidR="0073157E">
        <w:t xml:space="preserve"> Budget</w:t>
      </w:r>
      <w:r w:rsidR="007E5115" w:rsidRPr="006A2184">
        <w:t xml:space="preserve">. </w:t>
      </w:r>
      <w:r w:rsidR="008B7DC7" w:rsidRPr="006A2184">
        <w:t xml:space="preserve">As I have noted earlier in this letter, </w:t>
      </w:r>
      <w:r w:rsidR="008247C7" w:rsidRPr="006A2184">
        <w:t xml:space="preserve">for the projected Scheme expenses to </w:t>
      </w:r>
      <w:r w:rsidR="002C4D50" w:rsidRPr="006A2184">
        <w:t>occur</w:t>
      </w:r>
      <w:r w:rsidR="008247C7" w:rsidRPr="006A2184">
        <w:t xml:space="preserve">, </w:t>
      </w:r>
      <w:r w:rsidR="00F27850" w:rsidRPr="006A2184">
        <w:lastRenderedPageBreak/>
        <w:t xml:space="preserve">the </w:t>
      </w:r>
      <w:r w:rsidR="004A224D" w:rsidRPr="006A2184">
        <w:t xml:space="preserve">operational activity </w:t>
      </w:r>
      <w:r w:rsidR="002C4D50" w:rsidRPr="006A2184">
        <w:t xml:space="preserve">expected </w:t>
      </w:r>
      <w:r w:rsidR="00005C26" w:rsidRPr="006A2184">
        <w:t>by the assumptions</w:t>
      </w:r>
      <w:r w:rsidR="006247B3">
        <w:t>, including</w:t>
      </w:r>
      <w:r w:rsidR="00312A11">
        <w:t xml:space="preserve"> the</w:t>
      </w:r>
      <w:r w:rsidR="006247B3">
        <w:t xml:space="preserve"> implementation of </w:t>
      </w:r>
      <w:r w:rsidR="00A07FBC">
        <w:t>Scheme Reforms</w:t>
      </w:r>
      <w:r w:rsidR="00745C9E">
        <w:t>,</w:t>
      </w:r>
      <w:r w:rsidR="00005C26" w:rsidRPr="006A2184">
        <w:t xml:space="preserve"> need</w:t>
      </w:r>
      <w:r w:rsidR="00F72E62" w:rsidRPr="006A2184">
        <w:t>s</w:t>
      </w:r>
      <w:r w:rsidR="00005C26" w:rsidRPr="006A2184">
        <w:t xml:space="preserve"> to occur with the effect that is assumed. </w:t>
      </w:r>
      <w:r w:rsidR="00AA6FA2" w:rsidRPr="006A2184">
        <w:t>This activity includes eligibility assessments, re-</w:t>
      </w:r>
      <w:r w:rsidR="00CB443E" w:rsidRPr="006A2184">
        <w:t>assessments,</w:t>
      </w:r>
      <w:r w:rsidR="00AA6FA2" w:rsidRPr="006A2184">
        <w:t xml:space="preserve"> and plan reviews. </w:t>
      </w:r>
      <w:r w:rsidR="00D1118C" w:rsidRPr="006A2184">
        <w:t xml:space="preserve">If the activity does not occur at the level </w:t>
      </w:r>
      <w:r w:rsidR="00CB443E" w:rsidRPr="006A2184">
        <w:t>assumed,</w:t>
      </w:r>
      <w:r w:rsidR="00D1118C" w:rsidRPr="006A2184">
        <w:t xml:space="preserve"> then it is reasonable to expect that the projected Scheme expenses will also </w:t>
      </w:r>
      <w:r w:rsidR="006A2184" w:rsidRPr="006A2184">
        <w:t>differ</w:t>
      </w:r>
      <w:r w:rsidR="006A2184">
        <w:t xml:space="preserve"> and</w:t>
      </w:r>
      <w:r w:rsidR="00426864">
        <w:t xml:space="preserve"> will likely be higher than shown</w:t>
      </w:r>
      <w:r w:rsidR="00D1118C" w:rsidRPr="006A2184">
        <w:t xml:space="preserve">. </w:t>
      </w:r>
      <w:r w:rsidR="000C2F42" w:rsidRPr="006A2184">
        <w:t xml:space="preserve">The Scheme Actuary has made the same point in the FSR. </w:t>
      </w:r>
    </w:p>
    <w:p w14:paraId="698B1670" w14:textId="77777777" w:rsidR="00B351B6" w:rsidRPr="008A7798" w:rsidRDefault="00B351B6" w:rsidP="00B351B6">
      <w:pPr>
        <w:pStyle w:val="Heading2"/>
      </w:pPr>
      <w:r w:rsidRPr="008A7798">
        <w:t>Uncertainty</w:t>
      </w:r>
    </w:p>
    <w:p w14:paraId="17E8AFBD" w14:textId="77777777" w:rsidR="00B351B6" w:rsidRPr="00B6284E" w:rsidRDefault="00B351B6" w:rsidP="00B351B6">
      <w:pPr>
        <w:spacing w:after="320"/>
      </w:pPr>
      <w:r w:rsidRPr="00B6284E">
        <w:t xml:space="preserve">Future experience will differ from, and may exceed, that which has been projected. Uncertainty in the projection is, in part, demonstrated by variations in successive projections in recent years. </w:t>
      </w:r>
    </w:p>
    <w:p w14:paraId="54AAB276" w14:textId="3B9EE822" w:rsidR="00B351B6" w:rsidRDefault="00B351B6" w:rsidP="00B351B6">
      <w:pPr>
        <w:spacing w:after="320"/>
      </w:pPr>
      <w:r w:rsidRPr="00B6284E">
        <w:t xml:space="preserve">Key areas of risk in this projection include </w:t>
      </w:r>
      <w:r w:rsidR="11EC3397" w:rsidRPr="00B6284E">
        <w:t xml:space="preserve">assumptions </w:t>
      </w:r>
      <w:r w:rsidR="11EC3397" w:rsidRPr="00EF3E6F">
        <w:t xml:space="preserve">of </w:t>
      </w:r>
      <w:r w:rsidR="001F1C53" w:rsidRPr="00EF3E6F">
        <w:t xml:space="preserve">low </w:t>
      </w:r>
      <w:r w:rsidRPr="00EF3E6F">
        <w:t xml:space="preserve">rates of additional </w:t>
      </w:r>
      <w:r w:rsidR="000C4FFF" w:rsidRPr="00EF3E6F">
        <w:t xml:space="preserve">plan </w:t>
      </w:r>
      <w:r w:rsidRPr="00EF3E6F">
        <w:t xml:space="preserve">growth, </w:t>
      </w:r>
      <w:r w:rsidR="00E62D55" w:rsidRPr="00EF3E6F">
        <w:t xml:space="preserve">the design of </w:t>
      </w:r>
      <w:r w:rsidR="0057615D" w:rsidRPr="0057615D">
        <w:t>Foundational Supports/Thriving Kids</w:t>
      </w:r>
      <w:r w:rsidR="00E62D55" w:rsidRPr="00EF3E6F">
        <w:t xml:space="preserve"> and its impact on </w:t>
      </w:r>
      <w:r w:rsidRPr="00EF3E6F">
        <w:t>new entrants,</w:t>
      </w:r>
      <w:r w:rsidRPr="00B6284E">
        <w:t xml:space="preserve"> </w:t>
      </w:r>
      <w:r w:rsidR="00320B1B">
        <w:t xml:space="preserve">whether utilisation will remain flat throughout the medium term, </w:t>
      </w:r>
      <w:r w:rsidRPr="00B6284E">
        <w:t xml:space="preserve">and </w:t>
      </w:r>
      <w:r w:rsidR="00967A26">
        <w:t xml:space="preserve">the </w:t>
      </w:r>
      <w:r w:rsidR="00CB29CC">
        <w:t xml:space="preserve">resourcing </w:t>
      </w:r>
      <w:r w:rsidR="00967A26">
        <w:t xml:space="preserve">of </w:t>
      </w:r>
      <w:r w:rsidR="00CB29CC">
        <w:t xml:space="preserve">eligibility </w:t>
      </w:r>
      <w:r w:rsidR="007A01B2">
        <w:t xml:space="preserve">reassessments that result in the assumed </w:t>
      </w:r>
      <w:r w:rsidRPr="00B6284E">
        <w:t xml:space="preserve">increased rates of exit. </w:t>
      </w:r>
      <w:r w:rsidR="00037CB8">
        <w:t xml:space="preserve">As </w:t>
      </w:r>
      <w:r w:rsidRPr="00B6284E">
        <w:t xml:space="preserve">the impacts of </w:t>
      </w:r>
      <w:r w:rsidR="00E71994" w:rsidRPr="00B6284E">
        <w:t xml:space="preserve">many </w:t>
      </w:r>
      <w:r w:rsidR="0094296E" w:rsidRPr="00B6284E">
        <w:t xml:space="preserve">of the </w:t>
      </w:r>
      <w:r w:rsidR="00B76BB9" w:rsidRPr="00B6284E">
        <w:t>Scheme</w:t>
      </w:r>
      <w:r w:rsidR="00E47CFC" w:rsidRPr="00B6284E">
        <w:t xml:space="preserve"> </w:t>
      </w:r>
      <w:r w:rsidR="00E71994" w:rsidRPr="00B6284E">
        <w:t>R</w:t>
      </w:r>
      <w:r w:rsidR="00E47CFC" w:rsidRPr="00B6284E">
        <w:t xml:space="preserve">eforms </w:t>
      </w:r>
      <w:r w:rsidRPr="00B6284E">
        <w:t xml:space="preserve">are yet to emerge in the </w:t>
      </w:r>
      <w:r w:rsidR="00E47CFC" w:rsidRPr="00B6284E">
        <w:t>data</w:t>
      </w:r>
      <w:r w:rsidR="00037CB8">
        <w:t>, and i</w:t>
      </w:r>
      <w:r w:rsidRPr="00B6284E">
        <w:t xml:space="preserve">n line with recommendations in the </w:t>
      </w:r>
      <w:r w:rsidR="001776F4" w:rsidRPr="00B6284E">
        <w:t xml:space="preserve">2024 </w:t>
      </w:r>
      <w:r w:rsidRPr="00B6284E">
        <w:t xml:space="preserve">FSR, a </w:t>
      </w:r>
      <w:r w:rsidR="00E3441E" w:rsidRPr="00B6284E">
        <w:t xml:space="preserve">report to </w:t>
      </w:r>
      <w:r w:rsidRPr="00B6284E">
        <w:t>monitor the implementation of these initiatives</w:t>
      </w:r>
      <w:r w:rsidR="00E3441E" w:rsidRPr="00B6284E">
        <w:t xml:space="preserve"> has commenced</w:t>
      </w:r>
      <w:r w:rsidRPr="00B6284E">
        <w:t>.</w:t>
      </w:r>
    </w:p>
    <w:p w14:paraId="2AD7E0C6" w14:textId="19AF94B9" w:rsidR="002C336B" w:rsidRPr="00B6284E" w:rsidRDefault="002C336B" w:rsidP="00B351B6">
      <w:pPr>
        <w:spacing w:after="320"/>
      </w:pPr>
      <w:r>
        <w:t xml:space="preserve">I believe there is additional uncertainty in </w:t>
      </w:r>
      <w:r w:rsidR="00CC03F9">
        <w:t xml:space="preserve">the projection </w:t>
      </w:r>
      <w:r w:rsidR="00A43189">
        <w:t xml:space="preserve">of participants </w:t>
      </w:r>
      <w:r w:rsidR="003933F1">
        <w:t>aged 65 and over. This group is modelled as a single cohort</w:t>
      </w:r>
      <w:r w:rsidR="00026CBA">
        <w:t>. Th</w:t>
      </w:r>
      <w:r w:rsidR="00AF762A">
        <w:t>is</w:t>
      </w:r>
      <w:r w:rsidR="00026CBA">
        <w:t xml:space="preserve"> cohort has exhibited on of the highest rates of growth in average spend per participant</w:t>
      </w:r>
      <w:r w:rsidR="006A0EC7">
        <w:t xml:space="preserve"> (10.8% increase in the 6 months to June 25 over the 6 months to June 24)</w:t>
      </w:r>
      <w:r w:rsidR="00591E7F">
        <w:t xml:space="preserve">. Equivalent rates in the prior three years were all higher. </w:t>
      </w:r>
      <w:r w:rsidR="002128D9">
        <w:t>The growth in the average spend is projected to reduce to below 4% in each of the projection years.</w:t>
      </w:r>
      <w:r w:rsidR="00931BDC">
        <w:t xml:space="preserve"> </w:t>
      </w:r>
      <w:r w:rsidR="00A913D6">
        <w:t xml:space="preserve">It is not clear that </w:t>
      </w:r>
      <w:r w:rsidR="004C1F1E">
        <w:t>m</w:t>
      </w:r>
      <w:r w:rsidR="00931BDC">
        <w:t xml:space="preserve">odelling this group as a single cohort </w:t>
      </w:r>
      <w:r w:rsidR="004C1F1E">
        <w:t>enables the Scheme Actuary to capture all the effects of ageing in the Scheme.</w:t>
      </w:r>
    </w:p>
    <w:p w14:paraId="338D39AD" w14:textId="5E35F82F" w:rsidR="00B351B6" w:rsidRPr="00B419B0" w:rsidRDefault="00B419B0" w:rsidP="00B351B6">
      <w:pPr>
        <w:spacing w:after="320"/>
      </w:pPr>
      <w:r>
        <w:t>T</w:t>
      </w:r>
      <w:r w:rsidR="00B351B6" w:rsidRPr="00B419B0">
        <w:t xml:space="preserve">he effect of uncertainty </w:t>
      </w:r>
      <w:r>
        <w:t xml:space="preserve">is illustrated </w:t>
      </w:r>
      <w:r w:rsidR="00B351B6" w:rsidRPr="00B419B0">
        <w:t xml:space="preserve">in sensitivity tests in </w:t>
      </w:r>
      <w:r w:rsidR="0082010F" w:rsidRPr="00B419B0">
        <w:t>S</w:t>
      </w:r>
      <w:r w:rsidR="00B351B6" w:rsidRPr="00B419B0">
        <w:t xml:space="preserve">ection </w:t>
      </w:r>
      <w:r w:rsidR="0082010F" w:rsidRPr="00B419B0">
        <w:t>6</w:t>
      </w:r>
      <w:r w:rsidR="00B351B6" w:rsidRPr="00B419B0">
        <w:t xml:space="preserve"> of the FSR.</w:t>
      </w:r>
    </w:p>
    <w:p w14:paraId="136359EC" w14:textId="59C122A7" w:rsidR="00AB4928" w:rsidRPr="008A7798" w:rsidRDefault="00AB4928" w:rsidP="00AB4928">
      <w:pPr>
        <w:pStyle w:val="Heading2"/>
      </w:pPr>
      <w:r w:rsidRPr="008A7798">
        <w:t>Conclusion</w:t>
      </w:r>
    </w:p>
    <w:p w14:paraId="55A064FA" w14:textId="004D8D43" w:rsidR="00B90A40" w:rsidRPr="00BA00AF" w:rsidRDefault="00E408B5" w:rsidP="00B90A40">
      <w:pPr>
        <w:spacing w:after="320"/>
      </w:pPr>
      <w:r w:rsidRPr="00E408B5">
        <w:t xml:space="preserve">The Scheme Actuary has selected assumptions based on the Scheme’s experience. These are then modified to allow for Scheme Reforms. </w:t>
      </w:r>
      <w:r w:rsidRPr="00BA00AF">
        <w:t xml:space="preserve">The modifications are not trivial. </w:t>
      </w:r>
      <w:r w:rsidR="00B90A40" w:rsidRPr="00BA00AF">
        <w:t>The June 202</w:t>
      </w:r>
      <w:r w:rsidR="0052003A" w:rsidRPr="00BA00AF">
        <w:t>5</w:t>
      </w:r>
      <w:r w:rsidR="00B90A40" w:rsidRPr="00BA00AF">
        <w:t xml:space="preserve"> FSR assume</w:t>
      </w:r>
      <w:r w:rsidR="003D4302" w:rsidRPr="00BA00AF">
        <w:t>s</w:t>
      </w:r>
      <w:r w:rsidR="00B90A40" w:rsidRPr="00BA00AF">
        <w:t xml:space="preserve"> that </w:t>
      </w:r>
      <w:r w:rsidR="003D4302" w:rsidRPr="00BA00AF">
        <w:t>new entrants</w:t>
      </w:r>
      <w:r w:rsidR="00135515" w:rsidRPr="00BA00AF">
        <w:t xml:space="preserve">, </w:t>
      </w:r>
      <w:r w:rsidR="003D4302" w:rsidRPr="00BA00AF">
        <w:t xml:space="preserve">additional </w:t>
      </w:r>
      <w:r w:rsidR="00135515" w:rsidRPr="00BA00AF">
        <w:t xml:space="preserve">plan </w:t>
      </w:r>
      <w:r w:rsidR="003D4302" w:rsidRPr="00BA00AF">
        <w:t xml:space="preserve">growth </w:t>
      </w:r>
      <w:r w:rsidR="00135515" w:rsidRPr="00BA00AF">
        <w:t>and utilisation</w:t>
      </w:r>
      <w:r w:rsidR="003D4302" w:rsidRPr="00BA00AF">
        <w:t xml:space="preserve"> will moderate and that exits will increase. </w:t>
      </w:r>
      <w:r w:rsidR="000369DA" w:rsidRPr="00BA00AF">
        <w:t xml:space="preserve">These assumptions are supported by a program of Scheme Reforms. </w:t>
      </w:r>
    </w:p>
    <w:p w14:paraId="329E08E1" w14:textId="5364077B" w:rsidR="00F71C30" w:rsidRDefault="00A84BFC" w:rsidP="00782D10">
      <w:r>
        <w:t>M</w:t>
      </w:r>
      <w:r w:rsidR="003E5018" w:rsidRPr="00BF7D28">
        <w:t xml:space="preserve">odelling </w:t>
      </w:r>
      <w:r w:rsidR="0037025B">
        <w:t xml:space="preserve">of </w:t>
      </w:r>
      <w:r w:rsidR="003E5018" w:rsidRPr="00BF7D28">
        <w:t>the Scheme Reforms brings additional uncertainty to this projection. This</w:t>
      </w:r>
      <w:r w:rsidR="00AB3DDC" w:rsidRPr="00BF7D28">
        <w:t xml:space="preserve"> is </w:t>
      </w:r>
      <w:r w:rsidR="003E5018" w:rsidRPr="00BF7D28">
        <w:t>because</w:t>
      </w:r>
      <w:r w:rsidR="00F71C30">
        <w:t>:</w:t>
      </w:r>
    </w:p>
    <w:p w14:paraId="111A8E9C" w14:textId="11B0EE16" w:rsidR="00F71C30" w:rsidRDefault="00CB56C3" w:rsidP="00F71C30">
      <w:pPr>
        <w:pStyle w:val="Bullet"/>
      </w:pPr>
      <w:r w:rsidRPr="00BF7D28">
        <w:t xml:space="preserve">most of the reforms have either only just commenced or are yet to commence. </w:t>
      </w:r>
      <w:r w:rsidR="002261F9" w:rsidRPr="00BF7D28">
        <w:t xml:space="preserve">Further, some reforms are still being designed. </w:t>
      </w:r>
      <w:r w:rsidRPr="00BF7D28">
        <w:t>This means</w:t>
      </w:r>
      <w:r w:rsidR="00AB3DDC" w:rsidRPr="00BF7D28">
        <w:t xml:space="preserve"> there </w:t>
      </w:r>
      <w:r w:rsidR="00AB651D" w:rsidRPr="00BF7D28">
        <w:t xml:space="preserve">is </w:t>
      </w:r>
      <w:r w:rsidRPr="00BF7D28">
        <w:t>little to no Scheme experience to support the exp</w:t>
      </w:r>
      <w:r w:rsidR="002261F9" w:rsidRPr="00BF7D28">
        <w:t xml:space="preserve">ected impact of the reforms at this </w:t>
      </w:r>
      <w:proofErr w:type="gramStart"/>
      <w:r w:rsidR="002261F9" w:rsidRPr="00BF7D28">
        <w:t>time</w:t>
      </w:r>
      <w:r w:rsidR="00F71C30">
        <w:t>;</w:t>
      </w:r>
      <w:proofErr w:type="gramEnd"/>
    </w:p>
    <w:p w14:paraId="1D0150E8" w14:textId="4C822A63" w:rsidR="00F71C30" w:rsidRDefault="0091554B" w:rsidP="00F71C30">
      <w:pPr>
        <w:pStyle w:val="Bullet"/>
      </w:pPr>
      <w:r>
        <w:t>little</w:t>
      </w:r>
      <w:r w:rsidR="00F71C30">
        <w:t xml:space="preserve"> allowance has been made in the projections for </w:t>
      </w:r>
      <w:r w:rsidR="002B0C3A">
        <w:t xml:space="preserve">potential </w:t>
      </w:r>
      <w:r w:rsidR="00365007">
        <w:t>behavioural change of Scheme participants</w:t>
      </w:r>
      <w:r w:rsidR="001E4A9B">
        <w:t xml:space="preserve">, with the most likely possibility being that </w:t>
      </w:r>
      <w:r w:rsidR="005D1D11">
        <w:t xml:space="preserve">downward pressure on plans results in higher </w:t>
      </w:r>
      <w:r w:rsidR="00EE3714">
        <w:t xml:space="preserve">plan </w:t>
      </w:r>
      <w:r w:rsidR="001E4A9B">
        <w:t xml:space="preserve">utilisation </w:t>
      </w:r>
      <w:r w:rsidR="008B0382">
        <w:t xml:space="preserve">than </w:t>
      </w:r>
      <w:r w:rsidR="00325DBE">
        <w:t>what is assumed</w:t>
      </w:r>
      <w:r w:rsidR="00EE3714">
        <w:t xml:space="preserve"> in the projections</w:t>
      </w:r>
      <w:proofErr w:type="gramStart"/>
      <w:r w:rsidR="00325DBE">
        <w:t xml:space="preserve">.  </w:t>
      </w:r>
      <w:proofErr w:type="gramEnd"/>
      <w:r w:rsidR="00325DBE">
        <w:t xml:space="preserve">This could </w:t>
      </w:r>
      <w:r w:rsidR="00365007">
        <w:t xml:space="preserve">mean that the reforms </w:t>
      </w:r>
      <w:r w:rsidR="00704A58">
        <w:t xml:space="preserve">do </w:t>
      </w:r>
      <w:r w:rsidR="009C773A">
        <w:t xml:space="preserve">not </w:t>
      </w:r>
      <w:r w:rsidR="00704A58">
        <w:t xml:space="preserve">have the </w:t>
      </w:r>
      <w:r w:rsidR="009C773A">
        <w:t>effect</w:t>
      </w:r>
      <w:r w:rsidR="00704A58">
        <w:t xml:space="preserve"> that is</w:t>
      </w:r>
      <w:r w:rsidR="009C773A">
        <w:t xml:space="preserve"> assumed. </w:t>
      </w:r>
    </w:p>
    <w:p w14:paraId="60F6FCC9" w14:textId="7F59398A" w:rsidR="00782D10" w:rsidRPr="00BF7D28" w:rsidRDefault="00AB3DDC" w:rsidP="00FE5391">
      <w:pPr>
        <w:pStyle w:val="Bullet"/>
        <w:numPr>
          <w:ilvl w:val="0"/>
          <w:numId w:val="0"/>
        </w:numPr>
      </w:pPr>
      <w:r w:rsidRPr="00BF7D28">
        <w:t xml:space="preserve">To manage this, the Scheme </w:t>
      </w:r>
      <w:r w:rsidR="00F76B15" w:rsidRPr="00BF7D28">
        <w:t>Actuary has commenced a process of monitoring the drivers of the emerging experience against that which</w:t>
      </w:r>
      <w:r w:rsidR="00486031" w:rsidRPr="00BF7D28">
        <w:t xml:space="preserve"> is</w:t>
      </w:r>
      <w:r w:rsidR="00F76B15" w:rsidRPr="00BF7D28">
        <w:t xml:space="preserve"> expected. </w:t>
      </w:r>
      <w:r w:rsidR="00782D10" w:rsidRPr="00BF7D28">
        <w:t xml:space="preserve">Enhancing the monitoring of resources and </w:t>
      </w:r>
      <w:r w:rsidR="00782D10" w:rsidRPr="00BF7D28">
        <w:lastRenderedPageBreak/>
        <w:t>productivity against the projection assumptions is a</w:t>
      </w:r>
      <w:r w:rsidR="00BF7D28" w:rsidRPr="00BF7D28">
        <w:t>n increasingly important addition</w:t>
      </w:r>
      <w:r w:rsidR="00782D10" w:rsidRPr="00BF7D28">
        <w:t xml:space="preserve"> to the actuarial management of the </w:t>
      </w:r>
      <w:r w:rsidR="2061D898" w:rsidRPr="00BF7D28">
        <w:t>S</w:t>
      </w:r>
      <w:r w:rsidR="00782D10" w:rsidRPr="00BF7D28">
        <w:t>cheme.</w:t>
      </w:r>
      <w:r w:rsidR="00712198" w:rsidRPr="00BF7D28">
        <w:t xml:space="preserve"> </w:t>
      </w:r>
      <w:r w:rsidR="00BF7D28" w:rsidRPr="00BF7D28">
        <w:t>This should be extended across all reforms.</w:t>
      </w:r>
      <w:r w:rsidR="00712198" w:rsidRPr="00BF7D28">
        <w:t xml:space="preserve"> </w:t>
      </w:r>
    </w:p>
    <w:p w14:paraId="3B79E706" w14:textId="5647CAC4" w:rsidR="00324B93" w:rsidRDefault="0066092E" w:rsidP="00EE2887">
      <w:pPr>
        <w:spacing w:after="320"/>
      </w:pPr>
      <w:r w:rsidRPr="00E408B5">
        <w:t>If the Reforms are implemented in the timeframe and with the effect that is assumed (noting the uncertainties surrounding any projection), I would be satisfied that the projection, taken as a whole, provide</w:t>
      </w:r>
      <w:r w:rsidR="00BF688D">
        <w:t>s</w:t>
      </w:r>
      <w:r w:rsidRPr="00E408B5">
        <w:t xml:space="preserve"> a reasonable scenario of projected expenditure. However, the scenario assumed for </w:t>
      </w:r>
      <w:r w:rsidR="000C5DFD">
        <w:t>F</w:t>
      </w:r>
      <w:r w:rsidRPr="00E408B5">
        <w:t xml:space="preserve">oundational </w:t>
      </w:r>
      <w:r w:rsidR="000C5DFD">
        <w:t>S</w:t>
      </w:r>
      <w:r w:rsidRPr="00E408B5">
        <w:t xml:space="preserve">upports no longer reflects the expected design and the projection should be updated when the design of </w:t>
      </w:r>
      <w:r w:rsidR="008B6CC9">
        <w:t xml:space="preserve">the </w:t>
      </w:r>
      <w:r w:rsidRPr="00E408B5">
        <w:t xml:space="preserve">Thriving Kids </w:t>
      </w:r>
      <w:r w:rsidR="008B6CC9">
        <w:t>program</w:t>
      </w:r>
      <w:r w:rsidR="00C32075">
        <w:t xml:space="preserve"> is sufficiently certain</w:t>
      </w:r>
      <w:r w:rsidRPr="00E408B5">
        <w:t>.</w:t>
      </w:r>
    </w:p>
    <w:p w14:paraId="074AAD09" w14:textId="33C654E7" w:rsidR="00230079" w:rsidRPr="00351F5F" w:rsidRDefault="00521267" w:rsidP="00EE2887">
      <w:pPr>
        <w:spacing w:after="320"/>
      </w:pPr>
      <w:r w:rsidRPr="00351F5F">
        <w:t xml:space="preserve">Sustainability pressures are expected to persist in the </w:t>
      </w:r>
      <w:r w:rsidR="00065E79">
        <w:t>S</w:t>
      </w:r>
      <w:r w:rsidRPr="00351F5F">
        <w:t>cheme whilst growth remains materially above the GDP growth</w:t>
      </w:r>
      <w:r w:rsidR="00E570DB">
        <w:t xml:space="preserve"> rate</w:t>
      </w:r>
      <w:r w:rsidRPr="00351F5F">
        <w:t xml:space="preserve">. </w:t>
      </w:r>
      <w:r w:rsidR="00055388" w:rsidRPr="00351F5F">
        <w:t xml:space="preserve">The Scheme Actuary has noted that further reforms will be required to </w:t>
      </w:r>
      <w:r w:rsidR="00541955" w:rsidRPr="00351F5F">
        <w:t xml:space="preserve">meet this level of growth. I encourage the Scheme Actuary to extend the projections beyond </w:t>
      </w:r>
      <w:r w:rsidR="00EF6F88" w:rsidRPr="00351F5F">
        <w:t xml:space="preserve">the medium term to help stakeholders understand the impact of </w:t>
      </w:r>
      <w:r w:rsidR="0094438F" w:rsidRPr="00351F5F">
        <w:t>longer-term</w:t>
      </w:r>
      <w:r w:rsidR="00EF6F88" w:rsidRPr="00351F5F">
        <w:t xml:space="preserve"> demographic </w:t>
      </w:r>
      <w:r w:rsidR="00351F5F" w:rsidRPr="00351F5F">
        <w:t>forces within the population.</w:t>
      </w:r>
    </w:p>
    <w:p w14:paraId="39DF8E8A" w14:textId="4AE5DFC5" w:rsidR="00A75763" w:rsidRDefault="00B6163B" w:rsidP="00434B25">
      <w:r>
        <w:t xml:space="preserve">A </w:t>
      </w:r>
      <w:r w:rsidR="00DF318D">
        <w:t xml:space="preserve">proliferation </w:t>
      </w:r>
      <w:r w:rsidR="00957A2F">
        <w:t>o</w:t>
      </w:r>
      <w:r w:rsidR="00DF318D">
        <w:t xml:space="preserve">f models is occurring over time. I encourage the Scheme Actuary </w:t>
      </w:r>
      <w:r w:rsidR="0057615D">
        <w:t xml:space="preserve">to </w:t>
      </w:r>
      <w:r w:rsidR="00A75763" w:rsidRPr="00351F5F">
        <w:t>review</w:t>
      </w:r>
      <w:r w:rsidR="00E65937">
        <w:t xml:space="preserve"> the role of</w:t>
      </w:r>
      <w:r w:rsidR="00A668A7">
        <w:t xml:space="preserve">, </w:t>
      </w:r>
      <w:r w:rsidR="00A75763" w:rsidRPr="00351F5F">
        <w:t xml:space="preserve">and </w:t>
      </w:r>
      <w:r w:rsidR="004740D0">
        <w:t>functionality required</w:t>
      </w:r>
      <w:r w:rsidR="00A668A7">
        <w:t xml:space="preserve"> from, each model</w:t>
      </w:r>
      <w:r w:rsidR="004740D0">
        <w:t xml:space="preserve">. He could then </w:t>
      </w:r>
      <w:r w:rsidR="00E65937">
        <w:t xml:space="preserve">develop a program to </w:t>
      </w:r>
      <w:r w:rsidR="00D006AF">
        <w:t xml:space="preserve">optimise </w:t>
      </w:r>
      <w:r w:rsidR="00E65937">
        <w:t>the number of models</w:t>
      </w:r>
      <w:r w:rsidR="00862C15">
        <w:t xml:space="preserve">, and in turn </w:t>
      </w:r>
      <w:r w:rsidR="00E65937">
        <w:t>manage risk in the actuarial process.</w:t>
      </w:r>
      <w:r w:rsidR="00974605">
        <w:t xml:space="preserve"> This is consistent with </w:t>
      </w:r>
      <w:r w:rsidR="00E351B6">
        <w:t>R</w:t>
      </w:r>
      <w:r w:rsidR="00974605">
        <w:t xml:space="preserve">ecommendation </w:t>
      </w:r>
      <w:r w:rsidR="000F13BD">
        <w:t>T</w:t>
      </w:r>
      <w:r w:rsidR="00E351B6">
        <w:t xml:space="preserve">wo </w:t>
      </w:r>
      <w:r w:rsidR="00974605">
        <w:t xml:space="preserve">in the </w:t>
      </w:r>
      <w:r w:rsidR="00E351B6">
        <w:t xml:space="preserve">2025 </w:t>
      </w:r>
      <w:r w:rsidR="00974605">
        <w:t>FSR.</w:t>
      </w:r>
    </w:p>
    <w:p w14:paraId="5EAF1BBE" w14:textId="3DAE6D10" w:rsidR="00666758" w:rsidRDefault="00666758" w:rsidP="00142754">
      <w:pPr>
        <w:keepNext/>
        <w:keepLines/>
        <w:spacing w:after="120"/>
      </w:pPr>
      <w:r w:rsidRPr="006B7D41">
        <w:t>Yours sincerely</w:t>
      </w:r>
      <w:bookmarkEnd w:id="0"/>
    </w:p>
    <w:p w14:paraId="6356D314" w14:textId="6E65E56F" w:rsidR="009344B2" w:rsidRDefault="00F50519" w:rsidP="005875AF">
      <w:pPr>
        <w:keepNext/>
        <w:keepLines/>
        <w:spacing w:after="0"/>
      </w:pPr>
      <w:r>
        <w:rPr>
          <w:noProof/>
        </w:rPr>
        <w:drawing>
          <wp:inline distT="0" distB="0" distL="0" distR="0" wp14:anchorId="561FC72A" wp14:editId="34FA1E0D">
            <wp:extent cx="2407920" cy="643128"/>
            <wp:effectExtent l="0" t="0" r="0" b="5080"/>
            <wp:docPr id="174884083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40831" name="Picture 1" descr="A close up of a signatur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07920" cy="643128"/>
                    </a:xfrm>
                    <a:prstGeom prst="rect">
                      <a:avLst/>
                    </a:prstGeom>
                  </pic:spPr>
                </pic:pic>
              </a:graphicData>
            </a:graphic>
          </wp:inline>
        </w:drawing>
      </w:r>
    </w:p>
    <w:p w14:paraId="034120D6" w14:textId="65F50B5B" w:rsidR="00C4469F" w:rsidRPr="006B7D41" w:rsidRDefault="00666758" w:rsidP="00666758">
      <w:pPr>
        <w:pStyle w:val="AddressBlock"/>
      </w:pPr>
      <w:r w:rsidRPr="006B7D41">
        <w:t>Guy Thorburn</w:t>
      </w:r>
    </w:p>
    <w:p w14:paraId="512E5C23" w14:textId="143EC2BC" w:rsidR="005E44F9" w:rsidRPr="006B7D41" w:rsidRDefault="00666758" w:rsidP="00971ADE">
      <w:pPr>
        <w:pStyle w:val="AddressBlock"/>
      </w:pPr>
      <w:r>
        <w:t>Australian Government Actuary</w:t>
      </w:r>
    </w:p>
    <w:p w14:paraId="435012ED" w14:textId="155E2E9E" w:rsidR="07B0E002" w:rsidRDefault="07B0E002">
      <w:r>
        <w:br w:type="page"/>
      </w:r>
    </w:p>
    <w:p w14:paraId="3C072837" w14:textId="577538EE" w:rsidR="005E44F9" w:rsidRPr="006B7D41" w:rsidRDefault="778F6372" w:rsidP="005E44F9">
      <w:pPr>
        <w:pStyle w:val="Heading1"/>
      </w:pPr>
      <w:bookmarkStart w:id="26" w:name="_Ref143784172"/>
      <w:r>
        <w:lastRenderedPageBreak/>
        <w:t>Attachment A: Distribution of new entrants</w:t>
      </w:r>
      <w:bookmarkEnd w:id="26"/>
    </w:p>
    <w:p w14:paraId="599F67D5" w14:textId="535F2A4C" w:rsidR="005E44F9" w:rsidRDefault="005E44F9" w:rsidP="005E44F9">
      <w:pPr>
        <w:pStyle w:val="Heading2"/>
      </w:pPr>
      <w:r w:rsidRPr="006B7D41">
        <w:t>Distribution by age</w:t>
      </w:r>
    </w:p>
    <w:p w14:paraId="66D4AD8D" w14:textId="58D048F0" w:rsidR="001339B1" w:rsidRPr="001339B1" w:rsidRDefault="001339B1" w:rsidP="001339B1">
      <w:r w:rsidRPr="001339B1">
        <w:t>With the change made to the age band groupings for this Projection, we do not have an historical time series of the new 0 to 8 years and 9 to 14 years age bands. As such, we have shown the experience for ages 0 to 14 years combined.</w:t>
      </w:r>
    </w:p>
    <w:p w14:paraId="31548275" w14:textId="6A6BEE89" w:rsidR="00FF26BD" w:rsidRPr="00ED5E2D" w:rsidRDefault="00FF26BD" w:rsidP="00A75E6A">
      <w:pPr>
        <w:pStyle w:val="Heading3"/>
      </w:pPr>
      <w:r w:rsidRPr="00ED5E2D">
        <w:t xml:space="preserve">Actual and expected </w:t>
      </w:r>
      <w:proofErr w:type="gramStart"/>
      <w:r w:rsidRPr="00ED5E2D">
        <w:t>experience</w:t>
      </w:r>
      <w:proofErr w:type="gramEnd"/>
    </w:p>
    <w:p w14:paraId="6C8C0631" w14:textId="28E647A4" w:rsidR="00B45FC0" w:rsidRPr="002B7E6C" w:rsidRDefault="00207681" w:rsidP="005E44F9">
      <w:pPr>
        <w:spacing w:after="320"/>
      </w:pPr>
      <w:r>
        <w:fldChar w:fldCharType="begin"/>
      </w:r>
      <w:r>
        <w:instrText xml:space="preserve"> REF _Ref207205929 \h </w:instrText>
      </w:r>
      <w:r>
        <w:fldChar w:fldCharType="separate"/>
      </w:r>
      <w:r w:rsidR="0093576D" w:rsidRPr="00463246">
        <w:t xml:space="preserve">Figure </w:t>
      </w:r>
      <w:r w:rsidR="0093576D">
        <w:rPr>
          <w:noProof/>
        </w:rPr>
        <w:t>12</w:t>
      </w:r>
      <w:r>
        <w:fldChar w:fldCharType="end"/>
      </w:r>
      <w:r>
        <w:t xml:space="preserve"> </w:t>
      </w:r>
      <w:r w:rsidR="000042DD" w:rsidRPr="002B7E6C">
        <w:t xml:space="preserve">sets out the </w:t>
      </w:r>
      <w:r w:rsidR="0061455A" w:rsidRPr="002B7E6C">
        <w:t xml:space="preserve">actual number of new entrants </w:t>
      </w:r>
      <w:r w:rsidR="004A5AA3" w:rsidRPr="002B7E6C">
        <w:t>by age</w:t>
      </w:r>
      <w:r w:rsidR="00521ECF">
        <w:t xml:space="preserve"> (remediated figures for 2023-24 and 2</w:t>
      </w:r>
      <w:r w:rsidR="00EA47CA">
        <w:t>0</w:t>
      </w:r>
      <w:r w:rsidR="00521ECF">
        <w:t>24-25)</w:t>
      </w:r>
      <w:r w:rsidR="004A5AA3" w:rsidRPr="002B7E6C">
        <w:t xml:space="preserve">, </w:t>
      </w:r>
      <w:r w:rsidR="00C00230" w:rsidRPr="002B7E6C">
        <w:t>and th</w:t>
      </w:r>
      <w:r w:rsidR="00EA47CA">
        <w:t>ose</w:t>
      </w:r>
      <w:r w:rsidR="00C00230" w:rsidRPr="002B7E6C">
        <w:t xml:space="preserve"> projected in </w:t>
      </w:r>
      <w:r w:rsidR="002B7E6C" w:rsidRPr="002B7E6C">
        <w:t xml:space="preserve">both </w:t>
      </w:r>
      <w:r w:rsidR="00C00230" w:rsidRPr="002B7E6C">
        <w:t xml:space="preserve">the </w:t>
      </w:r>
      <w:r w:rsidR="00D43C3E" w:rsidRPr="002B7E6C">
        <w:t>202</w:t>
      </w:r>
      <w:r w:rsidR="007766F8" w:rsidRPr="002B7E6C">
        <w:t>4</w:t>
      </w:r>
      <w:r w:rsidR="00D43C3E" w:rsidRPr="002B7E6C">
        <w:t xml:space="preserve"> FSR </w:t>
      </w:r>
      <w:r w:rsidR="000822A2" w:rsidRPr="002B7E6C">
        <w:t>and</w:t>
      </w:r>
      <w:r w:rsidR="002626DE" w:rsidRPr="002B7E6C">
        <w:t xml:space="preserve"> the </w:t>
      </w:r>
      <w:r w:rsidR="0DC02DC6" w:rsidRPr="002B7E6C">
        <w:t>202</w:t>
      </w:r>
      <w:r w:rsidR="002B7E6C" w:rsidRPr="002B7E6C">
        <w:t>5 FSR</w:t>
      </w:r>
      <w:r w:rsidR="0DC02DC6" w:rsidRPr="002B7E6C">
        <w:t xml:space="preserve"> </w:t>
      </w:r>
      <w:r w:rsidR="00BF3696" w:rsidRPr="002B7E6C">
        <w:t>projection</w:t>
      </w:r>
      <w:r w:rsidR="002B7E6C" w:rsidRPr="002B7E6C">
        <w:t>s</w:t>
      </w:r>
      <w:proofErr w:type="gramStart"/>
      <w:r w:rsidR="0061455A" w:rsidRPr="002B7E6C">
        <w:t>.</w:t>
      </w:r>
      <w:r w:rsidR="00B254B6">
        <w:t xml:space="preserve">  </w:t>
      </w:r>
      <w:proofErr w:type="gramEnd"/>
    </w:p>
    <w:p w14:paraId="1BA7ECE7" w14:textId="2E2A0BE2" w:rsidR="005E44F9" w:rsidRPr="00463246" w:rsidRDefault="005E44F9" w:rsidP="005E44F9">
      <w:pPr>
        <w:pStyle w:val="Caption"/>
      </w:pPr>
      <w:bookmarkStart w:id="27" w:name="_Ref110501668"/>
      <w:bookmarkStart w:id="28" w:name="_Ref207205929"/>
      <w:r w:rsidRPr="00463246">
        <w:t xml:space="preserve">Figure </w:t>
      </w:r>
      <w:bookmarkEnd w:id="27"/>
      <w:r w:rsidR="001A459F">
        <w:fldChar w:fldCharType="begin"/>
      </w:r>
      <w:r w:rsidR="001A459F">
        <w:instrText xml:space="preserve"> SEQ Figure \* ARABIC </w:instrText>
      </w:r>
      <w:r w:rsidR="001A459F">
        <w:fldChar w:fldCharType="separate"/>
      </w:r>
      <w:r w:rsidR="0093576D">
        <w:rPr>
          <w:noProof/>
        </w:rPr>
        <w:t>12</w:t>
      </w:r>
      <w:r w:rsidR="001A459F">
        <w:fldChar w:fldCharType="end"/>
      </w:r>
      <w:bookmarkEnd w:id="28"/>
      <w:r w:rsidRPr="00463246">
        <w:t xml:space="preserve">: Actual and projected new entrants by </w:t>
      </w:r>
      <w:proofErr w:type="gramStart"/>
      <w:r w:rsidRPr="00463246">
        <w:t>age</w:t>
      </w:r>
      <w:proofErr w:type="gramEnd"/>
    </w:p>
    <w:p w14:paraId="1438156A" w14:textId="4C09253C" w:rsidR="005E44F9" w:rsidRPr="00463246" w:rsidRDefault="006D23A1" w:rsidP="00DB75A4">
      <w:pPr>
        <w:pStyle w:val="ChartGraphic"/>
      </w:pPr>
      <w:r>
        <w:drawing>
          <wp:inline distT="0" distB="0" distL="0" distR="0" wp14:anchorId="5072280A" wp14:editId="7EEB6210">
            <wp:extent cx="5782861" cy="3486150"/>
            <wp:effectExtent l="0" t="0" r="8890" b="0"/>
            <wp:docPr id="1486198461" name="Picture 12" descr="Beginning of alt text for Figure 12. Actual and projected new entrants by age. The Figure shows Actual remediated, 2024 and 2025 FSR for the age bands 0 to 14, 15 to 34, 35 to 54, and 65 plus. The highest age band is 0 to 14, and had a peak of 60,000 in 2020. This is followed by 35 to 64, 15 to 34 and 65 plus. The 65 plus age band is very small.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98461" name="Picture 12" descr="Beginning of alt text for Figure 12. Actual and projected new entrants by age. The Figure shows Actual remediated, 2024 and 2025 FSR for the age bands 0 to 14, 15 to 34, 35 to 54, and 65 plus. The highest age band is 0 to 14, and had a peak of 60,000 in 2020. This is followed by 35 to 64, 15 to 34 and 65 plus. The 65 plus age band is very small. End of alt tex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7859" cy="3489163"/>
                    </a:xfrm>
                    <a:prstGeom prst="rect">
                      <a:avLst/>
                    </a:prstGeom>
                    <a:noFill/>
                  </pic:spPr>
                </pic:pic>
              </a:graphicData>
            </a:graphic>
          </wp:inline>
        </w:drawing>
      </w:r>
    </w:p>
    <w:p w14:paraId="19CB8255" w14:textId="0D50659F" w:rsidR="00D63DCD" w:rsidRPr="00463246" w:rsidRDefault="00D63DCD" w:rsidP="00D63DCD">
      <w:pPr>
        <w:rPr>
          <w:sz w:val="18"/>
          <w:szCs w:val="18"/>
        </w:rPr>
      </w:pPr>
      <w:r w:rsidRPr="00463246">
        <w:rPr>
          <w:sz w:val="18"/>
          <w:szCs w:val="18"/>
        </w:rPr>
        <w:t>End of Figure</w:t>
      </w:r>
    </w:p>
    <w:p w14:paraId="69DDBE3D" w14:textId="5A9673E4" w:rsidR="007E3727" w:rsidRDefault="00122774" w:rsidP="007E3727">
      <w:pPr>
        <w:pStyle w:val="Heading3"/>
      </w:pPr>
      <w:r>
        <w:t>New entrants, age</w:t>
      </w:r>
      <w:r w:rsidR="00141B25">
        <w:t>s</w:t>
      </w:r>
      <w:r>
        <w:t xml:space="preserve"> 0-14</w:t>
      </w:r>
    </w:p>
    <w:p w14:paraId="07E8AD11" w14:textId="4A834CAD" w:rsidR="00F559E3" w:rsidRDefault="00C13A31" w:rsidP="00C13A31">
      <w:r>
        <w:t xml:space="preserve">The remediated number of new entrants aged 0-14 in 2024-25 was a little higher (6%) than the number projected in the 2024 FSR. The 2024 FSR expected new entrants aged 0-14 to then reduce over the next two years before increasing gradually with population growth. The sharp decline was attributed to clearing the backlog of access requests (i.e. a timing effect), an expected reduced incidence of children on the Scheme </w:t>
      </w:r>
      <w:r w:rsidR="00E533B9">
        <w:t>because of</w:t>
      </w:r>
      <w:r>
        <w:t xml:space="preserve"> tightened e</w:t>
      </w:r>
      <w:r w:rsidR="00684C11">
        <w:t>vidence</w:t>
      </w:r>
      <w:r w:rsidR="009E3B6F">
        <w:t xml:space="preserve"> requirements</w:t>
      </w:r>
      <w:r>
        <w:t xml:space="preserve">, and diversions from the Scheme due to the </w:t>
      </w:r>
      <w:r w:rsidR="00012C17">
        <w:t xml:space="preserve">implementation </w:t>
      </w:r>
      <w:r>
        <w:t xml:space="preserve">of </w:t>
      </w:r>
      <w:r w:rsidR="00012C17">
        <w:t>Foundational Supports</w:t>
      </w:r>
      <w:r>
        <w:t xml:space="preserve">. </w:t>
      </w:r>
    </w:p>
    <w:p w14:paraId="14BA489A" w14:textId="67442309" w:rsidR="00C13A31" w:rsidRDefault="00C13A31" w:rsidP="00C13A31">
      <w:r>
        <w:t>In the 2025 FSR, new entrant numbers are assumed to be higher in 2025-26 and 2026-27 than in the 2024 FSR, before returning to levels comparable with the 2024 FSR from 2027-28. The higher assumed numbers of new entrants in 2025-26 and 2026-27 reflects the delay</w:t>
      </w:r>
      <w:r w:rsidR="00B629CB">
        <w:t>ed</w:t>
      </w:r>
      <w:r>
        <w:t xml:space="preserve"> implementation of </w:t>
      </w:r>
      <w:r w:rsidR="008E62F7">
        <w:t>Foundational Supports</w:t>
      </w:r>
      <w:r>
        <w:t>.</w:t>
      </w:r>
    </w:p>
    <w:p w14:paraId="1BBA4ED8" w14:textId="6AD18587" w:rsidR="0028557C" w:rsidRDefault="00EB35B5" w:rsidP="00C13A31">
      <w:r w:rsidRPr="007D18DF">
        <w:lastRenderedPageBreak/>
        <w:t>The projection has not been updated for any changes in scope that may arise in the design of the Thriving Kids program</w:t>
      </w:r>
      <w:r w:rsidR="004B3E27" w:rsidRPr="007D18DF">
        <w:t>.</w:t>
      </w:r>
      <w:r w:rsidR="000F5155" w:rsidRPr="007D18DF">
        <w:t xml:space="preserve"> Given </w:t>
      </w:r>
      <w:r w:rsidR="00735A1E" w:rsidRPr="007D18DF">
        <w:t xml:space="preserve">the </w:t>
      </w:r>
      <w:r w:rsidR="00F4630B" w:rsidRPr="007D18DF">
        <w:t>Thriving Kids program</w:t>
      </w:r>
      <w:r w:rsidR="00735A1E" w:rsidRPr="007D18DF">
        <w:t xml:space="preserve"> is still </w:t>
      </w:r>
      <w:r w:rsidR="001E0DAD">
        <w:t>being designed</w:t>
      </w:r>
      <w:r w:rsidR="00735A1E" w:rsidRPr="007D18DF">
        <w:t xml:space="preserve">, </w:t>
      </w:r>
      <w:r w:rsidR="00A273A9" w:rsidRPr="007D18DF">
        <w:t>this is not unreasonable</w:t>
      </w:r>
      <w:r w:rsidR="00512400" w:rsidRPr="007D18DF">
        <w:t xml:space="preserve">. </w:t>
      </w:r>
      <w:r w:rsidR="00A8292A" w:rsidRPr="007D18DF">
        <w:t xml:space="preserve">I expect that the modelling (and monitoring) of the </w:t>
      </w:r>
      <w:r w:rsidR="00A273A9" w:rsidRPr="007D18DF">
        <w:t>impact</w:t>
      </w:r>
      <w:r w:rsidR="00A8292A" w:rsidRPr="007D18DF">
        <w:t xml:space="preserve"> of </w:t>
      </w:r>
      <w:r w:rsidR="004B3E27" w:rsidRPr="007D18DF">
        <w:t>the</w:t>
      </w:r>
      <w:r w:rsidR="00F4630B" w:rsidRPr="007D18DF">
        <w:t xml:space="preserve"> Thriving Kids program </w:t>
      </w:r>
      <w:r w:rsidR="00A8292A" w:rsidRPr="007D18DF">
        <w:t xml:space="preserve">will develop </w:t>
      </w:r>
      <w:r w:rsidR="0092457D">
        <w:t xml:space="preserve">throughout </w:t>
      </w:r>
      <w:r w:rsidR="00A8292A" w:rsidRPr="007D18DF">
        <w:t xml:space="preserve">the </w:t>
      </w:r>
      <w:r w:rsidR="00A273A9" w:rsidRPr="007D18DF">
        <w:t>design phase</w:t>
      </w:r>
      <w:r w:rsidR="0092457D">
        <w:t>.</w:t>
      </w:r>
      <w:r w:rsidR="00A273A9" w:rsidRPr="007D18DF">
        <w:t xml:space="preserve"> </w:t>
      </w:r>
      <w:r w:rsidR="0092457D">
        <w:t>T</w:t>
      </w:r>
      <w:r w:rsidR="00A273A9" w:rsidRPr="007D18DF">
        <w:t xml:space="preserve">he projection </w:t>
      </w:r>
      <w:r w:rsidR="0033202C">
        <w:t xml:space="preserve">in this report </w:t>
      </w:r>
      <w:r w:rsidR="0092457D">
        <w:t xml:space="preserve">should </w:t>
      </w:r>
      <w:r w:rsidR="0033202C">
        <w:t>then be updated</w:t>
      </w:r>
      <w:r w:rsidR="00A273A9" w:rsidRPr="00104D58">
        <w:t>.</w:t>
      </w:r>
    </w:p>
    <w:p w14:paraId="4A43425F" w14:textId="14776EF7" w:rsidR="00C13A31" w:rsidRDefault="00C13A31" w:rsidP="00C13A31">
      <w:r>
        <w:t xml:space="preserve">Uncertainty in the underlying rate of child new entrants is currently elevated due to the uncertain impact and timing of the </w:t>
      </w:r>
      <w:r w:rsidR="000939B4">
        <w:t>Scheme R</w:t>
      </w:r>
      <w:r>
        <w:t>eforms that effect children joining the Scheme.</w:t>
      </w:r>
    </w:p>
    <w:p w14:paraId="22ABB39B" w14:textId="7586D48A" w:rsidR="00A2164D" w:rsidRPr="00C94453" w:rsidRDefault="00A2164D" w:rsidP="00122774">
      <w:pPr>
        <w:pStyle w:val="Heading3"/>
      </w:pPr>
      <w:r w:rsidRPr="00C94453">
        <w:t>New entrants, age</w:t>
      </w:r>
      <w:r w:rsidR="00141B25" w:rsidRPr="00C94453">
        <w:t>s</w:t>
      </w:r>
      <w:r w:rsidRPr="00C94453">
        <w:t xml:space="preserve"> </w:t>
      </w:r>
      <w:r w:rsidR="00141B25" w:rsidRPr="00C94453">
        <w:t>15</w:t>
      </w:r>
      <w:r w:rsidR="00F028E4" w:rsidRPr="00C94453">
        <w:t>-34 and 35-64</w:t>
      </w:r>
    </w:p>
    <w:p w14:paraId="505CF97A" w14:textId="547D024C" w:rsidR="00FA539C" w:rsidRPr="00BB68A6" w:rsidRDefault="00FA539C" w:rsidP="00FA539C">
      <w:pPr>
        <w:spacing w:after="320"/>
      </w:pPr>
      <w:r w:rsidRPr="00BB68A6">
        <w:t xml:space="preserve">The </w:t>
      </w:r>
      <w:r>
        <w:t xml:space="preserve">remediated </w:t>
      </w:r>
      <w:r w:rsidRPr="00BB68A6">
        <w:t>number of new entrants in 202</w:t>
      </w:r>
      <w:r>
        <w:t>4</w:t>
      </w:r>
      <w:r w:rsidRPr="00BB68A6">
        <w:t>-2</w:t>
      </w:r>
      <w:r>
        <w:t>5</w:t>
      </w:r>
      <w:r w:rsidRPr="00BB68A6">
        <w:t xml:space="preserve"> in each of these age groups was lower than assumed in the 202</w:t>
      </w:r>
      <w:r>
        <w:t>4</w:t>
      </w:r>
      <w:r w:rsidRPr="00BB68A6">
        <w:t xml:space="preserve"> FSR</w:t>
      </w:r>
      <w:r w:rsidR="00C0544E">
        <w:t xml:space="preserve"> (</w:t>
      </w:r>
      <w:r w:rsidR="00DF5323">
        <w:t xml:space="preserve">9% lower for </w:t>
      </w:r>
      <w:r w:rsidR="003F5A27">
        <w:t>those aged 15-3</w:t>
      </w:r>
      <w:r w:rsidR="008157FF">
        <w:t>4</w:t>
      </w:r>
      <w:r w:rsidR="003F5A27">
        <w:t xml:space="preserve"> and 12% lower for those aged </w:t>
      </w:r>
      <w:r w:rsidR="00B64FF9">
        <w:t>35-64)</w:t>
      </w:r>
      <w:proofErr w:type="gramStart"/>
      <w:r w:rsidRPr="00BB68A6">
        <w:t>.</w:t>
      </w:r>
      <w:r w:rsidR="009E614F">
        <w:t xml:space="preserve">  </w:t>
      </w:r>
      <w:proofErr w:type="gramEnd"/>
      <w:r w:rsidRPr="00BB68A6">
        <w:t xml:space="preserve">Numbers are assumed to decline </w:t>
      </w:r>
      <w:r w:rsidR="00376A48">
        <w:t xml:space="preserve">further </w:t>
      </w:r>
      <w:r w:rsidR="007F7AC0">
        <w:t>over the next two years</w:t>
      </w:r>
      <w:r w:rsidRPr="00BB68A6">
        <w:t>, before increasing with population growth. The decline in the projection over 2025-26 and 2026-27 is attributed to declining numbers of new entrants with a PUN</w:t>
      </w:r>
      <w:r w:rsidR="00FF79CC">
        <w:t xml:space="preserve">, </w:t>
      </w:r>
      <w:r w:rsidR="007E7C9E">
        <w:t>specifically</w:t>
      </w:r>
      <w:r w:rsidR="004C54EB">
        <w:t xml:space="preserve"> new entrants</w:t>
      </w:r>
      <w:r w:rsidR="00FF79CC">
        <w:t xml:space="preserve"> </w:t>
      </w:r>
      <w:r w:rsidR="008D21D6">
        <w:t>with autism</w:t>
      </w:r>
      <w:r w:rsidRPr="00BB68A6">
        <w:t>.</w:t>
      </w:r>
    </w:p>
    <w:p w14:paraId="20954503" w14:textId="1B14AEDD" w:rsidR="00890BB7" w:rsidRPr="00C94453" w:rsidRDefault="00890BB7" w:rsidP="00890BB7">
      <w:pPr>
        <w:pStyle w:val="Heading3"/>
      </w:pPr>
      <w:r w:rsidRPr="00C94453">
        <w:t xml:space="preserve">New entrants, age </w:t>
      </w:r>
      <w:r w:rsidR="4A91C498" w:rsidRPr="00C94453">
        <w:t>65+</w:t>
      </w:r>
    </w:p>
    <w:p w14:paraId="18A35F88" w14:textId="44390D37" w:rsidR="00F155F6" w:rsidRPr="00BB68A6" w:rsidRDefault="000077D5" w:rsidP="00C90483">
      <w:pPr>
        <w:spacing w:after="320"/>
      </w:pPr>
      <w:r w:rsidRPr="00BB68A6">
        <w:t>The projected number of new entrants age</w:t>
      </w:r>
      <w:r w:rsidR="00930F16" w:rsidRPr="00BB68A6">
        <w:t>d</w:t>
      </w:r>
      <w:r w:rsidR="7F72BE87" w:rsidRPr="00BB68A6">
        <w:t xml:space="preserve"> </w:t>
      </w:r>
      <w:r w:rsidR="00930F16" w:rsidRPr="00BB68A6">
        <w:t xml:space="preserve">65 and over </w:t>
      </w:r>
      <w:r w:rsidR="0012737A" w:rsidRPr="00BB68A6">
        <w:t xml:space="preserve">is </w:t>
      </w:r>
      <w:r w:rsidR="44DA5C33" w:rsidRPr="00BB68A6">
        <w:t xml:space="preserve">small and </w:t>
      </w:r>
      <w:r w:rsidR="0012737A" w:rsidRPr="00BB68A6">
        <w:t xml:space="preserve">is </w:t>
      </w:r>
      <w:r w:rsidRPr="00BB68A6">
        <w:t>similar to the previous projection.</w:t>
      </w:r>
    </w:p>
    <w:p w14:paraId="4AFE9A0B" w14:textId="77777777" w:rsidR="00515A6A" w:rsidRDefault="00515A6A">
      <w:pPr>
        <w:spacing w:after="0" w:line="240" w:lineRule="auto"/>
        <w:rPr>
          <w:rFonts w:ascii="Arial Bold" w:hAnsi="Arial Bold"/>
          <w:b/>
          <w:color w:val="74000E"/>
          <w:sz w:val="22"/>
        </w:rPr>
      </w:pPr>
      <w:r>
        <w:br w:type="page"/>
      </w:r>
    </w:p>
    <w:p w14:paraId="3A885C78" w14:textId="060A0F6E" w:rsidR="0061455A" w:rsidRPr="00ED5E2D" w:rsidRDefault="0061455A" w:rsidP="0061455A">
      <w:pPr>
        <w:pStyle w:val="Heading2"/>
      </w:pPr>
      <w:r w:rsidRPr="00ED5E2D">
        <w:lastRenderedPageBreak/>
        <w:t>Distribution by disability</w:t>
      </w:r>
    </w:p>
    <w:p w14:paraId="632A78A1" w14:textId="5B6E6FFD" w:rsidR="0061455A" w:rsidRPr="00AE4E4A" w:rsidRDefault="007C33BA" w:rsidP="0061455A">
      <w:r>
        <w:fldChar w:fldCharType="begin"/>
      </w:r>
      <w:r>
        <w:instrText xml:space="preserve"> REF _Ref206484148 \h </w:instrText>
      </w:r>
      <w:r>
        <w:fldChar w:fldCharType="separate"/>
      </w:r>
      <w:r w:rsidR="0093576D" w:rsidRPr="007076B0">
        <w:t xml:space="preserve">Figure </w:t>
      </w:r>
      <w:r w:rsidR="0093576D">
        <w:rPr>
          <w:noProof/>
        </w:rPr>
        <w:t>13</w:t>
      </w:r>
      <w:r>
        <w:fldChar w:fldCharType="end"/>
      </w:r>
      <w:r w:rsidR="00A07515" w:rsidRPr="00AE4E4A">
        <w:t xml:space="preserve"> </w:t>
      </w:r>
      <w:r w:rsidR="00321999" w:rsidRPr="00AE4E4A">
        <w:t>sets out actual number of new entrants by disability</w:t>
      </w:r>
      <w:r w:rsidR="00D03F4B">
        <w:t xml:space="preserve"> (remediated figures for 2023-24 and 2024-25)</w:t>
      </w:r>
      <w:r w:rsidR="00321999" w:rsidRPr="00AE4E4A">
        <w:t xml:space="preserve">, </w:t>
      </w:r>
      <w:r w:rsidR="00C00230" w:rsidRPr="00AE4E4A">
        <w:t>and th</w:t>
      </w:r>
      <w:r w:rsidR="00D03F4B">
        <w:t>ose</w:t>
      </w:r>
      <w:r w:rsidR="00C00230" w:rsidRPr="00AE4E4A">
        <w:t xml:space="preserve"> projected in </w:t>
      </w:r>
      <w:r w:rsidR="00AE4E4A" w:rsidRPr="00AE4E4A">
        <w:t xml:space="preserve">both the </w:t>
      </w:r>
      <w:r w:rsidR="00C00230" w:rsidRPr="00AE4E4A">
        <w:t>202</w:t>
      </w:r>
      <w:r w:rsidR="00AE4E4A" w:rsidRPr="00AE4E4A">
        <w:t>4</w:t>
      </w:r>
      <w:r w:rsidR="00C00230" w:rsidRPr="00AE4E4A">
        <w:t xml:space="preserve"> FSR and the 202</w:t>
      </w:r>
      <w:r w:rsidR="00AE4E4A" w:rsidRPr="00AE4E4A">
        <w:t>5 FSR</w:t>
      </w:r>
      <w:r w:rsidR="00C00230" w:rsidRPr="00AE4E4A">
        <w:t xml:space="preserve"> projection</w:t>
      </w:r>
      <w:r w:rsidR="00AE4E4A" w:rsidRPr="00AE4E4A">
        <w:t>s</w:t>
      </w:r>
      <w:r w:rsidR="00321999" w:rsidRPr="00AE4E4A">
        <w:t>.</w:t>
      </w:r>
    </w:p>
    <w:p w14:paraId="282519D1" w14:textId="2DE32795" w:rsidR="00EE710B" w:rsidRPr="007076B0" w:rsidRDefault="00EE710B" w:rsidP="00EE710B">
      <w:pPr>
        <w:pStyle w:val="Caption"/>
      </w:pPr>
      <w:bookmarkStart w:id="29" w:name="_Ref110509940"/>
      <w:bookmarkStart w:id="30" w:name="_Ref206484148"/>
      <w:r w:rsidRPr="007076B0">
        <w:t xml:space="preserve">Figure </w:t>
      </w:r>
      <w:bookmarkEnd w:id="29"/>
      <w:r w:rsidR="001A459F">
        <w:fldChar w:fldCharType="begin"/>
      </w:r>
      <w:r w:rsidR="001A459F">
        <w:instrText xml:space="preserve"> SEQ Figure \* ARABIC </w:instrText>
      </w:r>
      <w:r w:rsidR="001A459F">
        <w:fldChar w:fldCharType="separate"/>
      </w:r>
      <w:r w:rsidR="0093576D">
        <w:rPr>
          <w:noProof/>
        </w:rPr>
        <w:t>13</w:t>
      </w:r>
      <w:r w:rsidR="001A459F">
        <w:fldChar w:fldCharType="end"/>
      </w:r>
      <w:bookmarkEnd w:id="30"/>
      <w:r w:rsidRPr="007076B0">
        <w:t xml:space="preserve">: Actual and projected number of new entrants for major disability </w:t>
      </w:r>
      <w:proofErr w:type="gramStart"/>
      <w:r w:rsidRPr="007076B0">
        <w:t>types</w:t>
      </w:r>
      <w:proofErr w:type="gramEnd"/>
    </w:p>
    <w:p w14:paraId="135C485C" w14:textId="22068429" w:rsidR="00EE710B" w:rsidRPr="007076B0" w:rsidRDefault="00922543" w:rsidP="00BB68A6">
      <w:pPr>
        <w:pStyle w:val="ChartGraphic"/>
      </w:pPr>
      <w:r>
        <w:drawing>
          <wp:inline distT="0" distB="0" distL="0" distR="0" wp14:anchorId="30E70DDF" wp14:editId="00BAF615">
            <wp:extent cx="5925820" cy="3968750"/>
            <wp:effectExtent l="0" t="0" r="0" b="0"/>
            <wp:docPr id="1866867873" name="Picture 13" descr="Beginning of alt text for Figure 13. Actual and projected number of new entrants for major disability types. The Figure shows Actual remediated, 2024 and 2025 FSR for the disabilities autism, delay, intellectual disability, psychosocial disability and all other. The focus of this alt text is on autism and delay. For autism, the 2025 FSR projections range from approx 27,500 in 2026 to 25,000 in 2035. This compares with a historical range of between approx 22,000 in 2021 and 35,000 in 2020. For delay, the 2025 FSR projections range from approx 27,500 in 2026 to 10,000 in 2028. This compares with a historical range of between approx 5,000 in 2018 and 35,000 in 2023.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67873" name="Picture 13" descr="Beginning of alt text for Figure 13. Actual and projected number of new entrants for major disability types. The Figure shows Actual remediated, 2024 and 2025 FSR for the disabilities autism, delay, intellectual disability, psychosocial disability and all other. The focus of this alt text is on autism and delay. For autism, the 2025 FSR projections range from approx 27,500 in 2026 to 25,000 in 2035. This compares with a historical range of between approx 22,000 in 2021 and 35,000 in 2020. For delay, the 2025 FSR projections range from approx 27,500 in 2026 to 10,000 in 2028. This compares with a historical range of between approx 5,000 in 2018 and 35,000 in 2023. End of alt text.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5820" cy="3968750"/>
                    </a:xfrm>
                    <a:prstGeom prst="rect">
                      <a:avLst/>
                    </a:prstGeom>
                    <a:noFill/>
                  </pic:spPr>
                </pic:pic>
              </a:graphicData>
            </a:graphic>
          </wp:inline>
        </w:drawing>
      </w:r>
    </w:p>
    <w:p w14:paraId="0D90A471" w14:textId="750AE28F" w:rsidR="00470093" w:rsidRPr="007076B0" w:rsidRDefault="00470093" w:rsidP="00470093">
      <w:pPr>
        <w:spacing w:after="0"/>
        <w:rPr>
          <w:sz w:val="18"/>
          <w:szCs w:val="18"/>
        </w:rPr>
      </w:pPr>
      <w:r w:rsidRPr="007076B0">
        <w:rPr>
          <w:sz w:val="18"/>
          <w:szCs w:val="18"/>
        </w:rPr>
        <w:t>End of Figure</w:t>
      </w:r>
    </w:p>
    <w:p w14:paraId="6021C04C" w14:textId="77777777" w:rsidR="001B6CA3" w:rsidRPr="007076B0" w:rsidRDefault="001B6CA3" w:rsidP="00470093">
      <w:pPr>
        <w:spacing w:after="0"/>
        <w:rPr>
          <w:sz w:val="18"/>
          <w:szCs w:val="18"/>
        </w:rPr>
      </w:pPr>
    </w:p>
    <w:p w14:paraId="0BE7C9B3" w14:textId="52D2521C" w:rsidR="00544F11" w:rsidRPr="0008712C" w:rsidRDefault="00283C24" w:rsidP="6B130EDD">
      <w:r w:rsidRPr="00BB68A6">
        <w:fldChar w:fldCharType="begin"/>
      </w:r>
      <w:r w:rsidRPr="00BB68A6">
        <w:instrText xml:space="preserve"> REF _Ref206484148 \h </w:instrText>
      </w:r>
      <w:r w:rsidR="003543AA">
        <w:instrText xml:space="preserve"> \* MERGEFORMAT</w:instrText>
      </w:r>
      <w:r w:rsidR="003543AA" w:rsidRPr="0055003C">
        <w:instrText xml:space="preserve"> </w:instrText>
      </w:r>
      <w:r w:rsidRPr="00BB68A6">
        <w:fldChar w:fldCharType="separate"/>
      </w:r>
      <w:r w:rsidR="0093576D" w:rsidRPr="007076B0">
        <w:t xml:space="preserve">Figure </w:t>
      </w:r>
      <w:r w:rsidR="0093576D">
        <w:rPr>
          <w:noProof/>
        </w:rPr>
        <w:t>13</w:t>
      </w:r>
      <w:r w:rsidRPr="00BB68A6">
        <w:fldChar w:fldCharType="end"/>
      </w:r>
      <w:r w:rsidR="00544F11" w:rsidRPr="00BB68A6">
        <w:t xml:space="preserve"> </w:t>
      </w:r>
      <w:r w:rsidR="00856F4A" w:rsidRPr="00BB68A6">
        <w:t xml:space="preserve">shows </w:t>
      </w:r>
      <w:r w:rsidR="00856F4A" w:rsidRPr="0008712C">
        <w:t xml:space="preserve">that </w:t>
      </w:r>
      <w:r w:rsidR="00BF7305" w:rsidRPr="0008712C">
        <w:t xml:space="preserve">the </w:t>
      </w:r>
      <w:r w:rsidR="004B1583" w:rsidRPr="0008712C">
        <w:t xml:space="preserve">remediated </w:t>
      </w:r>
      <w:r w:rsidR="00BF7305" w:rsidRPr="0008712C">
        <w:t>number of new entrants</w:t>
      </w:r>
      <w:r w:rsidR="00BC16AD" w:rsidRPr="0008712C">
        <w:t xml:space="preserve"> in 2024-25</w:t>
      </w:r>
      <w:r w:rsidR="00BF7305" w:rsidRPr="0008712C">
        <w:t xml:space="preserve"> were</w:t>
      </w:r>
      <w:r w:rsidR="00BC16AD" w:rsidRPr="0008712C">
        <w:t xml:space="preserve"> </w:t>
      </w:r>
      <w:r w:rsidR="00782D1C" w:rsidRPr="0008712C">
        <w:t xml:space="preserve">higher than expected for </w:t>
      </w:r>
      <w:r w:rsidR="00165E03" w:rsidRPr="0008712C">
        <w:t>those with developmental delay</w:t>
      </w:r>
      <w:r w:rsidR="00223541" w:rsidRPr="0008712C">
        <w:t xml:space="preserve"> (+10%), but considerabl</w:t>
      </w:r>
      <w:r w:rsidR="003543AA" w:rsidRPr="0008712C">
        <w:t>y</w:t>
      </w:r>
      <w:r w:rsidR="00223541" w:rsidRPr="0008712C">
        <w:t xml:space="preserve"> lower</w:t>
      </w:r>
      <w:r w:rsidR="00064D7A" w:rsidRPr="0008712C">
        <w:t xml:space="preserve"> than expected</w:t>
      </w:r>
      <w:r w:rsidR="00223541" w:rsidRPr="0008712C">
        <w:t xml:space="preserve"> for those with </w:t>
      </w:r>
      <w:r w:rsidR="00D07EBC" w:rsidRPr="0008712C">
        <w:t>intellectual and ps</w:t>
      </w:r>
      <w:r w:rsidR="00064D7A" w:rsidRPr="0008712C">
        <w:t>y</w:t>
      </w:r>
      <w:r w:rsidR="00D07EBC" w:rsidRPr="0008712C">
        <w:t>chosocial disability (-</w:t>
      </w:r>
      <w:r w:rsidR="00BB29A5" w:rsidRPr="0008712C">
        <w:t>15% and -41% respectively).</w:t>
      </w:r>
      <w:r w:rsidR="00814F43">
        <w:t xml:space="preserve"> The Scheme Actuary </w:t>
      </w:r>
      <w:r w:rsidR="002C5633">
        <w:t xml:space="preserve">has </w:t>
      </w:r>
      <w:r w:rsidR="006C36EE">
        <w:t>reflected this experience in the assumed new entrant rates</w:t>
      </w:r>
      <w:r w:rsidR="00BF79F0">
        <w:t xml:space="preserve"> in the 2025 FSR, </w:t>
      </w:r>
      <w:r w:rsidR="00AF4A20">
        <w:t xml:space="preserve">as well as allowing for the delayed implementation of </w:t>
      </w:r>
      <w:r w:rsidR="00FA1A32">
        <w:t>Foundational Supports</w:t>
      </w:r>
      <w:r w:rsidR="00AF4A20">
        <w:t xml:space="preserve"> (</w:t>
      </w:r>
      <w:r w:rsidR="002744C1">
        <w:t>impacting</w:t>
      </w:r>
      <w:r w:rsidR="00AB4046" w:rsidRPr="00AB4046">
        <w:t xml:space="preserve"> new entrants with autism and developmental delay</w:t>
      </w:r>
      <w:r w:rsidR="00AF4A20">
        <w:t>)</w:t>
      </w:r>
      <w:proofErr w:type="gramStart"/>
      <w:r w:rsidR="00111D58">
        <w:t>.</w:t>
      </w:r>
      <w:r w:rsidR="00BB29A5" w:rsidRPr="0008712C">
        <w:t xml:space="preserve">  </w:t>
      </w:r>
      <w:proofErr w:type="gramEnd"/>
      <w:r w:rsidR="00BF7305" w:rsidRPr="0008712C">
        <w:t xml:space="preserve"> </w:t>
      </w:r>
      <w:r w:rsidR="00E40638" w:rsidRPr="0008712C">
        <w:t xml:space="preserve"> </w:t>
      </w:r>
    </w:p>
    <w:p w14:paraId="6DF7B241" w14:textId="77777777" w:rsidR="00EE26B4" w:rsidRPr="006D73D3" w:rsidRDefault="00EE26B4">
      <w:pPr>
        <w:spacing w:after="0" w:line="240" w:lineRule="auto"/>
        <w:rPr>
          <w:rFonts w:ascii="Arial Bold" w:hAnsi="Arial Bold"/>
          <w:b/>
          <w:color w:val="0E4E77"/>
          <w:sz w:val="22"/>
          <w:highlight w:val="yellow"/>
        </w:rPr>
      </w:pPr>
      <w:r w:rsidRPr="006D73D3">
        <w:rPr>
          <w:highlight w:val="yellow"/>
        </w:rPr>
        <w:br w:type="page"/>
      </w:r>
    </w:p>
    <w:p w14:paraId="524D4A77" w14:textId="290633A3" w:rsidR="006234B9" w:rsidRPr="00ED5E2D" w:rsidRDefault="006234B9" w:rsidP="006234B9">
      <w:pPr>
        <w:pStyle w:val="Heading1"/>
      </w:pPr>
      <w:r w:rsidRPr="00ED5E2D">
        <w:lastRenderedPageBreak/>
        <w:t xml:space="preserve">Attachment B: </w:t>
      </w:r>
      <w:r w:rsidR="00F769FF" w:rsidRPr="00ED5E2D">
        <w:t>Mode of departure</w:t>
      </w:r>
    </w:p>
    <w:p w14:paraId="5E74EDE8" w14:textId="38ADBDBD" w:rsidR="00E02EDC" w:rsidRPr="00ED5E2D" w:rsidRDefault="00F769FF" w:rsidP="00E02EDC">
      <w:pPr>
        <w:pStyle w:val="Heading2"/>
      </w:pPr>
      <w:r w:rsidRPr="00ED5E2D">
        <w:t xml:space="preserve">Leaving the </w:t>
      </w:r>
      <w:r w:rsidR="00454C69">
        <w:t>S</w:t>
      </w:r>
      <w:r w:rsidRPr="00ED5E2D">
        <w:t>cheme</w:t>
      </w:r>
    </w:p>
    <w:p w14:paraId="1E27DA8D" w14:textId="65BA26BA" w:rsidR="00046D69" w:rsidRPr="00FB0D6E" w:rsidRDefault="008709D7" w:rsidP="217A122A">
      <w:pPr>
        <w:rPr>
          <w:i/>
          <w:iCs/>
        </w:rPr>
      </w:pPr>
      <w:r w:rsidRPr="00FB0D6E">
        <w:t xml:space="preserve">Participants can leave the </w:t>
      </w:r>
      <w:r w:rsidR="00454C69">
        <w:t>S</w:t>
      </w:r>
      <w:r w:rsidRPr="00FB0D6E">
        <w:t xml:space="preserve">cheme for reasons other than mortality. </w:t>
      </w:r>
      <w:r w:rsidR="007C33BA">
        <w:fldChar w:fldCharType="begin"/>
      </w:r>
      <w:r w:rsidR="007C33BA">
        <w:instrText xml:space="preserve"> REF _Ref206484168 \h </w:instrText>
      </w:r>
      <w:r w:rsidR="007C33BA">
        <w:fldChar w:fldCharType="separate"/>
      </w:r>
      <w:r w:rsidR="0093576D" w:rsidRPr="001A7B42">
        <w:t xml:space="preserve">Figure </w:t>
      </w:r>
      <w:r w:rsidR="0093576D">
        <w:rPr>
          <w:noProof/>
        </w:rPr>
        <w:t>14</w:t>
      </w:r>
      <w:r w:rsidR="007C33BA">
        <w:fldChar w:fldCharType="end"/>
      </w:r>
      <w:r w:rsidR="00DA6872" w:rsidRPr="00FB0D6E">
        <w:t xml:space="preserve"> compares recent rates of leaving the </w:t>
      </w:r>
      <w:r w:rsidR="0EB626F8" w:rsidRPr="00FB0D6E">
        <w:t>S</w:t>
      </w:r>
      <w:r w:rsidR="00DA6872" w:rsidRPr="00FB0D6E">
        <w:t xml:space="preserve">cheme with recent projections. </w:t>
      </w:r>
    </w:p>
    <w:p w14:paraId="389FACEE" w14:textId="52A5FB78" w:rsidR="00DA6872" w:rsidRPr="001A7B42" w:rsidRDefault="00DA6872" w:rsidP="00DA6872">
      <w:pPr>
        <w:pStyle w:val="Caption"/>
      </w:pPr>
      <w:bookmarkStart w:id="31" w:name="_Ref111104396"/>
      <w:bookmarkStart w:id="32" w:name="_Ref206484168"/>
      <w:r w:rsidRPr="001A7B42">
        <w:t xml:space="preserve">Figure </w:t>
      </w:r>
      <w:bookmarkEnd w:id="31"/>
      <w:r w:rsidR="001A459F">
        <w:fldChar w:fldCharType="begin"/>
      </w:r>
      <w:r w:rsidR="001A459F">
        <w:instrText xml:space="preserve"> SEQ Figure \* ARABIC </w:instrText>
      </w:r>
      <w:r w:rsidR="001A459F">
        <w:fldChar w:fldCharType="separate"/>
      </w:r>
      <w:r w:rsidR="0093576D">
        <w:rPr>
          <w:noProof/>
        </w:rPr>
        <w:t>14</w:t>
      </w:r>
      <w:r w:rsidR="001A459F">
        <w:fldChar w:fldCharType="end"/>
      </w:r>
      <w:bookmarkEnd w:id="32"/>
      <w:r w:rsidRPr="001A7B42">
        <w:t>: Actual and projected crude rate of leaving (for reasons other than death)</w:t>
      </w:r>
    </w:p>
    <w:p w14:paraId="60B9F4E9" w14:textId="77BB52CE" w:rsidR="00DA6872" w:rsidRPr="001A7B42" w:rsidRDefault="003069D9" w:rsidP="00BC747B">
      <w:pPr>
        <w:pStyle w:val="ChartGraphic"/>
      </w:pPr>
      <w:r>
        <w:drawing>
          <wp:inline distT="0" distB="0" distL="0" distR="0" wp14:anchorId="01C96474" wp14:editId="06A4551C">
            <wp:extent cx="5572125" cy="2407920"/>
            <wp:effectExtent l="0" t="0" r="9525" b="0"/>
            <wp:docPr id="1218108388" name="Picture 14" descr="Beginning of alt text for Figure 14. Actual and projected crude rate of leaving (for reasons other than death). The Figure shows actual from 2019 to 2025 and 2021-2025 FSR projections from 2025 to 2035. The focus of this alt text is on actual, the 2024 FSR and the 2025 FSR.  The actual rate is 0.7% in 2019, increasing to 2.1% in 2025. The 2025 FSR result is 3.5% in 2026, declines to 1.5% by 2029 and is 1.3% in 2035. The 2024 FSR result is 1.7% in 2025, increasing to 2.5% in 2027 and is similar to the 2025 FSR result from 2031 onwards.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08388" name="Picture 14" descr="Beginning of alt text for Figure 14. Actual and projected crude rate of leaving (for reasons other than death). The Figure shows actual from 2019 to 2025 and 2021-2025 FSR projections from 2025 to 2035. The focus of this alt text is on actual, the 2024 FSR and the 2025 FSR.  The actual rate is 0.7% in 2019, increasing to 2.1% in 2025. The 2025 FSR result is 3.5% in 2026, declines to 1.5% by 2029 and is 1.3% in 2035. The 2024 FSR result is 1.7% in 2025, increasing to 2.5% in 2027 and is similar to the 2025 FSR result from 2031 onwards. End of alt text.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72125" cy="2407920"/>
                    </a:xfrm>
                    <a:prstGeom prst="rect">
                      <a:avLst/>
                    </a:prstGeom>
                    <a:noFill/>
                  </pic:spPr>
                </pic:pic>
              </a:graphicData>
            </a:graphic>
          </wp:inline>
        </w:drawing>
      </w:r>
    </w:p>
    <w:p w14:paraId="6B3FDC74" w14:textId="233E0D99" w:rsidR="00470093" w:rsidRPr="001A7B42" w:rsidRDefault="00470093" w:rsidP="00DA6872">
      <w:pPr>
        <w:rPr>
          <w:sz w:val="18"/>
          <w:szCs w:val="18"/>
        </w:rPr>
      </w:pPr>
      <w:r w:rsidRPr="001A7B42">
        <w:rPr>
          <w:sz w:val="18"/>
          <w:szCs w:val="18"/>
        </w:rPr>
        <w:t>End of Figure</w:t>
      </w:r>
    </w:p>
    <w:p w14:paraId="2A9CFCE5" w14:textId="5A809AC5" w:rsidR="00FB0D6E" w:rsidRDefault="00FB0D6E" w:rsidP="00FB0D6E">
      <w:r w:rsidRPr="00AE0365">
        <w:t xml:space="preserve">The rate of exit increased </w:t>
      </w:r>
      <w:r w:rsidR="00B24AD7" w:rsidRPr="00AE0365">
        <w:t>between</w:t>
      </w:r>
      <w:r w:rsidRPr="00AE0365">
        <w:t xml:space="preserve"> 2023</w:t>
      </w:r>
      <w:r w:rsidR="00B24AD7" w:rsidRPr="00AE0365">
        <w:t xml:space="preserve"> and 2025</w:t>
      </w:r>
      <w:r w:rsidRPr="00AE0365">
        <w:t xml:space="preserve">. The expected increase in the rate of exit is </w:t>
      </w:r>
      <w:r w:rsidR="00E15F3C" w:rsidRPr="00AE0365">
        <w:t xml:space="preserve">supported by the Scheme Actuary’s assessment of </w:t>
      </w:r>
      <w:r w:rsidR="00175E8B" w:rsidRPr="00AE0365">
        <w:t xml:space="preserve">the </w:t>
      </w:r>
      <w:r w:rsidR="00AA102C">
        <w:t>A</w:t>
      </w:r>
      <w:r w:rsidR="00175E8B" w:rsidRPr="00AE0365">
        <w:t xml:space="preserve">gency’s planned resourcing and a significant backlog of plans </w:t>
      </w:r>
      <w:r w:rsidR="00BD3AD4" w:rsidRPr="00AE0365">
        <w:t>due for an eligibility reassessment</w:t>
      </w:r>
      <w:r w:rsidRPr="00AE0365">
        <w:t xml:space="preserve">. </w:t>
      </w:r>
      <w:r w:rsidR="00AE0365" w:rsidRPr="00AE0365">
        <w:t>This</w:t>
      </w:r>
      <w:r w:rsidRPr="00AE0365">
        <w:t xml:space="preserve"> provides a basis against which progress </w:t>
      </w:r>
      <w:r w:rsidR="00AE0365" w:rsidRPr="00AE0365">
        <w:t>can be</w:t>
      </w:r>
      <w:r w:rsidRPr="00AE0365">
        <w:t xml:space="preserve"> tracked. </w:t>
      </w:r>
    </w:p>
    <w:p w14:paraId="6CA47F5A" w14:textId="746039F9" w:rsidR="00F769FF" w:rsidRPr="00ED5E2D" w:rsidRDefault="00810EC3" w:rsidP="00F769FF">
      <w:pPr>
        <w:pStyle w:val="Heading2"/>
      </w:pPr>
      <w:r w:rsidRPr="00ED5E2D">
        <w:t>Mortality</w:t>
      </w:r>
    </w:p>
    <w:p w14:paraId="5BA64917" w14:textId="2C4B1A08" w:rsidR="005F399C" w:rsidRPr="0083176F" w:rsidRDefault="00810EC3" w:rsidP="00F769FF">
      <w:r w:rsidRPr="0083176F">
        <w:t xml:space="preserve">Participants may also cease to participate in the </w:t>
      </w:r>
      <w:r w:rsidR="00ED0EC1">
        <w:t>S</w:t>
      </w:r>
      <w:r w:rsidRPr="0083176F">
        <w:t xml:space="preserve">cheme due to their death. </w:t>
      </w:r>
      <w:r w:rsidR="004254A8" w:rsidRPr="0083176F">
        <w:t xml:space="preserve">The </w:t>
      </w:r>
      <w:r w:rsidR="00176E6B" w:rsidRPr="0083176F">
        <w:t xml:space="preserve">actual </w:t>
      </w:r>
      <w:r w:rsidR="00A11BDA" w:rsidRPr="0083176F">
        <w:t xml:space="preserve">number of </w:t>
      </w:r>
      <w:r w:rsidR="00176E6B" w:rsidRPr="0083176F">
        <w:t xml:space="preserve">deaths </w:t>
      </w:r>
      <w:r w:rsidR="000616D7" w:rsidRPr="0083176F">
        <w:t>in 2024</w:t>
      </w:r>
      <w:r w:rsidR="00246B97" w:rsidRPr="0083176F">
        <w:t>-25</w:t>
      </w:r>
      <w:r w:rsidR="00176E6B" w:rsidRPr="0083176F">
        <w:t xml:space="preserve"> </w:t>
      </w:r>
      <w:r w:rsidR="000616D7" w:rsidRPr="0083176F">
        <w:t xml:space="preserve">was </w:t>
      </w:r>
      <w:r w:rsidR="00246B97" w:rsidRPr="0083176F">
        <w:t>6,131</w:t>
      </w:r>
      <w:r w:rsidR="0093668A" w:rsidRPr="0083176F">
        <w:t xml:space="preserve">. </w:t>
      </w:r>
      <w:r w:rsidR="00575965" w:rsidRPr="0083176F">
        <w:t xml:space="preserve">This </w:t>
      </w:r>
      <w:r w:rsidR="0093668A" w:rsidRPr="0083176F">
        <w:t xml:space="preserve">is </w:t>
      </w:r>
      <w:r w:rsidR="0083176F" w:rsidRPr="0083176F">
        <w:t>close</w:t>
      </w:r>
      <w:r w:rsidR="0093668A" w:rsidRPr="0083176F">
        <w:t xml:space="preserve"> to the expected number </w:t>
      </w:r>
      <w:r w:rsidR="00CC5F7A" w:rsidRPr="0083176F">
        <w:t xml:space="preserve">of </w:t>
      </w:r>
      <w:r w:rsidR="0083176F" w:rsidRPr="0083176F">
        <w:t>6,005</w:t>
      </w:r>
      <w:r w:rsidR="00CC5F7A" w:rsidRPr="0083176F">
        <w:t xml:space="preserve"> </w:t>
      </w:r>
      <w:r w:rsidR="00470093" w:rsidRPr="0083176F">
        <w:t>projected</w:t>
      </w:r>
      <w:r w:rsidR="2DFE08DA" w:rsidRPr="0083176F">
        <w:t xml:space="preserve"> </w:t>
      </w:r>
      <w:r w:rsidR="0093668A" w:rsidRPr="0083176F">
        <w:t xml:space="preserve">in the </w:t>
      </w:r>
      <w:r w:rsidR="000616D7" w:rsidRPr="0083176F">
        <w:t>202</w:t>
      </w:r>
      <w:r w:rsidR="0083176F" w:rsidRPr="0083176F">
        <w:t>4</w:t>
      </w:r>
      <w:r w:rsidR="0093668A" w:rsidRPr="0083176F">
        <w:t xml:space="preserve"> FSR. </w:t>
      </w:r>
    </w:p>
    <w:p w14:paraId="6CB18B17" w14:textId="58326498" w:rsidR="00B241A3" w:rsidRDefault="00563AF6" w:rsidP="00B241A3">
      <w:r>
        <w:fldChar w:fldCharType="begin"/>
      </w:r>
      <w:r>
        <w:instrText xml:space="preserve"> REF _Ref206484204 \h </w:instrText>
      </w:r>
      <w:r>
        <w:fldChar w:fldCharType="separate"/>
      </w:r>
      <w:r w:rsidR="0093576D" w:rsidRPr="00EA5E92">
        <w:t xml:space="preserve">Figure </w:t>
      </w:r>
      <w:r w:rsidR="0093576D">
        <w:rPr>
          <w:noProof/>
        </w:rPr>
        <w:t>15</w:t>
      </w:r>
      <w:r>
        <w:fldChar w:fldCharType="end"/>
      </w:r>
      <w:r w:rsidR="00B241A3" w:rsidRPr="0081273F">
        <w:t xml:space="preserve"> compares the recent crude mortality rate for the </w:t>
      </w:r>
      <w:r w:rsidR="00ED0EC1">
        <w:t>S</w:t>
      </w:r>
      <w:r w:rsidR="00B241A3" w:rsidRPr="0081273F">
        <w:t>cheme to recent projections. Historical experience will exhibit significant volatility in a population of this size.</w:t>
      </w:r>
      <w:r w:rsidR="006C4588" w:rsidRPr="006C4588">
        <w:t xml:space="preserve"> I also note that the COVID-19 pandemic has resulted in higher than usual levels of mortality in Australia in 2021-22 and 2022-23 in particular.</w:t>
      </w:r>
    </w:p>
    <w:p w14:paraId="7CEE29B8" w14:textId="6AACA09A" w:rsidR="00A15608" w:rsidRPr="0081273F" w:rsidRDefault="00A15608" w:rsidP="00B241A3">
      <w:r w:rsidRPr="00F8690A">
        <w:t xml:space="preserve">Mortality assumptions are set by age, disability type, level of function and SIL status. </w:t>
      </w:r>
      <w:r>
        <w:t>A</w:t>
      </w:r>
      <w:r w:rsidRPr="00F8690A">
        <w:t xml:space="preserve">ssumptions </w:t>
      </w:r>
      <w:r>
        <w:t xml:space="preserve">for non-SIL participants </w:t>
      </w:r>
      <w:r w:rsidRPr="00F8690A">
        <w:t>have not changed from those adopted in the 202</w:t>
      </w:r>
      <w:r>
        <w:t>4</w:t>
      </w:r>
      <w:r w:rsidRPr="00F8690A">
        <w:t xml:space="preserve"> FSR.</w:t>
      </w:r>
    </w:p>
    <w:p w14:paraId="192E3178" w14:textId="0C95867C" w:rsidR="00F769FF" w:rsidRPr="00EA5E92" w:rsidRDefault="2ECB51FC" w:rsidP="00F769FF">
      <w:pPr>
        <w:pStyle w:val="Caption"/>
      </w:pPr>
      <w:bookmarkStart w:id="33" w:name="_Ref111103932"/>
      <w:bookmarkStart w:id="34" w:name="_Ref206484204"/>
      <w:r w:rsidRPr="00EA5E92">
        <w:lastRenderedPageBreak/>
        <w:t xml:space="preserve">Figure </w:t>
      </w:r>
      <w:bookmarkEnd w:id="33"/>
      <w:r w:rsidR="001A459F">
        <w:fldChar w:fldCharType="begin"/>
      </w:r>
      <w:r w:rsidR="001A459F">
        <w:instrText xml:space="preserve"> SEQ Figure \* ARABIC </w:instrText>
      </w:r>
      <w:r w:rsidR="001A459F">
        <w:fldChar w:fldCharType="separate"/>
      </w:r>
      <w:r w:rsidR="0093576D">
        <w:rPr>
          <w:noProof/>
        </w:rPr>
        <w:t>15</w:t>
      </w:r>
      <w:r w:rsidR="001A459F">
        <w:fldChar w:fldCharType="end"/>
      </w:r>
      <w:bookmarkEnd w:id="34"/>
      <w:r w:rsidRPr="00EA5E92">
        <w:t xml:space="preserve">: Actual and projected crude mortality exit </w:t>
      </w:r>
      <w:proofErr w:type="gramStart"/>
      <w:r w:rsidRPr="00EA5E92">
        <w:t>rate</w:t>
      </w:r>
      <w:proofErr w:type="gramEnd"/>
    </w:p>
    <w:p w14:paraId="1C2C8F2E" w14:textId="1021A7E5" w:rsidR="00F769FF" w:rsidRPr="00EA5E92" w:rsidRDefault="00417437" w:rsidP="00FD2434">
      <w:pPr>
        <w:pStyle w:val="ChartGraphic"/>
      </w:pPr>
      <w:r>
        <w:drawing>
          <wp:inline distT="0" distB="0" distL="0" distR="0" wp14:anchorId="629ECC56" wp14:editId="3903E24D">
            <wp:extent cx="5596890" cy="2359660"/>
            <wp:effectExtent l="0" t="0" r="3810" b="2540"/>
            <wp:docPr id="674131336" name="Picture 15" descr="Beginning of alt text for Figure 15. Actual and projected crude mortality exit rate. The Figure shows actual from 2019 to 2025 and 2021-2025 FSR projections from 2025 to 2035. The focus of this alt text is on actual, the 2024 FSR and the 2025 FSR. The actual fluctuates from 0.9% to 1.05% over the period 2019 to 2025. The 2025 FSR result is 0.9% in 2026 and remains flat until 2035. The 2024 FSR result is 0.85% in 2025 and remains flat until 2035.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31336" name="Picture 15" descr="Beginning of alt text for Figure 15. Actual and projected crude mortality exit rate. The Figure shows actual from 2019 to 2025 and 2021-2025 FSR projections from 2025 to 2035. The focus of this alt text is on actual, the 2024 FSR and the 2025 FSR. The actual fluctuates from 0.9% to 1.05% over the period 2019 to 2025. The 2025 FSR result is 0.9% in 2026 and remains flat until 2035. The 2024 FSR result is 0.85% in 2025 and remains flat until 2035. End of alt text.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6890" cy="2359660"/>
                    </a:xfrm>
                    <a:prstGeom prst="rect">
                      <a:avLst/>
                    </a:prstGeom>
                    <a:noFill/>
                  </pic:spPr>
                </pic:pic>
              </a:graphicData>
            </a:graphic>
          </wp:inline>
        </w:drawing>
      </w:r>
    </w:p>
    <w:p w14:paraId="225E393F" w14:textId="77777777" w:rsidR="001026F4" w:rsidRPr="00EA5E92" w:rsidRDefault="001026F4" w:rsidP="001026F4">
      <w:pPr>
        <w:rPr>
          <w:sz w:val="18"/>
          <w:szCs w:val="18"/>
        </w:rPr>
      </w:pPr>
      <w:r w:rsidRPr="00EA5E92">
        <w:rPr>
          <w:sz w:val="18"/>
          <w:szCs w:val="18"/>
        </w:rPr>
        <w:t>End of Figure</w:t>
      </w:r>
    </w:p>
    <w:p w14:paraId="6E6E085D" w14:textId="783CF075" w:rsidR="00596FDC" w:rsidRPr="000024FD" w:rsidRDefault="55FC4CA3" w:rsidP="0003029B">
      <w:r w:rsidRPr="000024FD">
        <w:t xml:space="preserve">Whilst </w:t>
      </w:r>
      <w:r w:rsidR="2ECB51FC" w:rsidRPr="000024FD">
        <w:t xml:space="preserve">the total number of deaths </w:t>
      </w:r>
      <w:r w:rsidRPr="000024FD">
        <w:t xml:space="preserve">in the </w:t>
      </w:r>
      <w:r w:rsidR="6D3772CF" w:rsidRPr="000024FD">
        <w:t>S</w:t>
      </w:r>
      <w:r w:rsidRPr="000024FD">
        <w:t xml:space="preserve">cheme </w:t>
      </w:r>
      <w:r w:rsidR="2ECB51FC" w:rsidRPr="000024FD">
        <w:t>is relatively small</w:t>
      </w:r>
      <w:r w:rsidR="13DF0481" w:rsidRPr="000024FD">
        <w:t xml:space="preserve">, the distribution of deaths </w:t>
      </w:r>
      <w:r w:rsidR="003B3274" w:rsidRPr="000024FD">
        <w:t xml:space="preserve">is </w:t>
      </w:r>
      <w:r w:rsidR="13DF0481" w:rsidRPr="000024FD">
        <w:t xml:space="preserve">important. For example, </w:t>
      </w:r>
      <w:r w:rsidR="0DC1DE33" w:rsidRPr="000024FD">
        <w:t xml:space="preserve">very </w:t>
      </w:r>
      <w:r w:rsidR="13DF0481" w:rsidRPr="000024FD">
        <w:t xml:space="preserve">few participants </w:t>
      </w:r>
      <w:r w:rsidR="0079094B">
        <w:t xml:space="preserve">with the highest support needs </w:t>
      </w:r>
      <w:r w:rsidR="13DF0481" w:rsidRPr="000024FD">
        <w:t xml:space="preserve">leave </w:t>
      </w:r>
      <w:r w:rsidR="0079094B">
        <w:t xml:space="preserve">the Scheme </w:t>
      </w:r>
      <w:r w:rsidR="13DF0481" w:rsidRPr="000024FD">
        <w:t xml:space="preserve">for reasons other than mortality. As a result, </w:t>
      </w:r>
      <w:r w:rsidR="0DC1DE33" w:rsidRPr="000024FD">
        <w:t xml:space="preserve">the </w:t>
      </w:r>
      <w:r w:rsidR="13DF0481" w:rsidRPr="000024FD">
        <w:t xml:space="preserve">mortality </w:t>
      </w:r>
      <w:r w:rsidR="003F3FE7">
        <w:t xml:space="preserve">rates </w:t>
      </w:r>
      <w:r w:rsidR="0DC1DE33" w:rsidRPr="000024FD">
        <w:t xml:space="preserve">of </w:t>
      </w:r>
      <w:r w:rsidR="13DF0481" w:rsidRPr="000024FD">
        <w:t xml:space="preserve">participants </w:t>
      </w:r>
      <w:r w:rsidR="003F3FE7">
        <w:t xml:space="preserve">with higher support needs </w:t>
      </w:r>
      <w:r w:rsidR="13DF0481" w:rsidRPr="000024FD">
        <w:t>ha</w:t>
      </w:r>
      <w:r w:rsidR="005B624A">
        <w:t>ve</w:t>
      </w:r>
      <w:r w:rsidR="13DF0481" w:rsidRPr="000024FD">
        <w:t xml:space="preserve"> a material impact on projected </w:t>
      </w:r>
      <w:r w:rsidR="00677D45" w:rsidRPr="000024FD">
        <w:t>expenses</w:t>
      </w:r>
      <w:r w:rsidRPr="000024FD">
        <w:t xml:space="preserve">. </w:t>
      </w:r>
      <w:r w:rsidR="003F3FE7">
        <w:t xml:space="preserve">This can be seen by examining the experience of Scheme Participants </w:t>
      </w:r>
      <w:r w:rsidR="005B624A">
        <w:t>receiving SIL as this cohort naturally includes a higher proportion of participants with higher support needs.</w:t>
      </w:r>
      <w:r w:rsidR="00B4038C">
        <w:t xml:space="preserve"> </w:t>
      </w:r>
      <w:r w:rsidR="00B4038C">
        <w:fldChar w:fldCharType="begin"/>
      </w:r>
      <w:r w:rsidR="00B4038C">
        <w:instrText xml:space="preserve"> REF _Ref206484219 \h </w:instrText>
      </w:r>
      <w:r w:rsidR="00B4038C">
        <w:fldChar w:fldCharType="separate"/>
      </w:r>
      <w:r w:rsidR="0093576D" w:rsidRPr="00A42B2D">
        <w:t xml:space="preserve">Figure </w:t>
      </w:r>
      <w:r w:rsidR="0093576D">
        <w:rPr>
          <w:noProof/>
        </w:rPr>
        <w:t>16</w:t>
      </w:r>
      <w:r w:rsidR="00B4038C">
        <w:fldChar w:fldCharType="end"/>
      </w:r>
      <w:r w:rsidR="00B4038C" w:rsidRPr="00A37A3B">
        <w:t xml:space="preserve"> shows that expected mortality rates for SIL (as represented by the 2024 FSR) have been below the recent experience of the </w:t>
      </w:r>
      <w:r w:rsidR="00B4038C">
        <w:t>S</w:t>
      </w:r>
      <w:r w:rsidR="00B4038C" w:rsidRPr="00A37A3B">
        <w:t xml:space="preserve">cheme. </w:t>
      </w:r>
      <w:r w:rsidR="00B4038C">
        <w:t>T</w:t>
      </w:r>
      <w:r w:rsidR="00B4038C" w:rsidRPr="00A37A3B">
        <w:t xml:space="preserve">he Scheme Actuary has increased the mortality assumptions for participants </w:t>
      </w:r>
      <w:r w:rsidR="00B4038C">
        <w:t xml:space="preserve">with higher support needs </w:t>
      </w:r>
      <w:r w:rsidR="00B4038C" w:rsidRPr="00A37A3B">
        <w:t>in the 2025 FSR. I support this change.</w:t>
      </w:r>
    </w:p>
    <w:p w14:paraId="0B8D256C" w14:textId="1A0AC33E" w:rsidR="00C278FC" w:rsidRPr="00A42B2D" w:rsidRDefault="00C278FC" w:rsidP="00C278FC">
      <w:pPr>
        <w:pStyle w:val="Caption"/>
      </w:pPr>
      <w:bookmarkStart w:id="35" w:name="_Ref143266351"/>
      <w:bookmarkStart w:id="36" w:name="_Ref206484219"/>
      <w:r w:rsidRPr="00A42B2D">
        <w:t xml:space="preserve">Figure </w:t>
      </w:r>
      <w:bookmarkEnd w:id="35"/>
      <w:r w:rsidR="001A459F">
        <w:fldChar w:fldCharType="begin"/>
      </w:r>
      <w:r w:rsidR="001A459F">
        <w:instrText xml:space="preserve"> SEQ Figure \* ARABIC </w:instrText>
      </w:r>
      <w:r w:rsidR="001A459F">
        <w:fldChar w:fldCharType="separate"/>
      </w:r>
      <w:r w:rsidR="0093576D">
        <w:rPr>
          <w:noProof/>
        </w:rPr>
        <w:t>16</w:t>
      </w:r>
      <w:r w:rsidR="001A459F">
        <w:fldChar w:fldCharType="end"/>
      </w:r>
      <w:bookmarkEnd w:id="36"/>
      <w:r w:rsidRPr="00A42B2D">
        <w:t xml:space="preserve">: Actual and </w:t>
      </w:r>
      <w:r w:rsidR="00297E83" w:rsidRPr="00A42B2D">
        <w:t xml:space="preserve">projected crude mortality rate for SIL </w:t>
      </w:r>
      <w:proofErr w:type="gramStart"/>
      <w:r w:rsidR="00297E83" w:rsidRPr="00A42B2D">
        <w:t>participants</w:t>
      </w:r>
      <w:proofErr w:type="gramEnd"/>
    </w:p>
    <w:p w14:paraId="11AA402A" w14:textId="2ABFBAFB" w:rsidR="00297E83" w:rsidRPr="00A42B2D" w:rsidRDefault="000D560D" w:rsidP="00AB3C42">
      <w:pPr>
        <w:pStyle w:val="ChartGraphic"/>
        <w:keepNext/>
      </w:pPr>
      <w:r>
        <w:drawing>
          <wp:inline distT="0" distB="0" distL="0" distR="0" wp14:anchorId="11159B68" wp14:editId="08CBC567">
            <wp:extent cx="5572125" cy="2407920"/>
            <wp:effectExtent l="0" t="0" r="9525" b="0"/>
            <wp:docPr id="747213749" name="Picture 16" descr="Beginning of alt text for Figure 16. Actual and projected crude mortality exit rate for SIL participants. The Figure shows actual mortality from 2019 to 2025 and 2024 and 2025 FSR projections from 2025 to 2035. The actual increases from 1.00% in 2019 to 3.70% in 2025. The 2025 FSR result is 3.5% in 2026 and remains flat until 2035. The 2024 FSR result is 2.5% and increases slightly to 2.7% in 2035. End of alt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13749" name="Picture 16" descr="Beginning of alt text for Figure 16. Actual and projected crude mortality exit rate for SIL participants. The Figure shows actual mortality from 2019 to 2025 and 2024 and 2025 FSR projections from 2025 to 2035. The actual increases from 1.00% in 2019 to 3.70% in 2025. The 2025 FSR result is 3.5% in 2026 and remains flat until 2035. The 2024 FSR result is 2.5% and increases slightly to 2.7% in 2035. End of alt text.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2125" cy="2407920"/>
                    </a:xfrm>
                    <a:prstGeom prst="rect">
                      <a:avLst/>
                    </a:prstGeom>
                    <a:noFill/>
                  </pic:spPr>
                </pic:pic>
              </a:graphicData>
            </a:graphic>
          </wp:inline>
        </w:drawing>
      </w:r>
    </w:p>
    <w:p w14:paraId="0FEC2C38" w14:textId="77777777" w:rsidR="00011AAC" w:rsidRDefault="00803E70" w:rsidP="00A37A3B">
      <w:pPr>
        <w:rPr>
          <w:sz w:val="18"/>
          <w:szCs w:val="18"/>
        </w:rPr>
      </w:pPr>
      <w:r w:rsidRPr="00A42B2D">
        <w:rPr>
          <w:sz w:val="18"/>
          <w:szCs w:val="18"/>
        </w:rPr>
        <w:t>End of Figure</w:t>
      </w:r>
    </w:p>
    <w:p w14:paraId="059311E3" w14:textId="766FA9CD" w:rsidR="00A15608" w:rsidRDefault="00A15608" w:rsidP="00A15608">
      <w:pPr>
        <w:rPr>
          <w:rFonts w:ascii="Arial Bold" w:hAnsi="Arial Bold"/>
          <w:b/>
          <w:color w:val="0E4E77"/>
          <w:sz w:val="22"/>
        </w:rPr>
      </w:pPr>
      <w:r>
        <w:br w:type="page"/>
      </w:r>
    </w:p>
    <w:p w14:paraId="723348AA" w14:textId="4281B895" w:rsidR="00360CD9" w:rsidRPr="004B5CB4" w:rsidRDefault="00360CD9" w:rsidP="00360CD9">
      <w:pPr>
        <w:pStyle w:val="Heading1"/>
      </w:pPr>
      <w:r w:rsidRPr="004B5CB4">
        <w:lastRenderedPageBreak/>
        <w:t xml:space="preserve">Attachment </w:t>
      </w:r>
      <w:r w:rsidR="000024FD" w:rsidRPr="004B5CB4">
        <w:t>C</w:t>
      </w:r>
      <w:r w:rsidRPr="004B5CB4">
        <w:t xml:space="preserve">: </w:t>
      </w:r>
      <w:r w:rsidR="003D59ED">
        <w:t xml:space="preserve">Participant </w:t>
      </w:r>
      <w:proofErr w:type="gramStart"/>
      <w:r w:rsidR="003D59ED">
        <w:t>spend</w:t>
      </w:r>
      <w:proofErr w:type="gramEnd"/>
    </w:p>
    <w:p w14:paraId="47197F15" w14:textId="77777777" w:rsidR="00372D88" w:rsidRDefault="00DF41A7" w:rsidP="00297E83">
      <w:r>
        <w:t>This year</w:t>
      </w:r>
      <w:r w:rsidR="002744C1">
        <w:t>,</w:t>
      </w:r>
      <w:r>
        <w:t xml:space="preserve"> the </w:t>
      </w:r>
      <w:r w:rsidR="002E0B32">
        <w:t xml:space="preserve">process for determining the </w:t>
      </w:r>
      <w:r w:rsidR="006956C3">
        <w:t xml:space="preserve">participant spend </w:t>
      </w:r>
      <w:r w:rsidR="002E0B32">
        <w:t xml:space="preserve">commences with the current </w:t>
      </w:r>
      <w:r w:rsidR="006956C3">
        <w:t xml:space="preserve">committed supports. </w:t>
      </w:r>
      <w:r w:rsidR="004949F7">
        <w:t xml:space="preserve">Future committed supports are </w:t>
      </w:r>
      <w:r w:rsidR="002B34F1">
        <w:t xml:space="preserve">increased to allow for </w:t>
      </w:r>
      <w:r w:rsidR="0046405A">
        <w:t xml:space="preserve">normal economic </w:t>
      </w:r>
      <w:r w:rsidR="001C2498">
        <w:t>inflation</w:t>
      </w:r>
      <w:r w:rsidR="00753D0F">
        <w:t>, modelled transitions and ageing in the Scheme</w:t>
      </w:r>
      <w:r w:rsidR="0046405A">
        <w:t>, additional growth in plans beyond these factors</w:t>
      </w:r>
      <w:r w:rsidR="001C2498">
        <w:t xml:space="preserve"> and the impact of </w:t>
      </w:r>
      <w:r w:rsidR="00D94098">
        <w:t>Scheme R</w:t>
      </w:r>
      <w:r w:rsidR="001C2498">
        <w:t>eform</w:t>
      </w:r>
      <w:r w:rsidR="00164B51">
        <w:t>s</w:t>
      </w:r>
      <w:r w:rsidR="001C2498">
        <w:t xml:space="preserve">. </w:t>
      </w:r>
      <w:r w:rsidR="00860A71">
        <w:t xml:space="preserve">Committed supports are then multiplied by utilisation </w:t>
      </w:r>
      <w:r w:rsidR="009B33B0">
        <w:t>rates</w:t>
      </w:r>
      <w:r w:rsidR="00873CDA">
        <w:t xml:space="preserve"> to</w:t>
      </w:r>
      <w:r w:rsidR="009B33B0">
        <w:t xml:space="preserve"> </w:t>
      </w:r>
      <w:r w:rsidR="009726B1">
        <w:t>determine the participant spend on an accrual basis.</w:t>
      </w:r>
      <w:r w:rsidR="00860A71">
        <w:t xml:space="preserve"> </w:t>
      </w:r>
    </w:p>
    <w:p w14:paraId="7158E189" w14:textId="4A8B5A7B" w:rsidR="00360CD9" w:rsidRDefault="00171911" w:rsidP="00297E83">
      <w:r>
        <w:t xml:space="preserve">Modelled transitions </w:t>
      </w:r>
      <w:r w:rsidR="000E267A">
        <w:t xml:space="preserve">and ageing </w:t>
      </w:r>
      <w:r>
        <w:t xml:space="preserve">in the </w:t>
      </w:r>
      <w:r w:rsidR="00F43C02">
        <w:t>Scheme are examined as part of the population projection</w:t>
      </w:r>
      <w:r w:rsidR="00FE7785">
        <w:t xml:space="preserve"> and are not considered further </w:t>
      </w:r>
      <w:r w:rsidR="00EC6566">
        <w:t>in this attachment</w:t>
      </w:r>
      <w:r w:rsidR="00F43C02">
        <w:t>.</w:t>
      </w:r>
      <w:r w:rsidR="008B1809">
        <w:t xml:space="preserve"> Normal inflation </w:t>
      </w:r>
      <w:r w:rsidR="00DE005F">
        <w:t xml:space="preserve">plus </w:t>
      </w:r>
      <w:r w:rsidR="008B1809">
        <w:t xml:space="preserve">additional growth </w:t>
      </w:r>
      <w:r w:rsidR="00DE005F">
        <w:t xml:space="preserve">is </w:t>
      </w:r>
      <w:r w:rsidR="008B1809">
        <w:t xml:space="preserve">termed </w:t>
      </w:r>
      <w:r w:rsidR="009D4FFE">
        <w:t>Growth in Committed Supports</w:t>
      </w:r>
      <w:r w:rsidR="006D77D3">
        <w:t xml:space="preserve">. </w:t>
      </w:r>
      <w:r w:rsidR="00372D88">
        <w:t xml:space="preserve">Projected utilisation factors are based on recent utilisation, adjusted for Scheme Reforms. </w:t>
      </w:r>
      <w:r w:rsidR="00280EA3">
        <w:t xml:space="preserve">These </w:t>
      </w:r>
      <w:r w:rsidR="00BA7F6E">
        <w:t>assumption</w:t>
      </w:r>
      <w:r w:rsidR="00C538CB">
        <w:t>s</w:t>
      </w:r>
      <w:r w:rsidR="00280EA3">
        <w:t xml:space="preserve"> are discussed </w:t>
      </w:r>
      <w:r w:rsidR="006678E3">
        <w:t>below</w:t>
      </w:r>
      <w:r w:rsidR="00280EA3">
        <w:t>.</w:t>
      </w:r>
    </w:p>
    <w:p w14:paraId="3B3F977D" w14:textId="0AAC0C28" w:rsidR="006678E3" w:rsidRDefault="00A37E67" w:rsidP="00A37E67">
      <w:pPr>
        <w:pStyle w:val="Heading2"/>
      </w:pPr>
      <w:r>
        <w:t>Plan inflation</w:t>
      </w:r>
    </w:p>
    <w:p w14:paraId="3CD15DD3" w14:textId="3870CD6E" w:rsidR="00854C86" w:rsidRDefault="00854C86" w:rsidP="00854C86">
      <w:pPr>
        <w:pStyle w:val="Heading4"/>
      </w:pPr>
      <w:r>
        <w:t>Normal inflation</w:t>
      </w:r>
    </w:p>
    <w:p w14:paraId="4D89DA61" w14:textId="625C486B" w:rsidR="00854C86" w:rsidRDefault="00F83B2F" w:rsidP="00854C86">
      <w:r w:rsidRPr="00A51B1D">
        <w:t>N</w:t>
      </w:r>
      <w:r w:rsidR="0049740F" w:rsidRPr="00A51B1D">
        <w:t xml:space="preserve">ormal inflation </w:t>
      </w:r>
      <w:r w:rsidRPr="00A51B1D">
        <w:t xml:space="preserve">is </w:t>
      </w:r>
      <w:r w:rsidR="007D0D0B" w:rsidRPr="00A51B1D">
        <w:t xml:space="preserve">that which is occurring in the broader economy and impacts prices and wages. </w:t>
      </w:r>
      <w:r w:rsidR="00CA0B8A" w:rsidRPr="00A51B1D">
        <w:t xml:space="preserve">Normal inflation is one factor that informs price movements in the Scheme. In turn, price movements inform plan increases. </w:t>
      </w:r>
      <w:r w:rsidR="004B6B37" w:rsidRPr="00A51B1D">
        <w:t xml:space="preserve">Normal inflation experienced by the Scheme is therefore an important factor that underpins assumptions about </w:t>
      </w:r>
      <w:r w:rsidR="00AE417E" w:rsidRPr="00A51B1D">
        <w:t xml:space="preserve">total </w:t>
      </w:r>
      <w:r w:rsidR="004B6B37" w:rsidRPr="00A51B1D">
        <w:t>plan growth</w:t>
      </w:r>
      <w:r w:rsidR="00A53B54" w:rsidRPr="00A51B1D">
        <w:t>.</w:t>
      </w:r>
      <w:r w:rsidR="00AE417E" w:rsidRPr="00A51B1D">
        <w:t xml:space="preserve"> </w:t>
      </w:r>
      <w:r w:rsidR="00A51B1D">
        <w:t>Reflecting this importance, p</w:t>
      </w:r>
      <w:r w:rsidR="00AE417E" w:rsidRPr="00A51B1D">
        <w:t>lan growth is modelled by way of an assumption relating to normal inflation, plus an allowance for additional plan growth.</w:t>
      </w:r>
      <w:r w:rsidR="00A51B1D" w:rsidRPr="00A51B1D">
        <w:t xml:space="preserve"> This section relates to the component referred to as normal inflation.</w:t>
      </w:r>
    </w:p>
    <w:p w14:paraId="0CDDA454" w14:textId="01911E52" w:rsidR="00E6596F" w:rsidRDefault="00E6596F" w:rsidP="00E6596F">
      <w:r w:rsidRPr="00F91CA4">
        <w:t xml:space="preserve">The projection assumes that normal inflation reflects the Scheme’s price increases and then follows broader economic forecasts. This is set out in </w:t>
      </w:r>
      <w:r w:rsidRPr="00F91CA4">
        <w:fldChar w:fldCharType="begin"/>
      </w:r>
      <w:r w:rsidRPr="00F91CA4">
        <w:instrText xml:space="preserve"> REF _Ref143605654 \h  \* MERGEFORMAT </w:instrText>
      </w:r>
      <w:r w:rsidRPr="00F91CA4">
        <w:fldChar w:fldCharType="separate"/>
      </w:r>
      <w:r w:rsidR="0093576D" w:rsidRPr="00F91CA4">
        <w:t xml:space="preserve">Table </w:t>
      </w:r>
      <w:r w:rsidR="0093576D">
        <w:rPr>
          <w:noProof/>
        </w:rPr>
        <w:t>1</w:t>
      </w:r>
      <w:r w:rsidRPr="00F91CA4">
        <w:fldChar w:fldCharType="end"/>
      </w:r>
      <w:r w:rsidRPr="00894809">
        <w:t xml:space="preserve">. </w:t>
      </w:r>
    </w:p>
    <w:p w14:paraId="2DF5EDF4" w14:textId="6498FBA3" w:rsidR="00E6596F" w:rsidRPr="00F91CA4" w:rsidRDefault="00E6596F" w:rsidP="00E6596F">
      <w:pPr>
        <w:pStyle w:val="Caption"/>
      </w:pPr>
      <w:bookmarkStart w:id="37" w:name="_Ref143605654"/>
      <w:r w:rsidRPr="00F91CA4">
        <w:t xml:space="preserve">Table </w:t>
      </w:r>
      <w:r w:rsidRPr="00F91CA4">
        <w:fldChar w:fldCharType="begin"/>
      </w:r>
      <w:r w:rsidRPr="00F91CA4">
        <w:instrText>SEQ Table \* ARABIC</w:instrText>
      </w:r>
      <w:r w:rsidRPr="00F91CA4">
        <w:fldChar w:fldCharType="separate"/>
      </w:r>
      <w:r w:rsidR="0093576D">
        <w:rPr>
          <w:noProof/>
        </w:rPr>
        <w:t>1</w:t>
      </w:r>
      <w:r w:rsidRPr="00F91CA4">
        <w:fldChar w:fldCharType="end"/>
      </w:r>
      <w:bookmarkEnd w:id="37"/>
      <w:r w:rsidRPr="00F91CA4">
        <w:t>: Comparison of normal inflation assumptions</w:t>
      </w:r>
    </w:p>
    <w:tbl>
      <w:tblPr>
        <w:tblStyle w:val="TableGrid"/>
        <w:tblW w:w="0" w:type="auto"/>
        <w:tblLook w:val="04A0" w:firstRow="1" w:lastRow="0" w:firstColumn="1" w:lastColumn="0" w:noHBand="0" w:noVBand="1"/>
      </w:tblPr>
      <w:tblGrid>
        <w:gridCol w:w="1696"/>
        <w:gridCol w:w="1464"/>
        <w:gridCol w:w="1464"/>
        <w:gridCol w:w="1464"/>
        <w:gridCol w:w="1464"/>
      </w:tblGrid>
      <w:tr w:rsidR="00E6596F" w:rsidRPr="006D73D3" w14:paraId="126DF6F4" w14:textId="77777777">
        <w:tc>
          <w:tcPr>
            <w:tcW w:w="1696" w:type="dxa"/>
            <w:shd w:val="clear" w:color="auto" w:fill="74000E"/>
          </w:tcPr>
          <w:p w14:paraId="4EB66F66" w14:textId="77777777" w:rsidR="00E6596F" w:rsidRPr="006D73D3" w:rsidRDefault="00E6596F">
            <w:pPr>
              <w:keepNext/>
              <w:spacing w:before="40" w:after="40" w:line="200" w:lineRule="atLeast"/>
              <w:rPr>
                <w:b/>
                <w:bCs/>
                <w:color w:val="FFFFFF" w:themeColor="background1"/>
                <w:sz w:val="18"/>
                <w:szCs w:val="18"/>
                <w:highlight w:val="yellow"/>
              </w:rPr>
            </w:pPr>
          </w:p>
        </w:tc>
        <w:tc>
          <w:tcPr>
            <w:tcW w:w="1464" w:type="dxa"/>
            <w:shd w:val="clear" w:color="auto" w:fill="74000E"/>
          </w:tcPr>
          <w:p w14:paraId="47DC7A04" w14:textId="77777777" w:rsidR="00E6596F" w:rsidRPr="00F91CA4" w:rsidRDefault="00E6596F">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2025-26</w:t>
            </w:r>
          </w:p>
        </w:tc>
        <w:tc>
          <w:tcPr>
            <w:tcW w:w="1464" w:type="dxa"/>
            <w:shd w:val="clear" w:color="auto" w:fill="74000E"/>
          </w:tcPr>
          <w:p w14:paraId="7041BCBF" w14:textId="77777777" w:rsidR="00E6596F" w:rsidRPr="00F91CA4" w:rsidRDefault="00E6596F">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2026-27</w:t>
            </w:r>
          </w:p>
        </w:tc>
        <w:tc>
          <w:tcPr>
            <w:tcW w:w="1464" w:type="dxa"/>
            <w:shd w:val="clear" w:color="auto" w:fill="74000E"/>
          </w:tcPr>
          <w:p w14:paraId="24F2EEAA" w14:textId="77777777" w:rsidR="00E6596F" w:rsidRPr="00F91CA4" w:rsidRDefault="00E6596F">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2027-28</w:t>
            </w:r>
          </w:p>
        </w:tc>
        <w:tc>
          <w:tcPr>
            <w:tcW w:w="1464" w:type="dxa"/>
            <w:shd w:val="clear" w:color="auto" w:fill="74000E"/>
          </w:tcPr>
          <w:p w14:paraId="16BAAC3A" w14:textId="77777777" w:rsidR="00E6596F" w:rsidRPr="00F91CA4" w:rsidRDefault="00E6596F">
            <w:pPr>
              <w:keepNext/>
              <w:spacing w:before="40" w:after="40" w:line="200" w:lineRule="atLeast"/>
              <w:jc w:val="center"/>
              <w:rPr>
                <w:b/>
                <w:bCs/>
                <w:color w:val="FFFFFF" w:themeColor="background1"/>
                <w:sz w:val="18"/>
                <w:szCs w:val="18"/>
              </w:rPr>
            </w:pPr>
            <w:r>
              <w:rPr>
                <w:b/>
                <w:bCs/>
                <w:color w:val="FFFFFF" w:themeColor="background1"/>
                <w:sz w:val="18"/>
                <w:szCs w:val="18"/>
              </w:rPr>
              <w:t>2028-29</w:t>
            </w:r>
          </w:p>
        </w:tc>
      </w:tr>
      <w:tr w:rsidR="00E6596F" w:rsidRPr="00995F50" w14:paraId="273E8DFE" w14:textId="77777777">
        <w:tc>
          <w:tcPr>
            <w:tcW w:w="1696" w:type="dxa"/>
          </w:tcPr>
          <w:p w14:paraId="1FA7A5DD" w14:textId="77777777" w:rsidR="00E6596F" w:rsidRPr="00995F50" w:rsidRDefault="00E6596F">
            <w:pPr>
              <w:spacing w:before="40" w:after="40" w:line="200" w:lineRule="atLeast"/>
              <w:rPr>
                <w:sz w:val="18"/>
                <w:szCs w:val="18"/>
              </w:rPr>
            </w:pPr>
            <w:r w:rsidRPr="00995F50">
              <w:rPr>
                <w:sz w:val="18"/>
                <w:szCs w:val="18"/>
              </w:rPr>
              <w:t>2024 FSR</w:t>
            </w:r>
          </w:p>
        </w:tc>
        <w:tc>
          <w:tcPr>
            <w:tcW w:w="1464" w:type="dxa"/>
          </w:tcPr>
          <w:p w14:paraId="7D92E41A" w14:textId="77777777" w:rsidR="00E6596F" w:rsidRPr="00995F50" w:rsidRDefault="00E6596F">
            <w:pPr>
              <w:spacing w:before="40" w:after="40" w:line="200" w:lineRule="atLeast"/>
              <w:ind w:right="343"/>
              <w:jc w:val="right"/>
              <w:rPr>
                <w:sz w:val="18"/>
                <w:szCs w:val="18"/>
              </w:rPr>
            </w:pPr>
            <w:r w:rsidRPr="00995F50">
              <w:rPr>
                <w:sz w:val="18"/>
                <w:szCs w:val="18"/>
              </w:rPr>
              <w:t>3.9%</w:t>
            </w:r>
          </w:p>
        </w:tc>
        <w:tc>
          <w:tcPr>
            <w:tcW w:w="1464" w:type="dxa"/>
          </w:tcPr>
          <w:p w14:paraId="0745AAF7" w14:textId="77777777" w:rsidR="00E6596F" w:rsidRPr="00995F50" w:rsidRDefault="00E6596F">
            <w:pPr>
              <w:spacing w:before="40" w:after="40" w:line="200" w:lineRule="atLeast"/>
              <w:ind w:right="343"/>
              <w:jc w:val="right"/>
              <w:rPr>
                <w:sz w:val="18"/>
                <w:szCs w:val="18"/>
              </w:rPr>
            </w:pPr>
            <w:r w:rsidRPr="00995F50">
              <w:rPr>
                <w:sz w:val="18"/>
                <w:szCs w:val="18"/>
              </w:rPr>
              <w:t>3.7%</w:t>
            </w:r>
          </w:p>
        </w:tc>
        <w:tc>
          <w:tcPr>
            <w:tcW w:w="1464" w:type="dxa"/>
          </w:tcPr>
          <w:p w14:paraId="16BC8067" w14:textId="77777777" w:rsidR="00E6596F" w:rsidRPr="00995F50" w:rsidRDefault="00E6596F">
            <w:pPr>
              <w:spacing w:before="40" w:after="40" w:line="200" w:lineRule="atLeast"/>
              <w:ind w:right="343"/>
              <w:jc w:val="right"/>
              <w:rPr>
                <w:sz w:val="18"/>
                <w:szCs w:val="18"/>
              </w:rPr>
            </w:pPr>
            <w:r w:rsidRPr="00995F50">
              <w:rPr>
                <w:sz w:val="18"/>
                <w:szCs w:val="18"/>
              </w:rPr>
              <w:t>3.7%</w:t>
            </w:r>
          </w:p>
        </w:tc>
        <w:tc>
          <w:tcPr>
            <w:tcW w:w="1464" w:type="dxa"/>
          </w:tcPr>
          <w:p w14:paraId="5896AB82" w14:textId="77777777" w:rsidR="00E6596F" w:rsidRPr="00995F50" w:rsidRDefault="00E6596F">
            <w:pPr>
              <w:spacing w:before="40" w:after="40" w:line="200" w:lineRule="atLeast"/>
              <w:ind w:right="343"/>
              <w:jc w:val="right"/>
              <w:rPr>
                <w:sz w:val="18"/>
                <w:szCs w:val="18"/>
              </w:rPr>
            </w:pPr>
            <w:r w:rsidRPr="00995F50">
              <w:rPr>
                <w:sz w:val="18"/>
                <w:szCs w:val="18"/>
              </w:rPr>
              <w:t>3.5%</w:t>
            </w:r>
          </w:p>
        </w:tc>
      </w:tr>
      <w:tr w:rsidR="00E6596F" w:rsidRPr="00995F50" w14:paraId="721AE358" w14:textId="77777777">
        <w:tc>
          <w:tcPr>
            <w:tcW w:w="1696" w:type="dxa"/>
          </w:tcPr>
          <w:p w14:paraId="25DA151A" w14:textId="77777777" w:rsidR="00E6596F" w:rsidRPr="00995F50" w:rsidRDefault="00E6596F">
            <w:pPr>
              <w:spacing w:before="40" w:after="40" w:line="200" w:lineRule="atLeast"/>
              <w:rPr>
                <w:sz w:val="18"/>
                <w:szCs w:val="18"/>
              </w:rPr>
            </w:pPr>
            <w:r w:rsidRPr="00995F50">
              <w:rPr>
                <w:sz w:val="18"/>
                <w:szCs w:val="18"/>
              </w:rPr>
              <w:t>2025 FSR</w:t>
            </w:r>
          </w:p>
        </w:tc>
        <w:tc>
          <w:tcPr>
            <w:tcW w:w="1464" w:type="dxa"/>
          </w:tcPr>
          <w:p w14:paraId="3A685964" w14:textId="77777777" w:rsidR="00E6596F" w:rsidRPr="00995F50" w:rsidRDefault="00E6596F">
            <w:pPr>
              <w:spacing w:before="40" w:after="40" w:line="200" w:lineRule="atLeast"/>
              <w:ind w:right="343"/>
              <w:jc w:val="right"/>
              <w:rPr>
                <w:sz w:val="18"/>
                <w:szCs w:val="18"/>
              </w:rPr>
            </w:pPr>
            <w:r w:rsidRPr="00995F50">
              <w:rPr>
                <w:sz w:val="18"/>
                <w:szCs w:val="18"/>
              </w:rPr>
              <w:t>3.0%</w:t>
            </w:r>
          </w:p>
        </w:tc>
        <w:tc>
          <w:tcPr>
            <w:tcW w:w="1464" w:type="dxa"/>
          </w:tcPr>
          <w:p w14:paraId="503A2E17" w14:textId="77777777" w:rsidR="00E6596F" w:rsidRPr="00995F50" w:rsidRDefault="00E6596F">
            <w:pPr>
              <w:spacing w:before="40" w:after="40" w:line="200" w:lineRule="atLeast"/>
              <w:ind w:right="343"/>
              <w:jc w:val="right"/>
              <w:rPr>
                <w:sz w:val="18"/>
                <w:szCs w:val="18"/>
              </w:rPr>
            </w:pPr>
            <w:r w:rsidRPr="00995F50">
              <w:rPr>
                <w:sz w:val="18"/>
                <w:szCs w:val="18"/>
              </w:rPr>
              <w:t>3.7%</w:t>
            </w:r>
          </w:p>
        </w:tc>
        <w:tc>
          <w:tcPr>
            <w:tcW w:w="1464" w:type="dxa"/>
          </w:tcPr>
          <w:p w14:paraId="6306FD3F" w14:textId="77777777" w:rsidR="00E6596F" w:rsidRPr="00995F50" w:rsidRDefault="00E6596F">
            <w:pPr>
              <w:spacing w:before="40" w:after="40" w:line="200" w:lineRule="atLeast"/>
              <w:ind w:right="343"/>
              <w:jc w:val="right"/>
              <w:rPr>
                <w:sz w:val="18"/>
                <w:szCs w:val="18"/>
              </w:rPr>
            </w:pPr>
            <w:r w:rsidRPr="00995F50">
              <w:rPr>
                <w:sz w:val="18"/>
                <w:szCs w:val="18"/>
              </w:rPr>
              <w:t>3.5%</w:t>
            </w:r>
          </w:p>
        </w:tc>
        <w:tc>
          <w:tcPr>
            <w:tcW w:w="1464" w:type="dxa"/>
          </w:tcPr>
          <w:p w14:paraId="1E2E5260" w14:textId="77777777" w:rsidR="00E6596F" w:rsidRPr="00995F50" w:rsidRDefault="00E6596F">
            <w:pPr>
              <w:spacing w:before="40" w:after="40" w:line="200" w:lineRule="atLeast"/>
              <w:ind w:right="343"/>
              <w:jc w:val="right"/>
              <w:rPr>
                <w:sz w:val="18"/>
                <w:szCs w:val="18"/>
              </w:rPr>
            </w:pPr>
            <w:r w:rsidRPr="00995F50">
              <w:rPr>
                <w:sz w:val="18"/>
                <w:szCs w:val="18"/>
              </w:rPr>
              <w:t>3.5%</w:t>
            </w:r>
          </w:p>
        </w:tc>
      </w:tr>
      <w:tr w:rsidR="00E6596F" w:rsidRPr="00995F50" w14:paraId="35FDC5F4" w14:textId="77777777">
        <w:tc>
          <w:tcPr>
            <w:tcW w:w="1696" w:type="dxa"/>
          </w:tcPr>
          <w:p w14:paraId="0C90A933" w14:textId="77777777" w:rsidR="00E6596F" w:rsidRPr="00995F50" w:rsidRDefault="00E6596F">
            <w:pPr>
              <w:spacing w:before="40" w:after="40" w:line="200" w:lineRule="atLeast"/>
              <w:rPr>
                <w:sz w:val="18"/>
                <w:szCs w:val="18"/>
              </w:rPr>
            </w:pPr>
            <w:r w:rsidRPr="00995F50">
              <w:rPr>
                <w:sz w:val="18"/>
                <w:szCs w:val="18"/>
              </w:rPr>
              <w:t>Difference</w:t>
            </w:r>
          </w:p>
        </w:tc>
        <w:tc>
          <w:tcPr>
            <w:tcW w:w="1464" w:type="dxa"/>
          </w:tcPr>
          <w:p w14:paraId="24B7B151" w14:textId="77777777" w:rsidR="00E6596F" w:rsidRPr="00995F50" w:rsidRDefault="00E6596F">
            <w:pPr>
              <w:spacing w:before="40" w:after="40" w:line="200" w:lineRule="atLeast"/>
              <w:ind w:right="343"/>
              <w:jc w:val="right"/>
              <w:rPr>
                <w:sz w:val="18"/>
                <w:szCs w:val="18"/>
              </w:rPr>
            </w:pPr>
            <w:r w:rsidRPr="00995F50">
              <w:rPr>
                <w:sz w:val="18"/>
                <w:szCs w:val="18"/>
              </w:rPr>
              <w:t>-0.9%</w:t>
            </w:r>
          </w:p>
        </w:tc>
        <w:tc>
          <w:tcPr>
            <w:tcW w:w="1464" w:type="dxa"/>
          </w:tcPr>
          <w:p w14:paraId="361A3536" w14:textId="77777777" w:rsidR="00E6596F" w:rsidRPr="00995F50" w:rsidRDefault="00E6596F">
            <w:pPr>
              <w:spacing w:before="40" w:after="40" w:line="200" w:lineRule="atLeast"/>
              <w:ind w:right="343"/>
              <w:jc w:val="right"/>
              <w:rPr>
                <w:sz w:val="18"/>
                <w:szCs w:val="18"/>
              </w:rPr>
            </w:pPr>
            <w:r w:rsidRPr="00995F50">
              <w:rPr>
                <w:sz w:val="18"/>
                <w:szCs w:val="18"/>
              </w:rPr>
              <w:t>0.0%</w:t>
            </w:r>
          </w:p>
        </w:tc>
        <w:tc>
          <w:tcPr>
            <w:tcW w:w="1464" w:type="dxa"/>
          </w:tcPr>
          <w:p w14:paraId="267828B8" w14:textId="77777777" w:rsidR="00E6596F" w:rsidRPr="00995F50" w:rsidRDefault="00E6596F">
            <w:pPr>
              <w:spacing w:before="40" w:after="40" w:line="200" w:lineRule="atLeast"/>
              <w:ind w:right="343"/>
              <w:jc w:val="right"/>
              <w:rPr>
                <w:sz w:val="18"/>
                <w:szCs w:val="18"/>
              </w:rPr>
            </w:pPr>
            <w:r w:rsidRPr="00995F50">
              <w:rPr>
                <w:sz w:val="18"/>
                <w:szCs w:val="18"/>
              </w:rPr>
              <w:t>-0.2%</w:t>
            </w:r>
          </w:p>
        </w:tc>
        <w:tc>
          <w:tcPr>
            <w:tcW w:w="1464" w:type="dxa"/>
          </w:tcPr>
          <w:p w14:paraId="6ABED4FC" w14:textId="77777777" w:rsidR="00E6596F" w:rsidRPr="00995F50" w:rsidRDefault="00E6596F">
            <w:pPr>
              <w:spacing w:before="40" w:after="40" w:line="200" w:lineRule="atLeast"/>
              <w:ind w:right="343"/>
              <w:jc w:val="right"/>
              <w:rPr>
                <w:sz w:val="18"/>
                <w:szCs w:val="18"/>
              </w:rPr>
            </w:pPr>
            <w:r w:rsidRPr="00995F50">
              <w:rPr>
                <w:sz w:val="18"/>
                <w:szCs w:val="18"/>
              </w:rPr>
              <w:t>0.0%</w:t>
            </w:r>
          </w:p>
        </w:tc>
      </w:tr>
    </w:tbl>
    <w:p w14:paraId="639FE586" w14:textId="77777777" w:rsidR="00E6596F" w:rsidRDefault="00E6596F" w:rsidP="00E6596F">
      <w:pPr>
        <w:rPr>
          <w:sz w:val="18"/>
          <w:szCs w:val="18"/>
        </w:rPr>
      </w:pPr>
      <w:r w:rsidRPr="00421011">
        <w:rPr>
          <w:sz w:val="18"/>
          <w:szCs w:val="18"/>
        </w:rPr>
        <w:t>End of Table</w:t>
      </w:r>
    </w:p>
    <w:p w14:paraId="08353540" w14:textId="77777777" w:rsidR="00E6596F" w:rsidRDefault="00E6596F" w:rsidP="00E6596F">
      <w:r w:rsidRPr="00894809">
        <w:t xml:space="preserve">Assumptions in this projection are lower than in the 2024 FSR for the 2025-26 year but are then close to the 2024 FSR assumptions for future years. The reduction in assumed inflation </w:t>
      </w:r>
      <w:r>
        <w:t>for</w:t>
      </w:r>
      <w:r w:rsidRPr="00894809">
        <w:t xml:space="preserve"> 2025-26 is due to the impact of both the Agency’s annual pricing review and </w:t>
      </w:r>
      <w:r>
        <w:t xml:space="preserve">a </w:t>
      </w:r>
      <w:r w:rsidRPr="00894809">
        <w:t>lower</w:t>
      </w:r>
      <w:r>
        <w:t>-</w:t>
      </w:r>
      <w:r w:rsidRPr="00894809">
        <w:t>than</w:t>
      </w:r>
      <w:r>
        <w:t>-</w:t>
      </w:r>
      <w:r w:rsidRPr="00894809">
        <w:t xml:space="preserve">expected </w:t>
      </w:r>
      <w:r w:rsidRPr="00082853">
        <w:t xml:space="preserve">Social, Community, Home Care and Disability Services Industry </w:t>
      </w:r>
      <w:r>
        <w:t>(</w:t>
      </w:r>
      <w:r w:rsidRPr="00894809">
        <w:t>SCHAD</w:t>
      </w:r>
      <w:r>
        <w:t xml:space="preserve">S) Award </w:t>
      </w:r>
      <w:r w:rsidRPr="00894809">
        <w:t>wage decision compared with the assumption in the 2024 FSR. The Scheme Actuary has explained the rationale for the normal inflation assumptions. I regard them as reasonable.</w:t>
      </w:r>
    </w:p>
    <w:p w14:paraId="2C6F0FE9" w14:textId="42B7A808" w:rsidR="0049740F" w:rsidRDefault="0089358A" w:rsidP="0089358A">
      <w:pPr>
        <w:pStyle w:val="Heading4"/>
      </w:pPr>
      <w:r>
        <w:t>Total plan growth</w:t>
      </w:r>
    </w:p>
    <w:p w14:paraId="6DD51D4A" w14:textId="60F3A376" w:rsidR="009F3DB6" w:rsidRDefault="000F36CA" w:rsidP="0089358A">
      <w:r>
        <w:t xml:space="preserve">Total plan growth includes both normal inflation and additional growth in plan sizes. </w:t>
      </w:r>
      <w:r w:rsidR="00D259DA">
        <w:fldChar w:fldCharType="begin"/>
      </w:r>
      <w:r w:rsidR="00D259DA">
        <w:instrText xml:space="preserve"> REF _Ref207206452 \h </w:instrText>
      </w:r>
      <w:r w:rsidR="00D259DA">
        <w:fldChar w:fldCharType="separate"/>
      </w:r>
      <w:r w:rsidR="0093576D" w:rsidRPr="00F91CA4">
        <w:t xml:space="preserve">Table </w:t>
      </w:r>
      <w:r w:rsidR="0093576D">
        <w:rPr>
          <w:noProof/>
        </w:rPr>
        <w:t>2</w:t>
      </w:r>
      <w:r w:rsidR="00D259DA">
        <w:fldChar w:fldCharType="end"/>
      </w:r>
      <w:r w:rsidR="0067024B">
        <w:t xml:space="preserve"> shows total plan growth, normal inflation (as </w:t>
      </w:r>
      <w:r w:rsidR="00D259DA">
        <w:t xml:space="preserve">per </w:t>
      </w:r>
      <w:r w:rsidR="00D259DA">
        <w:fldChar w:fldCharType="begin"/>
      </w:r>
      <w:r w:rsidR="00D259DA">
        <w:instrText xml:space="preserve"> REF _Ref143605654 \h </w:instrText>
      </w:r>
      <w:r w:rsidR="00D259DA">
        <w:fldChar w:fldCharType="separate"/>
      </w:r>
      <w:r w:rsidR="0093576D" w:rsidRPr="00F91CA4">
        <w:t xml:space="preserve">Table </w:t>
      </w:r>
      <w:r w:rsidR="0093576D">
        <w:rPr>
          <w:noProof/>
        </w:rPr>
        <w:t>1</w:t>
      </w:r>
      <w:r w:rsidR="00D259DA">
        <w:fldChar w:fldCharType="end"/>
      </w:r>
      <w:r w:rsidR="00D259DA">
        <w:t>) and the implied additional growth in plans.</w:t>
      </w:r>
    </w:p>
    <w:p w14:paraId="5EB27626" w14:textId="36A30D48" w:rsidR="00D259DA" w:rsidRPr="00F91CA4" w:rsidRDefault="00D259DA" w:rsidP="00D259DA">
      <w:pPr>
        <w:pStyle w:val="Caption"/>
      </w:pPr>
      <w:bookmarkStart w:id="38" w:name="_Ref207206452"/>
      <w:r w:rsidRPr="00F91CA4">
        <w:lastRenderedPageBreak/>
        <w:t xml:space="preserve">Table </w:t>
      </w:r>
      <w:r w:rsidRPr="00F91CA4">
        <w:fldChar w:fldCharType="begin"/>
      </w:r>
      <w:r w:rsidRPr="00F91CA4">
        <w:instrText>SEQ Table \* ARABIC</w:instrText>
      </w:r>
      <w:r w:rsidRPr="00F91CA4">
        <w:fldChar w:fldCharType="separate"/>
      </w:r>
      <w:r w:rsidR="0093576D">
        <w:rPr>
          <w:noProof/>
        </w:rPr>
        <w:t>2</w:t>
      </w:r>
      <w:r w:rsidRPr="00F91CA4">
        <w:fldChar w:fldCharType="end"/>
      </w:r>
      <w:bookmarkEnd w:id="38"/>
      <w:r w:rsidRPr="00F91CA4">
        <w:t xml:space="preserve">: </w:t>
      </w:r>
      <w:r>
        <w:t xml:space="preserve">Adopted plan </w:t>
      </w:r>
      <w:r w:rsidRPr="00F91CA4">
        <w:t xml:space="preserve">inflation </w:t>
      </w:r>
      <w:proofErr w:type="gramStart"/>
      <w:r w:rsidRPr="00F91CA4">
        <w:t>assumptions</w:t>
      </w:r>
      <w:proofErr w:type="gramEnd"/>
    </w:p>
    <w:tbl>
      <w:tblPr>
        <w:tblStyle w:val="TableGrid"/>
        <w:tblW w:w="0" w:type="auto"/>
        <w:tblLook w:val="04A0" w:firstRow="1" w:lastRow="0" w:firstColumn="1" w:lastColumn="0" w:noHBand="0" w:noVBand="1"/>
      </w:tblPr>
      <w:tblGrid>
        <w:gridCol w:w="1696"/>
        <w:gridCol w:w="107"/>
        <w:gridCol w:w="1357"/>
        <w:gridCol w:w="446"/>
        <w:gridCol w:w="1018"/>
        <w:gridCol w:w="785"/>
        <w:gridCol w:w="679"/>
        <w:gridCol w:w="1124"/>
        <w:gridCol w:w="340"/>
        <w:gridCol w:w="1464"/>
      </w:tblGrid>
      <w:tr w:rsidR="00550731" w:rsidRPr="006D73D3" w14:paraId="024D1AAD" w14:textId="3C1447BB">
        <w:tc>
          <w:tcPr>
            <w:tcW w:w="1696" w:type="dxa"/>
            <w:shd w:val="clear" w:color="auto" w:fill="74000E"/>
          </w:tcPr>
          <w:p w14:paraId="7F6B6D3D" w14:textId="77777777" w:rsidR="00550731" w:rsidRPr="006D73D3" w:rsidRDefault="00550731" w:rsidP="00550731">
            <w:pPr>
              <w:keepNext/>
              <w:spacing w:before="40" w:after="40" w:line="200" w:lineRule="atLeast"/>
              <w:rPr>
                <w:b/>
                <w:bCs/>
                <w:color w:val="FFFFFF" w:themeColor="background1"/>
                <w:sz w:val="18"/>
                <w:szCs w:val="18"/>
                <w:highlight w:val="yellow"/>
              </w:rPr>
            </w:pPr>
          </w:p>
        </w:tc>
        <w:tc>
          <w:tcPr>
            <w:tcW w:w="1464" w:type="dxa"/>
            <w:gridSpan w:val="2"/>
            <w:shd w:val="clear" w:color="auto" w:fill="74000E"/>
          </w:tcPr>
          <w:p w14:paraId="574AAA68" w14:textId="77777777" w:rsidR="00550731" w:rsidRPr="00F91CA4" w:rsidRDefault="00550731" w:rsidP="00550731">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2025-26</w:t>
            </w:r>
          </w:p>
        </w:tc>
        <w:tc>
          <w:tcPr>
            <w:tcW w:w="1464" w:type="dxa"/>
            <w:gridSpan w:val="2"/>
            <w:shd w:val="clear" w:color="auto" w:fill="74000E"/>
          </w:tcPr>
          <w:p w14:paraId="66782B53" w14:textId="77777777" w:rsidR="00550731" w:rsidRPr="00F91CA4" w:rsidRDefault="00550731" w:rsidP="00550731">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2026-27</w:t>
            </w:r>
          </w:p>
        </w:tc>
        <w:tc>
          <w:tcPr>
            <w:tcW w:w="1464" w:type="dxa"/>
            <w:gridSpan w:val="2"/>
            <w:shd w:val="clear" w:color="auto" w:fill="74000E"/>
          </w:tcPr>
          <w:p w14:paraId="2B22FD4C" w14:textId="77777777" w:rsidR="00550731" w:rsidRPr="00F91CA4" w:rsidRDefault="00550731" w:rsidP="00550731">
            <w:pPr>
              <w:keepNext/>
              <w:spacing w:before="40" w:after="40" w:line="200" w:lineRule="atLeast"/>
              <w:jc w:val="center"/>
              <w:rPr>
                <w:b/>
                <w:bCs/>
                <w:color w:val="FFFFFF" w:themeColor="background1"/>
                <w:sz w:val="18"/>
                <w:szCs w:val="18"/>
              </w:rPr>
            </w:pPr>
            <w:r w:rsidRPr="00F91CA4">
              <w:rPr>
                <w:b/>
                <w:bCs/>
                <w:color w:val="FFFFFF" w:themeColor="background1"/>
                <w:sz w:val="18"/>
                <w:szCs w:val="18"/>
              </w:rPr>
              <w:t>2027-28</w:t>
            </w:r>
          </w:p>
        </w:tc>
        <w:tc>
          <w:tcPr>
            <w:tcW w:w="1464" w:type="dxa"/>
            <w:gridSpan w:val="2"/>
            <w:shd w:val="clear" w:color="auto" w:fill="74000E"/>
          </w:tcPr>
          <w:p w14:paraId="785C26E5" w14:textId="77777777" w:rsidR="00550731" w:rsidRPr="00F91CA4" w:rsidRDefault="00550731" w:rsidP="00550731">
            <w:pPr>
              <w:keepNext/>
              <w:spacing w:before="40" w:after="40" w:line="200" w:lineRule="atLeast"/>
              <w:jc w:val="center"/>
              <w:rPr>
                <w:b/>
                <w:bCs/>
                <w:color w:val="FFFFFF" w:themeColor="background1"/>
                <w:sz w:val="18"/>
                <w:szCs w:val="18"/>
              </w:rPr>
            </w:pPr>
            <w:r>
              <w:rPr>
                <w:b/>
                <w:bCs/>
                <w:color w:val="FFFFFF" w:themeColor="background1"/>
                <w:sz w:val="18"/>
                <w:szCs w:val="18"/>
              </w:rPr>
              <w:t>2028-29</w:t>
            </w:r>
          </w:p>
        </w:tc>
        <w:tc>
          <w:tcPr>
            <w:tcW w:w="1464" w:type="dxa"/>
            <w:shd w:val="clear" w:color="auto" w:fill="74000E"/>
          </w:tcPr>
          <w:p w14:paraId="71109A70" w14:textId="2972C322" w:rsidR="00550731" w:rsidRDefault="00550731" w:rsidP="00550731">
            <w:pPr>
              <w:keepNext/>
              <w:spacing w:before="40" w:after="40" w:line="200" w:lineRule="atLeast"/>
              <w:jc w:val="center"/>
              <w:rPr>
                <w:b/>
                <w:bCs/>
                <w:color w:val="FFFFFF" w:themeColor="background1"/>
                <w:sz w:val="18"/>
                <w:szCs w:val="18"/>
              </w:rPr>
            </w:pPr>
            <w:r>
              <w:rPr>
                <w:b/>
                <w:bCs/>
                <w:color w:val="FFFFFF" w:themeColor="background1"/>
                <w:sz w:val="18"/>
                <w:szCs w:val="18"/>
              </w:rPr>
              <w:t>2029-30</w:t>
            </w:r>
          </w:p>
        </w:tc>
      </w:tr>
      <w:tr w:rsidR="00550731" w:rsidRPr="00995F50" w14:paraId="04C1ED81" w14:textId="4B20F544" w:rsidTr="00971E0E">
        <w:tc>
          <w:tcPr>
            <w:tcW w:w="1696" w:type="dxa"/>
            <w:tcBorders>
              <w:bottom w:val="single" w:sz="4" w:space="0" w:color="auto"/>
            </w:tcBorders>
          </w:tcPr>
          <w:p w14:paraId="63051F82" w14:textId="519A9543" w:rsidR="00550731" w:rsidRPr="00995F50" w:rsidRDefault="0079489F" w:rsidP="00550731">
            <w:pPr>
              <w:spacing w:before="40" w:after="40" w:line="200" w:lineRule="atLeast"/>
              <w:rPr>
                <w:sz w:val="18"/>
                <w:szCs w:val="18"/>
              </w:rPr>
            </w:pPr>
            <w:r>
              <w:rPr>
                <w:sz w:val="18"/>
                <w:szCs w:val="18"/>
              </w:rPr>
              <w:t>Growth in Committed Supports</w:t>
            </w:r>
          </w:p>
        </w:tc>
        <w:tc>
          <w:tcPr>
            <w:tcW w:w="1464" w:type="dxa"/>
            <w:gridSpan w:val="2"/>
            <w:tcBorders>
              <w:bottom w:val="single" w:sz="4" w:space="0" w:color="auto"/>
            </w:tcBorders>
          </w:tcPr>
          <w:p w14:paraId="5696B510" w14:textId="6A8054F3" w:rsidR="00550731" w:rsidRPr="00995F50" w:rsidRDefault="00550731" w:rsidP="00550731">
            <w:pPr>
              <w:spacing w:before="40" w:after="40" w:line="200" w:lineRule="atLeast"/>
              <w:ind w:right="343"/>
              <w:jc w:val="right"/>
              <w:rPr>
                <w:sz w:val="18"/>
                <w:szCs w:val="18"/>
              </w:rPr>
            </w:pPr>
            <w:r>
              <w:rPr>
                <w:sz w:val="18"/>
                <w:szCs w:val="18"/>
              </w:rPr>
              <w:t>5.6%</w:t>
            </w:r>
          </w:p>
        </w:tc>
        <w:tc>
          <w:tcPr>
            <w:tcW w:w="1464" w:type="dxa"/>
            <w:gridSpan w:val="2"/>
            <w:tcBorders>
              <w:bottom w:val="single" w:sz="4" w:space="0" w:color="auto"/>
            </w:tcBorders>
          </w:tcPr>
          <w:p w14:paraId="6EAD1ACD" w14:textId="7D44B6EB" w:rsidR="00550731" w:rsidRPr="00995F50" w:rsidRDefault="00550731" w:rsidP="00550731">
            <w:pPr>
              <w:spacing w:before="40" w:after="40" w:line="200" w:lineRule="atLeast"/>
              <w:ind w:right="343"/>
              <w:jc w:val="right"/>
              <w:rPr>
                <w:sz w:val="18"/>
                <w:szCs w:val="18"/>
              </w:rPr>
            </w:pPr>
            <w:r>
              <w:rPr>
                <w:sz w:val="18"/>
                <w:szCs w:val="18"/>
              </w:rPr>
              <w:t>3.3%</w:t>
            </w:r>
          </w:p>
        </w:tc>
        <w:tc>
          <w:tcPr>
            <w:tcW w:w="1464" w:type="dxa"/>
            <w:gridSpan w:val="2"/>
            <w:tcBorders>
              <w:bottom w:val="single" w:sz="4" w:space="0" w:color="auto"/>
            </w:tcBorders>
          </w:tcPr>
          <w:p w14:paraId="01EA0B36" w14:textId="272880AA" w:rsidR="00550731" w:rsidRPr="00995F50" w:rsidRDefault="00550731" w:rsidP="00550731">
            <w:pPr>
              <w:spacing w:before="40" w:after="40" w:line="200" w:lineRule="atLeast"/>
              <w:ind w:right="343"/>
              <w:jc w:val="right"/>
              <w:rPr>
                <w:sz w:val="18"/>
                <w:szCs w:val="18"/>
              </w:rPr>
            </w:pPr>
            <w:r>
              <w:rPr>
                <w:sz w:val="18"/>
                <w:szCs w:val="18"/>
              </w:rPr>
              <w:t>3.6%</w:t>
            </w:r>
          </w:p>
        </w:tc>
        <w:tc>
          <w:tcPr>
            <w:tcW w:w="1464" w:type="dxa"/>
            <w:gridSpan w:val="2"/>
            <w:tcBorders>
              <w:bottom w:val="single" w:sz="4" w:space="0" w:color="auto"/>
            </w:tcBorders>
          </w:tcPr>
          <w:p w14:paraId="0ABCB6EA" w14:textId="7C91290C" w:rsidR="00550731" w:rsidRPr="00995F50" w:rsidRDefault="00550731" w:rsidP="00550731">
            <w:pPr>
              <w:spacing w:before="40" w:after="40" w:line="200" w:lineRule="atLeast"/>
              <w:ind w:right="343"/>
              <w:jc w:val="right"/>
              <w:rPr>
                <w:sz w:val="18"/>
                <w:szCs w:val="18"/>
              </w:rPr>
            </w:pPr>
            <w:r>
              <w:rPr>
                <w:sz w:val="18"/>
                <w:szCs w:val="18"/>
              </w:rPr>
              <w:t>3.6%</w:t>
            </w:r>
          </w:p>
        </w:tc>
        <w:tc>
          <w:tcPr>
            <w:tcW w:w="1464" w:type="dxa"/>
            <w:tcBorders>
              <w:bottom w:val="single" w:sz="4" w:space="0" w:color="auto"/>
            </w:tcBorders>
          </w:tcPr>
          <w:p w14:paraId="4A6DFDE8" w14:textId="685B1341" w:rsidR="00550731" w:rsidRDefault="00550731" w:rsidP="00550731">
            <w:pPr>
              <w:spacing w:before="40" w:after="40" w:line="200" w:lineRule="atLeast"/>
              <w:ind w:right="343"/>
              <w:jc w:val="right"/>
              <w:rPr>
                <w:sz w:val="18"/>
                <w:szCs w:val="18"/>
              </w:rPr>
            </w:pPr>
            <w:r>
              <w:rPr>
                <w:sz w:val="18"/>
                <w:szCs w:val="18"/>
              </w:rPr>
              <w:t>3.6%</w:t>
            </w:r>
          </w:p>
        </w:tc>
      </w:tr>
      <w:tr w:rsidR="00F103D6" w:rsidRPr="00995F50" w14:paraId="616EDCCD" w14:textId="77777777" w:rsidTr="00971E0E">
        <w:tc>
          <w:tcPr>
            <w:tcW w:w="1803" w:type="dxa"/>
            <w:gridSpan w:val="2"/>
            <w:tcBorders>
              <w:right w:val="nil"/>
            </w:tcBorders>
          </w:tcPr>
          <w:p w14:paraId="024CE60D" w14:textId="77777777" w:rsidR="00F103D6" w:rsidRPr="00995F50" w:rsidRDefault="00F103D6" w:rsidP="005A3E86">
            <w:pPr>
              <w:spacing w:before="40" w:after="40" w:line="200" w:lineRule="atLeast"/>
              <w:ind w:right="343"/>
              <w:rPr>
                <w:sz w:val="18"/>
                <w:szCs w:val="18"/>
              </w:rPr>
            </w:pPr>
            <w:r>
              <w:rPr>
                <w:i/>
                <w:iCs/>
                <w:sz w:val="18"/>
                <w:szCs w:val="18"/>
              </w:rPr>
              <w:t>Comprising</w:t>
            </w:r>
          </w:p>
        </w:tc>
        <w:tc>
          <w:tcPr>
            <w:tcW w:w="1803" w:type="dxa"/>
            <w:gridSpan w:val="2"/>
            <w:tcBorders>
              <w:left w:val="nil"/>
              <w:right w:val="nil"/>
            </w:tcBorders>
          </w:tcPr>
          <w:p w14:paraId="5B2226B6" w14:textId="77777777" w:rsidR="00F103D6" w:rsidRPr="00995F50" w:rsidRDefault="00F103D6" w:rsidP="005A3E86">
            <w:pPr>
              <w:spacing w:before="40" w:after="40" w:line="200" w:lineRule="atLeast"/>
              <w:ind w:right="343"/>
              <w:rPr>
                <w:sz w:val="18"/>
                <w:szCs w:val="18"/>
              </w:rPr>
            </w:pPr>
          </w:p>
        </w:tc>
        <w:tc>
          <w:tcPr>
            <w:tcW w:w="1803" w:type="dxa"/>
            <w:gridSpan w:val="2"/>
            <w:tcBorders>
              <w:left w:val="nil"/>
              <w:right w:val="nil"/>
            </w:tcBorders>
          </w:tcPr>
          <w:p w14:paraId="4833F17B" w14:textId="77777777" w:rsidR="00F103D6" w:rsidRPr="00995F50" w:rsidRDefault="00F103D6" w:rsidP="005A3E86">
            <w:pPr>
              <w:spacing w:before="40" w:after="40" w:line="200" w:lineRule="atLeast"/>
              <w:ind w:right="343"/>
              <w:rPr>
                <w:sz w:val="18"/>
                <w:szCs w:val="18"/>
              </w:rPr>
            </w:pPr>
          </w:p>
        </w:tc>
        <w:tc>
          <w:tcPr>
            <w:tcW w:w="1803" w:type="dxa"/>
            <w:gridSpan w:val="2"/>
            <w:tcBorders>
              <w:left w:val="nil"/>
              <w:right w:val="nil"/>
            </w:tcBorders>
          </w:tcPr>
          <w:p w14:paraId="0BC3D29B" w14:textId="77777777" w:rsidR="00F103D6" w:rsidRPr="00995F50" w:rsidRDefault="00F103D6" w:rsidP="005A3E86">
            <w:pPr>
              <w:spacing w:before="40" w:after="40" w:line="200" w:lineRule="atLeast"/>
              <w:ind w:right="343"/>
              <w:rPr>
                <w:sz w:val="18"/>
                <w:szCs w:val="18"/>
              </w:rPr>
            </w:pPr>
          </w:p>
        </w:tc>
        <w:tc>
          <w:tcPr>
            <w:tcW w:w="1804" w:type="dxa"/>
            <w:gridSpan w:val="2"/>
            <w:tcBorders>
              <w:left w:val="nil"/>
            </w:tcBorders>
          </w:tcPr>
          <w:p w14:paraId="68175042" w14:textId="43C89D72" w:rsidR="00F103D6" w:rsidRPr="00995F50" w:rsidRDefault="00F103D6" w:rsidP="005A3E86">
            <w:pPr>
              <w:spacing w:before="40" w:after="40" w:line="200" w:lineRule="atLeast"/>
              <w:ind w:right="343"/>
              <w:rPr>
                <w:sz w:val="18"/>
                <w:szCs w:val="18"/>
              </w:rPr>
            </w:pPr>
          </w:p>
        </w:tc>
      </w:tr>
      <w:tr w:rsidR="00550731" w:rsidRPr="00995F50" w14:paraId="3A6584C3" w14:textId="72A8087C">
        <w:tc>
          <w:tcPr>
            <w:tcW w:w="1696" w:type="dxa"/>
          </w:tcPr>
          <w:p w14:paraId="1EC124B4" w14:textId="268F1F63" w:rsidR="00550731" w:rsidRPr="00995F50" w:rsidRDefault="00550731" w:rsidP="00550731">
            <w:pPr>
              <w:spacing w:before="40" w:after="40" w:line="200" w:lineRule="atLeast"/>
              <w:rPr>
                <w:sz w:val="18"/>
                <w:szCs w:val="18"/>
              </w:rPr>
            </w:pPr>
            <w:r>
              <w:rPr>
                <w:sz w:val="18"/>
                <w:szCs w:val="18"/>
              </w:rPr>
              <w:t>Normal inflation</w:t>
            </w:r>
          </w:p>
        </w:tc>
        <w:tc>
          <w:tcPr>
            <w:tcW w:w="1464" w:type="dxa"/>
            <w:gridSpan w:val="2"/>
          </w:tcPr>
          <w:p w14:paraId="72A9D679" w14:textId="77777777" w:rsidR="00550731" w:rsidRPr="00995F50" w:rsidRDefault="00550731" w:rsidP="00550731">
            <w:pPr>
              <w:spacing w:before="40" w:after="40" w:line="200" w:lineRule="atLeast"/>
              <w:ind w:right="343"/>
              <w:jc w:val="right"/>
              <w:rPr>
                <w:sz w:val="18"/>
                <w:szCs w:val="18"/>
              </w:rPr>
            </w:pPr>
            <w:r w:rsidRPr="00995F50">
              <w:rPr>
                <w:sz w:val="18"/>
                <w:szCs w:val="18"/>
              </w:rPr>
              <w:t>3.0%</w:t>
            </w:r>
          </w:p>
        </w:tc>
        <w:tc>
          <w:tcPr>
            <w:tcW w:w="1464" w:type="dxa"/>
            <w:gridSpan w:val="2"/>
          </w:tcPr>
          <w:p w14:paraId="7895C508" w14:textId="77777777" w:rsidR="00550731" w:rsidRPr="00995F50" w:rsidRDefault="00550731" w:rsidP="00550731">
            <w:pPr>
              <w:spacing w:before="40" w:after="40" w:line="200" w:lineRule="atLeast"/>
              <w:ind w:right="343"/>
              <w:jc w:val="right"/>
              <w:rPr>
                <w:sz w:val="18"/>
                <w:szCs w:val="18"/>
              </w:rPr>
            </w:pPr>
            <w:r w:rsidRPr="00995F50">
              <w:rPr>
                <w:sz w:val="18"/>
                <w:szCs w:val="18"/>
              </w:rPr>
              <w:t>3.7%</w:t>
            </w:r>
          </w:p>
        </w:tc>
        <w:tc>
          <w:tcPr>
            <w:tcW w:w="1464" w:type="dxa"/>
            <w:gridSpan w:val="2"/>
          </w:tcPr>
          <w:p w14:paraId="24B4C576" w14:textId="77777777" w:rsidR="00550731" w:rsidRPr="00995F50" w:rsidRDefault="00550731" w:rsidP="00550731">
            <w:pPr>
              <w:spacing w:before="40" w:after="40" w:line="200" w:lineRule="atLeast"/>
              <w:ind w:right="343"/>
              <w:jc w:val="right"/>
              <w:rPr>
                <w:sz w:val="18"/>
                <w:szCs w:val="18"/>
              </w:rPr>
            </w:pPr>
            <w:r w:rsidRPr="00995F50">
              <w:rPr>
                <w:sz w:val="18"/>
                <w:szCs w:val="18"/>
              </w:rPr>
              <w:t>3.5%</w:t>
            </w:r>
          </w:p>
        </w:tc>
        <w:tc>
          <w:tcPr>
            <w:tcW w:w="1464" w:type="dxa"/>
            <w:gridSpan w:val="2"/>
          </w:tcPr>
          <w:p w14:paraId="4607F597" w14:textId="77777777" w:rsidR="00550731" w:rsidRPr="00995F50" w:rsidRDefault="00550731" w:rsidP="00550731">
            <w:pPr>
              <w:spacing w:before="40" w:after="40" w:line="200" w:lineRule="atLeast"/>
              <w:ind w:right="343"/>
              <w:jc w:val="right"/>
              <w:rPr>
                <w:sz w:val="18"/>
                <w:szCs w:val="18"/>
              </w:rPr>
            </w:pPr>
            <w:r w:rsidRPr="00995F50">
              <w:rPr>
                <w:sz w:val="18"/>
                <w:szCs w:val="18"/>
              </w:rPr>
              <w:t>3.5%</w:t>
            </w:r>
          </w:p>
        </w:tc>
        <w:tc>
          <w:tcPr>
            <w:tcW w:w="1464" w:type="dxa"/>
          </w:tcPr>
          <w:p w14:paraId="335A6AF8" w14:textId="08FEA040" w:rsidR="00550731" w:rsidRPr="00995F50" w:rsidRDefault="00550731" w:rsidP="00550731">
            <w:pPr>
              <w:spacing w:before="40" w:after="40" w:line="200" w:lineRule="atLeast"/>
              <w:ind w:right="343"/>
              <w:jc w:val="right"/>
              <w:rPr>
                <w:sz w:val="18"/>
                <w:szCs w:val="18"/>
              </w:rPr>
            </w:pPr>
            <w:r w:rsidRPr="00995F50">
              <w:rPr>
                <w:sz w:val="18"/>
                <w:szCs w:val="18"/>
              </w:rPr>
              <w:t>3.5%</w:t>
            </w:r>
          </w:p>
        </w:tc>
      </w:tr>
      <w:tr w:rsidR="00550731" w:rsidRPr="00995F50" w14:paraId="0ACBF936" w14:textId="0E15A645">
        <w:tc>
          <w:tcPr>
            <w:tcW w:w="1696" w:type="dxa"/>
          </w:tcPr>
          <w:p w14:paraId="63A2FDB0" w14:textId="77149FF2" w:rsidR="00550731" w:rsidRPr="00995F50" w:rsidRDefault="008C2459">
            <w:pPr>
              <w:spacing w:before="40" w:after="40" w:line="200" w:lineRule="atLeast"/>
              <w:rPr>
                <w:sz w:val="18"/>
                <w:szCs w:val="18"/>
              </w:rPr>
            </w:pPr>
            <w:r>
              <w:rPr>
                <w:sz w:val="18"/>
                <w:szCs w:val="18"/>
              </w:rPr>
              <w:t>A</w:t>
            </w:r>
            <w:r w:rsidR="00550731">
              <w:rPr>
                <w:sz w:val="18"/>
                <w:szCs w:val="18"/>
              </w:rPr>
              <w:t>dditional growth</w:t>
            </w:r>
          </w:p>
        </w:tc>
        <w:tc>
          <w:tcPr>
            <w:tcW w:w="1464" w:type="dxa"/>
            <w:gridSpan w:val="2"/>
          </w:tcPr>
          <w:p w14:paraId="7EEB2266" w14:textId="3F401AC9" w:rsidR="00550731" w:rsidRPr="00995F50" w:rsidRDefault="00ED1BCD">
            <w:pPr>
              <w:spacing w:before="40" w:after="40" w:line="200" w:lineRule="atLeast"/>
              <w:ind w:right="343"/>
              <w:jc w:val="right"/>
              <w:rPr>
                <w:sz w:val="18"/>
                <w:szCs w:val="18"/>
              </w:rPr>
            </w:pPr>
            <w:r>
              <w:rPr>
                <w:sz w:val="18"/>
                <w:szCs w:val="18"/>
              </w:rPr>
              <w:t>2.5%</w:t>
            </w:r>
          </w:p>
        </w:tc>
        <w:tc>
          <w:tcPr>
            <w:tcW w:w="1464" w:type="dxa"/>
            <w:gridSpan w:val="2"/>
          </w:tcPr>
          <w:p w14:paraId="1D939E9D" w14:textId="081E7D7F" w:rsidR="00550731" w:rsidRPr="00995F50" w:rsidRDefault="00ED1BCD">
            <w:pPr>
              <w:spacing w:before="40" w:after="40" w:line="200" w:lineRule="atLeast"/>
              <w:ind w:right="343"/>
              <w:jc w:val="right"/>
              <w:rPr>
                <w:sz w:val="18"/>
                <w:szCs w:val="18"/>
              </w:rPr>
            </w:pPr>
            <w:r>
              <w:rPr>
                <w:sz w:val="18"/>
                <w:szCs w:val="18"/>
              </w:rPr>
              <w:t>-0.3%</w:t>
            </w:r>
          </w:p>
        </w:tc>
        <w:tc>
          <w:tcPr>
            <w:tcW w:w="1464" w:type="dxa"/>
            <w:gridSpan w:val="2"/>
          </w:tcPr>
          <w:p w14:paraId="4338B4BE" w14:textId="1EA3E06C" w:rsidR="00550731" w:rsidRPr="00995F50" w:rsidRDefault="00ED1BCD">
            <w:pPr>
              <w:spacing w:before="40" w:after="40" w:line="200" w:lineRule="atLeast"/>
              <w:ind w:right="343"/>
              <w:jc w:val="right"/>
              <w:rPr>
                <w:sz w:val="18"/>
                <w:szCs w:val="18"/>
              </w:rPr>
            </w:pPr>
            <w:r>
              <w:rPr>
                <w:sz w:val="18"/>
                <w:szCs w:val="18"/>
              </w:rPr>
              <w:t>0.1%</w:t>
            </w:r>
          </w:p>
        </w:tc>
        <w:tc>
          <w:tcPr>
            <w:tcW w:w="1464" w:type="dxa"/>
            <w:gridSpan w:val="2"/>
          </w:tcPr>
          <w:p w14:paraId="717AB057" w14:textId="461D54FF" w:rsidR="00550731" w:rsidRPr="00995F50" w:rsidRDefault="00ED1BCD">
            <w:pPr>
              <w:spacing w:before="40" w:after="40" w:line="200" w:lineRule="atLeast"/>
              <w:ind w:right="343"/>
              <w:jc w:val="right"/>
              <w:rPr>
                <w:sz w:val="18"/>
                <w:szCs w:val="18"/>
              </w:rPr>
            </w:pPr>
            <w:r>
              <w:rPr>
                <w:sz w:val="18"/>
                <w:szCs w:val="18"/>
              </w:rPr>
              <w:t>0.1%</w:t>
            </w:r>
          </w:p>
        </w:tc>
        <w:tc>
          <w:tcPr>
            <w:tcW w:w="1464" w:type="dxa"/>
          </w:tcPr>
          <w:p w14:paraId="6F985A1D" w14:textId="3B85DBD8" w:rsidR="00550731" w:rsidRPr="00995F50" w:rsidRDefault="00ED1BCD">
            <w:pPr>
              <w:spacing w:before="40" w:after="40" w:line="200" w:lineRule="atLeast"/>
              <w:ind w:right="343"/>
              <w:jc w:val="right"/>
              <w:rPr>
                <w:sz w:val="18"/>
                <w:szCs w:val="18"/>
              </w:rPr>
            </w:pPr>
            <w:r>
              <w:rPr>
                <w:sz w:val="18"/>
                <w:szCs w:val="18"/>
              </w:rPr>
              <w:t>0.1%</w:t>
            </w:r>
          </w:p>
        </w:tc>
      </w:tr>
    </w:tbl>
    <w:p w14:paraId="4E244CFB" w14:textId="77777777" w:rsidR="00D259DA" w:rsidRDefault="00D259DA" w:rsidP="00D259DA">
      <w:pPr>
        <w:rPr>
          <w:sz w:val="18"/>
          <w:szCs w:val="18"/>
        </w:rPr>
      </w:pPr>
      <w:r w:rsidRPr="00421011">
        <w:rPr>
          <w:sz w:val="18"/>
          <w:szCs w:val="18"/>
        </w:rPr>
        <w:t>End of Table</w:t>
      </w:r>
    </w:p>
    <w:p w14:paraId="59B0848E" w14:textId="651126C9" w:rsidR="00D259DA" w:rsidRDefault="003344EB" w:rsidP="0089358A">
      <w:r>
        <w:t xml:space="preserve">We saw in </w:t>
      </w:r>
      <w:r>
        <w:fldChar w:fldCharType="begin"/>
      </w:r>
      <w:r>
        <w:instrText xml:space="preserve"> REF _Ref207201183 \h </w:instrText>
      </w:r>
      <w:r>
        <w:fldChar w:fldCharType="separate"/>
      </w:r>
      <w:r w:rsidR="0093576D">
        <w:t xml:space="preserve">Figure </w:t>
      </w:r>
      <w:r w:rsidR="0093576D">
        <w:rPr>
          <w:noProof/>
        </w:rPr>
        <w:t>7</w:t>
      </w:r>
      <w:r>
        <w:fldChar w:fldCharType="end"/>
      </w:r>
      <w:r w:rsidR="001B0B99">
        <w:t xml:space="preserve"> of the main letter tha</w:t>
      </w:r>
      <w:r w:rsidR="00F67828">
        <w:t>t</w:t>
      </w:r>
      <w:r w:rsidR="001B0B99">
        <w:t xml:space="preserve"> plan inflation has been </w:t>
      </w:r>
      <w:r w:rsidR="00812F5C">
        <w:t>very high in the recent past</w:t>
      </w:r>
      <w:r w:rsidR="0034706B">
        <w:t xml:space="preserve">; </w:t>
      </w:r>
      <w:r w:rsidR="00812F5C">
        <w:t xml:space="preserve">this has mostly been driven by </w:t>
      </w:r>
      <w:r w:rsidR="001A10BA">
        <w:t>additional growt</w:t>
      </w:r>
      <w:r w:rsidR="007120BD">
        <w:t>h,</w:t>
      </w:r>
      <w:r w:rsidR="001A10BA">
        <w:t xml:space="preserve"> rather than normal inflation. The </w:t>
      </w:r>
      <w:r w:rsidR="00A12BE9">
        <w:t xml:space="preserve">projections assume that additional growth </w:t>
      </w:r>
      <w:r w:rsidR="0034706B">
        <w:t>will be substantially lower in 2025-26</w:t>
      </w:r>
      <w:r w:rsidR="00265B70">
        <w:t xml:space="preserve">, negative in 2026-27, and then very low in 2027-28 and </w:t>
      </w:r>
      <w:r w:rsidR="00743EBF">
        <w:t>later years</w:t>
      </w:r>
      <w:r w:rsidR="00265B70">
        <w:t xml:space="preserve">. These reductions in </w:t>
      </w:r>
      <w:r w:rsidR="00743EBF">
        <w:t xml:space="preserve">assumed </w:t>
      </w:r>
      <w:r w:rsidR="00265B70">
        <w:t xml:space="preserve">additional growth in plans are </w:t>
      </w:r>
      <w:r w:rsidR="00F34297">
        <w:t>due to the assumed impacts of Scheme Reforms as discussed below.</w:t>
      </w:r>
    </w:p>
    <w:p w14:paraId="5C8C0C2F" w14:textId="14DAD5CA" w:rsidR="00CC252A" w:rsidRDefault="00CC252A" w:rsidP="00CC252A">
      <w:pPr>
        <w:pStyle w:val="Heading4"/>
      </w:pPr>
      <w:r>
        <w:t xml:space="preserve">The moderating effect of </w:t>
      </w:r>
      <w:r w:rsidR="00F12CE3">
        <w:t>Scheme R</w:t>
      </w:r>
      <w:r>
        <w:t>eforms</w:t>
      </w:r>
    </w:p>
    <w:p w14:paraId="551302CB" w14:textId="6AE838C8" w:rsidR="00CC252A" w:rsidRDefault="00E12592" w:rsidP="0089358A">
      <w:r>
        <w:t xml:space="preserve">The </w:t>
      </w:r>
      <w:r w:rsidR="00743EBF">
        <w:t>A</w:t>
      </w:r>
      <w:r>
        <w:t xml:space="preserve">gency has commenced, or is planning, </w:t>
      </w:r>
      <w:r w:rsidR="009D1ACF">
        <w:t>several</w:t>
      </w:r>
      <w:r>
        <w:t xml:space="preserve"> </w:t>
      </w:r>
      <w:r w:rsidR="009D1ACF">
        <w:t xml:space="preserve">reforms that are expected to </w:t>
      </w:r>
      <w:r w:rsidR="00FC17A5">
        <w:t xml:space="preserve">deliver the </w:t>
      </w:r>
      <w:r w:rsidR="009F6B8E">
        <w:t xml:space="preserve">moderating effect on </w:t>
      </w:r>
      <w:r w:rsidR="00286CB8">
        <w:t xml:space="preserve">assumed </w:t>
      </w:r>
      <w:r w:rsidR="009F6B8E">
        <w:t>plan inflation</w:t>
      </w:r>
      <w:r w:rsidR="00FC17A5">
        <w:t xml:space="preserve"> </w:t>
      </w:r>
      <w:r w:rsidR="00F83B2F" w:rsidRPr="001A4F6D">
        <w:t>shown in the previous section</w:t>
      </w:r>
      <w:r w:rsidR="009F6B8E">
        <w:t xml:space="preserve">. </w:t>
      </w:r>
    </w:p>
    <w:p w14:paraId="4E90A9AF" w14:textId="76C3D501" w:rsidR="008C5A87" w:rsidRDefault="008C5A87" w:rsidP="00AE008B">
      <w:pPr>
        <w:pStyle w:val="Bullet"/>
        <w:spacing w:after="120"/>
      </w:pPr>
      <w:r w:rsidRPr="00B431E2">
        <w:t xml:space="preserve">Sustainability </w:t>
      </w:r>
      <w:r>
        <w:t>I</w:t>
      </w:r>
      <w:r w:rsidRPr="00B431E2">
        <w:t xml:space="preserve">nitiative – the Agency is in the process of implementing 18 “actions” under four pillars </w:t>
      </w:r>
      <w:r>
        <w:t>(building capability of staff, quality first plans and reassessments, supporting participants to spend in accordance with their plans, practice and process improvement)</w:t>
      </w:r>
      <w:r w:rsidR="00607026">
        <w:t xml:space="preserve"> </w:t>
      </w:r>
      <w:r w:rsidR="00607026" w:rsidRPr="00B431E2">
        <w:t>to address sustainability</w:t>
      </w:r>
      <w:r>
        <w:t xml:space="preserve">. The </w:t>
      </w:r>
      <w:r w:rsidRPr="00B431E2">
        <w:t xml:space="preserve">actions </w:t>
      </w:r>
      <w:r>
        <w:t xml:space="preserve">are </w:t>
      </w:r>
      <w:r w:rsidRPr="00B431E2">
        <w:t xml:space="preserve">expected to impact both the number of requests for plan changes and the level of plan inflation. </w:t>
      </w:r>
      <w:r>
        <w:t>Some of these actions are likely to have a direct impact on inflation (such as introducing quality checks on plans with high increases), while others are supporting actions that encourage “cultural change” to maintain sustainability (such as targeted sustainability awareness campaigns for frontline staff).</w:t>
      </w:r>
    </w:p>
    <w:p w14:paraId="1ECA829B" w14:textId="2DC0BF79" w:rsidR="008C5A87" w:rsidRPr="00B431E2" w:rsidRDefault="008C5A87" w:rsidP="00AE008B">
      <w:pPr>
        <w:pStyle w:val="Bullet"/>
        <w:numPr>
          <w:ilvl w:val="0"/>
          <w:numId w:val="0"/>
        </w:numPr>
        <w:spacing w:after="120"/>
        <w:ind w:left="567"/>
      </w:pPr>
      <w:r w:rsidRPr="00B431E2">
        <w:t xml:space="preserve">The 2025 FSR assumes that </w:t>
      </w:r>
      <w:r>
        <w:t xml:space="preserve">the Sustainability Initiative </w:t>
      </w:r>
      <w:r w:rsidRPr="00B431E2">
        <w:t>will</w:t>
      </w:r>
      <w:r>
        <w:t xml:space="preserve"> result in </w:t>
      </w:r>
      <w:r w:rsidRPr="00B431E2">
        <w:t>20% fewer unscheduled plan reassessments per month in 2025-26 (compared with the experience in the 6 months to April 2025) and that plan inflation on those unscheduled reassessments will be lower at 15% for Old Framework Plans (compared with 22.6% in the 6 months to April 2025</w:t>
      </w:r>
      <w:r>
        <w:t xml:space="preserve">). </w:t>
      </w:r>
      <w:r w:rsidR="0062133D">
        <w:t>Whether these</w:t>
      </w:r>
      <w:r w:rsidR="00321B38">
        <w:t xml:space="preserve"> assumptions bear out in practice will need close monitoring.</w:t>
      </w:r>
      <w:r>
        <w:t xml:space="preserve"> </w:t>
      </w:r>
    </w:p>
    <w:p w14:paraId="5A013A97" w14:textId="694EBF3B" w:rsidR="008C5A87" w:rsidRDefault="00B57BB9" w:rsidP="004F3FAF">
      <w:pPr>
        <w:pStyle w:val="Bullet"/>
        <w:spacing w:after="120"/>
      </w:pPr>
      <w:r>
        <w:t>New Framework Planning</w:t>
      </w:r>
      <w:r w:rsidRPr="00567164">
        <w:t xml:space="preserve"> </w:t>
      </w:r>
      <w:r w:rsidR="008C5A87" w:rsidRPr="00567164">
        <w:t xml:space="preserve">– </w:t>
      </w:r>
      <w:r w:rsidR="008C5A87" w:rsidRPr="007E2DF4">
        <w:t xml:space="preserve">As part of the Scheme </w:t>
      </w:r>
      <w:r w:rsidR="004F3FAF">
        <w:t>R</w:t>
      </w:r>
      <w:r w:rsidR="008C5A87" w:rsidRPr="007E2DF4">
        <w:t xml:space="preserve">eforms announced in the 2024-25 Budget, the Agency is in the process of implementing </w:t>
      </w:r>
      <w:r>
        <w:t>New Framework Planning</w:t>
      </w:r>
      <w:r w:rsidRPr="007E2DF4">
        <w:t xml:space="preserve"> </w:t>
      </w:r>
      <w:r w:rsidR="008C5A87" w:rsidRPr="007E2DF4">
        <w:t xml:space="preserve">informed by a support needs assessment. Under </w:t>
      </w:r>
      <w:r>
        <w:t>New Framework Planning</w:t>
      </w:r>
      <w:r w:rsidR="008C5A87">
        <w:t>,</w:t>
      </w:r>
      <w:r w:rsidR="008C5A87" w:rsidRPr="007E2DF4">
        <w:t xml:space="preserve"> participant budgets will be determined based on a </w:t>
      </w:r>
      <w:r w:rsidR="006A348D">
        <w:t xml:space="preserve">new process </w:t>
      </w:r>
      <w:r w:rsidR="008C5A87" w:rsidRPr="007E2DF4">
        <w:t xml:space="preserve">to establish funding based on assessed support needs. The new process </w:t>
      </w:r>
      <w:r w:rsidR="008C5A87">
        <w:t xml:space="preserve">is expected to </w:t>
      </w:r>
      <w:r w:rsidR="008C5A87" w:rsidRPr="007E2DF4">
        <w:t xml:space="preserve">achieve </w:t>
      </w:r>
      <w:r w:rsidR="004F0FA7">
        <w:t xml:space="preserve">greater </w:t>
      </w:r>
      <w:r w:rsidR="008C5A87" w:rsidRPr="007E2DF4">
        <w:t xml:space="preserve">consistency across the Scheme. </w:t>
      </w:r>
    </w:p>
    <w:p w14:paraId="7C319B3A" w14:textId="0D0B26B5" w:rsidR="008C5A87" w:rsidRDefault="00B57BB9" w:rsidP="00AE008B">
      <w:pPr>
        <w:pStyle w:val="Bullet"/>
        <w:numPr>
          <w:ilvl w:val="0"/>
          <w:numId w:val="0"/>
        </w:numPr>
        <w:spacing w:after="120"/>
        <w:ind w:left="567"/>
      </w:pPr>
      <w:r>
        <w:t xml:space="preserve">New Framework Planning </w:t>
      </w:r>
      <w:r w:rsidR="008C5A87">
        <w:t xml:space="preserve">is </w:t>
      </w:r>
      <w:r w:rsidR="002355A9">
        <w:t xml:space="preserve">now </w:t>
      </w:r>
      <w:r w:rsidR="008C5A87">
        <w:t xml:space="preserve">expected to commence </w:t>
      </w:r>
      <w:r w:rsidR="008C5A87" w:rsidRPr="00567164">
        <w:t>on 1 July 2026</w:t>
      </w:r>
      <w:r w:rsidR="008C5A87">
        <w:t>,</w:t>
      </w:r>
      <w:r w:rsidR="008C5A87" w:rsidRPr="00567164">
        <w:t xml:space="preserve"> with a 4.5</w:t>
      </w:r>
      <w:r w:rsidR="00AF706E" w:rsidRPr="00567164">
        <w:t>-</w:t>
      </w:r>
      <w:r w:rsidR="008C5A87" w:rsidRPr="00567164">
        <w:t>year implementation period (</w:t>
      </w:r>
      <w:r w:rsidR="008C5A87">
        <w:t>for</w:t>
      </w:r>
      <w:r w:rsidR="008C5A87" w:rsidRPr="00567164">
        <w:t xml:space="preserve"> the 2024 FSR, it was assumed to have a start date of </w:t>
      </w:r>
      <w:r w:rsidR="008C5A87">
        <w:t xml:space="preserve">1 </w:t>
      </w:r>
      <w:r w:rsidR="008C5A87" w:rsidRPr="00567164">
        <w:t>September 2025 and a 3</w:t>
      </w:r>
      <w:r w:rsidR="003B13A5" w:rsidRPr="00567164">
        <w:t>-</w:t>
      </w:r>
      <w:r w:rsidR="008C5A87" w:rsidRPr="00567164">
        <w:t>year implementation period)</w:t>
      </w:r>
      <w:proofErr w:type="gramStart"/>
      <w:r w:rsidR="008C5A87" w:rsidRPr="00567164">
        <w:t xml:space="preserve">.  </w:t>
      </w:r>
      <w:proofErr w:type="gramEnd"/>
    </w:p>
    <w:p w14:paraId="161D0140" w14:textId="3BD16511" w:rsidR="008C5A87" w:rsidRPr="00567164" w:rsidRDefault="008C5A87" w:rsidP="00AE008B">
      <w:pPr>
        <w:pStyle w:val="Bullet"/>
        <w:numPr>
          <w:ilvl w:val="0"/>
          <w:numId w:val="0"/>
        </w:numPr>
        <w:spacing w:after="120"/>
        <w:ind w:left="567"/>
      </w:pPr>
      <w:r w:rsidRPr="00567164">
        <w:t xml:space="preserve">Plan inflation is assumed to be 6.5% lower </w:t>
      </w:r>
      <w:r w:rsidR="00470835">
        <w:t xml:space="preserve">with </w:t>
      </w:r>
      <w:r w:rsidR="00B57BB9">
        <w:t xml:space="preserve">New Framework Planning </w:t>
      </w:r>
      <w:r>
        <w:t xml:space="preserve">compared with the </w:t>
      </w:r>
      <w:r w:rsidRPr="00567164">
        <w:t xml:space="preserve">Old Framework. </w:t>
      </w:r>
      <w:r w:rsidRPr="000842AA">
        <w:t>Although significant work has been undertaken over the last twelve months, the Agency is yet to finalise the support needs assessment or budget model rule</w:t>
      </w:r>
      <w:r>
        <w:t xml:space="preserve"> </w:t>
      </w:r>
      <w:r w:rsidRPr="000842AA">
        <w:t xml:space="preserve">sets for </w:t>
      </w:r>
      <w:r w:rsidR="00B57BB9">
        <w:t xml:space="preserve">New </w:t>
      </w:r>
      <w:r w:rsidR="00B57BB9">
        <w:lastRenderedPageBreak/>
        <w:t xml:space="preserve">Framework Planning </w:t>
      </w:r>
      <w:r>
        <w:t>hence t</w:t>
      </w:r>
      <w:r w:rsidRPr="00567164">
        <w:t xml:space="preserve">he savings </w:t>
      </w:r>
      <w:r>
        <w:t xml:space="preserve">assumed </w:t>
      </w:r>
      <w:r w:rsidRPr="00567164">
        <w:t>are the same as used in the 2024 FSR</w:t>
      </w:r>
      <w:r>
        <w:t xml:space="preserve"> (</w:t>
      </w:r>
      <w:r w:rsidRPr="00567164">
        <w:t xml:space="preserve">but with </w:t>
      </w:r>
      <w:r>
        <w:t xml:space="preserve">the </w:t>
      </w:r>
      <w:r w:rsidRPr="00567164">
        <w:t>revised implementation start date and transition</w:t>
      </w:r>
      <w:r>
        <w:t xml:space="preserve"> period)</w:t>
      </w:r>
      <w:r w:rsidRPr="00567164">
        <w:t xml:space="preserve">. The </w:t>
      </w:r>
      <w:r>
        <w:t>S</w:t>
      </w:r>
      <w:r w:rsidRPr="00567164">
        <w:t xml:space="preserve">ustainability </w:t>
      </w:r>
      <w:r>
        <w:t>I</w:t>
      </w:r>
      <w:r w:rsidRPr="00567164">
        <w:t>nitiative is assumed the mitigate the cost of</w:t>
      </w:r>
      <w:r>
        <w:t xml:space="preserve"> the</w:t>
      </w:r>
      <w:r w:rsidRPr="00567164">
        <w:t xml:space="preserve"> delay in </w:t>
      </w:r>
      <w:r w:rsidR="00B57BB9">
        <w:t>New Framework Planning</w:t>
      </w:r>
      <w:r w:rsidRPr="00567164">
        <w:t>.</w:t>
      </w:r>
      <w:r>
        <w:t xml:space="preserve"> </w:t>
      </w:r>
      <w:r w:rsidR="004C599C">
        <w:t xml:space="preserve">In the absence of the final design and modelling of this </w:t>
      </w:r>
      <w:r w:rsidR="002C75F8">
        <w:t>reform I am unable to comment further on the reasonableness of these assumptions.</w:t>
      </w:r>
    </w:p>
    <w:p w14:paraId="7D54E7B5" w14:textId="55DEC541" w:rsidR="00CC252A" w:rsidRDefault="00CC252A" w:rsidP="00CC252A">
      <w:pPr>
        <w:pStyle w:val="Heading4"/>
      </w:pPr>
      <w:r>
        <w:t>Summary</w:t>
      </w:r>
    </w:p>
    <w:p w14:paraId="7281487E" w14:textId="49223A68" w:rsidR="00CC252A" w:rsidRDefault="007D5C97" w:rsidP="00CC252A">
      <w:r>
        <w:t xml:space="preserve">Significant reductions in </w:t>
      </w:r>
      <w:r w:rsidR="00AB649F">
        <w:t xml:space="preserve">the rate of Growth in Committed Supports </w:t>
      </w:r>
      <w:r>
        <w:t xml:space="preserve">are required for these projections to occur in practice. The projection assumes </w:t>
      </w:r>
      <w:r w:rsidR="009F44AD">
        <w:t xml:space="preserve">that the rate of Growth in Committed Supports </w:t>
      </w:r>
      <w:r>
        <w:t xml:space="preserve">will be </w:t>
      </w:r>
      <w:r w:rsidR="009E2020">
        <w:t xml:space="preserve">very close to normal inflation through the medium term. </w:t>
      </w:r>
      <w:r w:rsidR="007D36E5">
        <w:t xml:space="preserve">Whilst </w:t>
      </w:r>
      <w:r w:rsidR="009F44AD">
        <w:t xml:space="preserve">the rate of Growth in Committed Supports </w:t>
      </w:r>
      <w:r w:rsidR="007D36E5">
        <w:t>has been slowing</w:t>
      </w:r>
      <w:r w:rsidR="00D41459">
        <w:t xml:space="preserve"> in recent times, </w:t>
      </w:r>
      <w:r w:rsidR="00AE008B">
        <w:t xml:space="preserve">consistently </w:t>
      </w:r>
      <w:r w:rsidR="002803E6">
        <w:t xml:space="preserve">maintaining </w:t>
      </w:r>
      <w:r w:rsidR="00BE2746">
        <w:t xml:space="preserve">the rate of Growth in Committed Supports </w:t>
      </w:r>
      <w:r w:rsidR="00D41459">
        <w:t>with</w:t>
      </w:r>
      <w:r w:rsidR="00F060C8">
        <w:t xml:space="preserve">in 0.1% of normal inflation has not yet occurred in the life of the Scheme. </w:t>
      </w:r>
    </w:p>
    <w:p w14:paraId="37C9CB56" w14:textId="085D17D2" w:rsidR="00FB5C6C" w:rsidRDefault="00FB5C6C" w:rsidP="00FB5C6C">
      <w:pPr>
        <w:pStyle w:val="Heading2"/>
      </w:pPr>
      <w:r>
        <w:t>Utilisation</w:t>
      </w:r>
    </w:p>
    <w:p w14:paraId="36F1D6E7" w14:textId="6D8B6966" w:rsidR="00AF4452" w:rsidRDefault="0092705B" w:rsidP="00AF4452">
      <w:r>
        <w:t xml:space="preserve">Utilisation assumptions are based on recent experience, adjusted for the </w:t>
      </w:r>
      <w:r w:rsidR="00175D7F">
        <w:t xml:space="preserve">expected impact of initiatives and reforms. </w:t>
      </w:r>
      <w:r w:rsidR="00B50799">
        <w:t>C</w:t>
      </w:r>
      <w:r w:rsidR="00AF4452">
        <w:t>onsiderations that help assess the reasonableness of plan utilisation assumptions are discussed below.</w:t>
      </w:r>
    </w:p>
    <w:p w14:paraId="4B55FB7C" w14:textId="77777777" w:rsidR="00850C1F" w:rsidRDefault="00850C1F" w:rsidP="00850C1F">
      <w:pPr>
        <w:pStyle w:val="Heading4"/>
      </w:pPr>
      <w:r>
        <w:t>The moderating effect of initiatives and reforms</w:t>
      </w:r>
      <w:r w:rsidRPr="00850C1F">
        <w:t xml:space="preserve"> </w:t>
      </w:r>
    </w:p>
    <w:p w14:paraId="3023D448" w14:textId="6E602C60" w:rsidR="00850C1F" w:rsidRDefault="00850C1F" w:rsidP="00850C1F">
      <w:r>
        <w:t xml:space="preserve">The NDIA has planned initiatives that are expected to </w:t>
      </w:r>
      <w:r w:rsidR="00FC6173">
        <w:t>have a moderating effect on future utilisation. The</w:t>
      </w:r>
      <w:r w:rsidR="00124372">
        <w:t>se include</w:t>
      </w:r>
      <w:r w:rsidR="00FC6173">
        <w:t xml:space="preserve"> the </w:t>
      </w:r>
      <w:r w:rsidR="007A46AD" w:rsidRPr="00A50AC0">
        <w:rPr>
          <w:i/>
          <w:iCs/>
        </w:rPr>
        <w:t xml:space="preserve">Crack </w:t>
      </w:r>
      <w:r w:rsidR="00A50AC0" w:rsidRPr="00A50AC0">
        <w:rPr>
          <w:i/>
          <w:iCs/>
        </w:rPr>
        <w:t>D</w:t>
      </w:r>
      <w:r w:rsidR="007A46AD" w:rsidRPr="00A50AC0">
        <w:rPr>
          <w:i/>
          <w:iCs/>
        </w:rPr>
        <w:t>own on Fraud</w:t>
      </w:r>
      <w:r w:rsidR="007A46AD">
        <w:t xml:space="preserve"> </w:t>
      </w:r>
      <w:r w:rsidR="002F292E">
        <w:t>and related integrity measures</w:t>
      </w:r>
      <w:r w:rsidR="002F292E" w:rsidDel="001A5229">
        <w:t xml:space="preserve"> </w:t>
      </w:r>
      <w:r w:rsidR="00FB0D33">
        <w:t xml:space="preserve">and the </w:t>
      </w:r>
      <w:r w:rsidR="00522F1E">
        <w:t>introduction of funding periods</w:t>
      </w:r>
      <w:r w:rsidR="00FB0D33">
        <w:t>.</w:t>
      </w:r>
    </w:p>
    <w:p w14:paraId="40E15FF5" w14:textId="6EE9ADEF" w:rsidR="00D618C0" w:rsidRDefault="00D618C0" w:rsidP="00AE008B">
      <w:pPr>
        <w:pStyle w:val="Bullet"/>
        <w:spacing w:after="120"/>
      </w:pPr>
      <w:r>
        <w:t>I</w:t>
      </w:r>
      <w:r w:rsidRPr="00C2326C">
        <w:t>ntegrity</w:t>
      </w:r>
      <w:r>
        <w:t xml:space="preserve"> measures</w:t>
      </w:r>
      <w:r w:rsidRPr="00C2326C">
        <w:t xml:space="preserve"> –</w:t>
      </w:r>
      <w:r w:rsidR="00884541">
        <w:t xml:space="preserve"> </w:t>
      </w:r>
      <w:r>
        <w:t xml:space="preserve">The Crack Down on Fraud initiative commenced in February 2024, </w:t>
      </w:r>
      <w:r w:rsidRPr="008615F5">
        <w:t>focuse</w:t>
      </w:r>
      <w:r>
        <w:t>d</w:t>
      </w:r>
      <w:r w:rsidRPr="008615F5">
        <w:t xml:space="preserve"> on developing new IT platforms and systems to enhance the </w:t>
      </w:r>
      <w:r>
        <w:t>A</w:t>
      </w:r>
      <w:r w:rsidRPr="008615F5">
        <w:t>gency’s prevention and detection capabilities</w:t>
      </w:r>
      <w:proofErr w:type="gramStart"/>
      <w:r>
        <w:t xml:space="preserve">.  </w:t>
      </w:r>
      <w:proofErr w:type="gramEnd"/>
    </w:p>
    <w:p w14:paraId="212B1006" w14:textId="55809CD9" w:rsidR="00D618C0" w:rsidRDefault="00D618C0" w:rsidP="00AE008B">
      <w:pPr>
        <w:pStyle w:val="Bullet"/>
        <w:numPr>
          <w:ilvl w:val="0"/>
          <w:numId w:val="0"/>
        </w:numPr>
        <w:spacing w:after="120"/>
        <w:ind w:left="567"/>
      </w:pPr>
      <w:r>
        <w:t>Estimated savings are based on four components: savings from providers that are banned or subject to payment reviews; manual payment reviews by the Payment Integrity Team; system enhancements, in particular the implementation of invoice matching; and automated cancellations and system prompts expected to influence behaviour. Allowances are also made for re-utilisation – i.e. that a proportion of payments avoided or cancelled will subsequently be spent on legitimate supports.</w:t>
      </w:r>
    </w:p>
    <w:p w14:paraId="2F1519D2" w14:textId="6FC6E415" w:rsidR="00864428" w:rsidRDefault="00864428" w:rsidP="00AE008B">
      <w:pPr>
        <w:pStyle w:val="Bullet"/>
        <w:numPr>
          <w:ilvl w:val="0"/>
          <w:numId w:val="0"/>
        </w:numPr>
        <w:spacing w:after="120"/>
        <w:ind w:left="567"/>
      </w:pPr>
      <w:r>
        <w:t xml:space="preserve">While the Agency has plans </w:t>
      </w:r>
      <w:r w:rsidR="0056184C">
        <w:t>for further</w:t>
      </w:r>
      <w:r>
        <w:t xml:space="preserve"> integrity measures, allowance in the projections has only been made for programs that are already underway </w:t>
      </w:r>
      <w:r w:rsidR="00344A9F">
        <w:t>and</w:t>
      </w:r>
      <w:r>
        <w:t xml:space="preserve"> resource</w:t>
      </w:r>
      <w:r w:rsidR="00344A9F">
        <w:t>d</w:t>
      </w:r>
      <w:proofErr w:type="gramStart"/>
      <w:r>
        <w:t xml:space="preserve">.  </w:t>
      </w:r>
      <w:proofErr w:type="gramEnd"/>
      <w:r>
        <w:t>Further savings that may ar</w:t>
      </w:r>
      <w:r w:rsidR="00344A9F">
        <w:t>i</w:t>
      </w:r>
      <w:r>
        <w:t>se from future programs that are not yet resourced have not been included</w:t>
      </w:r>
      <w:proofErr w:type="gramStart"/>
      <w:r>
        <w:t xml:space="preserve">.  </w:t>
      </w:r>
      <w:proofErr w:type="gramEnd"/>
      <w:r>
        <w:t>This is appropriate.</w:t>
      </w:r>
    </w:p>
    <w:p w14:paraId="0C127DBD" w14:textId="66851956" w:rsidR="00D618C0" w:rsidRDefault="008E326A" w:rsidP="00AE008B">
      <w:pPr>
        <w:pStyle w:val="Bullet"/>
        <w:numPr>
          <w:ilvl w:val="0"/>
          <w:numId w:val="0"/>
        </w:numPr>
        <w:spacing w:after="120"/>
        <w:ind w:left="567"/>
      </w:pPr>
      <w:r>
        <w:t>E</w:t>
      </w:r>
      <w:r w:rsidR="00D618C0" w:rsidRPr="00C2326C">
        <w:t xml:space="preserve">stimates of </w:t>
      </w:r>
      <w:r w:rsidR="00B07F45">
        <w:t xml:space="preserve">additional </w:t>
      </w:r>
      <w:r w:rsidR="00D618C0" w:rsidRPr="00C2326C">
        <w:t>savings due to addressing integrity losses</w:t>
      </w:r>
      <w:r w:rsidR="009E6449">
        <w:t xml:space="preserve"> </w:t>
      </w:r>
      <w:r w:rsidR="007F0ECC">
        <w:t xml:space="preserve">are </w:t>
      </w:r>
      <w:r w:rsidR="00D65E5E">
        <w:t>0.1</w:t>
      </w:r>
      <w:r w:rsidR="00D618C0" w:rsidRPr="00C2326C">
        <w:t xml:space="preserve">% of </w:t>
      </w:r>
      <w:r>
        <w:t>S</w:t>
      </w:r>
      <w:r w:rsidR="00D618C0" w:rsidRPr="00C2326C">
        <w:t xml:space="preserve">cheme expenditure for </w:t>
      </w:r>
      <w:r w:rsidR="00A31386">
        <w:t xml:space="preserve">2025-26 increasing to 0.4% for </w:t>
      </w:r>
      <w:r w:rsidR="009E6449">
        <w:t>2027-28</w:t>
      </w:r>
      <w:r w:rsidR="00B07F45" w:rsidRPr="00B07F45">
        <w:t>, noting that the impact of integrity measures effective by June 2025 are incorporated into the starting position</w:t>
      </w:r>
      <w:r w:rsidR="008E00E0">
        <w:t>.</w:t>
      </w:r>
    </w:p>
    <w:p w14:paraId="6D3DF8AE" w14:textId="5E67D19D" w:rsidR="008702AE" w:rsidRDefault="002D0E27" w:rsidP="00AE008B">
      <w:pPr>
        <w:pStyle w:val="Bullet"/>
        <w:spacing w:after="120"/>
      </w:pPr>
      <w:r w:rsidRPr="00D138DD">
        <w:t>S</w:t>
      </w:r>
      <w:r>
        <w:t xml:space="preserve">ection </w:t>
      </w:r>
      <w:r w:rsidRPr="00D138DD">
        <w:t xml:space="preserve">33 funding periods – </w:t>
      </w:r>
      <w:r w:rsidR="00E1037E">
        <w:t xml:space="preserve">The </w:t>
      </w:r>
      <w:r w:rsidR="00E81DBA" w:rsidRPr="008871A6">
        <w:t xml:space="preserve">Scheme Actuary estimates that the </w:t>
      </w:r>
      <w:r w:rsidR="00E1037E" w:rsidRPr="008871A6">
        <w:t xml:space="preserve">total cost of plan overutilisation in the Scheme is </w:t>
      </w:r>
      <w:r w:rsidR="00374B1D" w:rsidRPr="008871A6">
        <w:t>between</w:t>
      </w:r>
      <w:r w:rsidR="00E1037E" w:rsidRPr="008871A6">
        <w:t xml:space="preserve"> $2.2</w:t>
      </w:r>
      <w:r w:rsidR="00374B1D" w:rsidRPr="008871A6">
        <w:t xml:space="preserve"> and $</w:t>
      </w:r>
      <w:r w:rsidR="00E1037E" w:rsidRPr="008871A6">
        <w:t>2.4 billion per annum. The introduction</w:t>
      </w:r>
      <w:r w:rsidR="00E1037E" w:rsidRPr="00D138DD">
        <w:t xml:space="preserve"> of funding periods is expected to </w:t>
      </w:r>
      <w:r w:rsidR="00B87316">
        <w:t xml:space="preserve">help </w:t>
      </w:r>
      <w:r w:rsidR="00E1037E" w:rsidRPr="00D138DD">
        <w:t>participants to spend in line with their plan and reduce the risk of funds being exhausted early in the plan. As such, overutilisation of plans is expected to reduce.</w:t>
      </w:r>
      <w:r w:rsidR="00E1037E">
        <w:t xml:space="preserve"> </w:t>
      </w:r>
    </w:p>
    <w:p w14:paraId="1C11848F" w14:textId="53E2793F" w:rsidR="00966A35" w:rsidRDefault="002D0E27" w:rsidP="00AE008B">
      <w:pPr>
        <w:pStyle w:val="Bullet"/>
        <w:numPr>
          <w:ilvl w:val="0"/>
          <w:numId w:val="0"/>
        </w:numPr>
        <w:spacing w:after="120"/>
        <w:ind w:left="567"/>
      </w:pPr>
      <w:r>
        <w:lastRenderedPageBreak/>
        <w:t>Funding periods are expected to be phased in over time</w:t>
      </w:r>
      <w:r w:rsidR="001B4B27">
        <w:t xml:space="preserve"> a</w:t>
      </w:r>
      <w:r w:rsidR="00966A35" w:rsidRPr="00D138DD">
        <w:t>s participant plans are reassessed (either scheduled or unscheduled)</w:t>
      </w:r>
      <w:r w:rsidR="001B4B27">
        <w:t xml:space="preserve">. </w:t>
      </w:r>
      <w:r w:rsidR="00334970">
        <w:t>The</w:t>
      </w:r>
      <w:r w:rsidR="00966A35" w:rsidRPr="00D138DD">
        <w:t xml:space="preserve"> plans funds</w:t>
      </w:r>
      <w:r w:rsidR="00966A35">
        <w:t xml:space="preserve"> are released progressively </w:t>
      </w:r>
      <w:r w:rsidR="00966A35" w:rsidRPr="00D138DD">
        <w:t xml:space="preserve">for </w:t>
      </w:r>
      <w:r w:rsidR="00966A35">
        <w:t xml:space="preserve">periods of either </w:t>
      </w:r>
      <w:r w:rsidR="00966A35" w:rsidRPr="00D138DD">
        <w:t xml:space="preserve">1, 3, 6 or 12 months. </w:t>
      </w:r>
      <w:r>
        <w:t xml:space="preserve">It is assumed that 76% of participants (representing 91% of Scheme payments) will have funding periods in their plans by June 2027. </w:t>
      </w:r>
    </w:p>
    <w:p w14:paraId="6E513A71" w14:textId="25BB0A7C" w:rsidR="002D0E27" w:rsidRDefault="000E3440" w:rsidP="00AE008B">
      <w:pPr>
        <w:pStyle w:val="Bullet"/>
        <w:numPr>
          <w:ilvl w:val="0"/>
          <w:numId w:val="0"/>
        </w:numPr>
        <w:spacing w:after="120"/>
        <w:ind w:left="567"/>
      </w:pPr>
      <w:r>
        <w:t xml:space="preserve">Funding periods are not expected to fully eliminate overutilisation. </w:t>
      </w:r>
      <w:r w:rsidR="002D0E27">
        <w:t>It is assumed that 60% of over-utilised payments are removed for plans with funding periods attached</w:t>
      </w:r>
      <w:proofErr w:type="gramStart"/>
      <w:r w:rsidR="002D0E27">
        <w:t xml:space="preserve">.  </w:t>
      </w:r>
      <w:proofErr w:type="gramEnd"/>
    </w:p>
    <w:p w14:paraId="55481389" w14:textId="6B1F1883" w:rsidR="002873E2" w:rsidRDefault="004406E8" w:rsidP="002873E2">
      <w:r>
        <w:t xml:space="preserve">Historically, utilisation has steadily increased over time. </w:t>
      </w:r>
      <w:r w:rsidR="00866AF9">
        <w:t xml:space="preserve">If plan growth slows in the manner that is assumed, then it is also reasonable to assume that this will further contribute to increases in utilisation. </w:t>
      </w:r>
      <w:r w:rsidR="00F37B9A">
        <w:t xml:space="preserve">Further, </w:t>
      </w:r>
      <w:r w:rsidR="00BC15DA">
        <w:t xml:space="preserve">supports being able to be used more flexibly in </w:t>
      </w:r>
      <w:r w:rsidR="00B57BB9">
        <w:t xml:space="preserve">New Framework Planning </w:t>
      </w:r>
      <w:r w:rsidR="00BC15DA">
        <w:t xml:space="preserve">is also likely to contribute to higher utilisation. Reflecting this, </w:t>
      </w:r>
      <w:r w:rsidR="005A724E">
        <w:t xml:space="preserve">the Scheme Actuary has assumed an increase in plan utilisation by a factor of 1.005, 1.0075 and 1.01 in </w:t>
      </w:r>
      <w:r w:rsidR="00EB2E21">
        <w:t>2027</w:t>
      </w:r>
      <w:r w:rsidR="002D1ACE">
        <w:t>-</w:t>
      </w:r>
      <w:r w:rsidR="00EB2E21">
        <w:t>28, 2028</w:t>
      </w:r>
      <w:r w:rsidR="002D1ACE">
        <w:t>-</w:t>
      </w:r>
      <w:r w:rsidR="00EB2E21">
        <w:t>29 and from 2029</w:t>
      </w:r>
      <w:r w:rsidR="002D1ACE">
        <w:t>-</w:t>
      </w:r>
      <w:r w:rsidR="00EB2E21">
        <w:t>30 respectively.</w:t>
      </w:r>
      <w:r w:rsidR="00AA7234">
        <w:t xml:space="preserve"> </w:t>
      </w:r>
      <w:r w:rsidR="005C1B41">
        <w:t>These factors result in modest increases in three specific years.</w:t>
      </w:r>
      <w:r w:rsidR="001E7C61">
        <w:t xml:space="preserve"> Utilisation is projected to remain flat thereafter. </w:t>
      </w:r>
    </w:p>
    <w:p w14:paraId="76A6ADD6" w14:textId="77777777" w:rsidR="002873E2" w:rsidRDefault="002873E2" w:rsidP="002873E2">
      <w:pPr>
        <w:pStyle w:val="Heading4"/>
      </w:pPr>
      <w:r>
        <w:t>Summary</w:t>
      </w:r>
    </w:p>
    <w:p w14:paraId="7086A446" w14:textId="2B55FD93" w:rsidR="009C505F" w:rsidRDefault="000D31FA" w:rsidP="00850C1F">
      <w:r w:rsidRPr="00530347">
        <w:t xml:space="preserve">Utilisation assumptions reflect recent experience, </w:t>
      </w:r>
      <w:r w:rsidR="00BE69E7" w:rsidRPr="00530347">
        <w:t>reduced for the expected effect of initiatives that are underway.</w:t>
      </w:r>
      <w:r w:rsidR="008E10C4" w:rsidRPr="00530347">
        <w:t xml:space="preserve"> </w:t>
      </w:r>
      <w:r w:rsidR="00FC3ED6" w:rsidRPr="00530347">
        <w:t xml:space="preserve">These initiatives </w:t>
      </w:r>
      <w:r w:rsidR="00F84BC1" w:rsidRPr="00530347">
        <w:t>have only recently commenced and there is limited experience upon which to set assumptions</w:t>
      </w:r>
      <w:r w:rsidR="000F7DC2" w:rsidRPr="00530347">
        <w:t>.</w:t>
      </w:r>
      <w:r w:rsidR="00A80EAE" w:rsidRPr="00530347">
        <w:t xml:space="preserve"> </w:t>
      </w:r>
    </w:p>
    <w:p w14:paraId="126601A2" w14:textId="00DEE12F" w:rsidR="00322DA6" w:rsidRDefault="00A80EAE" w:rsidP="00850C1F">
      <w:r w:rsidRPr="00530347">
        <w:t xml:space="preserve">There is also the potential for the Scheme to experience behavioural change that results in </w:t>
      </w:r>
      <w:r w:rsidR="00825661" w:rsidRPr="00530347">
        <w:t xml:space="preserve">plans being utilised differently in the future </w:t>
      </w:r>
      <w:r w:rsidR="0042737D" w:rsidRPr="00530347">
        <w:t xml:space="preserve">in ways that diminish the </w:t>
      </w:r>
      <w:r w:rsidR="001B5B84">
        <w:t xml:space="preserve">assumed </w:t>
      </w:r>
      <w:r w:rsidR="0042737D" w:rsidRPr="00530347">
        <w:t xml:space="preserve">reduction </w:t>
      </w:r>
      <w:r w:rsidR="001B5B84">
        <w:t>i</w:t>
      </w:r>
      <w:r w:rsidR="0042737D" w:rsidRPr="00530347">
        <w:t xml:space="preserve">n utilisation. </w:t>
      </w:r>
      <w:r w:rsidR="00C6716A" w:rsidRPr="00530347">
        <w:t>T</w:t>
      </w:r>
      <w:r w:rsidR="002E04C3" w:rsidRPr="00530347">
        <w:t xml:space="preserve">he Scheme Actuary has </w:t>
      </w:r>
      <w:r w:rsidR="00C6716A" w:rsidRPr="00530347">
        <w:t xml:space="preserve">allowed for </w:t>
      </w:r>
      <w:r w:rsidR="009F2E76" w:rsidRPr="00530347">
        <w:t xml:space="preserve">a small increase in </w:t>
      </w:r>
      <w:r w:rsidR="002E04C3" w:rsidRPr="00530347">
        <w:t xml:space="preserve">utilisation </w:t>
      </w:r>
      <w:r w:rsidR="00BD20A4" w:rsidRPr="00530347">
        <w:t xml:space="preserve">in the short term. </w:t>
      </w:r>
    </w:p>
    <w:p w14:paraId="5555246B" w14:textId="2175A392" w:rsidR="00F2064A" w:rsidRDefault="00322DA6" w:rsidP="00850C1F">
      <w:r>
        <w:t xml:space="preserve">Historically, utilisation </w:t>
      </w:r>
      <w:r w:rsidR="001B5B84">
        <w:t xml:space="preserve">rates </w:t>
      </w:r>
      <w:r>
        <w:t>ha</w:t>
      </w:r>
      <w:r w:rsidR="001B5B84">
        <w:t>ve</w:t>
      </w:r>
      <w:r>
        <w:t xml:space="preserve"> increased steadily over time. </w:t>
      </w:r>
      <w:r w:rsidR="000458F8">
        <w:t xml:space="preserve">Some of this is </w:t>
      </w:r>
      <w:r w:rsidR="00174649">
        <w:t xml:space="preserve">increase is thought to </w:t>
      </w:r>
      <w:r>
        <w:t xml:space="preserve">reflect </w:t>
      </w:r>
      <w:r w:rsidR="000458F8">
        <w:t xml:space="preserve">participants maturing in the Scheme. </w:t>
      </w:r>
      <w:r w:rsidR="00174649">
        <w:t xml:space="preserve">Some of it may have been attributable to factors related to the </w:t>
      </w:r>
      <w:r w:rsidR="00174649" w:rsidRPr="00CF4A1E">
        <w:rPr>
          <w:i/>
          <w:iCs/>
        </w:rPr>
        <w:t>Crack</w:t>
      </w:r>
      <w:r w:rsidR="009D0793">
        <w:rPr>
          <w:i/>
          <w:iCs/>
        </w:rPr>
        <w:t xml:space="preserve"> D</w:t>
      </w:r>
      <w:r w:rsidR="00174649" w:rsidRPr="00CF4A1E">
        <w:rPr>
          <w:i/>
          <w:iCs/>
        </w:rPr>
        <w:t>own on Fraud</w:t>
      </w:r>
      <w:r w:rsidR="00174649">
        <w:t xml:space="preserve"> initiative</w:t>
      </w:r>
      <w:r w:rsidR="00CF4A1E">
        <w:t xml:space="preserve"> and overspending in plans</w:t>
      </w:r>
      <w:r w:rsidR="00174649">
        <w:t xml:space="preserve">. </w:t>
      </w:r>
      <w:r w:rsidRPr="00530347">
        <w:t xml:space="preserve">Beyond 2030, utilisation is </w:t>
      </w:r>
      <w:r w:rsidR="00CF4A1E">
        <w:t xml:space="preserve">now </w:t>
      </w:r>
      <w:r w:rsidRPr="00530347">
        <w:t>assumed to remain flat.</w:t>
      </w:r>
      <w:r w:rsidR="001020AF">
        <w:t xml:space="preserve"> The degree to which this occurs is uncertain.</w:t>
      </w:r>
    </w:p>
    <w:sectPr w:rsidR="00F2064A" w:rsidSect="00733B43">
      <w:headerReference w:type="even" r:id="rId29"/>
      <w:headerReference w:type="default" r:id="rId30"/>
      <w:footerReference w:type="even" r:id="rId31"/>
      <w:footerReference w:type="default" r:id="rId32"/>
      <w:headerReference w:type="first" r:id="rId33"/>
      <w:footerReference w:type="first" r:id="rId34"/>
      <w:pgSz w:w="11907" w:h="16840" w:code="9"/>
      <w:pgMar w:top="1440" w:right="1440" w:bottom="1440" w:left="1440" w:header="1416" w:footer="3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C946" w14:textId="77777777" w:rsidR="00EE2CBA" w:rsidRDefault="00EE2CBA">
      <w:pPr>
        <w:spacing w:after="0" w:line="240" w:lineRule="auto"/>
      </w:pPr>
      <w:r>
        <w:separator/>
      </w:r>
    </w:p>
    <w:p w14:paraId="62AC36BA" w14:textId="77777777" w:rsidR="00EE2CBA" w:rsidRDefault="00EE2CBA"/>
  </w:endnote>
  <w:endnote w:type="continuationSeparator" w:id="0">
    <w:p w14:paraId="6FF5B4D3" w14:textId="77777777" w:rsidR="00EE2CBA" w:rsidRDefault="00EE2CBA">
      <w:pPr>
        <w:spacing w:after="0" w:line="240" w:lineRule="auto"/>
      </w:pPr>
      <w:r>
        <w:continuationSeparator/>
      </w:r>
    </w:p>
    <w:p w14:paraId="4026FB5D" w14:textId="77777777" w:rsidR="00EE2CBA" w:rsidRDefault="00EE2CBA"/>
  </w:endnote>
  <w:endnote w:type="continuationNotice" w:id="1">
    <w:p w14:paraId="5677FCA0" w14:textId="77777777" w:rsidR="00EE2CBA" w:rsidRDefault="00EE2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_MSFontServic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B105" w14:textId="77777777" w:rsidR="00B34BF8" w:rsidRDefault="00B34BF8">
    <w:pPr>
      <w:pStyle w:val="Footer"/>
    </w:pPr>
  </w:p>
  <w:p w14:paraId="5EE5C91B" w14:textId="37F50F47" w:rsidR="00B34BF8" w:rsidRDefault="0093576D" w:rsidP="00B34BF8">
    <w:pPr>
      <w:pStyle w:val="SecurityClassificationFooter"/>
    </w:pPr>
    <w:fldSimple w:instr=" DOCPROPERTY WorkingDocStatus \* MERGEFORMAT ">
      <w:r>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5F88" w14:textId="07572383" w:rsidR="00B34BF8" w:rsidRPr="001E26FC" w:rsidRDefault="00B34BF8" w:rsidP="001E2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D7CE" w14:textId="77777777" w:rsidR="00E97A7D" w:rsidRDefault="00E97A7D" w:rsidP="00EC689A">
    <w:pPr>
      <w:pStyle w:val="Footer"/>
      <w:ind w:left="0"/>
    </w:pPr>
  </w:p>
  <w:p w14:paraId="32265456" w14:textId="6EFB94A1" w:rsidR="00B65DA4" w:rsidRPr="00EC689A" w:rsidRDefault="0081102E" w:rsidP="00EC689A">
    <w:pPr>
      <w:pStyle w:val="Footer"/>
      <w:ind w:left="0"/>
    </w:pPr>
    <w:r w:rsidRPr="00B65DA4">
      <w:rPr>
        <w:noProof/>
        <w:lang w:eastAsia="en-AU"/>
      </w:rPr>
      <w:drawing>
        <wp:anchor distT="0" distB="0" distL="114300" distR="114300" simplePos="0" relativeHeight="251658240" behindDoc="1" locked="0" layoutInCell="1" allowOverlap="1" wp14:anchorId="5253F5D6" wp14:editId="3E0F02AD">
          <wp:simplePos x="0" y="0"/>
          <wp:positionH relativeFrom="page">
            <wp:posOffset>3146425</wp:posOffset>
          </wp:positionH>
          <wp:positionV relativeFrom="paragraph">
            <wp:posOffset>-556895</wp:posOffset>
          </wp:positionV>
          <wp:extent cx="5104965" cy="2480310"/>
          <wp:effectExtent l="0" t="0" r="635" b="0"/>
          <wp:wrapNone/>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04965" cy="2480310"/>
                  </a:xfrm>
                  <a:prstGeom prst="rect">
                    <a:avLst/>
                  </a:prstGeom>
                </pic:spPr>
              </pic:pic>
            </a:graphicData>
          </a:graphic>
          <wp14:sizeRelH relativeFrom="margin">
            <wp14:pctWidth>0</wp14:pctWidth>
          </wp14:sizeRelH>
          <wp14:sizeRelV relativeFrom="margin">
            <wp14:pctHeight>0</wp14:pctHeight>
          </wp14:sizeRelV>
        </wp:anchor>
      </w:drawing>
    </w:r>
    <w:r w:rsidR="00B65DA4" w:rsidRPr="00B65DA4">
      <w:t xml:space="preserve">The </w:t>
    </w:r>
    <w:r w:rsidR="00B65DA4" w:rsidRPr="00EC689A">
      <w:t>Treasury, Langton Crescent, Parkes ACT 2600</w:t>
    </w:r>
  </w:p>
  <w:p w14:paraId="260AD045" w14:textId="20E6C44B" w:rsidR="00B65DA4" w:rsidRPr="00B65DA4" w:rsidRDefault="00B65DA4" w:rsidP="00EC689A">
    <w:pPr>
      <w:pStyle w:val="Footer"/>
      <w:ind w:left="0"/>
      <w:rPr>
        <w:rFonts w:ascii="Calibri" w:hAnsi="Calibri"/>
      </w:rPr>
    </w:pPr>
    <w:r w:rsidRPr="00B65DA4">
      <w:t>02 6263 2137</w:t>
    </w:r>
  </w:p>
  <w:p w14:paraId="1AE8F54B" w14:textId="500545D7" w:rsidR="00B34BF8" w:rsidRPr="00B65DA4" w:rsidRDefault="00B65DA4" w:rsidP="00EC689A">
    <w:pPr>
      <w:pStyle w:val="Footer"/>
      <w:ind w:left="0"/>
    </w:pPr>
    <w:hyperlink r:id="rId2" w:history="1">
      <w:r w:rsidRPr="00B65DA4">
        <w:rPr>
          <w:rStyle w:val="Hyperlink"/>
        </w:rPr>
        <w:t>aga@aga.gov.au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256F" w14:textId="77777777" w:rsidR="00EE2CBA" w:rsidRDefault="00EE2CBA">
      <w:pPr>
        <w:spacing w:after="0" w:line="240" w:lineRule="auto"/>
      </w:pPr>
      <w:r>
        <w:separator/>
      </w:r>
    </w:p>
    <w:p w14:paraId="2417DA49" w14:textId="77777777" w:rsidR="00EE2CBA" w:rsidRDefault="00EE2CBA"/>
  </w:footnote>
  <w:footnote w:type="continuationSeparator" w:id="0">
    <w:p w14:paraId="0DBB8868" w14:textId="77777777" w:rsidR="00EE2CBA" w:rsidRDefault="00EE2CBA">
      <w:pPr>
        <w:spacing w:after="0" w:line="240" w:lineRule="auto"/>
      </w:pPr>
      <w:r>
        <w:continuationSeparator/>
      </w:r>
    </w:p>
    <w:p w14:paraId="6E6CBA52" w14:textId="77777777" w:rsidR="00EE2CBA" w:rsidRDefault="00EE2CBA"/>
  </w:footnote>
  <w:footnote w:type="continuationNotice" w:id="1">
    <w:p w14:paraId="718F8089" w14:textId="77777777" w:rsidR="00EE2CBA" w:rsidRDefault="00EE2CBA">
      <w:pPr>
        <w:spacing w:after="0" w:line="240" w:lineRule="auto"/>
      </w:pPr>
    </w:p>
  </w:footnote>
  <w:footnote w:id="2">
    <w:p w14:paraId="024D022E" w14:textId="463A7272" w:rsidR="00DE63C1" w:rsidRPr="000F0620" w:rsidRDefault="00DE63C1">
      <w:pPr>
        <w:pStyle w:val="FootnoteText"/>
        <w:rPr>
          <w:sz w:val="18"/>
          <w:szCs w:val="18"/>
        </w:rPr>
      </w:pPr>
      <w:r w:rsidRPr="000F0620">
        <w:rPr>
          <w:rStyle w:val="FootnoteReference"/>
          <w:sz w:val="18"/>
          <w:szCs w:val="18"/>
        </w:rPr>
        <w:footnoteRef/>
      </w:r>
      <w:r w:rsidRPr="000F0620">
        <w:rPr>
          <w:sz w:val="18"/>
          <w:szCs w:val="18"/>
        </w:rPr>
        <w:t xml:space="preserve"> In this letter, references to Scheme Reforms also include the Sustainability Initiative that the Agency launched in May 2025.</w:t>
      </w:r>
    </w:p>
  </w:footnote>
  <w:footnote w:id="3">
    <w:p w14:paraId="2296E485" w14:textId="666870C3" w:rsidR="006F4E69" w:rsidRPr="009A02AE" w:rsidRDefault="006F4E69">
      <w:pPr>
        <w:pStyle w:val="FootnoteText"/>
        <w:rPr>
          <w:sz w:val="18"/>
          <w:szCs w:val="18"/>
        </w:rPr>
      </w:pPr>
      <w:r>
        <w:rPr>
          <w:rStyle w:val="FootnoteReference"/>
        </w:rPr>
        <w:footnoteRef/>
      </w:r>
      <w:r>
        <w:t xml:space="preserve"> </w:t>
      </w:r>
      <w:r w:rsidR="006B74DA" w:rsidRPr="009A02AE">
        <w:rPr>
          <w:sz w:val="18"/>
          <w:szCs w:val="18"/>
        </w:rPr>
        <w:t>Namely, t</w:t>
      </w:r>
      <w:r w:rsidR="00EE4F8A" w:rsidRPr="009A02AE">
        <w:rPr>
          <w:sz w:val="18"/>
          <w:szCs w:val="18"/>
        </w:rPr>
        <w:t xml:space="preserve">he </w:t>
      </w:r>
      <w:r w:rsidRPr="009A02AE">
        <w:rPr>
          <w:i/>
          <w:iCs/>
          <w:sz w:val="18"/>
          <w:szCs w:val="18"/>
        </w:rPr>
        <w:t>National Disability Insurance Scheme Amendment (Getting the NDIS Back on Track No. 1) Act 2024</w:t>
      </w:r>
    </w:p>
  </w:footnote>
  <w:footnote w:id="4">
    <w:p w14:paraId="7EAE9A16" w14:textId="6644B93A" w:rsidR="00174D62" w:rsidRPr="00174D62" w:rsidRDefault="00174D62" w:rsidP="005209C3">
      <w:pPr>
        <w:pStyle w:val="FootnoteText"/>
        <w:ind w:left="284" w:hanging="284"/>
        <w:rPr>
          <w:sz w:val="18"/>
          <w:szCs w:val="18"/>
        </w:rPr>
      </w:pPr>
      <w:r w:rsidRPr="00566B1E">
        <w:rPr>
          <w:rStyle w:val="FootnoteReference"/>
          <w:sz w:val="18"/>
          <w:szCs w:val="18"/>
        </w:rPr>
        <w:footnoteRef/>
      </w:r>
      <w:r w:rsidRPr="00566B1E">
        <w:rPr>
          <w:sz w:val="18"/>
          <w:szCs w:val="18"/>
        </w:rPr>
        <w:t xml:space="preserve"> </w:t>
      </w:r>
      <w:r w:rsidR="005209C3" w:rsidRPr="00566B1E">
        <w:rPr>
          <w:sz w:val="18"/>
          <w:szCs w:val="18"/>
        </w:rPr>
        <w:tab/>
      </w:r>
      <w:r w:rsidR="005209C3">
        <w:rPr>
          <w:sz w:val="18"/>
          <w:szCs w:val="18"/>
        </w:rPr>
        <w:t>A</w:t>
      </w:r>
      <w:r w:rsidRPr="00174D62">
        <w:rPr>
          <w:sz w:val="18"/>
          <w:szCs w:val="18"/>
        </w:rPr>
        <w:t xml:space="preserve"> common reason for the remaining 10% of participants leaving the Scheme is because they move into a community/aged care facility</w:t>
      </w:r>
    </w:p>
  </w:footnote>
  <w:footnote w:id="5">
    <w:p w14:paraId="269FD3E8" w14:textId="1DF8746C" w:rsidR="00327E8F" w:rsidRDefault="00327E8F">
      <w:pPr>
        <w:pStyle w:val="FootnoteText"/>
      </w:pPr>
      <w:r>
        <w:rPr>
          <w:rStyle w:val="FootnoteReference"/>
        </w:rPr>
        <w:footnoteRef/>
      </w:r>
      <w:r>
        <w:t xml:space="preserve"> </w:t>
      </w:r>
      <w:r w:rsidRPr="00127DE8">
        <w:rPr>
          <w:sz w:val="18"/>
          <w:szCs w:val="18"/>
        </w:rPr>
        <w:t>Committed supports for 20</w:t>
      </w:r>
      <w:r w:rsidR="00395030">
        <w:rPr>
          <w:sz w:val="18"/>
          <w:szCs w:val="18"/>
        </w:rPr>
        <w:t>18</w:t>
      </w:r>
      <w:r w:rsidRPr="00127DE8">
        <w:rPr>
          <w:sz w:val="18"/>
          <w:szCs w:val="18"/>
        </w:rPr>
        <w:t xml:space="preserve"> to 2024 are estimated</w:t>
      </w:r>
      <w:r>
        <w:rPr>
          <w:sz w:val="18"/>
          <w:szCs w:val="18"/>
        </w:rPr>
        <w:t xml:space="preserve"> using actual average spend and actual utilisation, noting that these actual figures are taken from different sources</w:t>
      </w:r>
      <w:r w:rsidRPr="00127DE8">
        <w:rPr>
          <w:sz w:val="18"/>
          <w:szCs w:val="18"/>
        </w:rPr>
        <w:t>; 2025 is an actual figure</w:t>
      </w:r>
    </w:p>
  </w:footnote>
  <w:footnote w:id="6">
    <w:p w14:paraId="6F3CB3F3" w14:textId="0150E8F1" w:rsidR="00CA11F7" w:rsidRDefault="00CA11F7">
      <w:pPr>
        <w:pStyle w:val="FootnoteText"/>
      </w:pPr>
      <w:r>
        <w:rPr>
          <w:rStyle w:val="FootnoteReference"/>
        </w:rPr>
        <w:footnoteRef/>
      </w:r>
      <w:r>
        <w:t xml:space="preserve"> </w:t>
      </w:r>
      <w:r w:rsidRPr="002421DA">
        <w:rPr>
          <w:sz w:val="18"/>
          <w:szCs w:val="18"/>
        </w:rPr>
        <w:t>Committed supports for 2018 to 2024 are estimated</w:t>
      </w:r>
      <w:r w:rsidR="008650C1">
        <w:rPr>
          <w:sz w:val="18"/>
          <w:szCs w:val="18"/>
        </w:rPr>
        <w:t xml:space="preserve"> </w:t>
      </w:r>
      <w:r w:rsidR="0043766A">
        <w:rPr>
          <w:sz w:val="18"/>
          <w:szCs w:val="18"/>
        </w:rPr>
        <w:t xml:space="preserve">using actual average spend and </w:t>
      </w:r>
      <w:r w:rsidR="00AC167D">
        <w:rPr>
          <w:sz w:val="18"/>
          <w:szCs w:val="18"/>
        </w:rPr>
        <w:t xml:space="preserve">actual </w:t>
      </w:r>
      <w:r w:rsidR="007F5D11">
        <w:rPr>
          <w:sz w:val="18"/>
          <w:szCs w:val="18"/>
        </w:rPr>
        <w:t>utilisation</w:t>
      </w:r>
      <w:r w:rsidR="00880A4F">
        <w:rPr>
          <w:sz w:val="18"/>
          <w:szCs w:val="18"/>
        </w:rPr>
        <w:t xml:space="preserve">, noting that these actual figures are </w:t>
      </w:r>
      <w:r w:rsidR="008C210A">
        <w:rPr>
          <w:sz w:val="18"/>
          <w:szCs w:val="18"/>
        </w:rPr>
        <w:t>taken</w:t>
      </w:r>
      <w:r w:rsidR="00880A4F">
        <w:rPr>
          <w:sz w:val="18"/>
          <w:szCs w:val="18"/>
        </w:rPr>
        <w:t xml:space="preserve"> from </w:t>
      </w:r>
      <w:r w:rsidR="009812B7">
        <w:rPr>
          <w:sz w:val="18"/>
          <w:szCs w:val="18"/>
        </w:rPr>
        <w:t>differe</w:t>
      </w:r>
      <w:r w:rsidR="00556CCA">
        <w:rPr>
          <w:sz w:val="18"/>
          <w:szCs w:val="18"/>
        </w:rPr>
        <w:t>nt</w:t>
      </w:r>
      <w:r w:rsidR="008C210A">
        <w:rPr>
          <w:sz w:val="18"/>
          <w:szCs w:val="18"/>
        </w:rPr>
        <w:t xml:space="preserve"> sources</w:t>
      </w:r>
      <w:r w:rsidR="002201DF" w:rsidRPr="002421DA">
        <w:rPr>
          <w:sz w:val="18"/>
          <w:szCs w:val="18"/>
        </w:rPr>
        <w:t xml:space="preserve">; 2025 is </w:t>
      </w:r>
      <w:r w:rsidR="008650C1" w:rsidRPr="002421DA">
        <w:rPr>
          <w:sz w:val="18"/>
          <w:szCs w:val="18"/>
        </w:rPr>
        <w:t xml:space="preserve">an </w:t>
      </w:r>
      <w:r w:rsidR="002201DF" w:rsidRPr="002421DA">
        <w:rPr>
          <w:sz w:val="18"/>
          <w:szCs w:val="18"/>
        </w:rPr>
        <w:t>actual</w:t>
      </w:r>
      <w:r w:rsidR="008650C1" w:rsidRPr="002421DA">
        <w:rPr>
          <w:sz w:val="18"/>
          <w:szCs w:val="18"/>
        </w:rPr>
        <w:t xml:space="preserve"> figure</w:t>
      </w:r>
    </w:p>
  </w:footnote>
  <w:footnote w:id="7">
    <w:p w14:paraId="51BC0F22" w14:textId="77777777" w:rsidR="00007CE2" w:rsidRDefault="00007CE2" w:rsidP="00007CE2">
      <w:pPr>
        <w:pStyle w:val="FootnoteText"/>
      </w:pPr>
      <w:r>
        <w:rPr>
          <w:rStyle w:val="FootnoteReference"/>
        </w:rPr>
        <w:footnoteRef/>
      </w:r>
      <w:r>
        <w:t xml:space="preserve"> </w:t>
      </w:r>
      <w:r w:rsidRPr="008620D5">
        <w:rPr>
          <w:i/>
          <w:iCs/>
        </w:rPr>
        <w:t>National Disability Insurance Scheme—Rules for the Scheme Actuary 2013, rule 9, 25 June 2103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5275" w14:textId="4935138D" w:rsidR="00B34BF8" w:rsidRDefault="0093576D" w:rsidP="00B34BF8">
    <w:pPr>
      <w:pStyle w:val="SecurityClassificationHeader"/>
    </w:pPr>
    <w:fldSimple w:instr=" DOCPROPERTY WorkingDocStatus \* MERGEFORMAT ">
      <w:r>
        <w:t>DRAFT WORKING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DF7" w14:textId="495BA89F" w:rsidR="000C6EB0" w:rsidRPr="0043270D" w:rsidRDefault="00F43421" w:rsidP="0043270D">
    <w:pPr>
      <w:spacing w:after="160"/>
      <w:jc w:val="center"/>
      <w:rPr>
        <w:b/>
      </w:rPr>
    </w:pPr>
    <w:r>
      <w:fldChar w:fldCharType="begin"/>
    </w:r>
    <w:r w:rsidR="00E44E95">
      <w:instrText xml:space="preserve"> PAGE </w:instrText>
    </w:r>
    <w:r>
      <w:fldChar w:fldCharType="separate"/>
    </w:r>
    <w:r w:rsidR="0024661D">
      <w:rPr>
        <w:noProof/>
      </w:rPr>
      <w:t>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E54C" w14:textId="194C9631" w:rsidR="0081102E" w:rsidRDefault="0081102E" w:rsidP="00130922">
    <w:pPr>
      <w:pStyle w:val="SecurityClassificationHeader"/>
      <w:jc w:val="left"/>
    </w:pPr>
    <w:r w:rsidRPr="00F876E1">
      <w:rPr>
        <w:noProof/>
        <w:lang w:eastAsia="en-AU"/>
      </w:rPr>
      <w:drawing>
        <wp:anchor distT="0" distB="0" distL="114300" distR="114300" simplePos="0" relativeHeight="251658241" behindDoc="1" locked="0" layoutInCell="1" allowOverlap="1" wp14:anchorId="4D33191F" wp14:editId="573597D7">
          <wp:simplePos x="0" y="0"/>
          <wp:positionH relativeFrom="column">
            <wp:posOffset>-517525</wp:posOffset>
          </wp:positionH>
          <wp:positionV relativeFrom="paragraph">
            <wp:posOffset>-580390</wp:posOffset>
          </wp:positionV>
          <wp:extent cx="2438400" cy="496186"/>
          <wp:effectExtent l="0" t="0" r="0" b="0"/>
          <wp:wrapNone/>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961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70A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ECD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9AF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889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AC5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ACAE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27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A2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32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A2B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9380C"/>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1" w15:restartNumberingAfterBreak="0">
    <w:nsid w:val="09150CE8"/>
    <w:multiLevelType w:val="multilevel"/>
    <w:tmpl w:val="C4BAA8F0"/>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11E3531F"/>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14C73EEB"/>
    <w:multiLevelType w:val="hybridMultilevel"/>
    <w:tmpl w:val="F642DF12"/>
    <w:lvl w:ilvl="0" w:tplc="3E4EAC42">
      <w:start w:val="1"/>
      <w:numFmt w:val="decimal"/>
      <w:lvlText w:val="%1."/>
      <w:lvlJc w:val="left"/>
      <w:pPr>
        <w:ind w:left="1020" w:hanging="360"/>
      </w:pPr>
    </w:lvl>
    <w:lvl w:ilvl="1" w:tplc="0316E62E">
      <w:start w:val="1"/>
      <w:numFmt w:val="decimal"/>
      <w:lvlText w:val="%2."/>
      <w:lvlJc w:val="left"/>
      <w:pPr>
        <w:ind w:left="1020" w:hanging="360"/>
      </w:pPr>
    </w:lvl>
    <w:lvl w:ilvl="2" w:tplc="0430FB1A">
      <w:start w:val="1"/>
      <w:numFmt w:val="decimal"/>
      <w:lvlText w:val="%3."/>
      <w:lvlJc w:val="left"/>
      <w:pPr>
        <w:ind w:left="1020" w:hanging="360"/>
      </w:pPr>
    </w:lvl>
    <w:lvl w:ilvl="3" w:tplc="C3E01A2C">
      <w:start w:val="1"/>
      <w:numFmt w:val="decimal"/>
      <w:lvlText w:val="%4."/>
      <w:lvlJc w:val="left"/>
      <w:pPr>
        <w:ind w:left="1020" w:hanging="360"/>
      </w:pPr>
    </w:lvl>
    <w:lvl w:ilvl="4" w:tplc="6D34E01C">
      <w:start w:val="1"/>
      <w:numFmt w:val="decimal"/>
      <w:lvlText w:val="%5."/>
      <w:lvlJc w:val="left"/>
      <w:pPr>
        <w:ind w:left="1020" w:hanging="360"/>
      </w:pPr>
    </w:lvl>
    <w:lvl w:ilvl="5" w:tplc="17DE1064">
      <w:start w:val="1"/>
      <w:numFmt w:val="decimal"/>
      <w:lvlText w:val="%6."/>
      <w:lvlJc w:val="left"/>
      <w:pPr>
        <w:ind w:left="1020" w:hanging="360"/>
      </w:pPr>
    </w:lvl>
    <w:lvl w:ilvl="6" w:tplc="13F4CC40">
      <w:start w:val="1"/>
      <w:numFmt w:val="decimal"/>
      <w:lvlText w:val="%7."/>
      <w:lvlJc w:val="left"/>
      <w:pPr>
        <w:ind w:left="1020" w:hanging="360"/>
      </w:pPr>
    </w:lvl>
    <w:lvl w:ilvl="7" w:tplc="6778EA7C">
      <w:start w:val="1"/>
      <w:numFmt w:val="decimal"/>
      <w:lvlText w:val="%8."/>
      <w:lvlJc w:val="left"/>
      <w:pPr>
        <w:ind w:left="1020" w:hanging="360"/>
      </w:pPr>
    </w:lvl>
    <w:lvl w:ilvl="8" w:tplc="19866C02">
      <w:start w:val="1"/>
      <w:numFmt w:val="decimal"/>
      <w:lvlText w:val="%9."/>
      <w:lvlJc w:val="left"/>
      <w:pPr>
        <w:ind w:left="1020" w:hanging="360"/>
      </w:pPr>
    </w:lvl>
  </w:abstractNum>
  <w:abstractNum w:abstractNumId="14" w15:restartNumberingAfterBreak="0">
    <w:nsid w:val="18825CBB"/>
    <w:multiLevelType w:val="multilevel"/>
    <w:tmpl w:val="75825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C77948"/>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1F164E4E"/>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7" w15:restartNumberingAfterBreak="0">
    <w:nsid w:val="26C4388A"/>
    <w:multiLevelType w:val="hybridMultilevel"/>
    <w:tmpl w:val="FFFFFFFF"/>
    <w:lvl w:ilvl="0" w:tplc="A6081CE8">
      <w:start w:val="1"/>
      <w:numFmt w:val="decimal"/>
      <w:lvlText w:val="%1."/>
      <w:lvlJc w:val="left"/>
      <w:pPr>
        <w:ind w:left="472" w:hanging="360"/>
      </w:pPr>
    </w:lvl>
    <w:lvl w:ilvl="1" w:tplc="76DEB09C">
      <w:start w:val="1"/>
      <w:numFmt w:val="lowerLetter"/>
      <w:lvlText w:val="%2."/>
      <w:lvlJc w:val="left"/>
      <w:pPr>
        <w:ind w:left="944" w:hanging="360"/>
      </w:pPr>
    </w:lvl>
    <w:lvl w:ilvl="2" w:tplc="FE42DD3E">
      <w:start w:val="1"/>
      <w:numFmt w:val="lowerRoman"/>
      <w:lvlText w:val="%3."/>
      <w:lvlJc w:val="right"/>
      <w:pPr>
        <w:ind w:left="1416" w:hanging="180"/>
      </w:pPr>
    </w:lvl>
    <w:lvl w:ilvl="3" w:tplc="2D58CE54">
      <w:start w:val="1"/>
      <w:numFmt w:val="decimal"/>
      <w:lvlText w:val="%4."/>
      <w:lvlJc w:val="left"/>
      <w:pPr>
        <w:ind w:left="1440" w:hanging="360"/>
      </w:pPr>
    </w:lvl>
    <w:lvl w:ilvl="4" w:tplc="FC0879EA">
      <w:start w:val="1"/>
      <w:numFmt w:val="lowerLetter"/>
      <w:lvlText w:val="%5."/>
      <w:lvlJc w:val="left"/>
      <w:pPr>
        <w:ind w:left="1800" w:hanging="360"/>
      </w:pPr>
    </w:lvl>
    <w:lvl w:ilvl="5" w:tplc="9A981DC2">
      <w:start w:val="1"/>
      <w:numFmt w:val="lowerRoman"/>
      <w:lvlText w:val="%6."/>
      <w:lvlJc w:val="right"/>
      <w:pPr>
        <w:ind w:left="2160" w:hanging="180"/>
      </w:pPr>
    </w:lvl>
    <w:lvl w:ilvl="6" w:tplc="01FA1048">
      <w:start w:val="1"/>
      <w:numFmt w:val="decimal"/>
      <w:lvlText w:val="%7."/>
      <w:lvlJc w:val="left"/>
      <w:pPr>
        <w:ind w:left="2520" w:hanging="360"/>
      </w:pPr>
    </w:lvl>
    <w:lvl w:ilvl="7" w:tplc="17824018">
      <w:start w:val="1"/>
      <w:numFmt w:val="lowerLetter"/>
      <w:lvlText w:val="%8."/>
      <w:lvlJc w:val="left"/>
      <w:pPr>
        <w:ind w:left="2880" w:hanging="360"/>
      </w:pPr>
    </w:lvl>
    <w:lvl w:ilvl="8" w:tplc="68446F7E">
      <w:start w:val="1"/>
      <w:numFmt w:val="lowerRoman"/>
      <w:lvlText w:val="%9."/>
      <w:lvlJc w:val="right"/>
      <w:pPr>
        <w:ind w:left="3240" w:hanging="180"/>
      </w:pPr>
    </w:lvl>
  </w:abstractNum>
  <w:abstractNum w:abstractNumId="18" w15:restartNumberingAfterBreak="0">
    <w:nsid w:val="2ACD366A"/>
    <w:multiLevelType w:val="multilevel"/>
    <w:tmpl w:val="5218D840"/>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A83350"/>
    <w:multiLevelType w:val="multilevel"/>
    <w:tmpl w:val="8A321880"/>
    <w:name w:val="AGALettterBulletedList"/>
    <w:lvl w:ilvl="0">
      <w:start w:val="1"/>
      <w:numFmt w:val="bullet"/>
      <w:pStyle w:val="Bullet"/>
      <w:lvlText w:val="•"/>
      <w:lvlJc w:val="left"/>
      <w:pPr>
        <w:tabs>
          <w:tab w:val="num" w:pos="567"/>
        </w:tabs>
        <w:ind w:left="567" w:hanging="567"/>
      </w:pPr>
      <w:rPr>
        <w:rFonts w:ascii="Times New Roman" w:hAnsi="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F04B3C"/>
    <w:multiLevelType w:val="multilevel"/>
    <w:tmpl w:val="7F3EF964"/>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C44272"/>
    <w:multiLevelType w:val="multilevel"/>
    <w:tmpl w:val="7780CD5C"/>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578E1"/>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54FC0DD2"/>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15:restartNumberingAfterBreak="0">
    <w:nsid w:val="57AB065E"/>
    <w:multiLevelType w:val="multilevel"/>
    <w:tmpl w:val="D4C4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74E06"/>
    <w:multiLevelType w:val="multilevel"/>
    <w:tmpl w:val="4B3A819E"/>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09226C"/>
    <w:multiLevelType w:val="hybridMultilevel"/>
    <w:tmpl w:val="FFFFFFFF"/>
    <w:lvl w:ilvl="0" w:tplc="8750AFBE">
      <w:start w:val="1"/>
      <w:numFmt w:val="decimal"/>
      <w:lvlText w:val="%1."/>
      <w:lvlJc w:val="left"/>
      <w:pPr>
        <w:ind w:left="472" w:hanging="360"/>
      </w:pPr>
    </w:lvl>
    <w:lvl w:ilvl="1" w:tplc="B89E15D2">
      <w:start w:val="1"/>
      <w:numFmt w:val="lowerLetter"/>
      <w:lvlText w:val="%2."/>
      <w:lvlJc w:val="left"/>
      <w:pPr>
        <w:ind w:left="944" w:hanging="360"/>
      </w:pPr>
    </w:lvl>
    <w:lvl w:ilvl="2" w:tplc="8B9C8ADC">
      <w:start w:val="1"/>
      <w:numFmt w:val="lowerRoman"/>
      <w:lvlText w:val="%3."/>
      <w:lvlJc w:val="right"/>
      <w:pPr>
        <w:ind w:left="1416" w:hanging="180"/>
      </w:pPr>
    </w:lvl>
    <w:lvl w:ilvl="3" w:tplc="A6DCE8C4">
      <w:start w:val="1"/>
      <w:numFmt w:val="decimal"/>
      <w:lvlText w:val="%4."/>
      <w:lvlJc w:val="left"/>
      <w:pPr>
        <w:ind w:left="1440" w:hanging="360"/>
      </w:pPr>
    </w:lvl>
    <w:lvl w:ilvl="4" w:tplc="5854FB94">
      <w:start w:val="1"/>
      <w:numFmt w:val="lowerLetter"/>
      <w:lvlText w:val="%5."/>
      <w:lvlJc w:val="left"/>
      <w:pPr>
        <w:ind w:left="1800" w:hanging="360"/>
      </w:pPr>
    </w:lvl>
    <w:lvl w:ilvl="5" w:tplc="1968174C">
      <w:start w:val="1"/>
      <w:numFmt w:val="lowerRoman"/>
      <w:lvlText w:val="%6."/>
      <w:lvlJc w:val="right"/>
      <w:pPr>
        <w:ind w:left="2160" w:hanging="180"/>
      </w:pPr>
    </w:lvl>
    <w:lvl w:ilvl="6" w:tplc="0024D86A">
      <w:start w:val="1"/>
      <w:numFmt w:val="decimal"/>
      <w:lvlText w:val="%7."/>
      <w:lvlJc w:val="left"/>
      <w:pPr>
        <w:ind w:left="2520" w:hanging="360"/>
      </w:pPr>
    </w:lvl>
    <w:lvl w:ilvl="7" w:tplc="154209E8">
      <w:start w:val="1"/>
      <w:numFmt w:val="lowerLetter"/>
      <w:lvlText w:val="%8."/>
      <w:lvlJc w:val="left"/>
      <w:pPr>
        <w:ind w:left="2880" w:hanging="360"/>
      </w:pPr>
    </w:lvl>
    <w:lvl w:ilvl="8" w:tplc="6CF2F302">
      <w:start w:val="1"/>
      <w:numFmt w:val="lowerRoman"/>
      <w:lvlText w:val="%9."/>
      <w:lvlJc w:val="right"/>
      <w:pPr>
        <w:ind w:left="3240" w:hanging="180"/>
      </w:pPr>
    </w:lvl>
  </w:abstractNum>
  <w:abstractNum w:abstractNumId="27" w15:restartNumberingAfterBreak="0">
    <w:nsid w:val="61C94799"/>
    <w:multiLevelType w:val="multilevel"/>
    <w:tmpl w:val="3B221064"/>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874D88"/>
    <w:multiLevelType w:val="multilevel"/>
    <w:tmpl w:val="FCF05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2160"/>
        </w:tabs>
        <w:ind w:left="1152" w:hanging="1152"/>
      </w:pPr>
      <w:rPr>
        <w:rFonts w:hint="default"/>
      </w:rPr>
    </w:lvl>
    <w:lvl w:ilvl="6">
      <w:start w:val="1"/>
      <w:numFmt w:val="decimal"/>
      <w:lvlText w:val="%1.%2.%3.%4.%5.%6.%7"/>
      <w:lvlJc w:val="left"/>
      <w:pPr>
        <w:tabs>
          <w:tab w:val="num" w:pos="2520"/>
        </w:tabs>
        <w:ind w:left="1296" w:hanging="1296"/>
      </w:pPr>
      <w:rPr>
        <w:rFonts w:hint="default"/>
      </w:rPr>
    </w:lvl>
    <w:lvl w:ilvl="7">
      <w:start w:val="1"/>
      <w:numFmt w:val="decimal"/>
      <w:lvlText w:val="%1.%2.%3.%4.%5.%6.%7.%8"/>
      <w:lvlJc w:val="left"/>
      <w:pPr>
        <w:tabs>
          <w:tab w:val="num" w:pos="2880"/>
        </w:tabs>
        <w:ind w:left="1440" w:hanging="1440"/>
      </w:pPr>
      <w:rPr>
        <w:rFonts w:hint="default"/>
      </w:rPr>
    </w:lvl>
    <w:lvl w:ilvl="8">
      <w:start w:val="1"/>
      <w:numFmt w:val="decimal"/>
      <w:lvlRestart w:val="0"/>
      <w:lvlText w:val="%1.%2.%3.%4.%5.%6.%7.%8.%9"/>
      <w:lvlJc w:val="left"/>
      <w:pPr>
        <w:tabs>
          <w:tab w:val="num" w:pos="3240"/>
        </w:tabs>
        <w:ind w:left="1584" w:hanging="1584"/>
      </w:pPr>
      <w:rPr>
        <w:rFonts w:hint="default"/>
      </w:rPr>
    </w:lvl>
  </w:abstractNum>
  <w:abstractNum w:abstractNumId="29" w15:restartNumberingAfterBreak="0">
    <w:nsid w:val="68821A48"/>
    <w:multiLevelType w:val="hybridMultilevel"/>
    <w:tmpl w:val="F9000E84"/>
    <w:lvl w:ilvl="0" w:tplc="515CBE86">
      <w:start w:val="1"/>
      <w:numFmt w:val="decimal"/>
      <w:lvlText w:val="%1."/>
      <w:lvlJc w:val="left"/>
      <w:pPr>
        <w:ind w:left="1020" w:hanging="360"/>
      </w:pPr>
    </w:lvl>
    <w:lvl w:ilvl="1" w:tplc="9484F53C">
      <w:start w:val="1"/>
      <w:numFmt w:val="decimal"/>
      <w:lvlText w:val="%2."/>
      <w:lvlJc w:val="left"/>
      <w:pPr>
        <w:ind w:left="1020" w:hanging="360"/>
      </w:pPr>
    </w:lvl>
    <w:lvl w:ilvl="2" w:tplc="C172A840">
      <w:start w:val="1"/>
      <w:numFmt w:val="decimal"/>
      <w:lvlText w:val="%3."/>
      <w:lvlJc w:val="left"/>
      <w:pPr>
        <w:ind w:left="1020" w:hanging="360"/>
      </w:pPr>
    </w:lvl>
    <w:lvl w:ilvl="3" w:tplc="23E2D8BC">
      <w:start w:val="1"/>
      <w:numFmt w:val="decimal"/>
      <w:lvlText w:val="%4."/>
      <w:lvlJc w:val="left"/>
      <w:pPr>
        <w:ind w:left="1020" w:hanging="360"/>
      </w:pPr>
    </w:lvl>
    <w:lvl w:ilvl="4" w:tplc="38A46080">
      <w:start w:val="1"/>
      <w:numFmt w:val="decimal"/>
      <w:lvlText w:val="%5."/>
      <w:lvlJc w:val="left"/>
      <w:pPr>
        <w:ind w:left="1020" w:hanging="360"/>
      </w:pPr>
    </w:lvl>
    <w:lvl w:ilvl="5" w:tplc="891EBAAE">
      <w:start w:val="1"/>
      <w:numFmt w:val="decimal"/>
      <w:lvlText w:val="%6."/>
      <w:lvlJc w:val="left"/>
      <w:pPr>
        <w:ind w:left="1020" w:hanging="360"/>
      </w:pPr>
    </w:lvl>
    <w:lvl w:ilvl="6" w:tplc="3F56508A">
      <w:start w:val="1"/>
      <w:numFmt w:val="decimal"/>
      <w:lvlText w:val="%7."/>
      <w:lvlJc w:val="left"/>
      <w:pPr>
        <w:ind w:left="1020" w:hanging="360"/>
      </w:pPr>
    </w:lvl>
    <w:lvl w:ilvl="7" w:tplc="2814DBAA">
      <w:start w:val="1"/>
      <w:numFmt w:val="decimal"/>
      <w:lvlText w:val="%8."/>
      <w:lvlJc w:val="left"/>
      <w:pPr>
        <w:ind w:left="1020" w:hanging="360"/>
      </w:pPr>
    </w:lvl>
    <w:lvl w:ilvl="8" w:tplc="CCE06A5C">
      <w:start w:val="1"/>
      <w:numFmt w:val="decimal"/>
      <w:lvlText w:val="%9."/>
      <w:lvlJc w:val="left"/>
      <w:pPr>
        <w:ind w:left="1020" w:hanging="360"/>
      </w:pPr>
    </w:lvl>
  </w:abstractNum>
  <w:abstractNum w:abstractNumId="30" w15:restartNumberingAfterBreak="0">
    <w:nsid w:val="68E58C00"/>
    <w:multiLevelType w:val="hybridMultilevel"/>
    <w:tmpl w:val="FFFFFFFF"/>
    <w:lvl w:ilvl="0" w:tplc="2DC8D526">
      <w:start w:val="1"/>
      <w:numFmt w:val="decimal"/>
      <w:lvlText w:val="%1."/>
      <w:lvlJc w:val="left"/>
      <w:pPr>
        <w:ind w:left="472" w:hanging="360"/>
      </w:pPr>
    </w:lvl>
    <w:lvl w:ilvl="1" w:tplc="A2BEC338">
      <w:start w:val="1"/>
      <w:numFmt w:val="lowerLetter"/>
      <w:lvlText w:val="%2."/>
      <w:lvlJc w:val="left"/>
      <w:pPr>
        <w:ind w:left="944" w:hanging="360"/>
      </w:pPr>
    </w:lvl>
    <w:lvl w:ilvl="2" w:tplc="C4BE2552">
      <w:start w:val="1"/>
      <w:numFmt w:val="lowerRoman"/>
      <w:lvlText w:val="%3."/>
      <w:lvlJc w:val="right"/>
      <w:pPr>
        <w:ind w:left="1416" w:hanging="180"/>
      </w:pPr>
    </w:lvl>
    <w:lvl w:ilvl="3" w:tplc="08CE03F6">
      <w:start w:val="1"/>
      <w:numFmt w:val="decimal"/>
      <w:lvlText w:val="%4."/>
      <w:lvlJc w:val="left"/>
      <w:pPr>
        <w:ind w:left="1440" w:hanging="360"/>
      </w:pPr>
    </w:lvl>
    <w:lvl w:ilvl="4" w:tplc="5EE031B0">
      <w:start w:val="1"/>
      <w:numFmt w:val="lowerLetter"/>
      <w:lvlText w:val="%5."/>
      <w:lvlJc w:val="left"/>
      <w:pPr>
        <w:ind w:left="1800" w:hanging="360"/>
      </w:pPr>
    </w:lvl>
    <w:lvl w:ilvl="5" w:tplc="7E064670">
      <w:start w:val="1"/>
      <w:numFmt w:val="lowerRoman"/>
      <w:lvlText w:val="%6."/>
      <w:lvlJc w:val="right"/>
      <w:pPr>
        <w:ind w:left="2160" w:hanging="180"/>
      </w:pPr>
    </w:lvl>
    <w:lvl w:ilvl="6" w:tplc="8B3C1FAE">
      <w:start w:val="1"/>
      <w:numFmt w:val="decimal"/>
      <w:lvlText w:val="%7."/>
      <w:lvlJc w:val="left"/>
      <w:pPr>
        <w:ind w:left="2520" w:hanging="360"/>
      </w:pPr>
    </w:lvl>
    <w:lvl w:ilvl="7" w:tplc="A62A0AA0">
      <w:start w:val="1"/>
      <w:numFmt w:val="lowerLetter"/>
      <w:lvlText w:val="%8."/>
      <w:lvlJc w:val="left"/>
      <w:pPr>
        <w:ind w:left="2880" w:hanging="360"/>
      </w:pPr>
    </w:lvl>
    <w:lvl w:ilvl="8" w:tplc="D8D4D7E6">
      <w:start w:val="1"/>
      <w:numFmt w:val="lowerRoman"/>
      <w:lvlText w:val="%9."/>
      <w:lvlJc w:val="right"/>
      <w:pPr>
        <w:ind w:left="3240" w:hanging="180"/>
      </w:pPr>
    </w:lvl>
  </w:abstractNum>
  <w:abstractNum w:abstractNumId="31" w15:restartNumberingAfterBreak="0">
    <w:nsid w:val="7809294D"/>
    <w:multiLevelType w:val="hybridMultilevel"/>
    <w:tmpl w:val="59881490"/>
    <w:lvl w:ilvl="0" w:tplc="42CAD5E2">
      <w:start w:val="1"/>
      <w:numFmt w:val="decimal"/>
      <w:lvlText w:val="%1."/>
      <w:lvlJc w:val="left"/>
      <w:pPr>
        <w:ind w:left="720" w:hanging="360"/>
      </w:pPr>
    </w:lvl>
    <w:lvl w:ilvl="1" w:tplc="C1A8F9DA">
      <w:start w:val="1"/>
      <w:numFmt w:val="lowerLetter"/>
      <w:lvlText w:val="%2."/>
      <w:lvlJc w:val="left"/>
      <w:pPr>
        <w:ind w:left="1440" w:hanging="360"/>
      </w:pPr>
    </w:lvl>
    <w:lvl w:ilvl="2" w:tplc="D59A0A54">
      <w:start w:val="1"/>
      <w:numFmt w:val="lowerRoman"/>
      <w:lvlText w:val="%3."/>
      <w:lvlJc w:val="right"/>
      <w:pPr>
        <w:ind w:left="2160" w:hanging="180"/>
      </w:pPr>
    </w:lvl>
    <w:lvl w:ilvl="3" w:tplc="95127D6A">
      <w:start w:val="1"/>
      <w:numFmt w:val="decimal"/>
      <w:lvlText w:val="%4."/>
      <w:lvlJc w:val="left"/>
      <w:pPr>
        <w:ind w:left="2880" w:hanging="360"/>
      </w:pPr>
    </w:lvl>
    <w:lvl w:ilvl="4" w:tplc="DA8E0CB2">
      <w:start w:val="1"/>
      <w:numFmt w:val="lowerLetter"/>
      <w:lvlText w:val="%5."/>
      <w:lvlJc w:val="left"/>
      <w:pPr>
        <w:ind w:left="3600" w:hanging="360"/>
      </w:pPr>
    </w:lvl>
    <w:lvl w:ilvl="5" w:tplc="56D81D22">
      <w:start w:val="1"/>
      <w:numFmt w:val="lowerRoman"/>
      <w:lvlText w:val="%6."/>
      <w:lvlJc w:val="right"/>
      <w:pPr>
        <w:ind w:left="4320" w:hanging="180"/>
      </w:pPr>
    </w:lvl>
    <w:lvl w:ilvl="6" w:tplc="F782E866">
      <w:start w:val="1"/>
      <w:numFmt w:val="decimal"/>
      <w:lvlText w:val="%7."/>
      <w:lvlJc w:val="left"/>
      <w:pPr>
        <w:ind w:left="5040" w:hanging="360"/>
      </w:pPr>
    </w:lvl>
    <w:lvl w:ilvl="7" w:tplc="523E63BE">
      <w:start w:val="1"/>
      <w:numFmt w:val="lowerLetter"/>
      <w:lvlText w:val="%8."/>
      <w:lvlJc w:val="left"/>
      <w:pPr>
        <w:ind w:left="5760" w:hanging="360"/>
      </w:pPr>
    </w:lvl>
    <w:lvl w:ilvl="8" w:tplc="D840B18A">
      <w:start w:val="1"/>
      <w:numFmt w:val="lowerRoman"/>
      <w:lvlText w:val="%9."/>
      <w:lvlJc w:val="right"/>
      <w:pPr>
        <w:ind w:left="6480" w:hanging="180"/>
      </w:pPr>
    </w:lvl>
  </w:abstractNum>
  <w:abstractNum w:abstractNumId="32" w15:restartNumberingAfterBreak="0">
    <w:nsid w:val="7979584E"/>
    <w:multiLevelType w:val="hybridMultilevel"/>
    <w:tmpl w:val="DE305960"/>
    <w:lvl w:ilvl="0" w:tplc="4D82C564">
      <w:start w:val="1"/>
      <w:numFmt w:val="decimal"/>
      <w:lvlText w:val="%1."/>
      <w:lvlJc w:val="left"/>
      <w:pPr>
        <w:ind w:left="1020" w:hanging="360"/>
      </w:pPr>
    </w:lvl>
    <w:lvl w:ilvl="1" w:tplc="390E3D44">
      <w:start w:val="1"/>
      <w:numFmt w:val="decimal"/>
      <w:lvlText w:val="%2."/>
      <w:lvlJc w:val="left"/>
      <w:pPr>
        <w:ind w:left="1020" w:hanging="360"/>
      </w:pPr>
    </w:lvl>
    <w:lvl w:ilvl="2" w:tplc="B5A62540">
      <w:start w:val="1"/>
      <w:numFmt w:val="decimal"/>
      <w:lvlText w:val="%3."/>
      <w:lvlJc w:val="left"/>
      <w:pPr>
        <w:ind w:left="1020" w:hanging="360"/>
      </w:pPr>
    </w:lvl>
    <w:lvl w:ilvl="3" w:tplc="6F7A0FFA">
      <w:start w:val="1"/>
      <w:numFmt w:val="decimal"/>
      <w:lvlText w:val="%4."/>
      <w:lvlJc w:val="left"/>
      <w:pPr>
        <w:ind w:left="1020" w:hanging="360"/>
      </w:pPr>
    </w:lvl>
    <w:lvl w:ilvl="4" w:tplc="3E62A5DC">
      <w:start w:val="1"/>
      <w:numFmt w:val="decimal"/>
      <w:lvlText w:val="%5."/>
      <w:lvlJc w:val="left"/>
      <w:pPr>
        <w:ind w:left="1020" w:hanging="360"/>
      </w:pPr>
    </w:lvl>
    <w:lvl w:ilvl="5" w:tplc="50CC1646">
      <w:start w:val="1"/>
      <w:numFmt w:val="decimal"/>
      <w:lvlText w:val="%6."/>
      <w:lvlJc w:val="left"/>
      <w:pPr>
        <w:ind w:left="1020" w:hanging="360"/>
      </w:pPr>
    </w:lvl>
    <w:lvl w:ilvl="6" w:tplc="E36EA09E">
      <w:start w:val="1"/>
      <w:numFmt w:val="decimal"/>
      <w:lvlText w:val="%7."/>
      <w:lvlJc w:val="left"/>
      <w:pPr>
        <w:ind w:left="1020" w:hanging="360"/>
      </w:pPr>
    </w:lvl>
    <w:lvl w:ilvl="7" w:tplc="75E68F36">
      <w:start w:val="1"/>
      <w:numFmt w:val="decimal"/>
      <w:lvlText w:val="%8."/>
      <w:lvlJc w:val="left"/>
      <w:pPr>
        <w:ind w:left="1020" w:hanging="360"/>
      </w:pPr>
    </w:lvl>
    <w:lvl w:ilvl="8" w:tplc="75C2ED84">
      <w:start w:val="1"/>
      <w:numFmt w:val="decimal"/>
      <w:lvlText w:val="%9."/>
      <w:lvlJc w:val="left"/>
      <w:pPr>
        <w:ind w:left="1020" w:hanging="360"/>
      </w:pPr>
    </w:lvl>
  </w:abstractNum>
  <w:abstractNum w:abstractNumId="33" w15:restartNumberingAfterBreak="0">
    <w:nsid w:val="7C4704FB"/>
    <w:multiLevelType w:val="multilevel"/>
    <w:tmpl w:val="8126FB58"/>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2022852214">
    <w:abstractNumId w:val="27"/>
  </w:num>
  <w:num w:numId="2" w16cid:durableId="920716700">
    <w:abstractNumId w:val="21"/>
  </w:num>
  <w:num w:numId="3" w16cid:durableId="677926187">
    <w:abstractNumId w:val="20"/>
  </w:num>
  <w:num w:numId="4" w16cid:durableId="1988896988">
    <w:abstractNumId w:val="31"/>
  </w:num>
  <w:num w:numId="5" w16cid:durableId="327682763">
    <w:abstractNumId w:val="33"/>
  </w:num>
  <w:num w:numId="6" w16cid:durableId="837773311">
    <w:abstractNumId w:val="11"/>
  </w:num>
  <w:num w:numId="7" w16cid:durableId="2002584143">
    <w:abstractNumId w:val="15"/>
  </w:num>
  <w:num w:numId="8" w16cid:durableId="324093555">
    <w:abstractNumId w:val="10"/>
  </w:num>
  <w:num w:numId="9" w16cid:durableId="537208326">
    <w:abstractNumId w:val="22"/>
  </w:num>
  <w:num w:numId="10" w16cid:durableId="1468008534">
    <w:abstractNumId w:val="12"/>
  </w:num>
  <w:num w:numId="11" w16cid:durableId="1474981922">
    <w:abstractNumId w:val="16"/>
  </w:num>
  <w:num w:numId="12" w16cid:durableId="1753315641">
    <w:abstractNumId w:val="23"/>
  </w:num>
  <w:num w:numId="13" w16cid:durableId="1632588457">
    <w:abstractNumId w:val="28"/>
  </w:num>
  <w:num w:numId="14" w16cid:durableId="890843126">
    <w:abstractNumId w:val="9"/>
  </w:num>
  <w:num w:numId="15" w16cid:durableId="736782015">
    <w:abstractNumId w:val="7"/>
  </w:num>
  <w:num w:numId="16" w16cid:durableId="924459346">
    <w:abstractNumId w:val="6"/>
  </w:num>
  <w:num w:numId="17" w16cid:durableId="1590849084">
    <w:abstractNumId w:val="5"/>
  </w:num>
  <w:num w:numId="18" w16cid:durableId="1597132939">
    <w:abstractNumId w:val="4"/>
  </w:num>
  <w:num w:numId="19" w16cid:durableId="601844614">
    <w:abstractNumId w:val="8"/>
  </w:num>
  <w:num w:numId="20" w16cid:durableId="297345617">
    <w:abstractNumId w:val="3"/>
  </w:num>
  <w:num w:numId="21" w16cid:durableId="1858805397">
    <w:abstractNumId w:val="2"/>
  </w:num>
  <w:num w:numId="22" w16cid:durableId="356395687">
    <w:abstractNumId w:val="1"/>
  </w:num>
  <w:num w:numId="23" w16cid:durableId="1794399149">
    <w:abstractNumId w:val="0"/>
  </w:num>
  <w:num w:numId="24" w16cid:durableId="359235324">
    <w:abstractNumId w:val="19"/>
  </w:num>
  <w:num w:numId="25" w16cid:durableId="2059472970">
    <w:abstractNumId w:val="18"/>
  </w:num>
  <w:num w:numId="26" w16cid:durableId="1567760898">
    <w:abstractNumId w:val="25"/>
  </w:num>
  <w:num w:numId="27" w16cid:durableId="1973512544">
    <w:abstractNumId w:val="25"/>
  </w:num>
  <w:num w:numId="28" w16cid:durableId="403376669">
    <w:abstractNumId w:val="25"/>
  </w:num>
  <w:num w:numId="29" w16cid:durableId="1401639102">
    <w:abstractNumId w:val="25"/>
  </w:num>
  <w:num w:numId="30" w16cid:durableId="1549344512">
    <w:abstractNumId w:val="25"/>
  </w:num>
  <w:num w:numId="31" w16cid:durableId="960723503">
    <w:abstractNumId w:val="25"/>
  </w:num>
  <w:num w:numId="32" w16cid:durableId="112098743">
    <w:abstractNumId w:val="17"/>
  </w:num>
  <w:num w:numId="33" w16cid:durableId="1023900162">
    <w:abstractNumId w:val="26"/>
  </w:num>
  <w:num w:numId="34" w16cid:durableId="1810782514">
    <w:abstractNumId w:val="30"/>
  </w:num>
  <w:num w:numId="35" w16cid:durableId="214125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26027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716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9537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8613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2631173">
    <w:abstractNumId w:val="25"/>
  </w:num>
  <w:num w:numId="41" w16cid:durableId="153227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3047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916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5199923">
    <w:abstractNumId w:val="24"/>
  </w:num>
  <w:num w:numId="45" w16cid:durableId="1550648003">
    <w:abstractNumId w:val="14"/>
  </w:num>
  <w:num w:numId="46" w16cid:durableId="2008172852">
    <w:abstractNumId w:val="13"/>
  </w:num>
  <w:num w:numId="47" w16cid:durableId="1333801057">
    <w:abstractNumId w:val="32"/>
  </w:num>
  <w:num w:numId="48" w16cid:durableId="1608197502">
    <w:abstractNumId w:val="29"/>
  </w:num>
  <w:num w:numId="49" w16cid:durableId="1371342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True"/>
  </w:docVars>
  <w:rsids>
    <w:rsidRoot w:val="003043C8"/>
    <w:rsid w:val="00000081"/>
    <w:rsid w:val="000001EF"/>
    <w:rsid w:val="0000020F"/>
    <w:rsid w:val="000006AC"/>
    <w:rsid w:val="00000D6D"/>
    <w:rsid w:val="000012C7"/>
    <w:rsid w:val="000012D3"/>
    <w:rsid w:val="00001715"/>
    <w:rsid w:val="00001E45"/>
    <w:rsid w:val="00002091"/>
    <w:rsid w:val="0000212F"/>
    <w:rsid w:val="000024FD"/>
    <w:rsid w:val="00002537"/>
    <w:rsid w:val="00002581"/>
    <w:rsid w:val="000025A0"/>
    <w:rsid w:val="0000275E"/>
    <w:rsid w:val="00002F02"/>
    <w:rsid w:val="000036FA"/>
    <w:rsid w:val="00003DD2"/>
    <w:rsid w:val="00003DFA"/>
    <w:rsid w:val="00004020"/>
    <w:rsid w:val="00004215"/>
    <w:rsid w:val="00004216"/>
    <w:rsid w:val="000042DD"/>
    <w:rsid w:val="000043B6"/>
    <w:rsid w:val="000045CC"/>
    <w:rsid w:val="00004609"/>
    <w:rsid w:val="00004652"/>
    <w:rsid w:val="0000477F"/>
    <w:rsid w:val="000049B5"/>
    <w:rsid w:val="00004B84"/>
    <w:rsid w:val="00005214"/>
    <w:rsid w:val="000058BB"/>
    <w:rsid w:val="00005ABE"/>
    <w:rsid w:val="00005B2D"/>
    <w:rsid w:val="00005B8F"/>
    <w:rsid w:val="00005C26"/>
    <w:rsid w:val="00005C51"/>
    <w:rsid w:val="00005E73"/>
    <w:rsid w:val="00005F2D"/>
    <w:rsid w:val="000062B1"/>
    <w:rsid w:val="00006324"/>
    <w:rsid w:val="00006393"/>
    <w:rsid w:val="00006467"/>
    <w:rsid w:val="00006613"/>
    <w:rsid w:val="00006E0B"/>
    <w:rsid w:val="00006EE8"/>
    <w:rsid w:val="00006F60"/>
    <w:rsid w:val="000071E8"/>
    <w:rsid w:val="000077D5"/>
    <w:rsid w:val="0000798D"/>
    <w:rsid w:val="00007BC7"/>
    <w:rsid w:val="00007BFF"/>
    <w:rsid w:val="00007CE2"/>
    <w:rsid w:val="0001056A"/>
    <w:rsid w:val="00010591"/>
    <w:rsid w:val="0001088B"/>
    <w:rsid w:val="00010CF8"/>
    <w:rsid w:val="00010DD6"/>
    <w:rsid w:val="00010EC6"/>
    <w:rsid w:val="00011338"/>
    <w:rsid w:val="000113A4"/>
    <w:rsid w:val="000113E4"/>
    <w:rsid w:val="000119ED"/>
    <w:rsid w:val="00011AAC"/>
    <w:rsid w:val="00011EF6"/>
    <w:rsid w:val="00012547"/>
    <w:rsid w:val="000128B7"/>
    <w:rsid w:val="00012C17"/>
    <w:rsid w:val="00012D3E"/>
    <w:rsid w:val="00012F9B"/>
    <w:rsid w:val="0001308D"/>
    <w:rsid w:val="0001311D"/>
    <w:rsid w:val="0001318B"/>
    <w:rsid w:val="00013299"/>
    <w:rsid w:val="0001329A"/>
    <w:rsid w:val="000137B1"/>
    <w:rsid w:val="00013CFD"/>
    <w:rsid w:val="00014050"/>
    <w:rsid w:val="0001416F"/>
    <w:rsid w:val="000142E7"/>
    <w:rsid w:val="00014826"/>
    <w:rsid w:val="000148E2"/>
    <w:rsid w:val="000149A8"/>
    <w:rsid w:val="00014ABC"/>
    <w:rsid w:val="00015163"/>
    <w:rsid w:val="00015B3A"/>
    <w:rsid w:val="000160C2"/>
    <w:rsid w:val="000162D4"/>
    <w:rsid w:val="00016521"/>
    <w:rsid w:val="00016594"/>
    <w:rsid w:val="0001672F"/>
    <w:rsid w:val="00016C50"/>
    <w:rsid w:val="00016E28"/>
    <w:rsid w:val="00017096"/>
    <w:rsid w:val="00017106"/>
    <w:rsid w:val="000171DD"/>
    <w:rsid w:val="000172A7"/>
    <w:rsid w:val="00017B83"/>
    <w:rsid w:val="00017EC6"/>
    <w:rsid w:val="00020421"/>
    <w:rsid w:val="000208A4"/>
    <w:rsid w:val="00020947"/>
    <w:rsid w:val="00020AD3"/>
    <w:rsid w:val="00020F97"/>
    <w:rsid w:val="00021045"/>
    <w:rsid w:val="00021351"/>
    <w:rsid w:val="00021A31"/>
    <w:rsid w:val="0002228E"/>
    <w:rsid w:val="0002232F"/>
    <w:rsid w:val="0002255B"/>
    <w:rsid w:val="00022AFA"/>
    <w:rsid w:val="00022F33"/>
    <w:rsid w:val="00022FE0"/>
    <w:rsid w:val="00023375"/>
    <w:rsid w:val="0002337C"/>
    <w:rsid w:val="0002366A"/>
    <w:rsid w:val="00023828"/>
    <w:rsid w:val="00023AD4"/>
    <w:rsid w:val="00023BB4"/>
    <w:rsid w:val="00023C73"/>
    <w:rsid w:val="000246AA"/>
    <w:rsid w:val="000247B0"/>
    <w:rsid w:val="00024A66"/>
    <w:rsid w:val="00024A9A"/>
    <w:rsid w:val="00024B0A"/>
    <w:rsid w:val="00025277"/>
    <w:rsid w:val="0002564C"/>
    <w:rsid w:val="00025AA0"/>
    <w:rsid w:val="00025EA8"/>
    <w:rsid w:val="00026062"/>
    <w:rsid w:val="000260A3"/>
    <w:rsid w:val="000268F8"/>
    <w:rsid w:val="00026AC2"/>
    <w:rsid w:val="00026AC4"/>
    <w:rsid w:val="00026BEF"/>
    <w:rsid w:val="00026CBA"/>
    <w:rsid w:val="0002720A"/>
    <w:rsid w:val="00027716"/>
    <w:rsid w:val="00027DD0"/>
    <w:rsid w:val="00027F28"/>
    <w:rsid w:val="0003027C"/>
    <w:rsid w:val="0003029B"/>
    <w:rsid w:val="00030365"/>
    <w:rsid w:val="000303C1"/>
    <w:rsid w:val="0003070B"/>
    <w:rsid w:val="00030BD0"/>
    <w:rsid w:val="00030D97"/>
    <w:rsid w:val="00030F3E"/>
    <w:rsid w:val="00031366"/>
    <w:rsid w:val="00031E84"/>
    <w:rsid w:val="0003200C"/>
    <w:rsid w:val="00032020"/>
    <w:rsid w:val="00032092"/>
    <w:rsid w:val="000322C8"/>
    <w:rsid w:val="0003230E"/>
    <w:rsid w:val="0003247A"/>
    <w:rsid w:val="00032634"/>
    <w:rsid w:val="00032961"/>
    <w:rsid w:val="00033019"/>
    <w:rsid w:val="00033155"/>
    <w:rsid w:val="0003353F"/>
    <w:rsid w:val="00033A5B"/>
    <w:rsid w:val="00033D87"/>
    <w:rsid w:val="00033D92"/>
    <w:rsid w:val="00034162"/>
    <w:rsid w:val="00034718"/>
    <w:rsid w:val="000348AA"/>
    <w:rsid w:val="0003493B"/>
    <w:rsid w:val="000349F7"/>
    <w:rsid w:val="00034BA5"/>
    <w:rsid w:val="00034E86"/>
    <w:rsid w:val="000350F6"/>
    <w:rsid w:val="0003556B"/>
    <w:rsid w:val="000361E0"/>
    <w:rsid w:val="000367BC"/>
    <w:rsid w:val="00036919"/>
    <w:rsid w:val="000369DA"/>
    <w:rsid w:val="0003706B"/>
    <w:rsid w:val="00037346"/>
    <w:rsid w:val="0003754E"/>
    <w:rsid w:val="000376DE"/>
    <w:rsid w:val="0003786B"/>
    <w:rsid w:val="00037C5A"/>
    <w:rsid w:val="00037CB8"/>
    <w:rsid w:val="0004026F"/>
    <w:rsid w:val="0004084D"/>
    <w:rsid w:val="00040FBE"/>
    <w:rsid w:val="0004128F"/>
    <w:rsid w:val="00042317"/>
    <w:rsid w:val="00042532"/>
    <w:rsid w:val="00042564"/>
    <w:rsid w:val="00042A2F"/>
    <w:rsid w:val="00042AA6"/>
    <w:rsid w:val="000431DE"/>
    <w:rsid w:val="0004335F"/>
    <w:rsid w:val="00043483"/>
    <w:rsid w:val="00043996"/>
    <w:rsid w:val="00043E94"/>
    <w:rsid w:val="00044357"/>
    <w:rsid w:val="000444EF"/>
    <w:rsid w:val="000449A0"/>
    <w:rsid w:val="00044B76"/>
    <w:rsid w:val="00044EBA"/>
    <w:rsid w:val="000451B1"/>
    <w:rsid w:val="0004528E"/>
    <w:rsid w:val="00045397"/>
    <w:rsid w:val="00045687"/>
    <w:rsid w:val="000456DC"/>
    <w:rsid w:val="000457CC"/>
    <w:rsid w:val="000458F8"/>
    <w:rsid w:val="00045BC0"/>
    <w:rsid w:val="00045D77"/>
    <w:rsid w:val="00045E85"/>
    <w:rsid w:val="000462C0"/>
    <w:rsid w:val="0004663D"/>
    <w:rsid w:val="00046793"/>
    <w:rsid w:val="00046923"/>
    <w:rsid w:val="00046A6B"/>
    <w:rsid w:val="00046CEC"/>
    <w:rsid w:val="00046D69"/>
    <w:rsid w:val="00047191"/>
    <w:rsid w:val="00047CA4"/>
    <w:rsid w:val="00047F70"/>
    <w:rsid w:val="0005016B"/>
    <w:rsid w:val="000505CC"/>
    <w:rsid w:val="000509A4"/>
    <w:rsid w:val="00050A04"/>
    <w:rsid w:val="00050AE8"/>
    <w:rsid w:val="00050D9F"/>
    <w:rsid w:val="00050F24"/>
    <w:rsid w:val="000513F7"/>
    <w:rsid w:val="000515CF"/>
    <w:rsid w:val="00051AF9"/>
    <w:rsid w:val="00051C10"/>
    <w:rsid w:val="00051F2D"/>
    <w:rsid w:val="00052082"/>
    <w:rsid w:val="00052187"/>
    <w:rsid w:val="000521BD"/>
    <w:rsid w:val="00052A7A"/>
    <w:rsid w:val="00052EA3"/>
    <w:rsid w:val="00052EE4"/>
    <w:rsid w:val="00052F6D"/>
    <w:rsid w:val="000532B7"/>
    <w:rsid w:val="00053627"/>
    <w:rsid w:val="000537C4"/>
    <w:rsid w:val="00053AE3"/>
    <w:rsid w:val="0005412C"/>
    <w:rsid w:val="00054162"/>
    <w:rsid w:val="00054472"/>
    <w:rsid w:val="00054498"/>
    <w:rsid w:val="00054909"/>
    <w:rsid w:val="00054F15"/>
    <w:rsid w:val="0005504E"/>
    <w:rsid w:val="0005518E"/>
    <w:rsid w:val="0005525D"/>
    <w:rsid w:val="00055388"/>
    <w:rsid w:val="0005549F"/>
    <w:rsid w:val="000558BC"/>
    <w:rsid w:val="000558DD"/>
    <w:rsid w:val="00055909"/>
    <w:rsid w:val="00055A90"/>
    <w:rsid w:val="0005607A"/>
    <w:rsid w:val="00056886"/>
    <w:rsid w:val="00056D09"/>
    <w:rsid w:val="0005763E"/>
    <w:rsid w:val="00057C41"/>
    <w:rsid w:val="000602DA"/>
    <w:rsid w:val="00060407"/>
    <w:rsid w:val="0006041B"/>
    <w:rsid w:val="0006109C"/>
    <w:rsid w:val="000611D1"/>
    <w:rsid w:val="000616D7"/>
    <w:rsid w:val="000624E6"/>
    <w:rsid w:val="000624E8"/>
    <w:rsid w:val="00062916"/>
    <w:rsid w:val="00062B55"/>
    <w:rsid w:val="000631EE"/>
    <w:rsid w:val="0006346D"/>
    <w:rsid w:val="00063AF2"/>
    <w:rsid w:val="00063D06"/>
    <w:rsid w:val="0006417C"/>
    <w:rsid w:val="00064462"/>
    <w:rsid w:val="00064884"/>
    <w:rsid w:val="00064B95"/>
    <w:rsid w:val="00064D7A"/>
    <w:rsid w:val="00064EA8"/>
    <w:rsid w:val="0006546A"/>
    <w:rsid w:val="000658B3"/>
    <w:rsid w:val="0006598A"/>
    <w:rsid w:val="00065A5D"/>
    <w:rsid w:val="00065A79"/>
    <w:rsid w:val="00065E79"/>
    <w:rsid w:val="00066210"/>
    <w:rsid w:val="00066359"/>
    <w:rsid w:val="000666D4"/>
    <w:rsid w:val="000667CB"/>
    <w:rsid w:val="00066D69"/>
    <w:rsid w:val="00066E4A"/>
    <w:rsid w:val="00066EDE"/>
    <w:rsid w:val="00066F17"/>
    <w:rsid w:val="00067088"/>
    <w:rsid w:val="00067246"/>
    <w:rsid w:val="00067270"/>
    <w:rsid w:val="00067627"/>
    <w:rsid w:val="000677FC"/>
    <w:rsid w:val="000679DF"/>
    <w:rsid w:val="00067A14"/>
    <w:rsid w:val="00067A97"/>
    <w:rsid w:val="00067E35"/>
    <w:rsid w:val="00070035"/>
    <w:rsid w:val="000701B7"/>
    <w:rsid w:val="000708D7"/>
    <w:rsid w:val="000710BD"/>
    <w:rsid w:val="00071791"/>
    <w:rsid w:val="0007188F"/>
    <w:rsid w:val="000718BB"/>
    <w:rsid w:val="00071C87"/>
    <w:rsid w:val="00071E75"/>
    <w:rsid w:val="0007202B"/>
    <w:rsid w:val="0007205B"/>
    <w:rsid w:val="0007251F"/>
    <w:rsid w:val="00072598"/>
    <w:rsid w:val="00072D32"/>
    <w:rsid w:val="00072FB7"/>
    <w:rsid w:val="000732D7"/>
    <w:rsid w:val="000732E3"/>
    <w:rsid w:val="000733F4"/>
    <w:rsid w:val="000738BC"/>
    <w:rsid w:val="00073BFD"/>
    <w:rsid w:val="00073CB2"/>
    <w:rsid w:val="00073E9D"/>
    <w:rsid w:val="00073FF9"/>
    <w:rsid w:val="000741F9"/>
    <w:rsid w:val="00074260"/>
    <w:rsid w:val="00074561"/>
    <w:rsid w:val="00074721"/>
    <w:rsid w:val="00074B0C"/>
    <w:rsid w:val="00074BDE"/>
    <w:rsid w:val="00074C93"/>
    <w:rsid w:val="00074E50"/>
    <w:rsid w:val="00074FEB"/>
    <w:rsid w:val="00075738"/>
    <w:rsid w:val="00075884"/>
    <w:rsid w:val="00075C4E"/>
    <w:rsid w:val="00075D6C"/>
    <w:rsid w:val="00075D74"/>
    <w:rsid w:val="00076104"/>
    <w:rsid w:val="0007627C"/>
    <w:rsid w:val="000762B0"/>
    <w:rsid w:val="00076688"/>
    <w:rsid w:val="00077468"/>
    <w:rsid w:val="000775CB"/>
    <w:rsid w:val="000775E6"/>
    <w:rsid w:val="0007793B"/>
    <w:rsid w:val="00077D56"/>
    <w:rsid w:val="000800E7"/>
    <w:rsid w:val="00080304"/>
    <w:rsid w:val="000808A8"/>
    <w:rsid w:val="000808ED"/>
    <w:rsid w:val="00080AAD"/>
    <w:rsid w:val="00080AB2"/>
    <w:rsid w:val="00080BED"/>
    <w:rsid w:val="00080C8F"/>
    <w:rsid w:val="00080D30"/>
    <w:rsid w:val="0008106E"/>
    <w:rsid w:val="00081343"/>
    <w:rsid w:val="000814B6"/>
    <w:rsid w:val="000815E9"/>
    <w:rsid w:val="000817E7"/>
    <w:rsid w:val="00081F9D"/>
    <w:rsid w:val="000820EA"/>
    <w:rsid w:val="000820FC"/>
    <w:rsid w:val="0008228D"/>
    <w:rsid w:val="000822A2"/>
    <w:rsid w:val="00082458"/>
    <w:rsid w:val="00082853"/>
    <w:rsid w:val="000829D6"/>
    <w:rsid w:val="00082A4F"/>
    <w:rsid w:val="00082A6C"/>
    <w:rsid w:val="00082D5E"/>
    <w:rsid w:val="00082DB6"/>
    <w:rsid w:val="00083421"/>
    <w:rsid w:val="0008377E"/>
    <w:rsid w:val="00083B01"/>
    <w:rsid w:val="00083B15"/>
    <w:rsid w:val="00083B84"/>
    <w:rsid w:val="00083E94"/>
    <w:rsid w:val="000842AA"/>
    <w:rsid w:val="00084370"/>
    <w:rsid w:val="000843DB"/>
    <w:rsid w:val="00084530"/>
    <w:rsid w:val="000845F2"/>
    <w:rsid w:val="0008477F"/>
    <w:rsid w:val="000847D8"/>
    <w:rsid w:val="0008483A"/>
    <w:rsid w:val="000848F6"/>
    <w:rsid w:val="0008522D"/>
    <w:rsid w:val="00085397"/>
    <w:rsid w:val="0008565A"/>
    <w:rsid w:val="000856AB"/>
    <w:rsid w:val="00085726"/>
    <w:rsid w:val="00085867"/>
    <w:rsid w:val="000858F6"/>
    <w:rsid w:val="00085DF0"/>
    <w:rsid w:val="0008610D"/>
    <w:rsid w:val="000862C3"/>
    <w:rsid w:val="00086332"/>
    <w:rsid w:val="000863B5"/>
    <w:rsid w:val="000864E4"/>
    <w:rsid w:val="00086F7C"/>
    <w:rsid w:val="00086FFD"/>
    <w:rsid w:val="0008712C"/>
    <w:rsid w:val="0008761A"/>
    <w:rsid w:val="00090034"/>
    <w:rsid w:val="0009018B"/>
    <w:rsid w:val="0009059E"/>
    <w:rsid w:val="00090A3C"/>
    <w:rsid w:val="00091108"/>
    <w:rsid w:val="0009169A"/>
    <w:rsid w:val="0009193B"/>
    <w:rsid w:val="000919DB"/>
    <w:rsid w:val="00091BFE"/>
    <w:rsid w:val="00092251"/>
    <w:rsid w:val="00092277"/>
    <w:rsid w:val="00092324"/>
    <w:rsid w:val="0009265B"/>
    <w:rsid w:val="0009273F"/>
    <w:rsid w:val="00092959"/>
    <w:rsid w:val="0009297B"/>
    <w:rsid w:val="00092DAB"/>
    <w:rsid w:val="00092E2E"/>
    <w:rsid w:val="000935CC"/>
    <w:rsid w:val="000939B4"/>
    <w:rsid w:val="00093C38"/>
    <w:rsid w:val="00093E53"/>
    <w:rsid w:val="00093EC7"/>
    <w:rsid w:val="00093ED4"/>
    <w:rsid w:val="00093F9F"/>
    <w:rsid w:val="000940EA"/>
    <w:rsid w:val="00094860"/>
    <w:rsid w:val="000949C0"/>
    <w:rsid w:val="00094A57"/>
    <w:rsid w:val="00094A70"/>
    <w:rsid w:val="00094DEB"/>
    <w:rsid w:val="00094F3A"/>
    <w:rsid w:val="00094F86"/>
    <w:rsid w:val="00095A27"/>
    <w:rsid w:val="00095C41"/>
    <w:rsid w:val="000961F0"/>
    <w:rsid w:val="00096466"/>
    <w:rsid w:val="000966A7"/>
    <w:rsid w:val="000969D0"/>
    <w:rsid w:val="00096A10"/>
    <w:rsid w:val="00096B1F"/>
    <w:rsid w:val="00096F06"/>
    <w:rsid w:val="00097A15"/>
    <w:rsid w:val="00097BA1"/>
    <w:rsid w:val="00097E45"/>
    <w:rsid w:val="00097EF4"/>
    <w:rsid w:val="00097F9F"/>
    <w:rsid w:val="000A00B5"/>
    <w:rsid w:val="000A00B8"/>
    <w:rsid w:val="000A02ED"/>
    <w:rsid w:val="000A0631"/>
    <w:rsid w:val="000A068B"/>
    <w:rsid w:val="000A088A"/>
    <w:rsid w:val="000A0954"/>
    <w:rsid w:val="000A0A86"/>
    <w:rsid w:val="000A1315"/>
    <w:rsid w:val="000A1562"/>
    <w:rsid w:val="000A1981"/>
    <w:rsid w:val="000A1AC4"/>
    <w:rsid w:val="000A1CAD"/>
    <w:rsid w:val="000A1D4D"/>
    <w:rsid w:val="000A1D55"/>
    <w:rsid w:val="000A1DD2"/>
    <w:rsid w:val="000A1DE6"/>
    <w:rsid w:val="000A23BC"/>
    <w:rsid w:val="000A23FB"/>
    <w:rsid w:val="000A25DD"/>
    <w:rsid w:val="000A2A0B"/>
    <w:rsid w:val="000A2A11"/>
    <w:rsid w:val="000A2AEE"/>
    <w:rsid w:val="000A390F"/>
    <w:rsid w:val="000A3B80"/>
    <w:rsid w:val="000A40A1"/>
    <w:rsid w:val="000A41CB"/>
    <w:rsid w:val="000A448F"/>
    <w:rsid w:val="000A4B42"/>
    <w:rsid w:val="000A4C3E"/>
    <w:rsid w:val="000A4F79"/>
    <w:rsid w:val="000A50FC"/>
    <w:rsid w:val="000A567F"/>
    <w:rsid w:val="000A57A8"/>
    <w:rsid w:val="000A5C05"/>
    <w:rsid w:val="000A5D4E"/>
    <w:rsid w:val="000A6556"/>
    <w:rsid w:val="000A6948"/>
    <w:rsid w:val="000A6D58"/>
    <w:rsid w:val="000A6DF4"/>
    <w:rsid w:val="000A72FE"/>
    <w:rsid w:val="000A73F6"/>
    <w:rsid w:val="000A7421"/>
    <w:rsid w:val="000A7932"/>
    <w:rsid w:val="000A7A1A"/>
    <w:rsid w:val="000B059B"/>
    <w:rsid w:val="000B080B"/>
    <w:rsid w:val="000B0AFF"/>
    <w:rsid w:val="000B1547"/>
    <w:rsid w:val="000B1641"/>
    <w:rsid w:val="000B17E0"/>
    <w:rsid w:val="000B2303"/>
    <w:rsid w:val="000B23E0"/>
    <w:rsid w:val="000B24CC"/>
    <w:rsid w:val="000B2CAA"/>
    <w:rsid w:val="000B36A8"/>
    <w:rsid w:val="000B3758"/>
    <w:rsid w:val="000B3877"/>
    <w:rsid w:val="000B389B"/>
    <w:rsid w:val="000B3957"/>
    <w:rsid w:val="000B3A2E"/>
    <w:rsid w:val="000B3C39"/>
    <w:rsid w:val="000B3CCA"/>
    <w:rsid w:val="000B3DF6"/>
    <w:rsid w:val="000B3FC7"/>
    <w:rsid w:val="000B4060"/>
    <w:rsid w:val="000B438A"/>
    <w:rsid w:val="000B44FC"/>
    <w:rsid w:val="000B4978"/>
    <w:rsid w:val="000B4AE1"/>
    <w:rsid w:val="000B4B63"/>
    <w:rsid w:val="000B4DF8"/>
    <w:rsid w:val="000B5096"/>
    <w:rsid w:val="000B51C2"/>
    <w:rsid w:val="000B5794"/>
    <w:rsid w:val="000B59D6"/>
    <w:rsid w:val="000B5B96"/>
    <w:rsid w:val="000B5C44"/>
    <w:rsid w:val="000B61F8"/>
    <w:rsid w:val="000B6389"/>
    <w:rsid w:val="000B6475"/>
    <w:rsid w:val="000B64BB"/>
    <w:rsid w:val="000B65D8"/>
    <w:rsid w:val="000B6643"/>
    <w:rsid w:val="000B678A"/>
    <w:rsid w:val="000B6AA8"/>
    <w:rsid w:val="000B6BBE"/>
    <w:rsid w:val="000B6EFA"/>
    <w:rsid w:val="000B7202"/>
    <w:rsid w:val="000B7275"/>
    <w:rsid w:val="000B744F"/>
    <w:rsid w:val="000B747F"/>
    <w:rsid w:val="000B75C2"/>
    <w:rsid w:val="000B75EB"/>
    <w:rsid w:val="000B7665"/>
    <w:rsid w:val="000B7740"/>
    <w:rsid w:val="000B7756"/>
    <w:rsid w:val="000B7D34"/>
    <w:rsid w:val="000B7FFB"/>
    <w:rsid w:val="000C0B64"/>
    <w:rsid w:val="000C1360"/>
    <w:rsid w:val="000C139C"/>
    <w:rsid w:val="000C1BFE"/>
    <w:rsid w:val="000C1CF0"/>
    <w:rsid w:val="000C2475"/>
    <w:rsid w:val="000C28FD"/>
    <w:rsid w:val="000C2AA6"/>
    <w:rsid w:val="000C2D22"/>
    <w:rsid w:val="000C2D87"/>
    <w:rsid w:val="000C2ED7"/>
    <w:rsid w:val="000C2F42"/>
    <w:rsid w:val="000C3198"/>
    <w:rsid w:val="000C335F"/>
    <w:rsid w:val="000C342A"/>
    <w:rsid w:val="000C3DEA"/>
    <w:rsid w:val="000C3E99"/>
    <w:rsid w:val="000C4304"/>
    <w:rsid w:val="000C4601"/>
    <w:rsid w:val="000C4896"/>
    <w:rsid w:val="000C4C2C"/>
    <w:rsid w:val="000C4EF7"/>
    <w:rsid w:val="000C4FFF"/>
    <w:rsid w:val="000C51FF"/>
    <w:rsid w:val="000C531B"/>
    <w:rsid w:val="000C57A9"/>
    <w:rsid w:val="000C5C85"/>
    <w:rsid w:val="000C5DFD"/>
    <w:rsid w:val="000C6BC0"/>
    <w:rsid w:val="000C6CE3"/>
    <w:rsid w:val="000C6EB0"/>
    <w:rsid w:val="000C72D7"/>
    <w:rsid w:val="000C7480"/>
    <w:rsid w:val="000D003C"/>
    <w:rsid w:val="000D0137"/>
    <w:rsid w:val="000D01DE"/>
    <w:rsid w:val="000D046C"/>
    <w:rsid w:val="000D0DC3"/>
    <w:rsid w:val="000D1251"/>
    <w:rsid w:val="000D12EF"/>
    <w:rsid w:val="000D185C"/>
    <w:rsid w:val="000D1985"/>
    <w:rsid w:val="000D1A9A"/>
    <w:rsid w:val="000D202E"/>
    <w:rsid w:val="000D25A5"/>
    <w:rsid w:val="000D2948"/>
    <w:rsid w:val="000D2A37"/>
    <w:rsid w:val="000D2D00"/>
    <w:rsid w:val="000D2FEE"/>
    <w:rsid w:val="000D31FA"/>
    <w:rsid w:val="000D38B0"/>
    <w:rsid w:val="000D3A8A"/>
    <w:rsid w:val="000D3B72"/>
    <w:rsid w:val="000D3ECB"/>
    <w:rsid w:val="000D3FF5"/>
    <w:rsid w:val="000D4382"/>
    <w:rsid w:val="000D479F"/>
    <w:rsid w:val="000D47FE"/>
    <w:rsid w:val="000D48DC"/>
    <w:rsid w:val="000D4E94"/>
    <w:rsid w:val="000D4FFB"/>
    <w:rsid w:val="000D50A9"/>
    <w:rsid w:val="000D5196"/>
    <w:rsid w:val="000D53F9"/>
    <w:rsid w:val="000D560D"/>
    <w:rsid w:val="000D570A"/>
    <w:rsid w:val="000D5C06"/>
    <w:rsid w:val="000D5CAD"/>
    <w:rsid w:val="000D5F5B"/>
    <w:rsid w:val="000D610B"/>
    <w:rsid w:val="000D6426"/>
    <w:rsid w:val="000D67FD"/>
    <w:rsid w:val="000D6E2A"/>
    <w:rsid w:val="000D702B"/>
    <w:rsid w:val="000D7096"/>
    <w:rsid w:val="000D732E"/>
    <w:rsid w:val="000D78D3"/>
    <w:rsid w:val="000D7989"/>
    <w:rsid w:val="000D7E2E"/>
    <w:rsid w:val="000E0878"/>
    <w:rsid w:val="000E09F3"/>
    <w:rsid w:val="000E0EA3"/>
    <w:rsid w:val="000E0F18"/>
    <w:rsid w:val="000E1187"/>
    <w:rsid w:val="000E12AD"/>
    <w:rsid w:val="000E1AEE"/>
    <w:rsid w:val="000E1B65"/>
    <w:rsid w:val="000E1DB6"/>
    <w:rsid w:val="000E1EF1"/>
    <w:rsid w:val="000E214F"/>
    <w:rsid w:val="000E267A"/>
    <w:rsid w:val="000E2849"/>
    <w:rsid w:val="000E28FD"/>
    <w:rsid w:val="000E2976"/>
    <w:rsid w:val="000E2DA1"/>
    <w:rsid w:val="000E3209"/>
    <w:rsid w:val="000E32C1"/>
    <w:rsid w:val="000E33C2"/>
    <w:rsid w:val="000E342A"/>
    <w:rsid w:val="000E3440"/>
    <w:rsid w:val="000E3549"/>
    <w:rsid w:val="000E3842"/>
    <w:rsid w:val="000E3B1E"/>
    <w:rsid w:val="000E4049"/>
    <w:rsid w:val="000E41F7"/>
    <w:rsid w:val="000E47DF"/>
    <w:rsid w:val="000E482F"/>
    <w:rsid w:val="000E4FA3"/>
    <w:rsid w:val="000E4FD2"/>
    <w:rsid w:val="000E506C"/>
    <w:rsid w:val="000E51C2"/>
    <w:rsid w:val="000E5367"/>
    <w:rsid w:val="000E54C8"/>
    <w:rsid w:val="000E59B1"/>
    <w:rsid w:val="000E5E08"/>
    <w:rsid w:val="000E5EB4"/>
    <w:rsid w:val="000E5ECD"/>
    <w:rsid w:val="000E60AF"/>
    <w:rsid w:val="000E60C9"/>
    <w:rsid w:val="000E6586"/>
    <w:rsid w:val="000E6D05"/>
    <w:rsid w:val="000E6DE6"/>
    <w:rsid w:val="000E7070"/>
    <w:rsid w:val="000E7192"/>
    <w:rsid w:val="000E7339"/>
    <w:rsid w:val="000E75C7"/>
    <w:rsid w:val="000E7B12"/>
    <w:rsid w:val="000E7CAE"/>
    <w:rsid w:val="000E7E15"/>
    <w:rsid w:val="000E7FA8"/>
    <w:rsid w:val="000F0073"/>
    <w:rsid w:val="000F0254"/>
    <w:rsid w:val="000F0620"/>
    <w:rsid w:val="000F0778"/>
    <w:rsid w:val="000F079C"/>
    <w:rsid w:val="000F09C5"/>
    <w:rsid w:val="000F0EAE"/>
    <w:rsid w:val="000F0EE8"/>
    <w:rsid w:val="000F0F94"/>
    <w:rsid w:val="000F106A"/>
    <w:rsid w:val="000F1182"/>
    <w:rsid w:val="000F13BD"/>
    <w:rsid w:val="000F151A"/>
    <w:rsid w:val="000F1A17"/>
    <w:rsid w:val="000F2144"/>
    <w:rsid w:val="000F25EA"/>
    <w:rsid w:val="000F2793"/>
    <w:rsid w:val="000F27B0"/>
    <w:rsid w:val="000F2868"/>
    <w:rsid w:val="000F2FBE"/>
    <w:rsid w:val="000F3299"/>
    <w:rsid w:val="000F369D"/>
    <w:rsid w:val="000F36B4"/>
    <w:rsid w:val="000F36CA"/>
    <w:rsid w:val="000F3EA0"/>
    <w:rsid w:val="000F3F28"/>
    <w:rsid w:val="000F41EF"/>
    <w:rsid w:val="000F43EB"/>
    <w:rsid w:val="000F44D4"/>
    <w:rsid w:val="000F4514"/>
    <w:rsid w:val="000F4690"/>
    <w:rsid w:val="000F47F4"/>
    <w:rsid w:val="000F4FD6"/>
    <w:rsid w:val="000F503C"/>
    <w:rsid w:val="000F5148"/>
    <w:rsid w:val="000F5155"/>
    <w:rsid w:val="000F53A2"/>
    <w:rsid w:val="000F5587"/>
    <w:rsid w:val="000F57A7"/>
    <w:rsid w:val="000F5AA1"/>
    <w:rsid w:val="000F5C7A"/>
    <w:rsid w:val="000F5D49"/>
    <w:rsid w:val="000F5D70"/>
    <w:rsid w:val="000F6851"/>
    <w:rsid w:val="000F72A1"/>
    <w:rsid w:val="000F75F7"/>
    <w:rsid w:val="000F7DC2"/>
    <w:rsid w:val="000F7E07"/>
    <w:rsid w:val="0010017F"/>
    <w:rsid w:val="0010022C"/>
    <w:rsid w:val="00100504"/>
    <w:rsid w:val="00100810"/>
    <w:rsid w:val="00100D3B"/>
    <w:rsid w:val="00100DB4"/>
    <w:rsid w:val="00101308"/>
    <w:rsid w:val="0010181F"/>
    <w:rsid w:val="00101893"/>
    <w:rsid w:val="001020AF"/>
    <w:rsid w:val="001023BB"/>
    <w:rsid w:val="001024DD"/>
    <w:rsid w:val="001026F4"/>
    <w:rsid w:val="00102A93"/>
    <w:rsid w:val="00102E18"/>
    <w:rsid w:val="00103337"/>
    <w:rsid w:val="001033DE"/>
    <w:rsid w:val="0010355D"/>
    <w:rsid w:val="001035A6"/>
    <w:rsid w:val="0010373E"/>
    <w:rsid w:val="00103791"/>
    <w:rsid w:val="00103895"/>
    <w:rsid w:val="00103966"/>
    <w:rsid w:val="00103BB2"/>
    <w:rsid w:val="0010411D"/>
    <w:rsid w:val="00104932"/>
    <w:rsid w:val="001049F2"/>
    <w:rsid w:val="00104B63"/>
    <w:rsid w:val="00104B78"/>
    <w:rsid w:val="00104D58"/>
    <w:rsid w:val="00104FEE"/>
    <w:rsid w:val="0010520C"/>
    <w:rsid w:val="00105267"/>
    <w:rsid w:val="0010536B"/>
    <w:rsid w:val="001053FB"/>
    <w:rsid w:val="001053FF"/>
    <w:rsid w:val="001056EC"/>
    <w:rsid w:val="00105856"/>
    <w:rsid w:val="00105884"/>
    <w:rsid w:val="001065C6"/>
    <w:rsid w:val="00106A99"/>
    <w:rsid w:val="00106C94"/>
    <w:rsid w:val="00106CAF"/>
    <w:rsid w:val="00106DBE"/>
    <w:rsid w:val="00107106"/>
    <w:rsid w:val="001078DD"/>
    <w:rsid w:val="0010790F"/>
    <w:rsid w:val="0010799F"/>
    <w:rsid w:val="00107D43"/>
    <w:rsid w:val="00107D63"/>
    <w:rsid w:val="00107EA8"/>
    <w:rsid w:val="00110AA5"/>
    <w:rsid w:val="00111304"/>
    <w:rsid w:val="001115C1"/>
    <w:rsid w:val="001118AD"/>
    <w:rsid w:val="00111B0D"/>
    <w:rsid w:val="00111D58"/>
    <w:rsid w:val="001122DE"/>
    <w:rsid w:val="0011241B"/>
    <w:rsid w:val="0011261A"/>
    <w:rsid w:val="00113007"/>
    <w:rsid w:val="001130F5"/>
    <w:rsid w:val="00113648"/>
    <w:rsid w:val="001136A5"/>
    <w:rsid w:val="001136E9"/>
    <w:rsid w:val="00113CDA"/>
    <w:rsid w:val="00113D33"/>
    <w:rsid w:val="00114122"/>
    <w:rsid w:val="00114340"/>
    <w:rsid w:val="0011452E"/>
    <w:rsid w:val="001148F2"/>
    <w:rsid w:val="00114DB8"/>
    <w:rsid w:val="00114E8C"/>
    <w:rsid w:val="00115151"/>
    <w:rsid w:val="00115357"/>
    <w:rsid w:val="001157EA"/>
    <w:rsid w:val="001159F8"/>
    <w:rsid w:val="00115B85"/>
    <w:rsid w:val="00115BA2"/>
    <w:rsid w:val="00115BFA"/>
    <w:rsid w:val="00115DC4"/>
    <w:rsid w:val="00115EAD"/>
    <w:rsid w:val="00116731"/>
    <w:rsid w:val="00116B8A"/>
    <w:rsid w:val="0011728F"/>
    <w:rsid w:val="001177AF"/>
    <w:rsid w:val="00117C1A"/>
    <w:rsid w:val="00120059"/>
    <w:rsid w:val="00120971"/>
    <w:rsid w:val="00120B3E"/>
    <w:rsid w:val="00120EDD"/>
    <w:rsid w:val="00121241"/>
    <w:rsid w:val="00121678"/>
    <w:rsid w:val="00121E4A"/>
    <w:rsid w:val="00121F97"/>
    <w:rsid w:val="0012206E"/>
    <w:rsid w:val="00122369"/>
    <w:rsid w:val="00122774"/>
    <w:rsid w:val="001228B3"/>
    <w:rsid w:val="00122927"/>
    <w:rsid w:val="00122B5B"/>
    <w:rsid w:val="00122C8F"/>
    <w:rsid w:val="00122C94"/>
    <w:rsid w:val="00122CB7"/>
    <w:rsid w:val="00122CF3"/>
    <w:rsid w:val="00122F6F"/>
    <w:rsid w:val="0012318C"/>
    <w:rsid w:val="0012342A"/>
    <w:rsid w:val="00123722"/>
    <w:rsid w:val="00123B33"/>
    <w:rsid w:val="00124372"/>
    <w:rsid w:val="00124632"/>
    <w:rsid w:val="00124663"/>
    <w:rsid w:val="0012485B"/>
    <w:rsid w:val="00124D8F"/>
    <w:rsid w:val="00125C5C"/>
    <w:rsid w:val="00125FF8"/>
    <w:rsid w:val="00126265"/>
    <w:rsid w:val="001263B9"/>
    <w:rsid w:val="0012655E"/>
    <w:rsid w:val="00126597"/>
    <w:rsid w:val="00126770"/>
    <w:rsid w:val="00126A33"/>
    <w:rsid w:val="00126A8C"/>
    <w:rsid w:val="00126B5E"/>
    <w:rsid w:val="0012706B"/>
    <w:rsid w:val="00127269"/>
    <w:rsid w:val="0012737A"/>
    <w:rsid w:val="0012778D"/>
    <w:rsid w:val="00127C81"/>
    <w:rsid w:val="00130208"/>
    <w:rsid w:val="00130922"/>
    <w:rsid w:val="00130A43"/>
    <w:rsid w:val="00130EF9"/>
    <w:rsid w:val="00131157"/>
    <w:rsid w:val="0013132D"/>
    <w:rsid w:val="001313E8"/>
    <w:rsid w:val="001314C7"/>
    <w:rsid w:val="001314DD"/>
    <w:rsid w:val="00131F08"/>
    <w:rsid w:val="001320FE"/>
    <w:rsid w:val="0013231C"/>
    <w:rsid w:val="001323BB"/>
    <w:rsid w:val="00132546"/>
    <w:rsid w:val="00132802"/>
    <w:rsid w:val="001328CC"/>
    <w:rsid w:val="00132F65"/>
    <w:rsid w:val="00132FEF"/>
    <w:rsid w:val="0013307E"/>
    <w:rsid w:val="001330BA"/>
    <w:rsid w:val="001331D2"/>
    <w:rsid w:val="00133382"/>
    <w:rsid w:val="00133412"/>
    <w:rsid w:val="001339B1"/>
    <w:rsid w:val="001339E0"/>
    <w:rsid w:val="00133A80"/>
    <w:rsid w:val="00133B2D"/>
    <w:rsid w:val="00133C65"/>
    <w:rsid w:val="00133D7A"/>
    <w:rsid w:val="00133E0E"/>
    <w:rsid w:val="00134120"/>
    <w:rsid w:val="00134209"/>
    <w:rsid w:val="00134225"/>
    <w:rsid w:val="00134313"/>
    <w:rsid w:val="00134A23"/>
    <w:rsid w:val="00134B46"/>
    <w:rsid w:val="00134FD0"/>
    <w:rsid w:val="001353A5"/>
    <w:rsid w:val="0013546B"/>
    <w:rsid w:val="00135515"/>
    <w:rsid w:val="00135610"/>
    <w:rsid w:val="0013582B"/>
    <w:rsid w:val="00135CA1"/>
    <w:rsid w:val="00135E33"/>
    <w:rsid w:val="00136525"/>
    <w:rsid w:val="001369BA"/>
    <w:rsid w:val="00136A8F"/>
    <w:rsid w:val="00137049"/>
    <w:rsid w:val="001371C6"/>
    <w:rsid w:val="00137854"/>
    <w:rsid w:val="001378F2"/>
    <w:rsid w:val="001379F2"/>
    <w:rsid w:val="00137A2A"/>
    <w:rsid w:val="00137A57"/>
    <w:rsid w:val="00137A5B"/>
    <w:rsid w:val="00137B98"/>
    <w:rsid w:val="001403C1"/>
    <w:rsid w:val="00140548"/>
    <w:rsid w:val="00140AC1"/>
    <w:rsid w:val="00140E71"/>
    <w:rsid w:val="00140F5C"/>
    <w:rsid w:val="001411FE"/>
    <w:rsid w:val="00141658"/>
    <w:rsid w:val="001416D4"/>
    <w:rsid w:val="0014172C"/>
    <w:rsid w:val="001418BF"/>
    <w:rsid w:val="00141B07"/>
    <w:rsid w:val="00141B25"/>
    <w:rsid w:val="00141BB9"/>
    <w:rsid w:val="00141C49"/>
    <w:rsid w:val="00141CB2"/>
    <w:rsid w:val="001420DA"/>
    <w:rsid w:val="0014226E"/>
    <w:rsid w:val="001422AF"/>
    <w:rsid w:val="00142491"/>
    <w:rsid w:val="00142564"/>
    <w:rsid w:val="001425E5"/>
    <w:rsid w:val="0014265D"/>
    <w:rsid w:val="00142754"/>
    <w:rsid w:val="001428DF"/>
    <w:rsid w:val="00142900"/>
    <w:rsid w:val="00143292"/>
    <w:rsid w:val="001433FD"/>
    <w:rsid w:val="001436D5"/>
    <w:rsid w:val="00143C80"/>
    <w:rsid w:val="0014414A"/>
    <w:rsid w:val="0014457F"/>
    <w:rsid w:val="001447B3"/>
    <w:rsid w:val="00144E94"/>
    <w:rsid w:val="00145012"/>
    <w:rsid w:val="00145261"/>
    <w:rsid w:val="0014564B"/>
    <w:rsid w:val="0014564E"/>
    <w:rsid w:val="0014565E"/>
    <w:rsid w:val="00145BD0"/>
    <w:rsid w:val="00145C59"/>
    <w:rsid w:val="00145EDC"/>
    <w:rsid w:val="00146258"/>
    <w:rsid w:val="00146749"/>
    <w:rsid w:val="00146A63"/>
    <w:rsid w:val="001477BD"/>
    <w:rsid w:val="001505EC"/>
    <w:rsid w:val="00150C14"/>
    <w:rsid w:val="00150D32"/>
    <w:rsid w:val="00151076"/>
    <w:rsid w:val="0015152D"/>
    <w:rsid w:val="001516B0"/>
    <w:rsid w:val="00151F98"/>
    <w:rsid w:val="00152833"/>
    <w:rsid w:val="00152E09"/>
    <w:rsid w:val="00152F14"/>
    <w:rsid w:val="0015309C"/>
    <w:rsid w:val="0015321F"/>
    <w:rsid w:val="0015348C"/>
    <w:rsid w:val="00153898"/>
    <w:rsid w:val="00153998"/>
    <w:rsid w:val="00154184"/>
    <w:rsid w:val="00154185"/>
    <w:rsid w:val="001541BC"/>
    <w:rsid w:val="001543A9"/>
    <w:rsid w:val="00154409"/>
    <w:rsid w:val="00154449"/>
    <w:rsid w:val="00154706"/>
    <w:rsid w:val="00154D48"/>
    <w:rsid w:val="00154E03"/>
    <w:rsid w:val="0015510B"/>
    <w:rsid w:val="001551D9"/>
    <w:rsid w:val="00155206"/>
    <w:rsid w:val="001552B8"/>
    <w:rsid w:val="00155E60"/>
    <w:rsid w:val="00155ECF"/>
    <w:rsid w:val="00156252"/>
    <w:rsid w:val="0015641D"/>
    <w:rsid w:val="00156462"/>
    <w:rsid w:val="00157026"/>
    <w:rsid w:val="00157827"/>
    <w:rsid w:val="00157AA4"/>
    <w:rsid w:val="00157AB6"/>
    <w:rsid w:val="00157AB7"/>
    <w:rsid w:val="00157FF2"/>
    <w:rsid w:val="00160017"/>
    <w:rsid w:val="001609FA"/>
    <w:rsid w:val="00160BD7"/>
    <w:rsid w:val="0016161D"/>
    <w:rsid w:val="0016179C"/>
    <w:rsid w:val="00161A57"/>
    <w:rsid w:val="00161C06"/>
    <w:rsid w:val="00161FA6"/>
    <w:rsid w:val="001623AE"/>
    <w:rsid w:val="00162465"/>
    <w:rsid w:val="00162470"/>
    <w:rsid w:val="00162471"/>
    <w:rsid w:val="0016253F"/>
    <w:rsid w:val="001629DF"/>
    <w:rsid w:val="00162AA7"/>
    <w:rsid w:val="0016323C"/>
    <w:rsid w:val="001633BD"/>
    <w:rsid w:val="0016379B"/>
    <w:rsid w:val="00163C8A"/>
    <w:rsid w:val="00163D04"/>
    <w:rsid w:val="00163E84"/>
    <w:rsid w:val="00163F1C"/>
    <w:rsid w:val="00163F5B"/>
    <w:rsid w:val="00163FA1"/>
    <w:rsid w:val="0016414E"/>
    <w:rsid w:val="001642FE"/>
    <w:rsid w:val="00164395"/>
    <w:rsid w:val="001648D2"/>
    <w:rsid w:val="001649A6"/>
    <w:rsid w:val="00164B51"/>
    <w:rsid w:val="00164C9B"/>
    <w:rsid w:val="00165056"/>
    <w:rsid w:val="001650D6"/>
    <w:rsid w:val="001651AA"/>
    <w:rsid w:val="00165673"/>
    <w:rsid w:val="001658DC"/>
    <w:rsid w:val="00165ACE"/>
    <w:rsid w:val="00165DFE"/>
    <w:rsid w:val="00165E03"/>
    <w:rsid w:val="001665EB"/>
    <w:rsid w:val="0016687C"/>
    <w:rsid w:val="00166A7D"/>
    <w:rsid w:val="00166B58"/>
    <w:rsid w:val="00166EF2"/>
    <w:rsid w:val="001672BF"/>
    <w:rsid w:val="0016744E"/>
    <w:rsid w:val="001675D6"/>
    <w:rsid w:val="00167A3F"/>
    <w:rsid w:val="00167CCB"/>
    <w:rsid w:val="0017008B"/>
    <w:rsid w:val="00170717"/>
    <w:rsid w:val="001707FB"/>
    <w:rsid w:val="00170863"/>
    <w:rsid w:val="0017098F"/>
    <w:rsid w:val="00170B65"/>
    <w:rsid w:val="00170B79"/>
    <w:rsid w:val="00170EC3"/>
    <w:rsid w:val="00171911"/>
    <w:rsid w:val="00171A54"/>
    <w:rsid w:val="00171AC5"/>
    <w:rsid w:val="00171CAC"/>
    <w:rsid w:val="00172391"/>
    <w:rsid w:val="0017250B"/>
    <w:rsid w:val="001726D1"/>
    <w:rsid w:val="001728D4"/>
    <w:rsid w:val="00172CBA"/>
    <w:rsid w:val="00172D22"/>
    <w:rsid w:val="0017344F"/>
    <w:rsid w:val="001735E3"/>
    <w:rsid w:val="0017377E"/>
    <w:rsid w:val="001739ED"/>
    <w:rsid w:val="00173DE4"/>
    <w:rsid w:val="001740C4"/>
    <w:rsid w:val="0017429D"/>
    <w:rsid w:val="00174352"/>
    <w:rsid w:val="0017435A"/>
    <w:rsid w:val="00174591"/>
    <w:rsid w:val="00174649"/>
    <w:rsid w:val="0017467B"/>
    <w:rsid w:val="0017483D"/>
    <w:rsid w:val="00174B5F"/>
    <w:rsid w:val="00174D62"/>
    <w:rsid w:val="001752E4"/>
    <w:rsid w:val="00175396"/>
    <w:rsid w:val="00175566"/>
    <w:rsid w:val="001756DD"/>
    <w:rsid w:val="0017580B"/>
    <w:rsid w:val="00175B64"/>
    <w:rsid w:val="00175D7F"/>
    <w:rsid w:val="00175E8B"/>
    <w:rsid w:val="0017609E"/>
    <w:rsid w:val="001761F6"/>
    <w:rsid w:val="0017620F"/>
    <w:rsid w:val="00176355"/>
    <w:rsid w:val="001766CE"/>
    <w:rsid w:val="0017685D"/>
    <w:rsid w:val="00176A86"/>
    <w:rsid w:val="00176B73"/>
    <w:rsid w:val="00176C2B"/>
    <w:rsid w:val="00176E6B"/>
    <w:rsid w:val="00177090"/>
    <w:rsid w:val="00177268"/>
    <w:rsid w:val="0017756D"/>
    <w:rsid w:val="00177645"/>
    <w:rsid w:val="001776F4"/>
    <w:rsid w:val="00177862"/>
    <w:rsid w:val="00177A92"/>
    <w:rsid w:val="00177C12"/>
    <w:rsid w:val="00177F34"/>
    <w:rsid w:val="00180095"/>
    <w:rsid w:val="00180406"/>
    <w:rsid w:val="0018043F"/>
    <w:rsid w:val="00180440"/>
    <w:rsid w:val="001804AF"/>
    <w:rsid w:val="001805D9"/>
    <w:rsid w:val="00180721"/>
    <w:rsid w:val="00180A5A"/>
    <w:rsid w:val="00180D67"/>
    <w:rsid w:val="00180D6A"/>
    <w:rsid w:val="0018114B"/>
    <w:rsid w:val="00181614"/>
    <w:rsid w:val="001820A9"/>
    <w:rsid w:val="0018218A"/>
    <w:rsid w:val="00182337"/>
    <w:rsid w:val="001825FF"/>
    <w:rsid w:val="001829F6"/>
    <w:rsid w:val="00182F6B"/>
    <w:rsid w:val="001830D3"/>
    <w:rsid w:val="001833D7"/>
    <w:rsid w:val="00183A95"/>
    <w:rsid w:val="00183D90"/>
    <w:rsid w:val="00183E0D"/>
    <w:rsid w:val="00184247"/>
    <w:rsid w:val="00185313"/>
    <w:rsid w:val="0018543A"/>
    <w:rsid w:val="0018545E"/>
    <w:rsid w:val="00185584"/>
    <w:rsid w:val="0018587B"/>
    <w:rsid w:val="00185944"/>
    <w:rsid w:val="00185989"/>
    <w:rsid w:val="00185ECB"/>
    <w:rsid w:val="00185F3B"/>
    <w:rsid w:val="00185FA0"/>
    <w:rsid w:val="00185FFB"/>
    <w:rsid w:val="00186003"/>
    <w:rsid w:val="00186D04"/>
    <w:rsid w:val="00186F7A"/>
    <w:rsid w:val="00186FF1"/>
    <w:rsid w:val="00187189"/>
    <w:rsid w:val="00187256"/>
    <w:rsid w:val="0018725D"/>
    <w:rsid w:val="00187527"/>
    <w:rsid w:val="001877E9"/>
    <w:rsid w:val="00187877"/>
    <w:rsid w:val="00187A2E"/>
    <w:rsid w:val="001903BB"/>
    <w:rsid w:val="0019078B"/>
    <w:rsid w:val="00190AC6"/>
    <w:rsid w:val="00190D5A"/>
    <w:rsid w:val="00190D75"/>
    <w:rsid w:val="001911B2"/>
    <w:rsid w:val="0019124F"/>
    <w:rsid w:val="001914F0"/>
    <w:rsid w:val="00191715"/>
    <w:rsid w:val="0019190D"/>
    <w:rsid w:val="001919AA"/>
    <w:rsid w:val="00191A50"/>
    <w:rsid w:val="00191BBB"/>
    <w:rsid w:val="001922CC"/>
    <w:rsid w:val="00192614"/>
    <w:rsid w:val="00192AE0"/>
    <w:rsid w:val="00192D57"/>
    <w:rsid w:val="00192DCE"/>
    <w:rsid w:val="00192E0E"/>
    <w:rsid w:val="00192F1E"/>
    <w:rsid w:val="001930CC"/>
    <w:rsid w:val="00193193"/>
    <w:rsid w:val="001933F8"/>
    <w:rsid w:val="00193A95"/>
    <w:rsid w:val="00193E96"/>
    <w:rsid w:val="00193F9A"/>
    <w:rsid w:val="00194067"/>
    <w:rsid w:val="001940FE"/>
    <w:rsid w:val="00194693"/>
    <w:rsid w:val="001948F7"/>
    <w:rsid w:val="00194991"/>
    <w:rsid w:val="00194BB9"/>
    <w:rsid w:val="00194F18"/>
    <w:rsid w:val="001956EB"/>
    <w:rsid w:val="001959FA"/>
    <w:rsid w:val="00195B9D"/>
    <w:rsid w:val="001961A6"/>
    <w:rsid w:val="001967FF"/>
    <w:rsid w:val="00196963"/>
    <w:rsid w:val="00197383"/>
    <w:rsid w:val="0019774E"/>
    <w:rsid w:val="00197C14"/>
    <w:rsid w:val="00197E37"/>
    <w:rsid w:val="00197EAA"/>
    <w:rsid w:val="00197FA3"/>
    <w:rsid w:val="001A02F7"/>
    <w:rsid w:val="001A07FD"/>
    <w:rsid w:val="001A090A"/>
    <w:rsid w:val="001A0A2F"/>
    <w:rsid w:val="001A0C5A"/>
    <w:rsid w:val="001A0FE3"/>
    <w:rsid w:val="001A10BA"/>
    <w:rsid w:val="001A1365"/>
    <w:rsid w:val="001A14D2"/>
    <w:rsid w:val="001A1668"/>
    <w:rsid w:val="001A16D2"/>
    <w:rsid w:val="001A1701"/>
    <w:rsid w:val="001A1731"/>
    <w:rsid w:val="001A1AE7"/>
    <w:rsid w:val="001A1DB5"/>
    <w:rsid w:val="001A1EAD"/>
    <w:rsid w:val="001A212F"/>
    <w:rsid w:val="001A22C3"/>
    <w:rsid w:val="001A32B7"/>
    <w:rsid w:val="001A3350"/>
    <w:rsid w:val="001A353D"/>
    <w:rsid w:val="001A375D"/>
    <w:rsid w:val="001A38D1"/>
    <w:rsid w:val="001A39F1"/>
    <w:rsid w:val="001A3E93"/>
    <w:rsid w:val="001A439F"/>
    <w:rsid w:val="001A44A2"/>
    <w:rsid w:val="001A459F"/>
    <w:rsid w:val="001A46DA"/>
    <w:rsid w:val="001A493F"/>
    <w:rsid w:val="001A4A33"/>
    <w:rsid w:val="001A4C12"/>
    <w:rsid w:val="001A4F6D"/>
    <w:rsid w:val="001A5008"/>
    <w:rsid w:val="001A5229"/>
    <w:rsid w:val="001A55C1"/>
    <w:rsid w:val="001A591D"/>
    <w:rsid w:val="001A59F2"/>
    <w:rsid w:val="001A5D06"/>
    <w:rsid w:val="001A5D0D"/>
    <w:rsid w:val="001A5F9F"/>
    <w:rsid w:val="001A6046"/>
    <w:rsid w:val="001A609B"/>
    <w:rsid w:val="001A619A"/>
    <w:rsid w:val="001A632B"/>
    <w:rsid w:val="001A6493"/>
    <w:rsid w:val="001A6537"/>
    <w:rsid w:val="001A685C"/>
    <w:rsid w:val="001A6BF6"/>
    <w:rsid w:val="001A6FA9"/>
    <w:rsid w:val="001A6FFA"/>
    <w:rsid w:val="001A702E"/>
    <w:rsid w:val="001A718A"/>
    <w:rsid w:val="001A76ED"/>
    <w:rsid w:val="001A7A60"/>
    <w:rsid w:val="001A7B42"/>
    <w:rsid w:val="001B01E6"/>
    <w:rsid w:val="001B0577"/>
    <w:rsid w:val="001B06C7"/>
    <w:rsid w:val="001B0B99"/>
    <w:rsid w:val="001B102B"/>
    <w:rsid w:val="001B1472"/>
    <w:rsid w:val="001B1BF9"/>
    <w:rsid w:val="001B1D81"/>
    <w:rsid w:val="001B1DC7"/>
    <w:rsid w:val="001B1DF4"/>
    <w:rsid w:val="001B1E37"/>
    <w:rsid w:val="001B2007"/>
    <w:rsid w:val="001B20D2"/>
    <w:rsid w:val="001B227E"/>
    <w:rsid w:val="001B28BF"/>
    <w:rsid w:val="001B2A04"/>
    <w:rsid w:val="001B2ABD"/>
    <w:rsid w:val="001B3586"/>
    <w:rsid w:val="001B3802"/>
    <w:rsid w:val="001B3FC8"/>
    <w:rsid w:val="001B4048"/>
    <w:rsid w:val="001B407B"/>
    <w:rsid w:val="001B42A0"/>
    <w:rsid w:val="001B44A4"/>
    <w:rsid w:val="001B4799"/>
    <w:rsid w:val="001B4A87"/>
    <w:rsid w:val="001B4B27"/>
    <w:rsid w:val="001B4EFB"/>
    <w:rsid w:val="001B4F1B"/>
    <w:rsid w:val="001B4FB0"/>
    <w:rsid w:val="001B5305"/>
    <w:rsid w:val="001B55CD"/>
    <w:rsid w:val="001B5614"/>
    <w:rsid w:val="001B5834"/>
    <w:rsid w:val="001B5A5A"/>
    <w:rsid w:val="001B5B84"/>
    <w:rsid w:val="001B5E76"/>
    <w:rsid w:val="001B5FC7"/>
    <w:rsid w:val="001B6615"/>
    <w:rsid w:val="001B6AAE"/>
    <w:rsid w:val="001B6CA3"/>
    <w:rsid w:val="001B6DED"/>
    <w:rsid w:val="001B6E93"/>
    <w:rsid w:val="001B7479"/>
    <w:rsid w:val="001B7629"/>
    <w:rsid w:val="001B7D6B"/>
    <w:rsid w:val="001B7ED2"/>
    <w:rsid w:val="001B7F51"/>
    <w:rsid w:val="001B7FBC"/>
    <w:rsid w:val="001C00AE"/>
    <w:rsid w:val="001C035E"/>
    <w:rsid w:val="001C09F3"/>
    <w:rsid w:val="001C0A92"/>
    <w:rsid w:val="001C0E21"/>
    <w:rsid w:val="001C119A"/>
    <w:rsid w:val="001C1258"/>
    <w:rsid w:val="001C1298"/>
    <w:rsid w:val="001C12F3"/>
    <w:rsid w:val="001C13CF"/>
    <w:rsid w:val="001C1FBF"/>
    <w:rsid w:val="001C2498"/>
    <w:rsid w:val="001C2503"/>
    <w:rsid w:val="001C25A5"/>
    <w:rsid w:val="001C2637"/>
    <w:rsid w:val="001C26E5"/>
    <w:rsid w:val="001C2CA4"/>
    <w:rsid w:val="001C2E72"/>
    <w:rsid w:val="001C336E"/>
    <w:rsid w:val="001C38F6"/>
    <w:rsid w:val="001C3A3A"/>
    <w:rsid w:val="001C3E9C"/>
    <w:rsid w:val="001C4A8D"/>
    <w:rsid w:val="001C4A9B"/>
    <w:rsid w:val="001C4B8F"/>
    <w:rsid w:val="001C4CD4"/>
    <w:rsid w:val="001C4D3F"/>
    <w:rsid w:val="001C4FA2"/>
    <w:rsid w:val="001C51E2"/>
    <w:rsid w:val="001C53EA"/>
    <w:rsid w:val="001C5502"/>
    <w:rsid w:val="001C551E"/>
    <w:rsid w:val="001C5963"/>
    <w:rsid w:val="001C5EB3"/>
    <w:rsid w:val="001C623F"/>
    <w:rsid w:val="001C62CE"/>
    <w:rsid w:val="001C6540"/>
    <w:rsid w:val="001C6677"/>
    <w:rsid w:val="001C66F8"/>
    <w:rsid w:val="001C698B"/>
    <w:rsid w:val="001C6EA5"/>
    <w:rsid w:val="001C711D"/>
    <w:rsid w:val="001C730B"/>
    <w:rsid w:val="001C75BD"/>
    <w:rsid w:val="001C7732"/>
    <w:rsid w:val="001C797D"/>
    <w:rsid w:val="001C7AE0"/>
    <w:rsid w:val="001C7EB4"/>
    <w:rsid w:val="001D0201"/>
    <w:rsid w:val="001D0F32"/>
    <w:rsid w:val="001D1485"/>
    <w:rsid w:val="001D1733"/>
    <w:rsid w:val="001D19B7"/>
    <w:rsid w:val="001D1A74"/>
    <w:rsid w:val="001D1A99"/>
    <w:rsid w:val="001D1C0B"/>
    <w:rsid w:val="001D1D1C"/>
    <w:rsid w:val="001D1D7F"/>
    <w:rsid w:val="001D1FB6"/>
    <w:rsid w:val="001D20AE"/>
    <w:rsid w:val="001D25F0"/>
    <w:rsid w:val="001D2857"/>
    <w:rsid w:val="001D2962"/>
    <w:rsid w:val="001D2A08"/>
    <w:rsid w:val="001D2C30"/>
    <w:rsid w:val="001D31F1"/>
    <w:rsid w:val="001D32F9"/>
    <w:rsid w:val="001D3649"/>
    <w:rsid w:val="001D3C18"/>
    <w:rsid w:val="001D3F12"/>
    <w:rsid w:val="001D4053"/>
    <w:rsid w:val="001D4055"/>
    <w:rsid w:val="001D40C4"/>
    <w:rsid w:val="001D42A9"/>
    <w:rsid w:val="001D457A"/>
    <w:rsid w:val="001D4829"/>
    <w:rsid w:val="001D486B"/>
    <w:rsid w:val="001D489C"/>
    <w:rsid w:val="001D4B5D"/>
    <w:rsid w:val="001D4C17"/>
    <w:rsid w:val="001D5072"/>
    <w:rsid w:val="001D542B"/>
    <w:rsid w:val="001D5776"/>
    <w:rsid w:val="001D5C77"/>
    <w:rsid w:val="001D5D21"/>
    <w:rsid w:val="001D5E08"/>
    <w:rsid w:val="001D5E17"/>
    <w:rsid w:val="001D5F9A"/>
    <w:rsid w:val="001D6318"/>
    <w:rsid w:val="001D6761"/>
    <w:rsid w:val="001D68B2"/>
    <w:rsid w:val="001D6CA0"/>
    <w:rsid w:val="001D7023"/>
    <w:rsid w:val="001D705A"/>
    <w:rsid w:val="001D70A6"/>
    <w:rsid w:val="001D741B"/>
    <w:rsid w:val="001D75EA"/>
    <w:rsid w:val="001D7663"/>
    <w:rsid w:val="001D775F"/>
    <w:rsid w:val="001D7907"/>
    <w:rsid w:val="001D7976"/>
    <w:rsid w:val="001D7CF8"/>
    <w:rsid w:val="001D7D4A"/>
    <w:rsid w:val="001D7E86"/>
    <w:rsid w:val="001D7EBD"/>
    <w:rsid w:val="001E0660"/>
    <w:rsid w:val="001E06B0"/>
    <w:rsid w:val="001E0869"/>
    <w:rsid w:val="001E0DAD"/>
    <w:rsid w:val="001E101F"/>
    <w:rsid w:val="001E1149"/>
    <w:rsid w:val="001E12D3"/>
    <w:rsid w:val="001E1420"/>
    <w:rsid w:val="001E146A"/>
    <w:rsid w:val="001E1491"/>
    <w:rsid w:val="001E14FB"/>
    <w:rsid w:val="001E1610"/>
    <w:rsid w:val="001E1730"/>
    <w:rsid w:val="001E1EEF"/>
    <w:rsid w:val="001E2072"/>
    <w:rsid w:val="001E26FC"/>
    <w:rsid w:val="001E275D"/>
    <w:rsid w:val="001E2783"/>
    <w:rsid w:val="001E29A8"/>
    <w:rsid w:val="001E2EB7"/>
    <w:rsid w:val="001E3126"/>
    <w:rsid w:val="001E34F7"/>
    <w:rsid w:val="001E3549"/>
    <w:rsid w:val="001E3B61"/>
    <w:rsid w:val="001E3C95"/>
    <w:rsid w:val="001E3EE4"/>
    <w:rsid w:val="001E407E"/>
    <w:rsid w:val="001E415F"/>
    <w:rsid w:val="001E4204"/>
    <w:rsid w:val="001E4371"/>
    <w:rsid w:val="001E4589"/>
    <w:rsid w:val="001E45C7"/>
    <w:rsid w:val="001E4610"/>
    <w:rsid w:val="001E4973"/>
    <w:rsid w:val="001E4A9B"/>
    <w:rsid w:val="001E4D58"/>
    <w:rsid w:val="001E4F6F"/>
    <w:rsid w:val="001E5189"/>
    <w:rsid w:val="001E521D"/>
    <w:rsid w:val="001E59D3"/>
    <w:rsid w:val="001E5A97"/>
    <w:rsid w:val="001E5B8D"/>
    <w:rsid w:val="001E62E6"/>
    <w:rsid w:val="001E6476"/>
    <w:rsid w:val="001E660F"/>
    <w:rsid w:val="001E6B0C"/>
    <w:rsid w:val="001E6FCF"/>
    <w:rsid w:val="001E7334"/>
    <w:rsid w:val="001E77CF"/>
    <w:rsid w:val="001E7C61"/>
    <w:rsid w:val="001E7CDF"/>
    <w:rsid w:val="001E7F46"/>
    <w:rsid w:val="001F00FC"/>
    <w:rsid w:val="001F0762"/>
    <w:rsid w:val="001F0BEA"/>
    <w:rsid w:val="001F0C89"/>
    <w:rsid w:val="001F0F88"/>
    <w:rsid w:val="001F0FDF"/>
    <w:rsid w:val="001F108A"/>
    <w:rsid w:val="001F1090"/>
    <w:rsid w:val="001F137C"/>
    <w:rsid w:val="001F1484"/>
    <w:rsid w:val="001F154B"/>
    <w:rsid w:val="001F1AC9"/>
    <w:rsid w:val="001F1C2F"/>
    <w:rsid w:val="001F1C53"/>
    <w:rsid w:val="001F1E83"/>
    <w:rsid w:val="001F2253"/>
    <w:rsid w:val="001F270E"/>
    <w:rsid w:val="001F28CB"/>
    <w:rsid w:val="001F2921"/>
    <w:rsid w:val="001F2C0A"/>
    <w:rsid w:val="001F2D3A"/>
    <w:rsid w:val="001F2FD1"/>
    <w:rsid w:val="001F34ED"/>
    <w:rsid w:val="001F370B"/>
    <w:rsid w:val="001F3C05"/>
    <w:rsid w:val="001F3CC8"/>
    <w:rsid w:val="001F40E0"/>
    <w:rsid w:val="001F4276"/>
    <w:rsid w:val="001F4858"/>
    <w:rsid w:val="001F556B"/>
    <w:rsid w:val="001F5AFF"/>
    <w:rsid w:val="001F6329"/>
    <w:rsid w:val="001F6690"/>
    <w:rsid w:val="001F6AD5"/>
    <w:rsid w:val="001F6BFA"/>
    <w:rsid w:val="001F6E2A"/>
    <w:rsid w:val="001F6F55"/>
    <w:rsid w:val="001F7200"/>
    <w:rsid w:val="001F74B8"/>
    <w:rsid w:val="001F778D"/>
    <w:rsid w:val="001F79C8"/>
    <w:rsid w:val="001F7A18"/>
    <w:rsid w:val="001F7B66"/>
    <w:rsid w:val="00200621"/>
    <w:rsid w:val="00200706"/>
    <w:rsid w:val="002009ED"/>
    <w:rsid w:val="00200E0A"/>
    <w:rsid w:val="002015BA"/>
    <w:rsid w:val="00201666"/>
    <w:rsid w:val="00201F7D"/>
    <w:rsid w:val="00202123"/>
    <w:rsid w:val="00202166"/>
    <w:rsid w:val="00202545"/>
    <w:rsid w:val="002029DC"/>
    <w:rsid w:val="00202AA3"/>
    <w:rsid w:val="00202DAF"/>
    <w:rsid w:val="00202ED0"/>
    <w:rsid w:val="0020337F"/>
    <w:rsid w:val="002033DD"/>
    <w:rsid w:val="00203589"/>
    <w:rsid w:val="0020360D"/>
    <w:rsid w:val="00203B92"/>
    <w:rsid w:val="00203C65"/>
    <w:rsid w:val="002040E4"/>
    <w:rsid w:val="002042F8"/>
    <w:rsid w:val="0020435F"/>
    <w:rsid w:val="00204DBF"/>
    <w:rsid w:val="00204FAA"/>
    <w:rsid w:val="00205251"/>
    <w:rsid w:val="0020532C"/>
    <w:rsid w:val="00205CCC"/>
    <w:rsid w:val="00205FBE"/>
    <w:rsid w:val="00205FEB"/>
    <w:rsid w:val="002062B2"/>
    <w:rsid w:val="00206910"/>
    <w:rsid w:val="00206C5A"/>
    <w:rsid w:val="0020734C"/>
    <w:rsid w:val="0020749D"/>
    <w:rsid w:val="00207681"/>
    <w:rsid w:val="00207B96"/>
    <w:rsid w:val="00207EE9"/>
    <w:rsid w:val="00207FC0"/>
    <w:rsid w:val="00210162"/>
    <w:rsid w:val="002103C9"/>
    <w:rsid w:val="002106A6"/>
    <w:rsid w:val="00210C65"/>
    <w:rsid w:val="00210FC4"/>
    <w:rsid w:val="00211126"/>
    <w:rsid w:val="00211153"/>
    <w:rsid w:val="00211214"/>
    <w:rsid w:val="002116A4"/>
    <w:rsid w:val="002118D4"/>
    <w:rsid w:val="0021224A"/>
    <w:rsid w:val="00212401"/>
    <w:rsid w:val="002128D9"/>
    <w:rsid w:val="00212C14"/>
    <w:rsid w:val="002132F1"/>
    <w:rsid w:val="00213326"/>
    <w:rsid w:val="00213811"/>
    <w:rsid w:val="00213ADC"/>
    <w:rsid w:val="00213E82"/>
    <w:rsid w:val="00213F4F"/>
    <w:rsid w:val="00214121"/>
    <w:rsid w:val="002145B9"/>
    <w:rsid w:val="00215199"/>
    <w:rsid w:val="00215278"/>
    <w:rsid w:val="002157F8"/>
    <w:rsid w:val="002158B2"/>
    <w:rsid w:val="00215A11"/>
    <w:rsid w:val="00215B26"/>
    <w:rsid w:val="00216607"/>
    <w:rsid w:val="002166B1"/>
    <w:rsid w:val="002169C3"/>
    <w:rsid w:val="00216C41"/>
    <w:rsid w:val="00216D6C"/>
    <w:rsid w:val="00217019"/>
    <w:rsid w:val="00217063"/>
    <w:rsid w:val="0021708F"/>
    <w:rsid w:val="0021747A"/>
    <w:rsid w:val="0021755F"/>
    <w:rsid w:val="002175A0"/>
    <w:rsid w:val="00217BCD"/>
    <w:rsid w:val="00217CEC"/>
    <w:rsid w:val="00217E8C"/>
    <w:rsid w:val="00220190"/>
    <w:rsid w:val="002201DF"/>
    <w:rsid w:val="00220DB6"/>
    <w:rsid w:val="0022147F"/>
    <w:rsid w:val="002219EF"/>
    <w:rsid w:val="00221A27"/>
    <w:rsid w:val="00221D54"/>
    <w:rsid w:val="0022201F"/>
    <w:rsid w:val="00222058"/>
    <w:rsid w:val="0022250E"/>
    <w:rsid w:val="00222C17"/>
    <w:rsid w:val="00222C47"/>
    <w:rsid w:val="00223331"/>
    <w:rsid w:val="0022349E"/>
    <w:rsid w:val="00223541"/>
    <w:rsid w:val="0022380D"/>
    <w:rsid w:val="002238AF"/>
    <w:rsid w:val="00223A96"/>
    <w:rsid w:val="002242BB"/>
    <w:rsid w:val="00224531"/>
    <w:rsid w:val="00224DEF"/>
    <w:rsid w:val="002256A9"/>
    <w:rsid w:val="0022601A"/>
    <w:rsid w:val="00226187"/>
    <w:rsid w:val="002261F9"/>
    <w:rsid w:val="00226281"/>
    <w:rsid w:val="00226337"/>
    <w:rsid w:val="002264B7"/>
    <w:rsid w:val="00226AC8"/>
    <w:rsid w:val="00226FBA"/>
    <w:rsid w:val="00227402"/>
    <w:rsid w:val="002276FF"/>
    <w:rsid w:val="00227BAE"/>
    <w:rsid w:val="00227EFD"/>
    <w:rsid w:val="00230079"/>
    <w:rsid w:val="0023017B"/>
    <w:rsid w:val="00230281"/>
    <w:rsid w:val="00230B42"/>
    <w:rsid w:val="002311EC"/>
    <w:rsid w:val="00231623"/>
    <w:rsid w:val="00231FE1"/>
    <w:rsid w:val="002320A2"/>
    <w:rsid w:val="00232533"/>
    <w:rsid w:val="00232587"/>
    <w:rsid w:val="00232A6F"/>
    <w:rsid w:val="00232AC6"/>
    <w:rsid w:val="00233118"/>
    <w:rsid w:val="002331F8"/>
    <w:rsid w:val="0023341E"/>
    <w:rsid w:val="00233984"/>
    <w:rsid w:val="00233987"/>
    <w:rsid w:val="00233AC8"/>
    <w:rsid w:val="00233CE0"/>
    <w:rsid w:val="0023446C"/>
    <w:rsid w:val="0023462C"/>
    <w:rsid w:val="00234CA2"/>
    <w:rsid w:val="00234D2C"/>
    <w:rsid w:val="0023557C"/>
    <w:rsid w:val="002355A9"/>
    <w:rsid w:val="0023571E"/>
    <w:rsid w:val="00235DC0"/>
    <w:rsid w:val="00235EE9"/>
    <w:rsid w:val="00236673"/>
    <w:rsid w:val="0023679C"/>
    <w:rsid w:val="002367E7"/>
    <w:rsid w:val="0023715A"/>
    <w:rsid w:val="00237324"/>
    <w:rsid w:val="0024092A"/>
    <w:rsid w:val="00240A93"/>
    <w:rsid w:val="00240BEA"/>
    <w:rsid w:val="00241199"/>
    <w:rsid w:val="0024139F"/>
    <w:rsid w:val="00241823"/>
    <w:rsid w:val="002421DA"/>
    <w:rsid w:val="00242597"/>
    <w:rsid w:val="00242770"/>
    <w:rsid w:val="00242802"/>
    <w:rsid w:val="00242A60"/>
    <w:rsid w:val="00242B42"/>
    <w:rsid w:val="00242F8D"/>
    <w:rsid w:val="002433C1"/>
    <w:rsid w:val="00243F27"/>
    <w:rsid w:val="00243FCC"/>
    <w:rsid w:val="00244075"/>
    <w:rsid w:val="002441D6"/>
    <w:rsid w:val="00244384"/>
    <w:rsid w:val="00244DCD"/>
    <w:rsid w:val="002451A9"/>
    <w:rsid w:val="00245208"/>
    <w:rsid w:val="00246301"/>
    <w:rsid w:val="0024661D"/>
    <w:rsid w:val="00246636"/>
    <w:rsid w:val="00246833"/>
    <w:rsid w:val="00246B97"/>
    <w:rsid w:val="00246C01"/>
    <w:rsid w:val="00246C94"/>
    <w:rsid w:val="00246DA7"/>
    <w:rsid w:val="002476D0"/>
    <w:rsid w:val="00247A11"/>
    <w:rsid w:val="00247DB8"/>
    <w:rsid w:val="0025048B"/>
    <w:rsid w:val="00250670"/>
    <w:rsid w:val="00250F10"/>
    <w:rsid w:val="002513B1"/>
    <w:rsid w:val="00251619"/>
    <w:rsid w:val="002516C5"/>
    <w:rsid w:val="0025177A"/>
    <w:rsid w:val="00251914"/>
    <w:rsid w:val="002519D1"/>
    <w:rsid w:val="0025210A"/>
    <w:rsid w:val="00252321"/>
    <w:rsid w:val="002528AB"/>
    <w:rsid w:val="00252B81"/>
    <w:rsid w:val="00252E96"/>
    <w:rsid w:val="00253042"/>
    <w:rsid w:val="002532AC"/>
    <w:rsid w:val="002535E5"/>
    <w:rsid w:val="002539D7"/>
    <w:rsid w:val="00253C60"/>
    <w:rsid w:val="00254561"/>
    <w:rsid w:val="002545E9"/>
    <w:rsid w:val="00254695"/>
    <w:rsid w:val="002546B4"/>
    <w:rsid w:val="00254871"/>
    <w:rsid w:val="0025494C"/>
    <w:rsid w:val="002550EA"/>
    <w:rsid w:val="00255212"/>
    <w:rsid w:val="00255808"/>
    <w:rsid w:val="002558C5"/>
    <w:rsid w:val="00255F7F"/>
    <w:rsid w:val="002563A5"/>
    <w:rsid w:val="002563E9"/>
    <w:rsid w:val="00256506"/>
    <w:rsid w:val="0025664D"/>
    <w:rsid w:val="00256D55"/>
    <w:rsid w:val="002574CD"/>
    <w:rsid w:val="00257622"/>
    <w:rsid w:val="00257A0F"/>
    <w:rsid w:val="00257D60"/>
    <w:rsid w:val="00257D87"/>
    <w:rsid w:val="0026005F"/>
    <w:rsid w:val="0026021A"/>
    <w:rsid w:val="0026078A"/>
    <w:rsid w:val="00260859"/>
    <w:rsid w:val="002609B7"/>
    <w:rsid w:val="00260AAA"/>
    <w:rsid w:val="00260B02"/>
    <w:rsid w:val="00260BA1"/>
    <w:rsid w:val="00260C3E"/>
    <w:rsid w:val="00260D23"/>
    <w:rsid w:val="00260FC6"/>
    <w:rsid w:val="0026160A"/>
    <w:rsid w:val="002618DD"/>
    <w:rsid w:val="00261916"/>
    <w:rsid w:val="00261B23"/>
    <w:rsid w:val="00262101"/>
    <w:rsid w:val="00262361"/>
    <w:rsid w:val="00262624"/>
    <w:rsid w:val="00262697"/>
    <w:rsid w:val="002626DE"/>
    <w:rsid w:val="002627F4"/>
    <w:rsid w:val="002629AA"/>
    <w:rsid w:val="00262A20"/>
    <w:rsid w:val="00262E76"/>
    <w:rsid w:val="00262F3E"/>
    <w:rsid w:val="00263013"/>
    <w:rsid w:val="002633BC"/>
    <w:rsid w:val="002635E9"/>
    <w:rsid w:val="0026397E"/>
    <w:rsid w:val="00263BA6"/>
    <w:rsid w:val="00263C3C"/>
    <w:rsid w:val="00264361"/>
    <w:rsid w:val="00264AA2"/>
    <w:rsid w:val="00264B66"/>
    <w:rsid w:val="00264C4D"/>
    <w:rsid w:val="00264C96"/>
    <w:rsid w:val="00264F47"/>
    <w:rsid w:val="0026543A"/>
    <w:rsid w:val="002655A8"/>
    <w:rsid w:val="00265683"/>
    <w:rsid w:val="00265A2A"/>
    <w:rsid w:val="00265B70"/>
    <w:rsid w:val="00265B8F"/>
    <w:rsid w:val="00265F5D"/>
    <w:rsid w:val="00266A91"/>
    <w:rsid w:val="00266AE0"/>
    <w:rsid w:val="00266B05"/>
    <w:rsid w:val="00266E38"/>
    <w:rsid w:val="00266FE7"/>
    <w:rsid w:val="0026708E"/>
    <w:rsid w:val="00267132"/>
    <w:rsid w:val="0026747F"/>
    <w:rsid w:val="002676C0"/>
    <w:rsid w:val="00267D45"/>
    <w:rsid w:val="00267D95"/>
    <w:rsid w:val="0026F7A3"/>
    <w:rsid w:val="00270482"/>
    <w:rsid w:val="0027049D"/>
    <w:rsid w:val="002705F8"/>
    <w:rsid w:val="0027077D"/>
    <w:rsid w:val="002709E1"/>
    <w:rsid w:val="00270B16"/>
    <w:rsid w:val="00270C55"/>
    <w:rsid w:val="002714E2"/>
    <w:rsid w:val="00271787"/>
    <w:rsid w:val="00271918"/>
    <w:rsid w:val="00271BBF"/>
    <w:rsid w:val="00271E9F"/>
    <w:rsid w:val="002723C7"/>
    <w:rsid w:val="00272468"/>
    <w:rsid w:val="0027266A"/>
    <w:rsid w:val="002726E7"/>
    <w:rsid w:val="0027273A"/>
    <w:rsid w:val="0027282F"/>
    <w:rsid w:val="00273138"/>
    <w:rsid w:val="002734C7"/>
    <w:rsid w:val="00273529"/>
    <w:rsid w:val="00273A2C"/>
    <w:rsid w:val="002744C1"/>
    <w:rsid w:val="002748A9"/>
    <w:rsid w:val="00274CE5"/>
    <w:rsid w:val="002753F3"/>
    <w:rsid w:val="002758AA"/>
    <w:rsid w:val="00275E44"/>
    <w:rsid w:val="00275FBD"/>
    <w:rsid w:val="002760B4"/>
    <w:rsid w:val="002761CE"/>
    <w:rsid w:val="00276321"/>
    <w:rsid w:val="0027673E"/>
    <w:rsid w:val="00276880"/>
    <w:rsid w:val="0027689B"/>
    <w:rsid w:val="0027691F"/>
    <w:rsid w:val="00276BE0"/>
    <w:rsid w:val="00276E79"/>
    <w:rsid w:val="00277067"/>
    <w:rsid w:val="0027759B"/>
    <w:rsid w:val="00277B6B"/>
    <w:rsid w:val="00277DD3"/>
    <w:rsid w:val="00277F99"/>
    <w:rsid w:val="002803E6"/>
    <w:rsid w:val="00280915"/>
    <w:rsid w:val="00280AB2"/>
    <w:rsid w:val="00280BE2"/>
    <w:rsid w:val="00280BEC"/>
    <w:rsid w:val="00280BF8"/>
    <w:rsid w:val="00280CDE"/>
    <w:rsid w:val="00280DCF"/>
    <w:rsid w:val="00280DE3"/>
    <w:rsid w:val="00280EA3"/>
    <w:rsid w:val="002811E6"/>
    <w:rsid w:val="0028125B"/>
    <w:rsid w:val="002816EA"/>
    <w:rsid w:val="00281F43"/>
    <w:rsid w:val="00281F63"/>
    <w:rsid w:val="002822AA"/>
    <w:rsid w:val="0028242E"/>
    <w:rsid w:val="002824F4"/>
    <w:rsid w:val="00282654"/>
    <w:rsid w:val="00282868"/>
    <w:rsid w:val="0028324D"/>
    <w:rsid w:val="0028336D"/>
    <w:rsid w:val="0028397B"/>
    <w:rsid w:val="00283BBD"/>
    <w:rsid w:val="00283C24"/>
    <w:rsid w:val="00283F46"/>
    <w:rsid w:val="00283F64"/>
    <w:rsid w:val="00283FEF"/>
    <w:rsid w:val="00284165"/>
    <w:rsid w:val="002843FD"/>
    <w:rsid w:val="00284530"/>
    <w:rsid w:val="00284888"/>
    <w:rsid w:val="00284950"/>
    <w:rsid w:val="00284A5A"/>
    <w:rsid w:val="00284AFF"/>
    <w:rsid w:val="00284D58"/>
    <w:rsid w:val="00284F13"/>
    <w:rsid w:val="00284FEC"/>
    <w:rsid w:val="0028557C"/>
    <w:rsid w:val="00285900"/>
    <w:rsid w:val="002859B2"/>
    <w:rsid w:val="00285E89"/>
    <w:rsid w:val="002869BC"/>
    <w:rsid w:val="002869EA"/>
    <w:rsid w:val="00286CB8"/>
    <w:rsid w:val="00286D89"/>
    <w:rsid w:val="00286D94"/>
    <w:rsid w:val="00287124"/>
    <w:rsid w:val="0028735F"/>
    <w:rsid w:val="002873E2"/>
    <w:rsid w:val="002874F7"/>
    <w:rsid w:val="002875E0"/>
    <w:rsid w:val="002879A1"/>
    <w:rsid w:val="00287CB7"/>
    <w:rsid w:val="00290038"/>
    <w:rsid w:val="00290705"/>
    <w:rsid w:val="00290B7E"/>
    <w:rsid w:val="00290E6A"/>
    <w:rsid w:val="00290F6A"/>
    <w:rsid w:val="00291056"/>
    <w:rsid w:val="00291164"/>
    <w:rsid w:val="00291237"/>
    <w:rsid w:val="00291364"/>
    <w:rsid w:val="002914E6"/>
    <w:rsid w:val="00291522"/>
    <w:rsid w:val="002915D9"/>
    <w:rsid w:val="00291780"/>
    <w:rsid w:val="00291805"/>
    <w:rsid w:val="00291BD6"/>
    <w:rsid w:val="00291C21"/>
    <w:rsid w:val="00291D2E"/>
    <w:rsid w:val="00291E0C"/>
    <w:rsid w:val="00292270"/>
    <w:rsid w:val="002922AD"/>
    <w:rsid w:val="002924B5"/>
    <w:rsid w:val="0029262A"/>
    <w:rsid w:val="002928EA"/>
    <w:rsid w:val="00292B5E"/>
    <w:rsid w:val="00292C1E"/>
    <w:rsid w:val="00292D06"/>
    <w:rsid w:val="002931D5"/>
    <w:rsid w:val="0029320D"/>
    <w:rsid w:val="002933E9"/>
    <w:rsid w:val="002934B0"/>
    <w:rsid w:val="002934B9"/>
    <w:rsid w:val="00293573"/>
    <w:rsid w:val="00293A9A"/>
    <w:rsid w:val="00293DD2"/>
    <w:rsid w:val="00293EDC"/>
    <w:rsid w:val="00293FD0"/>
    <w:rsid w:val="002941C6"/>
    <w:rsid w:val="002948ED"/>
    <w:rsid w:val="00294999"/>
    <w:rsid w:val="00295195"/>
    <w:rsid w:val="002951B1"/>
    <w:rsid w:val="00295287"/>
    <w:rsid w:val="002958C0"/>
    <w:rsid w:val="00295F44"/>
    <w:rsid w:val="002960E2"/>
    <w:rsid w:val="00296DC9"/>
    <w:rsid w:val="00296FF5"/>
    <w:rsid w:val="00297092"/>
    <w:rsid w:val="00297566"/>
    <w:rsid w:val="002975A8"/>
    <w:rsid w:val="00297995"/>
    <w:rsid w:val="002979F4"/>
    <w:rsid w:val="00297A89"/>
    <w:rsid w:val="00297DEB"/>
    <w:rsid w:val="00297E83"/>
    <w:rsid w:val="002A02E2"/>
    <w:rsid w:val="002A0528"/>
    <w:rsid w:val="002A07AC"/>
    <w:rsid w:val="002A07FE"/>
    <w:rsid w:val="002A0A0B"/>
    <w:rsid w:val="002A0A63"/>
    <w:rsid w:val="002A0E51"/>
    <w:rsid w:val="002A10BC"/>
    <w:rsid w:val="002A136C"/>
    <w:rsid w:val="002A171A"/>
    <w:rsid w:val="002A1CF6"/>
    <w:rsid w:val="002A2047"/>
    <w:rsid w:val="002A227B"/>
    <w:rsid w:val="002A22D2"/>
    <w:rsid w:val="002A24CB"/>
    <w:rsid w:val="002A2579"/>
    <w:rsid w:val="002A3012"/>
    <w:rsid w:val="002A3387"/>
    <w:rsid w:val="002A3B05"/>
    <w:rsid w:val="002A3C15"/>
    <w:rsid w:val="002A4156"/>
    <w:rsid w:val="002A4241"/>
    <w:rsid w:val="002A42C5"/>
    <w:rsid w:val="002A4A74"/>
    <w:rsid w:val="002A4BBF"/>
    <w:rsid w:val="002A4ED9"/>
    <w:rsid w:val="002A5505"/>
    <w:rsid w:val="002A57E8"/>
    <w:rsid w:val="002A581D"/>
    <w:rsid w:val="002A5857"/>
    <w:rsid w:val="002A598C"/>
    <w:rsid w:val="002A5BA8"/>
    <w:rsid w:val="002A5CBB"/>
    <w:rsid w:val="002A614F"/>
    <w:rsid w:val="002A621D"/>
    <w:rsid w:val="002A624D"/>
    <w:rsid w:val="002A6563"/>
    <w:rsid w:val="002A659D"/>
    <w:rsid w:val="002A683E"/>
    <w:rsid w:val="002A6D52"/>
    <w:rsid w:val="002A7127"/>
    <w:rsid w:val="002A7312"/>
    <w:rsid w:val="002A7333"/>
    <w:rsid w:val="002A7623"/>
    <w:rsid w:val="002A7EA2"/>
    <w:rsid w:val="002A7ECE"/>
    <w:rsid w:val="002A7F4A"/>
    <w:rsid w:val="002B03CD"/>
    <w:rsid w:val="002B054A"/>
    <w:rsid w:val="002B0576"/>
    <w:rsid w:val="002B05E9"/>
    <w:rsid w:val="002B07F8"/>
    <w:rsid w:val="002B0B70"/>
    <w:rsid w:val="002B0BBA"/>
    <w:rsid w:val="002B0BDB"/>
    <w:rsid w:val="002B0C3A"/>
    <w:rsid w:val="002B1075"/>
    <w:rsid w:val="002B1101"/>
    <w:rsid w:val="002B11D1"/>
    <w:rsid w:val="002B1485"/>
    <w:rsid w:val="002B151D"/>
    <w:rsid w:val="002B170B"/>
    <w:rsid w:val="002B1C87"/>
    <w:rsid w:val="002B1E0B"/>
    <w:rsid w:val="002B2068"/>
    <w:rsid w:val="002B230B"/>
    <w:rsid w:val="002B25E0"/>
    <w:rsid w:val="002B2671"/>
    <w:rsid w:val="002B26EA"/>
    <w:rsid w:val="002B280C"/>
    <w:rsid w:val="002B2D7D"/>
    <w:rsid w:val="002B2E07"/>
    <w:rsid w:val="002B2F3F"/>
    <w:rsid w:val="002B2FDD"/>
    <w:rsid w:val="002B31BB"/>
    <w:rsid w:val="002B34F1"/>
    <w:rsid w:val="002B351A"/>
    <w:rsid w:val="002B3779"/>
    <w:rsid w:val="002B3900"/>
    <w:rsid w:val="002B3F29"/>
    <w:rsid w:val="002B42A5"/>
    <w:rsid w:val="002B4380"/>
    <w:rsid w:val="002B45C0"/>
    <w:rsid w:val="002B4D2F"/>
    <w:rsid w:val="002B4DFC"/>
    <w:rsid w:val="002B4E6B"/>
    <w:rsid w:val="002B50C0"/>
    <w:rsid w:val="002B51D3"/>
    <w:rsid w:val="002B51D7"/>
    <w:rsid w:val="002B5806"/>
    <w:rsid w:val="002B63DC"/>
    <w:rsid w:val="002B68B5"/>
    <w:rsid w:val="002B707B"/>
    <w:rsid w:val="002B750B"/>
    <w:rsid w:val="002B757B"/>
    <w:rsid w:val="002B7AD7"/>
    <w:rsid w:val="002B7C73"/>
    <w:rsid w:val="002B7CC6"/>
    <w:rsid w:val="002B7E02"/>
    <w:rsid w:val="002B7E6C"/>
    <w:rsid w:val="002C013B"/>
    <w:rsid w:val="002C0503"/>
    <w:rsid w:val="002C053D"/>
    <w:rsid w:val="002C07EB"/>
    <w:rsid w:val="002C07F3"/>
    <w:rsid w:val="002C0B56"/>
    <w:rsid w:val="002C0D22"/>
    <w:rsid w:val="002C0D82"/>
    <w:rsid w:val="002C1010"/>
    <w:rsid w:val="002C1692"/>
    <w:rsid w:val="002C172A"/>
    <w:rsid w:val="002C19DC"/>
    <w:rsid w:val="002C19FA"/>
    <w:rsid w:val="002C1D99"/>
    <w:rsid w:val="002C2164"/>
    <w:rsid w:val="002C239F"/>
    <w:rsid w:val="002C2416"/>
    <w:rsid w:val="002C2464"/>
    <w:rsid w:val="002C2608"/>
    <w:rsid w:val="002C26A5"/>
    <w:rsid w:val="002C2DE0"/>
    <w:rsid w:val="002C2E9C"/>
    <w:rsid w:val="002C336B"/>
    <w:rsid w:val="002C35A4"/>
    <w:rsid w:val="002C3E9B"/>
    <w:rsid w:val="002C3F4B"/>
    <w:rsid w:val="002C428A"/>
    <w:rsid w:val="002C44C5"/>
    <w:rsid w:val="002C4698"/>
    <w:rsid w:val="002C4786"/>
    <w:rsid w:val="002C4A3F"/>
    <w:rsid w:val="002C4D50"/>
    <w:rsid w:val="002C5168"/>
    <w:rsid w:val="002C5337"/>
    <w:rsid w:val="002C5377"/>
    <w:rsid w:val="002C5386"/>
    <w:rsid w:val="002C5413"/>
    <w:rsid w:val="002C548E"/>
    <w:rsid w:val="002C5568"/>
    <w:rsid w:val="002C5633"/>
    <w:rsid w:val="002C56F7"/>
    <w:rsid w:val="002C5701"/>
    <w:rsid w:val="002C5917"/>
    <w:rsid w:val="002C5A2D"/>
    <w:rsid w:val="002C6294"/>
    <w:rsid w:val="002C65EC"/>
    <w:rsid w:val="002C6814"/>
    <w:rsid w:val="002C6C12"/>
    <w:rsid w:val="002C6EC5"/>
    <w:rsid w:val="002C6FCF"/>
    <w:rsid w:val="002C720B"/>
    <w:rsid w:val="002C73D4"/>
    <w:rsid w:val="002C75F8"/>
    <w:rsid w:val="002D023E"/>
    <w:rsid w:val="002D07A8"/>
    <w:rsid w:val="002D0817"/>
    <w:rsid w:val="002D09B4"/>
    <w:rsid w:val="002D0B15"/>
    <w:rsid w:val="002D0B84"/>
    <w:rsid w:val="002D0BC5"/>
    <w:rsid w:val="002D0C1F"/>
    <w:rsid w:val="002D0E27"/>
    <w:rsid w:val="002D1024"/>
    <w:rsid w:val="002D1566"/>
    <w:rsid w:val="002D162B"/>
    <w:rsid w:val="002D1813"/>
    <w:rsid w:val="002D1ACE"/>
    <w:rsid w:val="002D1B58"/>
    <w:rsid w:val="002D1CF5"/>
    <w:rsid w:val="002D1F60"/>
    <w:rsid w:val="002D29E0"/>
    <w:rsid w:val="002D30B9"/>
    <w:rsid w:val="002D3A17"/>
    <w:rsid w:val="002D3AFD"/>
    <w:rsid w:val="002D3D59"/>
    <w:rsid w:val="002D413E"/>
    <w:rsid w:val="002D4465"/>
    <w:rsid w:val="002D4497"/>
    <w:rsid w:val="002D4B68"/>
    <w:rsid w:val="002D4DC1"/>
    <w:rsid w:val="002D4E77"/>
    <w:rsid w:val="002D4F4D"/>
    <w:rsid w:val="002D4FCE"/>
    <w:rsid w:val="002D50E8"/>
    <w:rsid w:val="002D5144"/>
    <w:rsid w:val="002D59CD"/>
    <w:rsid w:val="002D5D05"/>
    <w:rsid w:val="002D61F3"/>
    <w:rsid w:val="002D649E"/>
    <w:rsid w:val="002D6896"/>
    <w:rsid w:val="002D691C"/>
    <w:rsid w:val="002D6C2E"/>
    <w:rsid w:val="002D709B"/>
    <w:rsid w:val="002D7340"/>
    <w:rsid w:val="002D76A9"/>
    <w:rsid w:val="002D79AC"/>
    <w:rsid w:val="002E02D4"/>
    <w:rsid w:val="002E04C3"/>
    <w:rsid w:val="002E0A93"/>
    <w:rsid w:val="002E0B32"/>
    <w:rsid w:val="002E0B52"/>
    <w:rsid w:val="002E0B77"/>
    <w:rsid w:val="002E0FB2"/>
    <w:rsid w:val="002E11A7"/>
    <w:rsid w:val="002E144A"/>
    <w:rsid w:val="002E1638"/>
    <w:rsid w:val="002E16B9"/>
    <w:rsid w:val="002E17C6"/>
    <w:rsid w:val="002E185E"/>
    <w:rsid w:val="002E19D9"/>
    <w:rsid w:val="002E1CED"/>
    <w:rsid w:val="002E1E3C"/>
    <w:rsid w:val="002E2227"/>
    <w:rsid w:val="002E2454"/>
    <w:rsid w:val="002E2784"/>
    <w:rsid w:val="002E2927"/>
    <w:rsid w:val="002E2CA6"/>
    <w:rsid w:val="002E359C"/>
    <w:rsid w:val="002E3700"/>
    <w:rsid w:val="002E3826"/>
    <w:rsid w:val="002E3A79"/>
    <w:rsid w:val="002E3B67"/>
    <w:rsid w:val="002E3CFC"/>
    <w:rsid w:val="002E3D82"/>
    <w:rsid w:val="002E3E35"/>
    <w:rsid w:val="002E40E7"/>
    <w:rsid w:val="002E4479"/>
    <w:rsid w:val="002E45CF"/>
    <w:rsid w:val="002E468B"/>
    <w:rsid w:val="002E4A49"/>
    <w:rsid w:val="002E4C3A"/>
    <w:rsid w:val="002E51A8"/>
    <w:rsid w:val="002E52FF"/>
    <w:rsid w:val="002E5306"/>
    <w:rsid w:val="002E5A82"/>
    <w:rsid w:val="002E5C91"/>
    <w:rsid w:val="002E6725"/>
    <w:rsid w:val="002E7250"/>
    <w:rsid w:val="002E7345"/>
    <w:rsid w:val="002E7386"/>
    <w:rsid w:val="002E7531"/>
    <w:rsid w:val="002E7797"/>
    <w:rsid w:val="002E7DC1"/>
    <w:rsid w:val="002E7F52"/>
    <w:rsid w:val="002F02F1"/>
    <w:rsid w:val="002F0665"/>
    <w:rsid w:val="002F0B27"/>
    <w:rsid w:val="002F0C50"/>
    <w:rsid w:val="002F0D5A"/>
    <w:rsid w:val="002F0F45"/>
    <w:rsid w:val="002F10F7"/>
    <w:rsid w:val="002F1180"/>
    <w:rsid w:val="002F154F"/>
    <w:rsid w:val="002F1A9F"/>
    <w:rsid w:val="002F1DA4"/>
    <w:rsid w:val="002F207B"/>
    <w:rsid w:val="002F22E7"/>
    <w:rsid w:val="002F233F"/>
    <w:rsid w:val="002F2438"/>
    <w:rsid w:val="002F260C"/>
    <w:rsid w:val="002F276E"/>
    <w:rsid w:val="002F292E"/>
    <w:rsid w:val="002F2A0E"/>
    <w:rsid w:val="002F2A32"/>
    <w:rsid w:val="002F2AE6"/>
    <w:rsid w:val="002F2DB0"/>
    <w:rsid w:val="002F3266"/>
    <w:rsid w:val="002F37C8"/>
    <w:rsid w:val="002F3893"/>
    <w:rsid w:val="002F390B"/>
    <w:rsid w:val="002F394B"/>
    <w:rsid w:val="002F3D6E"/>
    <w:rsid w:val="002F3F68"/>
    <w:rsid w:val="002F41CF"/>
    <w:rsid w:val="002F4322"/>
    <w:rsid w:val="002F435E"/>
    <w:rsid w:val="002F4765"/>
    <w:rsid w:val="002F4A46"/>
    <w:rsid w:val="002F4CA4"/>
    <w:rsid w:val="002F4DC5"/>
    <w:rsid w:val="002F51F7"/>
    <w:rsid w:val="002F55CB"/>
    <w:rsid w:val="002F56F1"/>
    <w:rsid w:val="002F5876"/>
    <w:rsid w:val="002F5896"/>
    <w:rsid w:val="002F58AE"/>
    <w:rsid w:val="002F58C6"/>
    <w:rsid w:val="002F590A"/>
    <w:rsid w:val="002F5C25"/>
    <w:rsid w:val="002F5E2B"/>
    <w:rsid w:val="002F63A6"/>
    <w:rsid w:val="002F664E"/>
    <w:rsid w:val="002F6921"/>
    <w:rsid w:val="002F6943"/>
    <w:rsid w:val="002F6BEB"/>
    <w:rsid w:val="002F6DC7"/>
    <w:rsid w:val="002F6F91"/>
    <w:rsid w:val="002F7002"/>
    <w:rsid w:val="002F71F6"/>
    <w:rsid w:val="002F7787"/>
    <w:rsid w:val="002F7C93"/>
    <w:rsid w:val="002F7D49"/>
    <w:rsid w:val="003005EB"/>
    <w:rsid w:val="003008FC"/>
    <w:rsid w:val="00300BE6"/>
    <w:rsid w:val="00300C7B"/>
    <w:rsid w:val="00301010"/>
    <w:rsid w:val="003010BF"/>
    <w:rsid w:val="00301617"/>
    <w:rsid w:val="00301B37"/>
    <w:rsid w:val="00301BE1"/>
    <w:rsid w:val="00301CE7"/>
    <w:rsid w:val="00301EC8"/>
    <w:rsid w:val="00301F10"/>
    <w:rsid w:val="00302C40"/>
    <w:rsid w:val="00302E0B"/>
    <w:rsid w:val="00302F55"/>
    <w:rsid w:val="003033A6"/>
    <w:rsid w:val="00303580"/>
    <w:rsid w:val="00303924"/>
    <w:rsid w:val="00303A4C"/>
    <w:rsid w:val="00303BBB"/>
    <w:rsid w:val="0030405E"/>
    <w:rsid w:val="00304348"/>
    <w:rsid w:val="003043C8"/>
    <w:rsid w:val="0030469A"/>
    <w:rsid w:val="003048CC"/>
    <w:rsid w:val="00304958"/>
    <w:rsid w:val="003049C1"/>
    <w:rsid w:val="00304BAA"/>
    <w:rsid w:val="00304CF5"/>
    <w:rsid w:val="00304DA3"/>
    <w:rsid w:val="00304E33"/>
    <w:rsid w:val="003052B9"/>
    <w:rsid w:val="0030554E"/>
    <w:rsid w:val="003055EC"/>
    <w:rsid w:val="003056A1"/>
    <w:rsid w:val="003059D5"/>
    <w:rsid w:val="00305A9C"/>
    <w:rsid w:val="00305AFE"/>
    <w:rsid w:val="00305D96"/>
    <w:rsid w:val="00305DB8"/>
    <w:rsid w:val="0030633C"/>
    <w:rsid w:val="0030686B"/>
    <w:rsid w:val="003069D9"/>
    <w:rsid w:val="00307366"/>
    <w:rsid w:val="00307503"/>
    <w:rsid w:val="003075F6"/>
    <w:rsid w:val="003077A7"/>
    <w:rsid w:val="0030797E"/>
    <w:rsid w:val="003079D0"/>
    <w:rsid w:val="00307D2B"/>
    <w:rsid w:val="0031003E"/>
    <w:rsid w:val="00310317"/>
    <w:rsid w:val="00310492"/>
    <w:rsid w:val="00310782"/>
    <w:rsid w:val="00310872"/>
    <w:rsid w:val="00310917"/>
    <w:rsid w:val="003109D9"/>
    <w:rsid w:val="00310AB5"/>
    <w:rsid w:val="00310D13"/>
    <w:rsid w:val="00310D31"/>
    <w:rsid w:val="00310D33"/>
    <w:rsid w:val="0031108C"/>
    <w:rsid w:val="00311FBF"/>
    <w:rsid w:val="00312085"/>
    <w:rsid w:val="003124BA"/>
    <w:rsid w:val="003127DB"/>
    <w:rsid w:val="00312A11"/>
    <w:rsid w:val="00312AFA"/>
    <w:rsid w:val="00312CA8"/>
    <w:rsid w:val="00313132"/>
    <w:rsid w:val="0031320D"/>
    <w:rsid w:val="0031345F"/>
    <w:rsid w:val="00313587"/>
    <w:rsid w:val="00313A4D"/>
    <w:rsid w:val="0031405F"/>
    <w:rsid w:val="003148C4"/>
    <w:rsid w:val="003151B1"/>
    <w:rsid w:val="003151FC"/>
    <w:rsid w:val="003154EE"/>
    <w:rsid w:val="00315F42"/>
    <w:rsid w:val="00316007"/>
    <w:rsid w:val="00316149"/>
    <w:rsid w:val="003166A4"/>
    <w:rsid w:val="003166EF"/>
    <w:rsid w:val="00316719"/>
    <w:rsid w:val="003169D2"/>
    <w:rsid w:val="00316E55"/>
    <w:rsid w:val="00317029"/>
    <w:rsid w:val="0031704C"/>
    <w:rsid w:val="0031704E"/>
    <w:rsid w:val="00317071"/>
    <w:rsid w:val="0031712F"/>
    <w:rsid w:val="00317480"/>
    <w:rsid w:val="00317492"/>
    <w:rsid w:val="00317A71"/>
    <w:rsid w:val="00317D04"/>
    <w:rsid w:val="00320032"/>
    <w:rsid w:val="003203B5"/>
    <w:rsid w:val="00320931"/>
    <w:rsid w:val="00320B1B"/>
    <w:rsid w:val="00320BB3"/>
    <w:rsid w:val="00320C25"/>
    <w:rsid w:val="00320DCF"/>
    <w:rsid w:val="00321019"/>
    <w:rsid w:val="00321145"/>
    <w:rsid w:val="00321292"/>
    <w:rsid w:val="003216DF"/>
    <w:rsid w:val="0032172F"/>
    <w:rsid w:val="00321999"/>
    <w:rsid w:val="003219F6"/>
    <w:rsid w:val="00321B38"/>
    <w:rsid w:val="00321B39"/>
    <w:rsid w:val="00321B41"/>
    <w:rsid w:val="00321C7B"/>
    <w:rsid w:val="00321E58"/>
    <w:rsid w:val="0032206A"/>
    <w:rsid w:val="0032236E"/>
    <w:rsid w:val="00322CD6"/>
    <w:rsid w:val="00322DA6"/>
    <w:rsid w:val="00323319"/>
    <w:rsid w:val="003233F1"/>
    <w:rsid w:val="003239C0"/>
    <w:rsid w:val="00323B49"/>
    <w:rsid w:val="00323D1C"/>
    <w:rsid w:val="00323E4C"/>
    <w:rsid w:val="00323F52"/>
    <w:rsid w:val="003241A9"/>
    <w:rsid w:val="00324221"/>
    <w:rsid w:val="003242EB"/>
    <w:rsid w:val="00324892"/>
    <w:rsid w:val="00324B93"/>
    <w:rsid w:val="00325153"/>
    <w:rsid w:val="003251EE"/>
    <w:rsid w:val="00325DBE"/>
    <w:rsid w:val="0032630C"/>
    <w:rsid w:val="00326525"/>
    <w:rsid w:val="0032696A"/>
    <w:rsid w:val="003270FE"/>
    <w:rsid w:val="0032770F"/>
    <w:rsid w:val="003279E4"/>
    <w:rsid w:val="00327A5B"/>
    <w:rsid w:val="00327D39"/>
    <w:rsid w:val="00327D62"/>
    <w:rsid w:val="00327E55"/>
    <w:rsid w:val="00327E8F"/>
    <w:rsid w:val="00327F1C"/>
    <w:rsid w:val="003303C7"/>
    <w:rsid w:val="003304EF"/>
    <w:rsid w:val="003308BF"/>
    <w:rsid w:val="00330958"/>
    <w:rsid w:val="00330B55"/>
    <w:rsid w:val="00330EE0"/>
    <w:rsid w:val="003313CB"/>
    <w:rsid w:val="00331409"/>
    <w:rsid w:val="003318CE"/>
    <w:rsid w:val="00331F9F"/>
    <w:rsid w:val="0033202C"/>
    <w:rsid w:val="00332093"/>
    <w:rsid w:val="0033226C"/>
    <w:rsid w:val="00332316"/>
    <w:rsid w:val="003328FC"/>
    <w:rsid w:val="00332A8B"/>
    <w:rsid w:val="00333839"/>
    <w:rsid w:val="003338CA"/>
    <w:rsid w:val="0033396D"/>
    <w:rsid w:val="00333A45"/>
    <w:rsid w:val="00333FD5"/>
    <w:rsid w:val="00334140"/>
    <w:rsid w:val="0033424B"/>
    <w:rsid w:val="003342AA"/>
    <w:rsid w:val="00334329"/>
    <w:rsid w:val="003344EB"/>
    <w:rsid w:val="00334970"/>
    <w:rsid w:val="00334A2F"/>
    <w:rsid w:val="00334D81"/>
    <w:rsid w:val="00334EEA"/>
    <w:rsid w:val="00334EF7"/>
    <w:rsid w:val="003350C8"/>
    <w:rsid w:val="00335248"/>
    <w:rsid w:val="00335391"/>
    <w:rsid w:val="003356B5"/>
    <w:rsid w:val="003357E7"/>
    <w:rsid w:val="0033581B"/>
    <w:rsid w:val="00335AEF"/>
    <w:rsid w:val="00335D8B"/>
    <w:rsid w:val="0033611E"/>
    <w:rsid w:val="00336444"/>
    <w:rsid w:val="003366A6"/>
    <w:rsid w:val="0033678E"/>
    <w:rsid w:val="003367CA"/>
    <w:rsid w:val="0033682B"/>
    <w:rsid w:val="0033692D"/>
    <w:rsid w:val="00336DED"/>
    <w:rsid w:val="0033797A"/>
    <w:rsid w:val="00340356"/>
    <w:rsid w:val="0034066A"/>
    <w:rsid w:val="00340CD0"/>
    <w:rsid w:val="00340D06"/>
    <w:rsid w:val="00340DC9"/>
    <w:rsid w:val="00340E8C"/>
    <w:rsid w:val="00341102"/>
    <w:rsid w:val="0034159A"/>
    <w:rsid w:val="003415C9"/>
    <w:rsid w:val="003419EF"/>
    <w:rsid w:val="00341EA4"/>
    <w:rsid w:val="00342364"/>
    <w:rsid w:val="003427EA"/>
    <w:rsid w:val="00342939"/>
    <w:rsid w:val="00342A49"/>
    <w:rsid w:val="00342FC8"/>
    <w:rsid w:val="0034305E"/>
    <w:rsid w:val="003430E1"/>
    <w:rsid w:val="003431E1"/>
    <w:rsid w:val="00343506"/>
    <w:rsid w:val="00343A09"/>
    <w:rsid w:val="00343CC8"/>
    <w:rsid w:val="00344033"/>
    <w:rsid w:val="003442F8"/>
    <w:rsid w:val="0034441C"/>
    <w:rsid w:val="00344499"/>
    <w:rsid w:val="003446FC"/>
    <w:rsid w:val="0034472B"/>
    <w:rsid w:val="00344A9F"/>
    <w:rsid w:val="00344BA4"/>
    <w:rsid w:val="00344C1D"/>
    <w:rsid w:val="00344F26"/>
    <w:rsid w:val="003453C1"/>
    <w:rsid w:val="003453D7"/>
    <w:rsid w:val="0034547B"/>
    <w:rsid w:val="00345664"/>
    <w:rsid w:val="00345E84"/>
    <w:rsid w:val="00345F6C"/>
    <w:rsid w:val="00346771"/>
    <w:rsid w:val="00346785"/>
    <w:rsid w:val="00346876"/>
    <w:rsid w:val="00346BDB"/>
    <w:rsid w:val="00346D85"/>
    <w:rsid w:val="00346F2E"/>
    <w:rsid w:val="00346FDD"/>
    <w:rsid w:val="00346FF0"/>
    <w:rsid w:val="0034706B"/>
    <w:rsid w:val="00347171"/>
    <w:rsid w:val="003471CB"/>
    <w:rsid w:val="00347208"/>
    <w:rsid w:val="00347617"/>
    <w:rsid w:val="0034774F"/>
    <w:rsid w:val="00347A0F"/>
    <w:rsid w:val="00347CDC"/>
    <w:rsid w:val="00347EA8"/>
    <w:rsid w:val="00350185"/>
    <w:rsid w:val="003504F9"/>
    <w:rsid w:val="00350A07"/>
    <w:rsid w:val="00350D02"/>
    <w:rsid w:val="00350D5C"/>
    <w:rsid w:val="00350E8F"/>
    <w:rsid w:val="00351163"/>
    <w:rsid w:val="003514B7"/>
    <w:rsid w:val="00351631"/>
    <w:rsid w:val="00351674"/>
    <w:rsid w:val="00351D00"/>
    <w:rsid w:val="00351E01"/>
    <w:rsid w:val="00351F5F"/>
    <w:rsid w:val="003520C2"/>
    <w:rsid w:val="00352273"/>
    <w:rsid w:val="00352A5C"/>
    <w:rsid w:val="00352AE3"/>
    <w:rsid w:val="00352C69"/>
    <w:rsid w:val="00352CF8"/>
    <w:rsid w:val="00352F85"/>
    <w:rsid w:val="00353253"/>
    <w:rsid w:val="00353299"/>
    <w:rsid w:val="0035348B"/>
    <w:rsid w:val="00353540"/>
    <w:rsid w:val="003536CF"/>
    <w:rsid w:val="0035371F"/>
    <w:rsid w:val="0035375D"/>
    <w:rsid w:val="003538F6"/>
    <w:rsid w:val="00353940"/>
    <w:rsid w:val="00353E45"/>
    <w:rsid w:val="003543AA"/>
    <w:rsid w:val="00354C4A"/>
    <w:rsid w:val="00354EAE"/>
    <w:rsid w:val="00354FA8"/>
    <w:rsid w:val="00355069"/>
    <w:rsid w:val="0035515D"/>
    <w:rsid w:val="003556BE"/>
    <w:rsid w:val="00355D8F"/>
    <w:rsid w:val="00355E03"/>
    <w:rsid w:val="0035643E"/>
    <w:rsid w:val="003565C7"/>
    <w:rsid w:val="003565EA"/>
    <w:rsid w:val="003566E1"/>
    <w:rsid w:val="00356915"/>
    <w:rsid w:val="00357192"/>
    <w:rsid w:val="003572B9"/>
    <w:rsid w:val="003574CF"/>
    <w:rsid w:val="003579E6"/>
    <w:rsid w:val="00357AFC"/>
    <w:rsid w:val="00357B79"/>
    <w:rsid w:val="003605E7"/>
    <w:rsid w:val="00360C40"/>
    <w:rsid w:val="00360CD9"/>
    <w:rsid w:val="00360E59"/>
    <w:rsid w:val="0036113E"/>
    <w:rsid w:val="00361ABC"/>
    <w:rsid w:val="00361D6F"/>
    <w:rsid w:val="00361DCC"/>
    <w:rsid w:val="00362373"/>
    <w:rsid w:val="00362504"/>
    <w:rsid w:val="00362626"/>
    <w:rsid w:val="003626E3"/>
    <w:rsid w:val="003627CE"/>
    <w:rsid w:val="00362E16"/>
    <w:rsid w:val="003633D7"/>
    <w:rsid w:val="003634D7"/>
    <w:rsid w:val="00363D25"/>
    <w:rsid w:val="003642BE"/>
    <w:rsid w:val="00364926"/>
    <w:rsid w:val="003649BB"/>
    <w:rsid w:val="003649D2"/>
    <w:rsid w:val="00364F6E"/>
    <w:rsid w:val="00365007"/>
    <w:rsid w:val="003650EE"/>
    <w:rsid w:val="00365380"/>
    <w:rsid w:val="00365CEA"/>
    <w:rsid w:val="00365E20"/>
    <w:rsid w:val="00365EF0"/>
    <w:rsid w:val="00366399"/>
    <w:rsid w:val="00366C95"/>
    <w:rsid w:val="00366E47"/>
    <w:rsid w:val="0036738D"/>
    <w:rsid w:val="003678F2"/>
    <w:rsid w:val="00367A5D"/>
    <w:rsid w:val="00370219"/>
    <w:rsid w:val="0037025B"/>
    <w:rsid w:val="00370275"/>
    <w:rsid w:val="003702E9"/>
    <w:rsid w:val="0037069D"/>
    <w:rsid w:val="00370EC9"/>
    <w:rsid w:val="00370EF9"/>
    <w:rsid w:val="00370F1C"/>
    <w:rsid w:val="00370FE7"/>
    <w:rsid w:val="003710C5"/>
    <w:rsid w:val="00371366"/>
    <w:rsid w:val="0037150A"/>
    <w:rsid w:val="00371698"/>
    <w:rsid w:val="003717A9"/>
    <w:rsid w:val="003717E4"/>
    <w:rsid w:val="00371D14"/>
    <w:rsid w:val="00371D7F"/>
    <w:rsid w:val="00371E6C"/>
    <w:rsid w:val="003723A4"/>
    <w:rsid w:val="00372410"/>
    <w:rsid w:val="003724B2"/>
    <w:rsid w:val="00372673"/>
    <w:rsid w:val="0037268A"/>
    <w:rsid w:val="00372D88"/>
    <w:rsid w:val="00372E13"/>
    <w:rsid w:val="00373074"/>
    <w:rsid w:val="003731D2"/>
    <w:rsid w:val="003737FF"/>
    <w:rsid w:val="00373F19"/>
    <w:rsid w:val="00373F32"/>
    <w:rsid w:val="003740E1"/>
    <w:rsid w:val="0037417F"/>
    <w:rsid w:val="00374570"/>
    <w:rsid w:val="00374804"/>
    <w:rsid w:val="00374A8A"/>
    <w:rsid w:val="00374B1D"/>
    <w:rsid w:val="00374C96"/>
    <w:rsid w:val="00374CB2"/>
    <w:rsid w:val="00375293"/>
    <w:rsid w:val="00375A44"/>
    <w:rsid w:val="00375B1B"/>
    <w:rsid w:val="00375BE8"/>
    <w:rsid w:val="00375C5C"/>
    <w:rsid w:val="00375D48"/>
    <w:rsid w:val="00375E04"/>
    <w:rsid w:val="00375F64"/>
    <w:rsid w:val="0037622E"/>
    <w:rsid w:val="00376645"/>
    <w:rsid w:val="00376A48"/>
    <w:rsid w:val="00376DEB"/>
    <w:rsid w:val="00376E79"/>
    <w:rsid w:val="00377088"/>
    <w:rsid w:val="00377411"/>
    <w:rsid w:val="003778A4"/>
    <w:rsid w:val="00377F13"/>
    <w:rsid w:val="003805C8"/>
    <w:rsid w:val="00380626"/>
    <w:rsid w:val="003806F2"/>
    <w:rsid w:val="00380846"/>
    <w:rsid w:val="003809C2"/>
    <w:rsid w:val="00380D6D"/>
    <w:rsid w:val="00381284"/>
    <w:rsid w:val="00381597"/>
    <w:rsid w:val="003818AB"/>
    <w:rsid w:val="00381975"/>
    <w:rsid w:val="00381A5C"/>
    <w:rsid w:val="00381C57"/>
    <w:rsid w:val="00381DF4"/>
    <w:rsid w:val="00381E24"/>
    <w:rsid w:val="003820D0"/>
    <w:rsid w:val="003821D1"/>
    <w:rsid w:val="003821DA"/>
    <w:rsid w:val="003824E2"/>
    <w:rsid w:val="00382574"/>
    <w:rsid w:val="003829B0"/>
    <w:rsid w:val="00382AF7"/>
    <w:rsid w:val="00382C25"/>
    <w:rsid w:val="00383026"/>
    <w:rsid w:val="00383340"/>
    <w:rsid w:val="003834BC"/>
    <w:rsid w:val="00383556"/>
    <w:rsid w:val="00383DCD"/>
    <w:rsid w:val="00383FA9"/>
    <w:rsid w:val="0038408B"/>
    <w:rsid w:val="003842BC"/>
    <w:rsid w:val="003848CA"/>
    <w:rsid w:val="00384C8F"/>
    <w:rsid w:val="00384E9C"/>
    <w:rsid w:val="00384F2E"/>
    <w:rsid w:val="00385199"/>
    <w:rsid w:val="00385578"/>
    <w:rsid w:val="00385583"/>
    <w:rsid w:val="003855CB"/>
    <w:rsid w:val="003857BD"/>
    <w:rsid w:val="00385BE9"/>
    <w:rsid w:val="00385CAB"/>
    <w:rsid w:val="00386129"/>
    <w:rsid w:val="0038626E"/>
    <w:rsid w:val="00386A66"/>
    <w:rsid w:val="00386ACB"/>
    <w:rsid w:val="003879CA"/>
    <w:rsid w:val="00387A86"/>
    <w:rsid w:val="00387B5C"/>
    <w:rsid w:val="00387EB0"/>
    <w:rsid w:val="00390653"/>
    <w:rsid w:val="0039096F"/>
    <w:rsid w:val="00390D2A"/>
    <w:rsid w:val="0039123C"/>
    <w:rsid w:val="003913DE"/>
    <w:rsid w:val="003914A3"/>
    <w:rsid w:val="0039182A"/>
    <w:rsid w:val="0039195E"/>
    <w:rsid w:val="00391E4B"/>
    <w:rsid w:val="00391EA9"/>
    <w:rsid w:val="00391F21"/>
    <w:rsid w:val="0039204C"/>
    <w:rsid w:val="00392251"/>
    <w:rsid w:val="00392317"/>
    <w:rsid w:val="0039235A"/>
    <w:rsid w:val="003923C4"/>
    <w:rsid w:val="00392AA0"/>
    <w:rsid w:val="00392B5E"/>
    <w:rsid w:val="00392B75"/>
    <w:rsid w:val="00392DE3"/>
    <w:rsid w:val="00392F0C"/>
    <w:rsid w:val="00392FCC"/>
    <w:rsid w:val="00393022"/>
    <w:rsid w:val="00393089"/>
    <w:rsid w:val="0039312E"/>
    <w:rsid w:val="003933F1"/>
    <w:rsid w:val="00393711"/>
    <w:rsid w:val="003937F9"/>
    <w:rsid w:val="00393B39"/>
    <w:rsid w:val="00393E23"/>
    <w:rsid w:val="00393E77"/>
    <w:rsid w:val="003940FD"/>
    <w:rsid w:val="003943E1"/>
    <w:rsid w:val="00394465"/>
    <w:rsid w:val="003945E4"/>
    <w:rsid w:val="003947D2"/>
    <w:rsid w:val="00394E2C"/>
    <w:rsid w:val="00394F17"/>
    <w:rsid w:val="00395030"/>
    <w:rsid w:val="003950C9"/>
    <w:rsid w:val="00395665"/>
    <w:rsid w:val="0039583E"/>
    <w:rsid w:val="00395892"/>
    <w:rsid w:val="0039596C"/>
    <w:rsid w:val="00395DF1"/>
    <w:rsid w:val="00395FCA"/>
    <w:rsid w:val="00395FF7"/>
    <w:rsid w:val="003961DE"/>
    <w:rsid w:val="0039652E"/>
    <w:rsid w:val="003967BF"/>
    <w:rsid w:val="00396C0A"/>
    <w:rsid w:val="00396FCD"/>
    <w:rsid w:val="00397DF2"/>
    <w:rsid w:val="00397DF3"/>
    <w:rsid w:val="003A04A5"/>
    <w:rsid w:val="003A0566"/>
    <w:rsid w:val="003A0948"/>
    <w:rsid w:val="003A096E"/>
    <w:rsid w:val="003A0A13"/>
    <w:rsid w:val="003A0ADF"/>
    <w:rsid w:val="003A0D4B"/>
    <w:rsid w:val="003A0F8C"/>
    <w:rsid w:val="003A103D"/>
    <w:rsid w:val="003A1252"/>
    <w:rsid w:val="003A1912"/>
    <w:rsid w:val="003A1B84"/>
    <w:rsid w:val="003A1DAF"/>
    <w:rsid w:val="003A1DE3"/>
    <w:rsid w:val="003A2045"/>
    <w:rsid w:val="003A2133"/>
    <w:rsid w:val="003A21ED"/>
    <w:rsid w:val="003A22FB"/>
    <w:rsid w:val="003A23FC"/>
    <w:rsid w:val="003A24D8"/>
    <w:rsid w:val="003A2628"/>
    <w:rsid w:val="003A29E5"/>
    <w:rsid w:val="003A2D32"/>
    <w:rsid w:val="003A2F76"/>
    <w:rsid w:val="003A31C7"/>
    <w:rsid w:val="003A355D"/>
    <w:rsid w:val="003A3819"/>
    <w:rsid w:val="003A3AA1"/>
    <w:rsid w:val="003A3D7A"/>
    <w:rsid w:val="003A45FD"/>
    <w:rsid w:val="003A4AEE"/>
    <w:rsid w:val="003A4D0A"/>
    <w:rsid w:val="003A517B"/>
    <w:rsid w:val="003A53A4"/>
    <w:rsid w:val="003A53DE"/>
    <w:rsid w:val="003A569D"/>
    <w:rsid w:val="003A5C82"/>
    <w:rsid w:val="003A5DF9"/>
    <w:rsid w:val="003A6790"/>
    <w:rsid w:val="003A6FD9"/>
    <w:rsid w:val="003A74B8"/>
    <w:rsid w:val="003A75DF"/>
    <w:rsid w:val="003A76C8"/>
    <w:rsid w:val="003A795D"/>
    <w:rsid w:val="003A7A7F"/>
    <w:rsid w:val="003B00E2"/>
    <w:rsid w:val="003B023E"/>
    <w:rsid w:val="003B07A0"/>
    <w:rsid w:val="003B0B2F"/>
    <w:rsid w:val="003B0CE4"/>
    <w:rsid w:val="003B13A5"/>
    <w:rsid w:val="003B14F6"/>
    <w:rsid w:val="003B1504"/>
    <w:rsid w:val="003B19B6"/>
    <w:rsid w:val="003B1A7D"/>
    <w:rsid w:val="003B1E88"/>
    <w:rsid w:val="003B1FC9"/>
    <w:rsid w:val="003B2390"/>
    <w:rsid w:val="003B2618"/>
    <w:rsid w:val="003B27D9"/>
    <w:rsid w:val="003B2848"/>
    <w:rsid w:val="003B29EE"/>
    <w:rsid w:val="003B2EA5"/>
    <w:rsid w:val="003B2F2C"/>
    <w:rsid w:val="003B2FDD"/>
    <w:rsid w:val="003B3274"/>
    <w:rsid w:val="003B3463"/>
    <w:rsid w:val="003B3DF3"/>
    <w:rsid w:val="003B3E9C"/>
    <w:rsid w:val="003B4647"/>
    <w:rsid w:val="003B466A"/>
    <w:rsid w:val="003B4700"/>
    <w:rsid w:val="003B4786"/>
    <w:rsid w:val="003B4BB1"/>
    <w:rsid w:val="003B4BDA"/>
    <w:rsid w:val="003B4E8D"/>
    <w:rsid w:val="003B53DC"/>
    <w:rsid w:val="003B53F9"/>
    <w:rsid w:val="003B54B4"/>
    <w:rsid w:val="003B5F5A"/>
    <w:rsid w:val="003B6014"/>
    <w:rsid w:val="003B6361"/>
    <w:rsid w:val="003B6B53"/>
    <w:rsid w:val="003B6E27"/>
    <w:rsid w:val="003B6EB7"/>
    <w:rsid w:val="003B6F60"/>
    <w:rsid w:val="003B731D"/>
    <w:rsid w:val="003C01BB"/>
    <w:rsid w:val="003C0268"/>
    <w:rsid w:val="003C04FB"/>
    <w:rsid w:val="003C080D"/>
    <w:rsid w:val="003C0B0B"/>
    <w:rsid w:val="003C0F35"/>
    <w:rsid w:val="003C1622"/>
    <w:rsid w:val="003C19F1"/>
    <w:rsid w:val="003C1AEB"/>
    <w:rsid w:val="003C1D86"/>
    <w:rsid w:val="003C1E25"/>
    <w:rsid w:val="003C246F"/>
    <w:rsid w:val="003C26B4"/>
    <w:rsid w:val="003C26B9"/>
    <w:rsid w:val="003C2717"/>
    <w:rsid w:val="003C271C"/>
    <w:rsid w:val="003C2CC8"/>
    <w:rsid w:val="003C2DA7"/>
    <w:rsid w:val="003C2F95"/>
    <w:rsid w:val="003C3294"/>
    <w:rsid w:val="003C3494"/>
    <w:rsid w:val="003C35D2"/>
    <w:rsid w:val="003C3652"/>
    <w:rsid w:val="003C380F"/>
    <w:rsid w:val="003C394B"/>
    <w:rsid w:val="003C3CA7"/>
    <w:rsid w:val="003C3D30"/>
    <w:rsid w:val="003C3E54"/>
    <w:rsid w:val="003C3F44"/>
    <w:rsid w:val="003C3FBB"/>
    <w:rsid w:val="003C408C"/>
    <w:rsid w:val="003C4A88"/>
    <w:rsid w:val="003C5193"/>
    <w:rsid w:val="003C5483"/>
    <w:rsid w:val="003C5DB4"/>
    <w:rsid w:val="003C5FD7"/>
    <w:rsid w:val="003C6752"/>
    <w:rsid w:val="003C6CE8"/>
    <w:rsid w:val="003C6FB2"/>
    <w:rsid w:val="003C70E2"/>
    <w:rsid w:val="003C717F"/>
    <w:rsid w:val="003C7AA0"/>
    <w:rsid w:val="003C7F98"/>
    <w:rsid w:val="003D0110"/>
    <w:rsid w:val="003D04ED"/>
    <w:rsid w:val="003D08AF"/>
    <w:rsid w:val="003D0BAE"/>
    <w:rsid w:val="003D0D70"/>
    <w:rsid w:val="003D0EA9"/>
    <w:rsid w:val="003D0F87"/>
    <w:rsid w:val="003D1441"/>
    <w:rsid w:val="003D1663"/>
    <w:rsid w:val="003D1ABF"/>
    <w:rsid w:val="003D1B4C"/>
    <w:rsid w:val="003D1B6E"/>
    <w:rsid w:val="003D1D22"/>
    <w:rsid w:val="003D21B2"/>
    <w:rsid w:val="003D22A2"/>
    <w:rsid w:val="003D23F3"/>
    <w:rsid w:val="003D276D"/>
    <w:rsid w:val="003D2BE4"/>
    <w:rsid w:val="003D2C81"/>
    <w:rsid w:val="003D2CF9"/>
    <w:rsid w:val="003D2F06"/>
    <w:rsid w:val="003D3220"/>
    <w:rsid w:val="003D37D9"/>
    <w:rsid w:val="003D4082"/>
    <w:rsid w:val="003D4302"/>
    <w:rsid w:val="003D4911"/>
    <w:rsid w:val="003D4F34"/>
    <w:rsid w:val="003D511B"/>
    <w:rsid w:val="003D55E2"/>
    <w:rsid w:val="003D565E"/>
    <w:rsid w:val="003D56CB"/>
    <w:rsid w:val="003D57C6"/>
    <w:rsid w:val="003D59ED"/>
    <w:rsid w:val="003D5D87"/>
    <w:rsid w:val="003D607D"/>
    <w:rsid w:val="003D63F6"/>
    <w:rsid w:val="003D65F7"/>
    <w:rsid w:val="003D66E8"/>
    <w:rsid w:val="003D69B7"/>
    <w:rsid w:val="003D69C8"/>
    <w:rsid w:val="003D6A40"/>
    <w:rsid w:val="003D6B06"/>
    <w:rsid w:val="003D6C3E"/>
    <w:rsid w:val="003D6CD7"/>
    <w:rsid w:val="003D7449"/>
    <w:rsid w:val="003D75D9"/>
    <w:rsid w:val="003D767E"/>
    <w:rsid w:val="003D7E67"/>
    <w:rsid w:val="003D7FA1"/>
    <w:rsid w:val="003E08FC"/>
    <w:rsid w:val="003E0930"/>
    <w:rsid w:val="003E0ADF"/>
    <w:rsid w:val="003E1288"/>
    <w:rsid w:val="003E12DA"/>
    <w:rsid w:val="003E1466"/>
    <w:rsid w:val="003E14AF"/>
    <w:rsid w:val="003E16AB"/>
    <w:rsid w:val="003E170A"/>
    <w:rsid w:val="003E2049"/>
    <w:rsid w:val="003E2059"/>
    <w:rsid w:val="003E20DB"/>
    <w:rsid w:val="003E24F7"/>
    <w:rsid w:val="003E257C"/>
    <w:rsid w:val="003E2721"/>
    <w:rsid w:val="003E293C"/>
    <w:rsid w:val="003E2B1E"/>
    <w:rsid w:val="003E2C8F"/>
    <w:rsid w:val="003E3611"/>
    <w:rsid w:val="003E36B4"/>
    <w:rsid w:val="003E37D9"/>
    <w:rsid w:val="003E38A8"/>
    <w:rsid w:val="003E3CB2"/>
    <w:rsid w:val="003E421B"/>
    <w:rsid w:val="003E456E"/>
    <w:rsid w:val="003E472D"/>
    <w:rsid w:val="003E474D"/>
    <w:rsid w:val="003E4F6F"/>
    <w:rsid w:val="003E5002"/>
    <w:rsid w:val="003E500D"/>
    <w:rsid w:val="003E5018"/>
    <w:rsid w:val="003E50FF"/>
    <w:rsid w:val="003E51F8"/>
    <w:rsid w:val="003E5288"/>
    <w:rsid w:val="003E534D"/>
    <w:rsid w:val="003E5422"/>
    <w:rsid w:val="003E54FF"/>
    <w:rsid w:val="003E583D"/>
    <w:rsid w:val="003E5926"/>
    <w:rsid w:val="003E5CB2"/>
    <w:rsid w:val="003E6389"/>
    <w:rsid w:val="003E64FC"/>
    <w:rsid w:val="003E6913"/>
    <w:rsid w:val="003E6A89"/>
    <w:rsid w:val="003E6A93"/>
    <w:rsid w:val="003E74B6"/>
    <w:rsid w:val="003F0108"/>
    <w:rsid w:val="003F0239"/>
    <w:rsid w:val="003F05D8"/>
    <w:rsid w:val="003F0609"/>
    <w:rsid w:val="003F07D8"/>
    <w:rsid w:val="003F092C"/>
    <w:rsid w:val="003F0932"/>
    <w:rsid w:val="003F0A38"/>
    <w:rsid w:val="003F0ADC"/>
    <w:rsid w:val="003F0AE5"/>
    <w:rsid w:val="003F0C44"/>
    <w:rsid w:val="003F0E88"/>
    <w:rsid w:val="003F0F73"/>
    <w:rsid w:val="003F15C3"/>
    <w:rsid w:val="003F1A95"/>
    <w:rsid w:val="003F1E25"/>
    <w:rsid w:val="003F24B9"/>
    <w:rsid w:val="003F2587"/>
    <w:rsid w:val="003F283F"/>
    <w:rsid w:val="003F2B85"/>
    <w:rsid w:val="003F3135"/>
    <w:rsid w:val="003F3324"/>
    <w:rsid w:val="003F344A"/>
    <w:rsid w:val="003F3FE7"/>
    <w:rsid w:val="003F4091"/>
    <w:rsid w:val="003F41A6"/>
    <w:rsid w:val="003F49A8"/>
    <w:rsid w:val="003F4DA4"/>
    <w:rsid w:val="003F4FC0"/>
    <w:rsid w:val="003F5437"/>
    <w:rsid w:val="003F56C3"/>
    <w:rsid w:val="003F5774"/>
    <w:rsid w:val="003F590D"/>
    <w:rsid w:val="003F5992"/>
    <w:rsid w:val="003F5A27"/>
    <w:rsid w:val="003F5ABA"/>
    <w:rsid w:val="003F5E7E"/>
    <w:rsid w:val="003F61A9"/>
    <w:rsid w:val="003F63C1"/>
    <w:rsid w:val="003F65E5"/>
    <w:rsid w:val="003F67D7"/>
    <w:rsid w:val="003F6E5A"/>
    <w:rsid w:val="003F7235"/>
    <w:rsid w:val="003F7368"/>
    <w:rsid w:val="003F7422"/>
    <w:rsid w:val="003F742F"/>
    <w:rsid w:val="003F77F1"/>
    <w:rsid w:val="00400356"/>
    <w:rsid w:val="00400361"/>
    <w:rsid w:val="004005FA"/>
    <w:rsid w:val="0040068F"/>
    <w:rsid w:val="004006EA"/>
    <w:rsid w:val="00400987"/>
    <w:rsid w:val="0040106D"/>
    <w:rsid w:val="0040133F"/>
    <w:rsid w:val="004013C8"/>
    <w:rsid w:val="004016C7"/>
    <w:rsid w:val="0040180C"/>
    <w:rsid w:val="004018F2"/>
    <w:rsid w:val="00401B81"/>
    <w:rsid w:val="00401C0D"/>
    <w:rsid w:val="00401F37"/>
    <w:rsid w:val="00402168"/>
    <w:rsid w:val="00402224"/>
    <w:rsid w:val="004023A2"/>
    <w:rsid w:val="004026FC"/>
    <w:rsid w:val="004028A5"/>
    <w:rsid w:val="00402B45"/>
    <w:rsid w:val="00402C60"/>
    <w:rsid w:val="00402CA5"/>
    <w:rsid w:val="00403175"/>
    <w:rsid w:val="0040334C"/>
    <w:rsid w:val="004033BA"/>
    <w:rsid w:val="00403C8B"/>
    <w:rsid w:val="00403F2E"/>
    <w:rsid w:val="004041CE"/>
    <w:rsid w:val="00404906"/>
    <w:rsid w:val="00404F07"/>
    <w:rsid w:val="00404F16"/>
    <w:rsid w:val="00404F2C"/>
    <w:rsid w:val="00405929"/>
    <w:rsid w:val="0040609A"/>
    <w:rsid w:val="00406273"/>
    <w:rsid w:val="00406415"/>
    <w:rsid w:val="00406499"/>
    <w:rsid w:val="00406641"/>
    <w:rsid w:val="004066E5"/>
    <w:rsid w:val="004068CE"/>
    <w:rsid w:val="00406AFD"/>
    <w:rsid w:val="00406C12"/>
    <w:rsid w:val="00406DB2"/>
    <w:rsid w:val="00406E66"/>
    <w:rsid w:val="00406ED5"/>
    <w:rsid w:val="00407075"/>
    <w:rsid w:val="0040738C"/>
    <w:rsid w:val="0040763E"/>
    <w:rsid w:val="004078C9"/>
    <w:rsid w:val="0040797A"/>
    <w:rsid w:val="004079A5"/>
    <w:rsid w:val="00407EDE"/>
    <w:rsid w:val="004100E4"/>
    <w:rsid w:val="00410510"/>
    <w:rsid w:val="00410959"/>
    <w:rsid w:val="00410A96"/>
    <w:rsid w:val="00410DA4"/>
    <w:rsid w:val="00411559"/>
    <w:rsid w:val="00411ED1"/>
    <w:rsid w:val="00411FAF"/>
    <w:rsid w:val="00412001"/>
    <w:rsid w:val="004121AB"/>
    <w:rsid w:val="004124FD"/>
    <w:rsid w:val="00412E39"/>
    <w:rsid w:val="00413280"/>
    <w:rsid w:val="0041350B"/>
    <w:rsid w:val="0041367F"/>
    <w:rsid w:val="00413967"/>
    <w:rsid w:val="00413EB7"/>
    <w:rsid w:val="0041411C"/>
    <w:rsid w:val="00414210"/>
    <w:rsid w:val="004144B5"/>
    <w:rsid w:val="004147AE"/>
    <w:rsid w:val="00414A56"/>
    <w:rsid w:val="00414BE5"/>
    <w:rsid w:val="00414C2F"/>
    <w:rsid w:val="00414DE4"/>
    <w:rsid w:val="0041576F"/>
    <w:rsid w:val="00415956"/>
    <w:rsid w:val="004162CA"/>
    <w:rsid w:val="00416407"/>
    <w:rsid w:val="00416416"/>
    <w:rsid w:val="0041669F"/>
    <w:rsid w:val="00416A33"/>
    <w:rsid w:val="00416BB8"/>
    <w:rsid w:val="00416C3D"/>
    <w:rsid w:val="00417437"/>
    <w:rsid w:val="004175D0"/>
    <w:rsid w:val="00417E65"/>
    <w:rsid w:val="00417E68"/>
    <w:rsid w:val="00417F1B"/>
    <w:rsid w:val="004204E9"/>
    <w:rsid w:val="0042050A"/>
    <w:rsid w:val="0042053B"/>
    <w:rsid w:val="004207DC"/>
    <w:rsid w:val="00420840"/>
    <w:rsid w:val="004209B4"/>
    <w:rsid w:val="00420C04"/>
    <w:rsid w:val="00420DF1"/>
    <w:rsid w:val="00420E2C"/>
    <w:rsid w:val="00420E67"/>
    <w:rsid w:val="00421011"/>
    <w:rsid w:val="00421057"/>
    <w:rsid w:val="00421434"/>
    <w:rsid w:val="00421583"/>
    <w:rsid w:val="00421725"/>
    <w:rsid w:val="0042181E"/>
    <w:rsid w:val="0042183C"/>
    <w:rsid w:val="00421F22"/>
    <w:rsid w:val="00422795"/>
    <w:rsid w:val="00422868"/>
    <w:rsid w:val="004228B9"/>
    <w:rsid w:val="00422996"/>
    <w:rsid w:val="004229B6"/>
    <w:rsid w:val="00422B31"/>
    <w:rsid w:val="00422BDD"/>
    <w:rsid w:val="00422CF4"/>
    <w:rsid w:val="00422FCC"/>
    <w:rsid w:val="00422FEA"/>
    <w:rsid w:val="00423205"/>
    <w:rsid w:val="0042337D"/>
    <w:rsid w:val="004236F3"/>
    <w:rsid w:val="00423832"/>
    <w:rsid w:val="004243BC"/>
    <w:rsid w:val="004243DD"/>
    <w:rsid w:val="00424579"/>
    <w:rsid w:val="004245CA"/>
    <w:rsid w:val="0042464E"/>
    <w:rsid w:val="004249A3"/>
    <w:rsid w:val="00424A0B"/>
    <w:rsid w:val="00424A12"/>
    <w:rsid w:val="0042515C"/>
    <w:rsid w:val="004252AD"/>
    <w:rsid w:val="004254A8"/>
    <w:rsid w:val="004255FF"/>
    <w:rsid w:val="004260C4"/>
    <w:rsid w:val="00426268"/>
    <w:rsid w:val="004263F0"/>
    <w:rsid w:val="0042646E"/>
    <w:rsid w:val="00426864"/>
    <w:rsid w:val="00426A06"/>
    <w:rsid w:val="00427001"/>
    <w:rsid w:val="004270BE"/>
    <w:rsid w:val="004270FB"/>
    <w:rsid w:val="0042737D"/>
    <w:rsid w:val="00427B64"/>
    <w:rsid w:val="00430012"/>
    <w:rsid w:val="00430247"/>
    <w:rsid w:val="00430440"/>
    <w:rsid w:val="0043078A"/>
    <w:rsid w:val="00430C50"/>
    <w:rsid w:val="00430C92"/>
    <w:rsid w:val="00430CD0"/>
    <w:rsid w:val="00431369"/>
    <w:rsid w:val="00431B7E"/>
    <w:rsid w:val="00431D9D"/>
    <w:rsid w:val="00431F46"/>
    <w:rsid w:val="004321C1"/>
    <w:rsid w:val="0043270D"/>
    <w:rsid w:val="0043279D"/>
    <w:rsid w:val="00432FC4"/>
    <w:rsid w:val="0043345E"/>
    <w:rsid w:val="0043373F"/>
    <w:rsid w:val="0043376D"/>
    <w:rsid w:val="004337FB"/>
    <w:rsid w:val="004338FF"/>
    <w:rsid w:val="00433AE6"/>
    <w:rsid w:val="00433C40"/>
    <w:rsid w:val="00433E25"/>
    <w:rsid w:val="00433F22"/>
    <w:rsid w:val="00433FC3"/>
    <w:rsid w:val="004341C5"/>
    <w:rsid w:val="004342F6"/>
    <w:rsid w:val="00434396"/>
    <w:rsid w:val="00434B25"/>
    <w:rsid w:val="004350FD"/>
    <w:rsid w:val="004352F9"/>
    <w:rsid w:val="00435494"/>
    <w:rsid w:val="004355F9"/>
    <w:rsid w:val="00435A4A"/>
    <w:rsid w:val="00436103"/>
    <w:rsid w:val="00436686"/>
    <w:rsid w:val="00436B17"/>
    <w:rsid w:val="00436ED2"/>
    <w:rsid w:val="00437332"/>
    <w:rsid w:val="0043766A"/>
    <w:rsid w:val="00437A46"/>
    <w:rsid w:val="00440310"/>
    <w:rsid w:val="004406E8"/>
    <w:rsid w:val="0044091A"/>
    <w:rsid w:val="00440A19"/>
    <w:rsid w:val="00440BBD"/>
    <w:rsid w:val="00440C6C"/>
    <w:rsid w:val="00440F99"/>
    <w:rsid w:val="00441166"/>
    <w:rsid w:val="0044189A"/>
    <w:rsid w:val="0044196F"/>
    <w:rsid w:val="0044197A"/>
    <w:rsid w:val="00441B20"/>
    <w:rsid w:val="0044256D"/>
    <w:rsid w:val="004425FF"/>
    <w:rsid w:val="004426EE"/>
    <w:rsid w:val="00442759"/>
    <w:rsid w:val="00442CA2"/>
    <w:rsid w:val="00442F80"/>
    <w:rsid w:val="004432D5"/>
    <w:rsid w:val="0044336B"/>
    <w:rsid w:val="00443892"/>
    <w:rsid w:val="004438CC"/>
    <w:rsid w:val="00443A8A"/>
    <w:rsid w:val="00443CFC"/>
    <w:rsid w:val="00443F1A"/>
    <w:rsid w:val="00443F1E"/>
    <w:rsid w:val="0044401D"/>
    <w:rsid w:val="0044422C"/>
    <w:rsid w:val="004442F3"/>
    <w:rsid w:val="004443D9"/>
    <w:rsid w:val="00444786"/>
    <w:rsid w:val="00444AC1"/>
    <w:rsid w:val="00444AC2"/>
    <w:rsid w:val="00444AD4"/>
    <w:rsid w:val="004451CB"/>
    <w:rsid w:val="004455A5"/>
    <w:rsid w:val="00445681"/>
    <w:rsid w:val="00445A36"/>
    <w:rsid w:val="00445B62"/>
    <w:rsid w:val="00445D4A"/>
    <w:rsid w:val="0044626C"/>
    <w:rsid w:val="00447345"/>
    <w:rsid w:val="00447480"/>
    <w:rsid w:val="004475F1"/>
    <w:rsid w:val="00447875"/>
    <w:rsid w:val="00447926"/>
    <w:rsid w:val="004479AF"/>
    <w:rsid w:val="00447A6F"/>
    <w:rsid w:val="00447DE4"/>
    <w:rsid w:val="0045081F"/>
    <w:rsid w:val="004508A2"/>
    <w:rsid w:val="00450B44"/>
    <w:rsid w:val="00450C2E"/>
    <w:rsid w:val="00450CC3"/>
    <w:rsid w:val="00450E73"/>
    <w:rsid w:val="004513BB"/>
    <w:rsid w:val="00451423"/>
    <w:rsid w:val="0045154A"/>
    <w:rsid w:val="004515AB"/>
    <w:rsid w:val="004517D6"/>
    <w:rsid w:val="004517FC"/>
    <w:rsid w:val="00451874"/>
    <w:rsid w:val="0045187D"/>
    <w:rsid w:val="0045189C"/>
    <w:rsid w:val="004518A2"/>
    <w:rsid w:val="0045193E"/>
    <w:rsid w:val="00451A9B"/>
    <w:rsid w:val="00451F4E"/>
    <w:rsid w:val="0045228B"/>
    <w:rsid w:val="0045277A"/>
    <w:rsid w:val="004527CB"/>
    <w:rsid w:val="00452E8B"/>
    <w:rsid w:val="00452F08"/>
    <w:rsid w:val="00452FAB"/>
    <w:rsid w:val="00453196"/>
    <w:rsid w:val="004532D7"/>
    <w:rsid w:val="0045357A"/>
    <w:rsid w:val="004535E4"/>
    <w:rsid w:val="004539BF"/>
    <w:rsid w:val="00453DCC"/>
    <w:rsid w:val="004545B6"/>
    <w:rsid w:val="004548D9"/>
    <w:rsid w:val="00454C69"/>
    <w:rsid w:val="00455096"/>
    <w:rsid w:val="004558F1"/>
    <w:rsid w:val="00455E73"/>
    <w:rsid w:val="00455ED2"/>
    <w:rsid w:val="004560B0"/>
    <w:rsid w:val="004563E3"/>
    <w:rsid w:val="004564ED"/>
    <w:rsid w:val="00456525"/>
    <w:rsid w:val="00456621"/>
    <w:rsid w:val="004566C1"/>
    <w:rsid w:val="00456809"/>
    <w:rsid w:val="004568D8"/>
    <w:rsid w:val="00456929"/>
    <w:rsid w:val="00456931"/>
    <w:rsid w:val="00457172"/>
    <w:rsid w:val="0045771D"/>
    <w:rsid w:val="0045784B"/>
    <w:rsid w:val="00457F46"/>
    <w:rsid w:val="00457F63"/>
    <w:rsid w:val="00457F70"/>
    <w:rsid w:val="00457FFC"/>
    <w:rsid w:val="004600A6"/>
    <w:rsid w:val="004604A3"/>
    <w:rsid w:val="00460AFB"/>
    <w:rsid w:val="00460E8A"/>
    <w:rsid w:val="00461049"/>
    <w:rsid w:val="00461271"/>
    <w:rsid w:val="00461A25"/>
    <w:rsid w:val="00461BAF"/>
    <w:rsid w:val="00461C7B"/>
    <w:rsid w:val="00461C94"/>
    <w:rsid w:val="00462001"/>
    <w:rsid w:val="004622B1"/>
    <w:rsid w:val="004629D6"/>
    <w:rsid w:val="0046301E"/>
    <w:rsid w:val="00463246"/>
    <w:rsid w:val="004635C0"/>
    <w:rsid w:val="004636BC"/>
    <w:rsid w:val="004638EE"/>
    <w:rsid w:val="00463B1B"/>
    <w:rsid w:val="00463BB9"/>
    <w:rsid w:val="0046405A"/>
    <w:rsid w:val="0046431A"/>
    <w:rsid w:val="00464412"/>
    <w:rsid w:val="00464DA1"/>
    <w:rsid w:val="00464ED0"/>
    <w:rsid w:val="00464F64"/>
    <w:rsid w:val="004650EC"/>
    <w:rsid w:val="004654CE"/>
    <w:rsid w:val="004655AC"/>
    <w:rsid w:val="004656D7"/>
    <w:rsid w:val="0046590E"/>
    <w:rsid w:val="004661BD"/>
    <w:rsid w:val="0046647F"/>
    <w:rsid w:val="00466618"/>
    <w:rsid w:val="00466873"/>
    <w:rsid w:val="004668CC"/>
    <w:rsid w:val="00466921"/>
    <w:rsid w:val="00466B03"/>
    <w:rsid w:val="00466B44"/>
    <w:rsid w:val="00466C40"/>
    <w:rsid w:val="004679DB"/>
    <w:rsid w:val="00467A08"/>
    <w:rsid w:val="00467A58"/>
    <w:rsid w:val="00467B3B"/>
    <w:rsid w:val="00467BFB"/>
    <w:rsid w:val="00467C8F"/>
    <w:rsid w:val="00470010"/>
    <w:rsid w:val="00470093"/>
    <w:rsid w:val="00470707"/>
    <w:rsid w:val="00470835"/>
    <w:rsid w:val="00470D23"/>
    <w:rsid w:val="00471189"/>
    <w:rsid w:val="00471498"/>
    <w:rsid w:val="00471E44"/>
    <w:rsid w:val="00471ECB"/>
    <w:rsid w:val="004721EE"/>
    <w:rsid w:val="004723A3"/>
    <w:rsid w:val="004725FF"/>
    <w:rsid w:val="004726EF"/>
    <w:rsid w:val="004728CC"/>
    <w:rsid w:val="00472963"/>
    <w:rsid w:val="00472CD7"/>
    <w:rsid w:val="00472E95"/>
    <w:rsid w:val="004735BF"/>
    <w:rsid w:val="004735E8"/>
    <w:rsid w:val="00473F47"/>
    <w:rsid w:val="004740D0"/>
    <w:rsid w:val="00474326"/>
    <w:rsid w:val="0047434C"/>
    <w:rsid w:val="00474370"/>
    <w:rsid w:val="00475132"/>
    <w:rsid w:val="004755A0"/>
    <w:rsid w:val="00475841"/>
    <w:rsid w:val="00475987"/>
    <w:rsid w:val="00475DAB"/>
    <w:rsid w:val="00476251"/>
    <w:rsid w:val="00476552"/>
    <w:rsid w:val="00476A6B"/>
    <w:rsid w:val="00477197"/>
    <w:rsid w:val="0047729E"/>
    <w:rsid w:val="0047766F"/>
    <w:rsid w:val="004778A5"/>
    <w:rsid w:val="00477A86"/>
    <w:rsid w:val="00477E0C"/>
    <w:rsid w:val="00477E7E"/>
    <w:rsid w:val="0048069E"/>
    <w:rsid w:val="004807A2"/>
    <w:rsid w:val="00480A18"/>
    <w:rsid w:val="00480A9A"/>
    <w:rsid w:val="00480AD2"/>
    <w:rsid w:val="00480C06"/>
    <w:rsid w:val="00481032"/>
    <w:rsid w:val="004813DB"/>
    <w:rsid w:val="004814C8"/>
    <w:rsid w:val="004816BF"/>
    <w:rsid w:val="004818CA"/>
    <w:rsid w:val="00481B4D"/>
    <w:rsid w:val="00481C3B"/>
    <w:rsid w:val="00481DB7"/>
    <w:rsid w:val="00482016"/>
    <w:rsid w:val="0048215E"/>
    <w:rsid w:val="00482B4A"/>
    <w:rsid w:val="00482CB7"/>
    <w:rsid w:val="00482FFE"/>
    <w:rsid w:val="004835DF"/>
    <w:rsid w:val="0048374C"/>
    <w:rsid w:val="00483AE7"/>
    <w:rsid w:val="00483AE8"/>
    <w:rsid w:val="00483D25"/>
    <w:rsid w:val="00483DD5"/>
    <w:rsid w:val="00484044"/>
    <w:rsid w:val="0048458C"/>
    <w:rsid w:val="004847A9"/>
    <w:rsid w:val="004847B1"/>
    <w:rsid w:val="00484BE1"/>
    <w:rsid w:val="00484CF8"/>
    <w:rsid w:val="00484F42"/>
    <w:rsid w:val="004850B9"/>
    <w:rsid w:val="004855A0"/>
    <w:rsid w:val="00485A01"/>
    <w:rsid w:val="00485B7A"/>
    <w:rsid w:val="00485B88"/>
    <w:rsid w:val="00485F4B"/>
    <w:rsid w:val="00486031"/>
    <w:rsid w:val="00486099"/>
    <w:rsid w:val="0048613C"/>
    <w:rsid w:val="0048669D"/>
    <w:rsid w:val="00486C68"/>
    <w:rsid w:val="00486C9D"/>
    <w:rsid w:val="00486CDF"/>
    <w:rsid w:val="00487035"/>
    <w:rsid w:val="004870BC"/>
    <w:rsid w:val="004872AC"/>
    <w:rsid w:val="00487435"/>
    <w:rsid w:val="0048779E"/>
    <w:rsid w:val="00487918"/>
    <w:rsid w:val="00487F50"/>
    <w:rsid w:val="00490848"/>
    <w:rsid w:val="00490881"/>
    <w:rsid w:val="0049126D"/>
    <w:rsid w:val="00491292"/>
    <w:rsid w:val="004913DB"/>
    <w:rsid w:val="004914E9"/>
    <w:rsid w:val="00491797"/>
    <w:rsid w:val="00491B74"/>
    <w:rsid w:val="00491E61"/>
    <w:rsid w:val="00491ED5"/>
    <w:rsid w:val="00491F19"/>
    <w:rsid w:val="00491FCE"/>
    <w:rsid w:val="00492192"/>
    <w:rsid w:val="004926A9"/>
    <w:rsid w:val="004927B5"/>
    <w:rsid w:val="004927C4"/>
    <w:rsid w:val="00492904"/>
    <w:rsid w:val="0049297A"/>
    <w:rsid w:val="00492A13"/>
    <w:rsid w:val="00493670"/>
    <w:rsid w:val="004936A8"/>
    <w:rsid w:val="00493A1E"/>
    <w:rsid w:val="00493C40"/>
    <w:rsid w:val="00493C91"/>
    <w:rsid w:val="00493CFF"/>
    <w:rsid w:val="004947CC"/>
    <w:rsid w:val="004949F7"/>
    <w:rsid w:val="00494A9F"/>
    <w:rsid w:val="0049557A"/>
    <w:rsid w:val="0049574F"/>
    <w:rsid w:val="00495827"/>
    <w:rsid w:val="004959F3"/>
    <w:rsid w:val="00495F6B"/>
    <w:rsid w:val="00495F74"/>
    <w:rsid w:val="0049614E"/>
    <w:rsid w:val="00496570"/>
    <w:rsid w:val="00496857"/>
    <w:rsid w:val="0049689F"/>
    <w:rsid w:val="00496931"/>
    <w:rsid w:val="00496C70"/>
    <w:rsid w:val="00496F5D"/>
    <w:rsid w:val="00496FE1"/>
    <w:rsid w:val="004970AA"/>
    <w:rsid w:val="0049724A"/>
    <w:rsid w:val="0049740F"/>
    <w:rsid w:val="004976A7"/>
    <w:rsid w:val="00497754"/>
    <w:rsid w:val="0049778B"/>
    <w:rsid w:val="0049779E"/>
    <w:rsid w:val="00497853"/>
    <w:rsid w:val="00497C38"/>
    <w:rsid w:val="00497C5F"/>
    <w:rsid w:val="00497E8A"/>
    <w:rsid w:val="00497F31"/>
    <w:rsid w:val="004A0645"/>
    <w:rsid w:val="004A066D"/>
    <w:rsid w:val="004A0B9A"/>
    <w:rsid w:val="004A0CE6"/>
    <w:rsid w:val="004A0D73"/>
    <w:rsid w:val="004A0E16"/>
    <w:rsid w:val="004A1177"/>
    <w:rsid w:val="004A1770"/>
    <w:rsid w:val="004A1791"/>
    <w:rsid w:val="004A1809"/>
    <w:rsid w:val="004A1849"/>
    <w:rsid w:val="004A1D70"/>
    <w:rsid w:val="004A1ED4"/>
    <w:rsid w:val="004A1F7D"/>
    <w:rsid w:val="004A224D"/>
    <w:rsid w:val="004A25DF"/>
    <w:rsid w:val="004A2999"/>
    <w:rsid w:val="004A29C8"/>
    <w:rsid w:val="004A2A7F"/>
    <w:rsid w:val="004A2D20"/>
    <w:rsid w:val="004A31EE"/>
    <w:rsid w:val="004A3239"/>
    <w:rsid w:val="004A399A"/>
    <w:rsid w:val="004A3B3F"/>
    <w:rsid w:val="004A3CD2"/>
    <w:rsid w:val="004A3D57"/>
    <w:rsid w:val="004A4235"/>
    <w:rsid w:val="004A4468"/>
    <w:rsid w:val="004A4544"/>
    <w:rsid w:val="004A4992"/>
    <w:rsid w:val="004A51E1"/>
    <w:rsid w:val="004A5211"/>
    <w:rsid w:val="004A5311"/>
    <w:rsid w:val="004A53A3"/>
    <w:rsid w:val="004A53A4"/>
    <w:rsid w:val="004A5A7A"/>
    <w:rsid w:val="004A5AA3"/>
    <w:rsid w:val="004A5C75"/>
    <w:rsid w:val="004A5FAC"/>
    <w:rsid w:val="004A5FEB"/>
    <w:rsid w:val="004A67D0"/>
    <w:rsid w:val="004A6830"/>
    <w:rsid w:val="004A6B9B"/>
    <w:rsid w:val="004A7460"/>
    <w:rsid w:val="004A79CF"/>
    <w:rsid w:val="004A7A9F"/>
    <w:rsid w:val="004A7CE6"/>
    <w:rsid w:val="004A7D39"/>
    <w:rsid w:val="004A7FB3"/>
    <w:rsid w:val="004B0144"/>
    <w:rsid w:val="004B03C8"/>
    <w:rsid w:val="004B055B"/>
    <w:rsid w:val="004B0698"/>
    <w:rsid w:val="004B0AE1"/>
    <w:rsid w:val="004B10BD"/>
    <w:rsid w:val="004B11D0"/>
    <w:rsid w:val="004B1495"/>
    <w:rsid w:val="004B1583"/>
    <w:rsid w:val="004B1852"/>
    <w:rsid w:val="004B1C9F"/>
    <w:rsid w:val="004B1D9F"/>
    <w:rsid w:val="004B25C8"/>
    <w:rsid w:val="004B2CBB"/>
    <w:rsid w:val="004B2D12"/>
    <w:rsid w:val="004B2D6C"/>
    <w:rsid w:val="004B316A"/>
    <w:rsid w:val="004B3E27"/>
    <w:rsid w:val="004B4F4A"/>
    <w:rsid w:val="004B502D"/>
    <w:rsid w:val="004B5113"/>
    <w:rsid w:val="004B55C6"/>
    <w:rsid w:val="004B576D"/>
    <w:rsid w:val="004B58FE"/>
    <w:rsid w:val="004B5C83"/>
    <w:rsid w:val="004B5CB4"/>
    <w:rsid w:val="004B66E5"/>
    <w:rsid w:val="004B6834"/>
    <w:rsid w:val="004B6B37"/>
    <w:rsid w:val="004B6E62"/>
    <w:rsid w:val="004B743A"/>
    <w:rsid w:val="004B76D0"/>
    <w:rsid w:val="004B77C9"/>
    <w:rsid w:val="004C01E5"/>
    <w:rsid w:val="004C0255"/>
    <w:rsid w:val="004C02A5"/>
    <w:rsid w:val="004C0AAE"/>
    <w:rsid w:val="004C0DF1"/>
    <w:rsid w:val="004C15CB"/>
    <w:rsid w:val="004C160F"/>
    <w:rsid w:val="004C16D1"/>
    <w:rsid w:val="004C1BE8"/>
    <w:rsid w:val="004C1E80"/>
    <w:rsid w:val="004C1F1E"/>
    <w:rsid w:val="004C26D9"/>
    <w:rsid w:val="004C2A8D"/>
    <w:rsid w:val="004C2E44"/>
    <w:rsid w:val="004C3535"/>
    <w:rsid w:val="004C35B8"/>
    <w:rsid w:val="004C367C"/>
    <w:rsid w:val="004C386B"/>
    <w:rsid w:val="004C3C8E"/>
    <w:rsid w:val="004C4194"/>
    <w:rsid w:val="004C4494"/>
    <w:rsid w:val="004C465A"/>
    <w:rsid w:val="004C48DF"/>
    <w:rsid w:val="004C4D2C"/>
    <w:rsid w:val="004C4FB0"/>
    <w:rsid w:val="004C5005"/>
    <w:rsid w:val="004C507F"/>
    <w:rsid w:val="004C54EB"/>
    <w:rsid w:val="004C5887"/>
    <w:rsid w:val="004C599C"/>
    <w:rsid w:val="004C5C05"/>
    <w:rsid w:val="004C5CC0"/>
    <w:rsid w:val="004C5D29"/>
    <w:rsid w:val="004C5EFA"/>
    <w:rsid w:val="004C62DD"/>
    <w:rsid w:val="004C63CE"/>
    <w:rsid w:val="004C6697"/>
    <w:rsid w:val="004C679E"/>
    <w:rsid w:val="004C685E"/>
    <w:rsid w:val="004C6867"/>
    <w:rsid w:val="004C747D"/>
    <w:rsid w:val="004C74BB"/>
    <w:rsid w:val="004C74C5"/>
    <w:rsid w:val="004C751B"/>
    <w:rsid w:val="004C79C7"/>
    <w:rsid w:val="004D016A"/>
    <w:rsid w:val="004D039C"/>
    <w:rsid w:val="004D0706"/>
    <w:rsid w:val="004D07CB"/>
    <w:rsid w:val="004D0A90"/>
    <w:rsid w:val="004D0DB4"/>
    <w:rsid w:val="004D0DB8"/>
    <w:rsid w:val="004D0E8E"/>
    <w:rsid w:val="004D1420"/>
    <w:rsid w:val="004D15B8"/>
    <w:rsid w:val="004D1C62"/>
    <w:rsid w:val="004D22DB"/>
    <w:rsid w:val="004D22DD"/>
    <w:rsid w:val="004D2548"/>
    <w:rsid w:val="004D2717"/>
    <w:rsid w:val="004D28F0"/>
    <w:rsid w:val="004D2A19"/>
    <w:rsid w:val="004D2CB0"/>
    <w:rsid w:val="004D2D14"/>
    <w:rsid w:val="004D3981"/>
    <w:rsid w:val="004D3D04"/>
    <w:rsid w:val="004D3E4E"/>
    <w:rsid w:val="004D3F06"/>
    <w:rsid w:val="004D4662"/>
    <w:rsid w:val="004D4754"/>
    <w:rsid w:val="004D52C6"/>
    <w:rsid w:val="004D53D0"/>
    <w:rsid w:val="004D547C"/>
    <w:rsid w:val="004D56BA"/>
    <w:rsid w:val="004D5BFF"/>
    <w:rsid w:val="004D6107"/>
    <w:rsid w:val="004D6192"/>
    <w:rsid w:val="004D638C"/>
    <w:rsid w:val="004D6626"/>
    <w:rsid w:val="004D66C7"/>
    <w:rsid w:val="004D67F8"/>
    <w:rsid w:val="004D6C82"/>
    <w:rsid w:val="004D7BA0"/>
    <w:rsid w:val="004E0389"/>
    <w:rsid w:val="004E0595"/>
    <w:rsid w:val="004E0710"/>
    <w:rsid w:val="004E098D"/>
    <w:rsid w:val="004E09AF"/>
    <w:rsid w:val="004E0B46"/>
    <w:rsid w:val="004E13FE"/>
    <w:rsid w:val="004E1ADA"/>
    <w:rsid w:val="004E1B3F"/>
    <w:rsid w:val="004E1E30"/>
    <w:rsid w:val="004E2219"/>
    <w:rsid w:val="004E2669"/>
    <w:rsid w:val="004E2D83"/>
    <w:rsid w:val="004E2DD9"/>
    <w:rsid w:val="004E2ECB"/>
    <w:rsid w:val="004E305F"/>
    <w:rsid w:val="004E31D8"/>
    <w:rsid w:val="004E3787"/>
    <w:rsid w:val="004E3BAC"/>
    <w:rsid w:val="004E40C9"/>
    <w:rsid w:val="004E46D7"/>
    <w:rsid w:val="004E49FD"/>
    <w:rsid w:val="004E50EA"/>
    <w:rsid w:val="004E5126"/>
    <w:rsid w:val="004E56FE"/>
    <w:rsid w:val="004E57B8"/>
    <w:rsid w:val="004E5833"/>
    <w:rsid w:val="004E5854"/>
    <w:rsid w:val="004E599B"/>
    <w:rsid w:val="004E5D5A"/>
    <w:rsid w:val="004E5FEE"/>
    <w:rsid w:val="004E63A1"/>
    <w:rsid w:val="004E6C03"/>
    <w:rsid w:val="004E6E3A"/>
    <w:rsid w:val="004E7648"/>
    <w:rsid w:val="004E7E6F"/>
    <w:rsid w:val="004E7FBC"/>
    <w:rsid w:val="004F0174"/>
    <w:rsid w:val="004F019F"/>
    <w:rsid w:val="004F021F"/>
    <w:rsid w:val="004F064A"/>
    <w:rsid w:val="004F0725"/>
    <w:rsid w:val="004F075D"/>
    <w:rsid w:val="004F0CEF"/>
    <w:rsid w:val="004F0EE9"/>
    <w:rsid w:val="004F0FA7"/>
    <w:rsid w:val="004F1741"/>
    <w:rsid w:val="004F195B"/>
    <w:rsid w:val="004F1A56"/>
    <w:rsid w:val="004F1CB3"/>
    <w:rsid w:val="004F262F"/>
    <w:rsid w:val="004F2880"/>
    <w:rsid w:val="004F2A2C"/>
    <w:rsid w:val="004F2D13"/>
    <w:rsid w:val="004F2FF4"/>
    <w:rsid w:val="004F3906"/>
    <w:rsid w:val="004F3FAF"/>
    <w:rsid w:val="004F40DC"/>
    <w:rsid w:val="004F416B"/>
    <w:rsid w:val="004F4315"/>
    <w:rsid w:val="004F4342"/>
    <w:rsid w:val="004F4653"/>
    <w:rsid w:val="004F4BBF"/>
    <w:rsid w:val="004F4C13"/>
    <w:rsid w:val="004F4F5F"/>
    <w:rsid w:val="004F523F"/>
    <w:rsid w:val="004F54ED"/>
    <w:rsid w:val="004F5542"/>
    <w:rsid w:val="004F5BC6"/>
    <w:rsid w:val="004F5E51"/>
    <w:rsid w:val="004F5F0A"/>
    <w:rsid w:val="004F606B"/>
    <w:rsid w:val="004F6136"/>
    <w:rsid w:val="004F61AB"/>
    <w:rsid w:val="004F6B43"/>
    <w:rsid w:val="004F6D45"/>
    <w:rsid w:val="004F6F9B"/>
    <w:rsid w:val="004F747E"/>
    <w:rsid w:val="004F758C"/>
    <w:rsid w:val="004F75F7"/>
    <w:rsid w:val="004F788D"/>
    <w:rsid w:val="004F7891"/>
    <w:rsid w:val="004F7EB9"/>
    <w:rsid w:val="004F7EF8"/>
    <w:rsid w:val="00500205"/>
    <w:rsid w:val="00500476"/>
    <w:rsid w:val="005005B2"/>
    <w:rsid w:val="0050096F"/>
    <w:rsid w:val="00500A8A"/>
    <w:rsid w:val="00500F72"/>
    <w:rsid w:val="00501181"/>
    <w:rsid w:val="00501489"/>
    <w:rsid w:val="005014F5"/>
    <w:rsid w:val="0050172E"/>
    <w:rsid w:val="005017F2"/>
    <w:rsid w:val="00501A91"/>
    <w:rsid w:val="00501E35"/>
    <w:rsid w:val="00502473"/>
    <w:rsid w:val="00502583"/>
    <w:rsid w:val="005025C4"/>
    <w:rsid w:val="00502827"/>
    <w:rsid w:val="00502936"/>
    <w:rsid w:val="005029B6"/>
    <w:rsid w:val="00502A3D"/>
    <w:rsid w:val="00502FF2"/>
    <w:rsid w:val="00503098"/>
    <w:rsid w:val="0050324E"/>
    <w:rsid w:val="00503586"/>
    <w:rsid w:val="005039F8"/>
    <w:rsid w:val="00503AF2"/>
    <w:rsid w:val="00503DC8"/>
    <w:rsid w:val="00504058"/>
    <w:rsid w:val="00504300"/>
    <w:rsid w:val="005046CC"/>
    <w:rsid w:val="0050470D"/>
    <w:rsid w:val="005049DA"/>
    <w:rsid w:val="0050531B"/>
    <w:rsid w:val="005056BA"/>
    <w:rsid w:val="0050577A"/>
    <w:rsid w:val="00505978"/>
    <w:rsid w:val="0050647A"/>
    <w:rsid w:val="005067E7"/>
    <w:rsid w:val="00506D42"/>
    <w:rsid w:val="00506E49"/>
    <w:rsid w:val="0050716B"/>
    <w:rsid w:val="00507296"/>
    <w:rsid w:val="00507779"/>
    <w:rsid w:val="00507B35"/>
    <w:rsid w:val="00507FA7"/>
    <w:rsid w:val="00507FC4"/>
    <w:rsid w:val="005101A7"/>
    <w:rsid w:val="005103F8"/>
    <w:rsid w:val="005105F7"/>
    <w:rsid w:val="00510ACF"/>
    <w:rsid w:val="00510C5B"/>
    <w:rsid w:val="00510CA8"/>
    <w:rsid w:val="00510E06"/>
    <w:rsid w:val="00510FAD"/>
    <w:rsid w:val="005117EA"/>
    <w:rsid w:val="00511901"/>
    <w:rsid w:val="00511987"/>
    <w:rsid w:val="00511AF2"/>
    <w:rsid w:val="00512058"/>
    <w:rsid w:val="00512297"/>
    <w:rsid w:val="00512400"/>
    <w:rsid w:val="0051286C"/>
    <w:rsid w:val="00512959"/>
    <w:rsid w:val="005129A4"/>
    <w:rsid w:val="00512D1E"/>
    <w:rsid w:val="00512FF0"/>
    <w:rsid w:val="005138CC"/>
    <w:rsid w:val="00513AB5"/>
    <w:rsid w:val="00513BE6"/>
    <w:rsid w:val="00513DE0"/>
    <w:rsid w:val="00513E33"/>
    <w:rsid w:val="005141D6"/>
    <w:rsid w:val="00514B41"/>
    <w:rsid w:val="00514B7B"/>
    <w:rsid w:val="00514BE9"/>
    <w:rsid w:val="00514CD7"/>
    <w:rsid w:val="00514E55"/>
    <w:rsid w:val="00514F00"/>
    <w:rsid w:val="0051530F"/>
    <w:rsid w:val="00515A6A"/>
    <w:rsid w:val="00515F74"/>
    <w:rsid w:val="00516062"/>
    <w:rsid w:val="005162FE"/>
    <w:rsid w:val="00516508"/>
    <w:rsid w:val="0051657C"/>
    <w:rsid w:val="00516615"/>
    <w:rsid w:val="00516662"/>
    <w:rsid w:val="0051687F"/>
    <w:rsid w:val="00516B1B"/>
    <w:rsid w:val="00516ED4"/>
    <w:rsid w:val="005172C3"/>
    <w:rsid w:val="005177FE"/>
    <w:rsid w:val="00517C02"/>
    <w:rsid w:val="00517CBF"/>
    <w:rsid w:val="00517D64"/>
    <w:rsid w:val="00517E44"/>
    <w:rsid w:val="00517F13"/>
    <w:rsid w:val="00517FFA"/>
    <w:rsid w:val="0052003A"/>
    <w:rsid w:val="0052008A"/>
    <w:rsid w:val="0052021B"/>
    <w:rsid w:val="005203DC"/>
    <w:rsid w:val="00520567"/>
    <w:rsid w:val="005206A1"/>
    <w:rsid w:val="0052076F"/>
    <w:rsid w:val="005209C3"/>
    <w:rsid w:val="00520B81"/>
    <w:rsid w:val="00520F7F"/>
    <w:rsid w:val="00520F90"/>
    <w:rsid w:val="00521267"/>
    <w:rsid w:val="005214E8"/>
    <w:rsid w:val="00521917"/>
    <w:rsid w:val="00521987"/>
    <w:rsid w:val="00521A86"/>
    <w:rsid w:val="00521C7D"/>
    <w:rsid w:val="00521ECF"/>
    <w:rsid w:val="00521FF8"/>
    <w:rsid w:val="00522071"/>
    <w:rsid w:val="00522250"/>
    <w:rsid w:val="0052259C"/>
    <w:rsid w:val="005225B3"/>
    <w:rsid w:val="00522F1E"/>
    <w:rsid w:val="00523077"/>
    <w:rsid w:val="005231CC"/>
    <w:rsid w:val="00523686"/>
    <w:rsid w:val="005236C2"/>
    <w:rsid w:val="00523F34"/>
    <w:rsid w:val="00524026"/>
    <w:rsid w:val="0052409E"/>
    <w:rsid w:val="005240B7"/>
    <w:rsid w:val="005244C3"/>
    <w:rsid w:val="0052458B"/>
    <w:rsid w:val="00524622"/>
    <w:rsid w:val="005246B8"/>
    <w:rsid w:val="00524969"/>
    <w:rsid w:val="00525725"/>
    <w:rsid w:val="00525B81"/>
    <w:rsid w:val="00525B9C"/>
    <w:rsid w:val="00525D93"/>
    <w:rsid w:val="00525D94"/>
    <w:rsid w:val="00525F0D"/>
    <w:rsid w:val="00526A4F"/>
    <w:rsid w:val="00526A86"/>
    <w:rsid w:val="0052710C"/>
    <w:rsid w:val="00527A80"/>
    <w:rsid w:val="00527AA5"/>
    <w:rsid w:val="00527AD6"/>
    <w:rsid w:val="00527C23"/>
    <w:rsid w:val="00527CF8"/>
    <w:rsid w:val="00527F19"/>
    <w:rsid w:val="005302FD"/>
    <w:rsid w:val="00530347"/>
    <w:rsid w:val="00530464"/>
    <w:rsid w:val="005306BD"/>
    <w:rsid w:val="00530909"/>
    <w:rsid w:val="00530B94"/>
    <w:rsid w:val="00531025"/>
    <w:rsid w:val="0053130B"/>
    <w:rsid w:val="0053135E"/>
    <w:rsid w:val="0053190C"/>
    <w:rsid w:val="005319F3"/>
    <w:rsid w:val="00531BBB"/>
    <w:rsid w:val="00531D77"/>
    <w:rsid w:val="0053200D"/>
    <w:rsid w:val="005322F2"/>
    <w:rsid w:val="00532336"/>
    <w:rsid w:val="00532480"/>
    <w:rsid w:val="00532693"/>
    <w:rsid w:val="00532D23"/>
    <w:rsid w:val="00532E8E"/>
    <w:rsid w:val="00532F3D"/>
    <w:rsid w:val="00532FBC"/>
    <w:rsid w:val="005331AD"/>
    <w:rsid w:val="0053323D"/>
    <w:rsid w:val="005334B8"/>
    <w:rsid w:val="005334C7"/>
    <w:rsid w:val="00533BC0"/>
    <w:rsid w:val="00533E75"/>
    <w:rsid w:val="0053442F"/>
    <w:rsid w:val="005344DD"/>
    <w:rsid w:val="00534876"/>
    <w:rsid w:val="00534BC0"/>
    <w:rsid w:val="00534D8C"/>
    <w:rsid w:val="00535B5E"/>
    <w:rsid w:val="00536122"/>
    <w:rsid w:val="005362C4"/>
    <w:rsid w:val="00536319"/>
    <w:rsid w:val="0053632C"/>
    <w:rsid w:val="005364EE"/>
    <w:rsid w:val="00536642"/>
    <w:rsid w:val="00536688"/>
    <w:rsid w:val="00536CCA"/>
    <w:rsid w:val="00536E61"/>
    <w:rsid w:val="005370E0"/>
    <w:rsid w:val="00537331"/>
    <w:rsid w:val="00537599"/>
    <w:rsid w:val="005377E6"/>
    <w:rsid w:val="005401A4"/>
    <w:rsid w:val="005403D0"/>
    <w:rsid w:val="005405B9"/>
    <w:rsid w:val="0054066B"/>
    <w:rsid w:val="00540784"/>
    <w:rsid w:val="005408F5"/>
    <w:rsid w:val="00540C37"/>
    <w:rsid w:val="00541199"/>
    <w:rsid w:val="00541414"/>
    <w:rsid w:val="00541475"/>
    <w:rsid w:val="005415E7"/>
    <w:rsid w:val="0054162C"/>
    <w:rsid w:val="00541716"/>
    <w:rsid w:val="005417C6"/>
    <w:rsid w:val="0054181D"/>
    <w:rsid w:val="00541955"/>
    <w:rsid w:val="00541A85"/>
    <w:rsid w:val="00541ADF"/>
    <w:rsid w:val="00541B45"/>
    <w:rsid w:val="00541E5E"/>
    <w:rsid w:val="00542009"/>
    <w:rsid w:val="00542472"/>
    <w:rsid w:val="00542A4B"/>
    <w:rsid w:val="00542A75"/>
    <w:rsid w:val="00542B45"/>
    <w:rsid w:val="00542C0B"/>
    <w:rsid w:val="00542DBD"/>
    <w:rsid w:val="00543424"/>
    <w:rsid w:val="0054345D"/>
    <w:rsid w:val="0054393E"/>
    <w:rsid w:val="0054421D"/>
    <w:rsid w:val="0054426E"/>
    <w:rsid w:val="005443DD"/>
    <w:rsid w:val="00544730"/>
    <w:rsid w:val="005447DE"/>
    <w:rsid w:val="005448F5"/>
    <w:rsid w:val="00544A0B"/>
    <w:rsid w:val="00544ABB"/>
    <w:rsid w:val="00544B4A"/>
    <w:rsid w:val="00544F11"/>
    <w:rsid w:val="0054508F"/>
    <w:rsid w:val="005453C6"/>
    <w:rsid w:val="005455F3"/>
    <w:rsid w:val="00545917"/>
    <w:rsid w:val="005459E8"/>
    <w:rsid w:val="00545A3A"/>
    <w:rsid w:val="00545BC0"/>
    <w:rsid w:val="00545DDE"/>
    <w:rsid w:val="00546086"/>
    <w:rsid w:val="0054629C"/>
    <w:rsid w:val="00546479"/>
    <w:rsid w:val="00546A43"/>
    <w:rsid w:val="00546AA7"/>
    <w:rsid w:val="00546C9A"/>
    <w:rsid w:val="00547228"/>
    <w:rsid w:val="00547503"/>
    <w:rsid w:val="005475AF"/>
    <w:rsid w:val="005475F9"/>
    <w:rsid w:val="00547719"/>
    <w:rsid w:val="00547916"/>
    <w:rsid w:val="0055003C"/>
    <w:rsid w:val="0055019C"/>
    <w:rsid w:val="00550437"/>
    <w:rsid w:val="005505EA"/>
    <w:rsid w:val="005506C1"/>
    <w:rsid w:val="00550731"/>
    <w:rsid w:val="00550C12"/>
    <w:rsid w:val="00550C13"/>
    <w:rsid w:val="00550E35"/>
    <w:rsid w:val="00550E76"/>
    <w:rsid w:val="005510C9"/>
    <w:rsid w:val="0055161E"/>
    <w:rsid w:val="00551692"/>
    <w:rsid w:val="00551BF3"/>
    <w:rsid w:val="00551CD5"/>
    <w:rsid w:val="00552164"/>
    <w:rsid w:val="00552866"/>
    <w:rsid w:val="00552BA0"/>
    <w:rsid w:val="00552EE6"/>
    <w:rsid w:val="00553529"/>
    <w:rsid w:val="00554513"/>
    <w:rsid w:val="00554682"/>
    <w:rsid w:val="005546A4"/>
    <w:rsid w:val="005546B9"/>
    <w:rsid w:val="00554AF3"/>
    <w:rsid w:val="00554D3A"/>
    <w:rsid w:val="00555071"/>
    <w:rsid w:val="005558A9"/>
    <w:rsid w:val="00555B11"/>
    <w:rsid w:val="00555BD4"/>
    <w:rsid w:val="005568D4"/>
    <w:rsid w:val="00556940"/>
    <w:rsid w:val="00556BA1"/>
    <w:rsid w:val="00556CCA"/>
    <w:rsid w:val="00556CE2"/>
    <w:rsid w:val="00557650"/>
    <w:rsid w:val="005578BE"/>
    <w:rsid w:val="00557A07"/>
    <w:rsid w:val="00557C1B"/>
    <w:rsid w:val="00557FEB"/>
    <w:rsid w:val="005607CC"/>
    <w:rsid w:val="00560B40"/>
    <w:rsid w:val="00560EF9"/>
    <w:rsid w:val="00561462"/>
    <w:rsid w:val="00561642"/>
    <w:rsid w:val="005616C0"/>
    <w:rsid w:val="0056184C"/>
    <w:rsid w:val="0056193F"/>
    <w:rsid w:val="005619D5"/>
    <w:rsid w:val="00561FB8"/>
    <w:rsid w:val="0056270C"/>
    <w:rsid w:val="00562793"/>
    <w:rsid w:val="00562ADB"/>
    <w:rsid w:val="00562C9A"/>
    <w:rsid w:val="00562D4E"/>
    <w:rsid w:val="00563253"/>
    <w:rsid w:val="005632A9"/>
    <w:rsid w:val="0056356F"/>
    <w:rsid w:val="005636CA"/>
    <w:rsid w:val="0056382D"/>
    <w:rsid w:val="005639A9"/>
    <w:rsid w:val="00563A29"/>
    <w:rsid w:val="00563AF6"/>
    <w:rsid w:val="00563B58"/>
    <w:rsid w:val="00564750"/>
    <w:rsid w:val="0056516B"/>
    <w:rsid w:val="005651BB"/>
    <w:rsid w:val="005652F4"/>
    <w:rsid w:val="005653BA"/>
    <w:rsid w:val="00565499"/>
    <w:rsid w:val="005655C2"/>
    <w:rsid w:val="00565814"/>
    <w:rsid w:val="005658C2"/>
    <w:rsid w:val="005658F8"/>
    <w:rsid w:val="00565AEB"/>
    <w:rsid w:val="00565B20"/>
    <w:rsid w:val="00565BDC"/>
    <w:rsid w:val="00565E46"/>
    <w:rsid w:val="005660A9"/>
    <w:rsid w:val="005660B6"/>
    <w:rsid w:val="0056628D"/>
    <w:rsid w:val="005666C8"/>
    <w:rsid w:val="0056681B"/>
    <w:rsid w:val="00566AD8"/>
    <w:rsid w:val="00566B1E"/>
    <w:rsid w:val="00566BCA"/>
    <w:rsid w:val="00566C60"/>
    <w:rsid w:val="00566D44"/>
    <w:rsid w:val="00567164"/>
    <w:rsid w:val="00567315"/>
    <w:rsid w:val="00567374"/>
    <w:rsid w:val="00567CE2"/>
    <w:rsid w:val="00570416"/>
    <w:rsid w:val="005705A7"/>
    <w:rsid w:val="00570724"/>
    <w:rsid w:val="00570B05"/>
    <w:rsid w:val="00571028"/>
    <w:rsid w:val="005711F6"/>
    <w:rsid w:val="0057141D"/>
    <w:rsid w:val="005720C6"/>
    <w:rsid w:val="005720FD"/>
    <w:rsid w:val="00572126"/>
    <w:rsid w:val="0057212E"/>
    <w:rsid w:val="0057222C"/>
    <w:rsid w:val="00572544"/>
    <w:rsid w:val="00572570"/>
    <w:rsid w:val="00574039"/>
    <w:rsid w:val="00574255"/>
    <w:rsid w:val="0057444E"/>
    <w:rsid w:val="00574665"/>
    <w:rsid w:val="00574716"/>
    <w:rsid w:val="00574B8D"/>
    <w:rsid w:val="00574ED6"/>
    <w:rsid w:val="00575714"/>
    <w:rsid w:val="00575965"/>
    <w:rsid w:val="0057615D"/>
    <w:rsid w:val="005764B6"/>
    <w:rsid w:val="0057699C"/>
    <w:rsid w:val="005769DF"/>
    <w:rsid w:val="00576D43"/>
    <w:rsid w:val="00576FC9"/>
    <w:rsid w:val="0057754A"/>
    <w:rsid w:val="00577FB9"/>
    <w:rsid w:val="00580882"/>
    <w:rsid w:val="00580B1E"/>
    <w:rsid w:val="00580FF5"/>
    <w:rsid w:val="005813F6"/>
    <w:rsid w:val="00581976"/>
    <w:rsid w:val="00581CE0"/>
    <w:rsid w:val="0058206D"/>
    <w:rsid w:val="005824E5"/>
    <w:rsid w:val="0058263F"/>
    <w:rsid w:val="005828DF"/>
    <w:rsid w:val="005829B5"/>
    <w:rsid w:val="00582AEF"/>
    <w:rsid w:val="005835C1"/>
    <w:rsid w:val="005836DA"/>
    <w:rsid w:val="00583B06"/>
    <w:rsid w:val="00583B29"/>
    <w:rsid w:val="00583C15"/>
    <w:rsid w:val="00583C4F"/>
    <w:rsid w:val="00584151"/>
    <w:rsid w:val="005845A2"/>
    <w:rsid w:val="005849A1"/>
    <w:rsid w:val="005849F6"/>
    <w:rsid w:val="00584E4B"/>
    <w:rsid w:val="0058544F"/>
    <w:rsid w:val="005857FD"/>
    <w:rsid w:val="00585BAB"/>
    <w:rsid w:val="00585D9F"/>
    <w:rsid w:val="00585E73"/>
    <w:rsid w:val="00585F75"/>
    <w:rsid w:val="00585F95"/>
    <w:rsid w:val="00586230"/>
    <w:rsid w:val="005866AF"/>
    <w:rsid w:val="005867A5"/>
    <w:rsid w:val="00586E53"/>
    <w:rsid w:val="00586FDE"/>
    <w:rsid w:val="00587092"/>
    <w:rsid w:val="0058750F"/>
    <w:rsid w:val="0058758A"/>
    <w:rsid w:val="005875AF"/>
    <w:rsid w:val="005876F6"/>
    <w:rsid w:val="005879D4"/>
    <w:rsid w:val="00590011"/>
    <w:rsid w:val="0059001E"/>
    <w:rsid w:val="00590043"/>
    <w:rsid w:val="00590389"/>
    <w:rsid w:val="0059045F"/>
    <w:rsid w:val="005904BA"/>
    <w:rsid w:val="005907B1"/>
    <w:rsid w:val="00590B55"/>
    <w:rsid w:val="00590B85"/>
    <w:rsid w:val="00590C4D"/>
    <w:rsid w:val="00591021"/>
    <w:rsid w:val="005910DE"/>
    <w:rsid w:val="0059113D"/>
    <w:rsid w:val="00591C87"/>
    <w:rsid w:val="00591CA0"/>
    <w:rsid w:val="00591E7F"/>
    <w:rsid w:val="00591EAA"/>
    <w:rsid w:val="00591EB4"/>
    <w:rsid w:val="00592212"/>
    <w:rsid w:val="00592577"/>
    <w:rsid w:val="0059285F"/>
    <w:rsid w:val="00592B3E"/>
    <w:rsid w:val="00593074"/>
    <w:rsid w:val="0059331E"/>
    <w:rsid w:val="00593375"/>
    <w:rsid w:val="00593983"/>
    <w:rsid w:val="00593E8C"/>
    <w:rsid w:val="005941FD"/>
    <w:rsid w:val="00594D03"/>
    <w:rsid w:val="00594E7B"/>
    <w:rsid w:val="00595096"/>
    <w:rsid w:val="00595490"/>
    <w:rsid w:val="0059579D"/>
    <w:rsid w:val="005957E2"/>
    <w:rsid w:val="00595D18"/>
    <w:rsid w:val="005968B9"/>
    <w:rsid w:val="0059692D"/>
    <w:rsid w:val="00596FDC"/>
    <w:rsid w:val="00597095"/>
    <w:rsid w:val="00597201"/>
    <w:rsid w:val="00597314"/>
    <w:rsid w:val="00597676"/>
    <w:rsid w:val="00597886"/>
    <w:rsid w:val="00597A2D"/>
    <w:rsid w:val="00597B7C"/>
    <w:rsid w:val="00597C51"/>
    <w:rsid w:val="00597D9B"/>
    <w:rsid w:val="00597E8E"/>
    <w:rsid w:val="00597FCE"/>
    <w:rsid w:val="005A0447"/>
    <w:rsid w:val="005A054E"/>
    <w:rsid w:val="005A08E0"/>
    <w:rsid w:val="005A097E"/>
    <w:rsid w:val="005A0CDE"/>
    <w:rsid w:val="005A0EE1"/>
    <w:rsid w:val="005A116A"/>
    <w:rsid w:val="005A1238"/>
    <w:rsid w:val="005A1264"/>
    <w:rsid w:val="005A1484"/>
    <w:rsid w:val="005A14E4"/>
    <w:rsid w:val="005A1898"/>
    <w:rsid w:val="005A191B"/>
    <w:rsid w:val="005A198B"/>
    <w:rsid w:val="005A1A39"/>
    <w:rsid w:val="005A1D96"/>
    <w:rsid w:val="005A1F3A"/>
    <w:rsid w:val="005A21E0"/>
    <w:rsid w:val="005A257E"/>
    <w:rsid w:val="005A2A82"/>
    <w:rsid w:val="005A2B86"/>
    <w:rsid w:val="005A2CCF"/>
    <w:rsid w:val="005A2E51"/>
    <w:rsid w:val="005A3018"/>
    <w:rsid w:val="005A32F1"/>
    <w:rsid w:val="005A35E1"/>
    <w:rsid w:val="005A3657"/>
    <w:rsid w:val="005A3B8C"/>
    <w:rsid w:val="005A3DA3"/>
    <w:rsid w:val="005A3E86"/>
    <w:rsid w:val="005A40B3"/>
    <w:rsid w:val="005A45FA"/>
    <w:rsid w:val="005A493A"/>
    <w:rsid w:val="005A4D87"/>
    <w:rsid w:val="005A4FBB"/>
    <w:rsid w:val="005A5CA9"/>
    <w:rsid w:val="005A5E56"/>
    <w:rsid w:val="005A5F44"/>
    <w:rsid w:val="005A60FE"/>
    <w:rsid w:val="005A624E"/>
    <w:rsid w:val="005A62C8"/>
    <w:rsid w:val="005A633D"/>
    <w:rsid w:val="005A704D"/>
    <w:rsid w:val="005A71BC"/>
    <w:rsid w:val="005A724E"/>
    <w:rsid w:val="005A72C9"/>
    <w:rsid w:val="005A7A56"/>
    <w:rsid w:val="005A7D2E"/>
    <w:rsid w:val="005A7EB6"/>
    <w:rsid w:val="005B0154"/>
    <w:rsid w:val="005B0538"/>
    <w:rsid w:val="005B064D"/>
    <w:rsid w:val="005B083F"/>
    <w:rsid w:val="005B0B4A"/>
    <w:rsid w:val="005B0B57"/>
    <w:rsid w:val="005B0D07"/>
    <w:rsid w:val="005B0D7B"/>
    <w:rsid w:val="005B0F67"/>
    <w:rsid w:val="005B242F"/>
    <w:rsid w:val="005B27A6"/>
    <w:rsid w:val="005B2B4B"/>
    <w:rsid w:val="005B2F93"/>
    <w:rsid w:val="005B3201"/>
    <w:rsid w:val="005B32A1"/>
    <w:rsid w:val="005B381A"/>
    <w:rsid w:val="005B394A"/>
    <w:rsid w:val="005B3D8D"/>
    <w:rsid w:val="005B407C"/>
    <w:rsid w:val="005B40AE"/>
    <w:rsid w:val="005B47C9"/>
    <w:rsid w:val="005B47FC"/>
    <w:rsid w:val="005B4B2C"/>
    <w:rsid w:val="005B4B4C"/>
    <w:rsid w:val="005B4D63"/>
    <w:rsid w:val="005B514D"/>
    <w:rsid w:val="005B51C2"/>
    <w:rsid w:val="005B54EA"/>
    <w:rsid w:val="005B5552"/>
    <w:rsid w:val="005B5671"/>
    <w:rsid w:val="005B57F1"/>
    <w:rsid w:val="005B5888"/>
    <w:rsid w:val="005B5A14"/>
    <w:rsid w:val="005B5C57"/>
    <w:rsid w:val="005B5E1C"/>
    <w:rsid w:val="005B5F6D"/>
    <w:rsid w:val="005B6009"/>
    <w:rsid w:val="005B615F"/>
    <w:rsid w:val="005B6222"/>
    <w:rsid w:val="005B624A"/>
    <w:rsid w:val="005B668A"/>
    <w:rsid w:val="005B714E"/>
    <w:rsid w:val="005B73AF"/>
    <w:rsid w:val="005B73D8"/>
    <w:rsid w:val="005B7463"/>
    <w:rsid w:val="005B7615"/>
    <w:rsid w:val="005B7991"/>
    <w:rsid w:val="005B7EE2"/>
    <w:rsid w:val="005C00AD"/>
    <w:rsid w:val="005C0433"/>
    <w:rsid w:val="005C099C"/>
    <w:rsid w:val="005C09A6"/>
    <w:rsid w:val="005C0B74"/>
    <w:rsid w:val="005C0C9E"/>
    <w:rsid w:val="005C0DB3"/>
    <w:rsid w:val="005C0EAC"/>
    <w:rsid w:val="005C10B0"/>
    <w:rsid w:val="005C18DE"/>
    <w:rsid w:val="005C192F"/>
    <w:rsid w:val="005C1B41"/>
    <w:rsid w:val="005C1F22"/>
    <w:rsid w:val="005C201B"/>
    <w:rsid w:val="005C2023"/>
    <w:rsid w:val="005C2327"/>
    <w:rsid w:val="005C25FC"/>
    <w:rsid w:val="005C26C6"/>
    <w:rsid w:val="005C2D3C"/>
    <w:rsid w:val="005C2D61"/>
    <w:rsid w:val="005C2DF2"/>
    <w:rsid w:val="005C2F33"/>
    <w:rsid w:val="005C2F53"/>
    <w:rsid w:val="005C3052"/>
    <w:rsid w:val="005C35C3"/>
    <w:rsid w:val="005C38F8"/>
    <w:rsid w:val="005C3928"/>
    <w:rsid w:val="005C3D97"/>
    <w:rsid w:val="005C3EBC"/>
    <w:rsid w:val="005C40CC"/>
    <w:rsid w:val="005C4240"/>
    <w:rsid w:val="005C5484"/>
    <w:rsid w:val="005C61C8"/>
    <w:rsid w:val="005C62DC"/>
    <w:rsid w:val="005C66A7"/>
    <w:rsid w:val="005C685A"/>
    <w:rsid w:val="005C701E"/>
    <w:rsid w:val="005C704B"/>
    <w:rsid w:val="005C7212"/>
    <w:rsid w:val="005C7268"/>
    <w:rsid w:val="005C745D"/>
    <w:rsid w:val="005C74BC"/>
    <w:rsid w:val="005C77FB"/>
    <w:rsid w:val="005C789C"/>
    <w:rsid w:val="005C7904"/>
    <w:rsid w:val="005C7D26"/>
    <w:rsid w:val="005C7F0B"/>
    <w:rsid w:val="005D01D0"/>
    <w:rsid w:val="005D03A8"/>
    <w:rsid w:val="005D084A"/>
    <w:rsid w:val="005D0BAD"/>
    <w:rsid w:val="005D0BB0"/>
    <w:rsid w:val="005D0C05"/>
    <w:rsid w:val="005D0FB0"/>
    <w:rsid w:val="005D0FF3"/>
    <w:rsid w:val="005D1276"/>
    <w:rsid w:val="005D1376"/>
    <w:rsid w:val="005D15D0"/>
    <w:rsid w:val="005D186B"/>
    <w:rsid w:val="005D189B"/>
    <w:rsid w:val="005D1B87"/>
    <w:rsid w:val="005D1C4B"/>
    <w:rsid w:val="005D1D11"/>
    <w:rsid w:val="005D1F06"/>
    <w:rsid w:val="005D2207"/>
    <w:rsid w:val="005D2A5F"/>
    <w:rsid w:val="005D2BF2"/>
    <w:rsid w:val="005D2FEA"/>
    <w:rsid w:val="005D3341"/>
    <w:rsid w:val="005D3581"/>
    <w:rsid w:val="005D3653"/>
    <w:rsid w:val="005D3D25"/>
    <w:rsid w:val="005D3F76"/>
    <w:rsid w:val="005D4420"/>
    <w:rsid w:val="005D45B1"/>
    <w:rsid w:val="005D47D8"/>
    <w:rsid w:val="005D4808"/>
    <w:rsid w:val="005D4DF8"/>
    <w:rsid w:val="005D53CB"/>
    <w:rsid w:val="005D5693"/>
    <w:rsid w:val="005D5A61"/>
    <w:rsid w:val="005D5DDC"/>
    <w:rsid w:val="005D5E8C"/>
    <w:rsid w:val="005D5EF2"/>
    <w:rsid w:val="005D5F32"/>
    <w:rsid w:val="005D6040"/>
    <w:rsid w:val="005D622F"/>
    <w:rsid w:val="005D632C"/>
    <w:rsid w:val="005D6487"/>
    <w:rsid w:val="005D68EA"/>
    <w:rsid w:val="005D68F6"/>
    <w:rsid w:val="005D6B93"/>
    <w:rsid w:val="005D6DF7"/>
    <w:rsid w:val="005D7431"/>
    <w:rsid w:val="005D76A1"/>
    <w:rsid w:val="005D772B"/>
    <w:rsid w:val="005D77F6"/>
    <w:rsid w:val="005D7859"/>
    <w:rsid w:val="005D7C77"/>
    <w:rsid w:val="005D7E17"/>
    <w:rsid w:val="005E0036"/>
    <w:rsid w:val="005E011B"/>
    <w:rsid w:val="005E0604"/>
    <w:rsid w:val="005E0872"/>
    <w:rsid w:val="005E0A0C"/>
    <w:rsid w:val="005E10EC"/>
    <w:rsid w:val="005E1143"/>
    <w:rsid w:val="005E1236"/>
    <w:rsid w:val="005E1551"/>
    <w:rsid w:val="005E1D2C"/>
    <w:rsid w:val="005E1DCC"/>
    <w:rsid w:val="005E1FC5"/>
    <w:rsid w:val="005E2444"/>
    <w:rsid w:val="005E25E6"/>
    <w:rsid w:val="005E3112"/>
    <w:rsid w:val="005E3127"/>
    <w:rsid w:val="005E33CE"/>
    <w:rsid w:val="005E34AD"/>
    <w:rsid w:val="005E351A"/>
    <w:rsid w:val="005E35E2"/>
    <w:rsid w:val="005E37C5"/>
    <w:rsid w:val="005E38B3"/>
    <w:rsid w:val="005E3A79"/>
    <w:rsid w:val="005E3C96"/>
    <w:rsid w:val="005E40BE"/>
    <w:rsid w:val="005E4170"/>
    <w:rsid w:val="005E44F9"/>
    <w:rsid w:val="005E4520"/>
    <w:rsid w:val="005E4696"/>
    <w:rsid w:val="005E483D"/>
    <w:rsid w:val="005E483F"/>
    <w:rsid w:val="005E4AF2"/>
    <w:rsid w:val="005E4B6F"/>
    <w:rsid w:val="005E4B8F"/>
    <w:rsid w:val="005E4C76"/>
    <w:rsid w:val="005E5321"/>
    <w:rsid w:val="005E5561"/>
    <w:rsid w:val="005E56BD"/>
    <w:rsid w:val="005E578E"/>
    <w:rsid w:val="005E5E6C"/>
    <w:rsid w:val="005E6262"/>
    <w:rsid w:val="005E6BBD"/>
    <w:rsid w:val="005E7435"/>
    <w:rsid w:val="005E7490"/>
    <w:rsid w:val="005E7538"/>
    <w:rsid w:val="005E7696"/>
    <w:rsid w:val="005E77AC"/>
    <w:rsid w:val="005E7A39"/>
    <w:rsid w:val="005E7A63"/>
    <w:rsid w:val="005E7AB0"/>
    <w:rsid w:val="005F00B8"/>
    <w:rsid w:val="005F023C"/>
    <w:rsid w:val="005F05B3"/>
    <w:rsid w:val="005F07C2"/>
    <w:rsid w:val="005F0BC5"/>
    <w:rsid w:val="005F0C65"/>
    <w:rsid w:val="005F0E92"/>
    <w:rsid w:val="005F1209"/>
    <w:rsid w:val="005F12A5"/>
    <w:rsid w:val="005F13AE"/>
    <w:rsid w:val="005F1417"/>
    <w:rsid w:val="005F186B"/>
    <w:rsid w:val="005F1945"/>
    <w:rsid w:val="005F19B1"/>
    <w:rsid w:val="005F1D4F"/>
    <w:rsid w:val="005F2073"/>
    <w:rsid w:val="005F22B3"/>
    <w:rsid w:val="005F22DB"/>
    <w:rsid w:val="005F23E0"/>
    <w:rsid w:val="005F2DEB"/>
    <w:rsid w:val="005F2F84"/>
    <w:rsid w:val="005F318F"/>
    <w:rsid w:val="005F326E"/>
    <w:rsid w:val="005F336D"/>
    <w:rsid w:val="005F3467"/>
    <w:rsid w:val="005F3847"/>
    <w:rsid w:val="005F399C"/>
    <w:rsid w:val="005F3C75"/>
    <w:rsid w:val="005F3DC4"/>
    <w:rsid w:val="005F3F3B"/>
    <w:rsid w:val="005F436B"/>
    <w:rsid w:val="005F43B4"/>
    <w:rsid w:val="005F43CA"/>
    <w:rsid w:val="005F4CEA"/>
    <w:rsid w:val="005F52D1"/>
    <w:rsid w:val="005F576F"/>
    <w:rsid w:val="005F57DD"/>
    <w:rsid w:val="005F5B07"/>
    <w:rsid w:val="005F5F2E"/>
    <w:rsid w:val="005F6204"/>
    <w:rsid w:val="005F65EF"/>
    <w:rsid w:val="005F66AF"/>
    <w:rsid w:val="005F6EB0"/>
    <w:rsid w:val="005F7050"/>
    <w:rsid w:val="005F70BC"/>
    <w:rsid w:val="005F72EE"/>
    <w:rsid w:val="005F74BC"/>
    <w:rsid w:val="005F7825"/>
    <w:rsid w:val="005F79FC"/>
    <w:rsid w:val="005F7B0D"/>
    <w:rsid w:val="005F7E64"/>
    <w:rsid w:val="00600174"/>
    <w:rsid w:val="006004A5"/>
    <w:rsid w:val="006004E2"/>
    <w:rsid w:val="006007AF"/>
    <w:rsid w:val="00600852"/>
    <w:rsid w:val="0060089D"/>
    <w:rsid w:val="00600CE2"/>
    <w:rsid w:val="00600DAF"/>
    <w:rsid w:val="00600E61"/>
    <w:rsid w:val="006014A0"/>
    <w:rsid w:val="006017A0"/>
    <w:rsid w:val="00601B13"/>
    <w:rsid w:val="00601C96"/>
    <w:rsid w:val="006021FB"/>
    <w:rsid w:val="00602362"/>
    <w:rsid w:val="00602467"/>
    <w:rsid w:val="00602A15"/>
    <w:rsid w:val="006030CA"/>
    <w:rsid w:val="006036CB"/>
    <w:rsid w:val="0060378B"/>
    <w:rsid w:val="00603844"/>
    <w:rsid w:val="00603CBA"/>
    <w:rsid w:val="00603ECD"/>
    <w:rsid w:val="00604480"/>
    <w:rsid w:val="006048A9"/>
    <w:rsid w:val="00604A51"/>
    <w:rsid w:val="00604BAD"/>
    <w:rsid w:val="00605351"/>
    <w:rsid w:val="00605374"/>
    <w:rsid w:val="006053F5"/>
    <w:rsid w:val="00605743"/>
    <w:rsid w:val="00605914"/>
    <w:rsid w:val="00605956"/>
    <w:rsid w:val="00605994"/>
    <w:rsid w:val="00605A6A"/>
    <w:rsid w:val="00605C24"/>
    <w:rsid w:val="00605EA2"/>
    <w:rsid w:val="006062BA"/>
    <w:rsid w:val="00606514"/>
    <w:rsid w:val="00606999"/>
    <w:rsid w:val="006069A5"/>
    <w:rsid w:val="00606AE1"/>
    <w:rsid w:val="00606B83"/>
    <w:rsid w:val="00606F1B"/>
    <w:rsid w:val="00606FC2"/>
    <w:rsid w:val="00607026"/>
    <w:rsid w:val="006076CD"/>
    <w:rsid w:val="0060782A"/>
    <w:rsid w:val="00607C21"/>
    <w:rsid w:val="00607EC0"/>
    <w:rsid w:val="006100CC"/>
    <w:rsid w:val="0061023B"/>
    <w:rsid w:val="00610361"/>
    <w:rsid w:val="00610362"/>
    <w:rsid w:val="006103CD"/>
    <w:rsid w:val="006106F8"/>
    <w:rsid w:val="0061085D"/>
    <w:rsid w:val="00610A92"/>
    <w:rsid w:val="00610FB6"/>
    <w:rsid w:val="00611237"/>
    <w:rsid w:val="006112F5"/>
    <w:rsid w:val="00611323"/>
    <w:rsid w:val="0061161F"/>
    <w:rsid w:val="006119ED"/>
    <w:rsid w:val="00611F54"/>
    <w:rsid w:val="00612046"/>
    <w:rsid w:val="006126C5"/>
    <w:rsid w:val="00612C72"/>
    <w:rsid w:val="00612CA7"/>
    <w:rsid w:val="00612D30"/>
    <w:rsid w:val="00612EF3"/>
    <w:rsid w:val="00612FAF"/>
    <w:rsid w:val="00613077"/>
    <w:rsid w:val="00613114"/>
    <w:rsid w:val="00613403"/>
    <w:rsid w:val="00613430"/>
    <w:rsid w:val="00613521"/>
    <w:rsid w:val="00613793"/>
    <w:rsid w:val="006137A5"/>
    <w:rsid w:val="00613EA5"/>
    <w:rsid w:val="00614388"/>
    <w:rsid w:val="006143A0"/>
    <w:rsid w:val="0061455A"/>
    <w:rsid w:val="00614834"/>
    <w:rsid w:val="00614BED"/>
    <w:rsid w:val="006151D6"/>
    <w:rsid w:val="00615264"/>
    <w:rsid w:val="00615705"/>
    <w:rsid w:val="006157E4"/>
    <w:rsid w:val="006158CE"/>
    <w:rsid w:val="00615B90"/>
    <w:rsid w:val="00615D69"/>
    <w:rsid w:val="00615E67"/>
    <w:rsid w:val="00616079"/>
    <w:rsid w:val="00616415"/>
    <w:rsid w:val="006169F9"/>
    <w:rsid w:val="00616D89"/>
    <w:rsid w:val="00616D9C"/>
    <w:rsid w:val="006171BC"/>
    <w:rsid w:val="00617375"/>
    <w:rsid w:val="00617779"/>
    <w:rsid w:val="00617A31"/>
    <w:rsid w:val="00617B6B"/>
    <w:rsid w:val="00617CBD"/>
    <w:rsid w:val="0062004C"/>
    <w:rsid w:val="00620476"/>
    <w:rsid w:val="00621017"/>
    <w:rsid w:val="0062133D"/>
    <w:rsid w:val="00621860"/>
    <w:rsid w:val="006219BB"/>
    <w:rsid w:val="00621B9F"/>
    <w:rsid w:val="00621F0E"/>
    <w:rsid w:val="00621FAE"/>
    <w:rsid w:val="00622330"/>
    <w:rsid w:val="006224A3"/>
    <w:rsid w:val="00622579"/>
    <w:rsid w:val="006228D9"/>
    <w:rsid w:val="00622BDB"/>
    <w:rsid w:val="00622D4A"/>
    <w:rsid w:val="00622D98"/>
    <w:rsid w:val="006234B9"/>
    <w:rsid w:val="00623A05"/>
    <w:rsid w:val="00623DFD"/>
    <w:rsid w:val="00624052"/>
    <w:rsid w:val="00624213"/>
    <w:rsid w:val="0062445A"/>
    <w:rsid w:val="00624620"/>
    <w:rsid w:val="006247B3"/>
    <w:rsid w:val="00624857"/>
    <w:rsid w:val="006248C4"/>
    <w:rsid w:val="00624CB1"/>
    <w:rsid w:val="00624CB8"/>
    <w:rsid w:val="00624F37"/>
    <w:rsid w:val="00625299"/>
    <w:rsid w:val="00625410"/>
    <w:rsid w:val="00625918"/>
    <w:rsid w:val="00625C2C"/>
    <w:rsid w:val="00625C3A"/>
    <w:rsid w:val="00625C5F"/>
    <w:rsid w:val="00625DDE"/>
    <w:rsid w:val="00625F8B"/>
    <w:rsid w:val="006262AA"/>
    <w:rsid w:val="00626329"/>
    <w:rsid w:val="006267CB"/>
    <w:rsid w:val="006269FE"/>
    <w:rsid w:val="00626BBF"/>
    <w:rsid w:val="0062739B"/>
    <w:rsid w:val="00627EE1"/>
    <w:rsid w:val="00627F00"/>
    <w:rsid w:val="006300F9"/>
    <w:rsid w:val="00630521"/>
    <w:rsid w:val="00630A7A"/>
    <w:rsid w:val="00630CC4"/>
    <w:rsid w:val="00630EEE"/>
    <w:rsid w:val="006310C8"/>
    <w:rsid w:val="00631362"/>
    <w:rsid w:val="0063147B"/>
    <w:rsid w:val="006316B2"/>
    <w:rsid w:val="006319A9"/>
    <w:rsid w:val="00631F11"/>
    <w:rsid w:val="00631FE7"/>
    <w:rsid w:val="00632106"/>
    <w:rsid w:val="00632122"/>
    <w:rsid w:val="00632269"/>
    <w:rsid w:val="0063263C"/>
    <w:rsid w:val="0063281F"/>
    <w:rsid w:val="00632FE6"/>
    <w:rsid w:val="0063322B"/>
    <w:rsid w:val="006333AD"/>
    <w:rsid w:val="0063346A"/>
    <w:rsid w:val="00633670"/>
    <w:rsid w:val="006336CD"/>
    <w:rsid w:val="00633C0C"/>
    <w:rsid w:val="00633E7D"/>
    <w:rsid w:val="00633EDA"/>
    <w:rsid w:val="0063454D"/>
    <w:rsid w:val="00634951"/>
    <w:rsid w:val="00634C6E"/>
    <w:rsid w:val="00634CEC"/>
    <w:rsid w:val="00634D24"/>
    <w:rsid w:val="00635102"/>
    <w:rsid w:val="006351A0"/>
    <w:rsid w:val="00635613"/>
    <w:rsid w:val="006356F3"/>
    <w:rsid w:val="00635AF7"/>
    <w:rsid w:val="00635C75"/>
    <w:rsid w:val="00635DFD"/>
    <w:rsid w:val="006365D1"/>
    <w:rsid w:val="006365FA"/>
    <w:rsid w:val="00636850"/>
    <w:rsid w:val="00636BA8"/>
    <w:rsid w:val="00636D2E"/>
    <w:rsid w:val="0063704B"/>
    <w:rsid w:val="00637260"/>
    <w:rsid w:val="0063786D"/>
    <w:rsid w:val="0063790E"/>
    <w:rsid w:val="00637921"/>
    <w:rsid w:val="006379DA"/>
    <w:rsid w:val="00637B48"/>
    <w:rsid w:val="0064020A"/>
    <w:rsid w:val="0064023E"/>
    <w:rsid w:val="0064023F"/>
    <w:rsid w:val="006406E4"/>
    <w:rsid w:val="00640831"/>
    <w:rsid w:val="006410D1"/>
    <w:rsid w:val="006410FD"/>
    <w:rsid w:val="0064113D"/>
    <w:rsid w:val="006412F0"/>
    <w:rsid w:val="00641619"/>
    <w:rsid w:val="0064174A"/>
    <w:rsid w:val="0064178C"/>
    <w:rsid w:val="0064191B"/>
    <w:rsid w:val="00641BA5"/>
    <w:rsid w:val="00641C98"/>
    <w:rsid w:val="00641F5C"/>
    <w:rsid w:val="00642E0A"/>
    <w:rsid w:val="006430E4"/>
    <w:rsid w:val="0064328D"/>
    <w:rsid w:val="0064349F"/>
    <w:rsid w:val="006438FD"/>
    <w:rsid w:val="006446FB"/>
    <w:rsid w:val="00644DDF"/>
    <w:rsid w:val="0064571E"/>
    <w:rsid w:val="00645844"/>
    <w:rsid w:val="00645BEC"/>
    <w:rsid w:val="00645DCB"/>
    <w:rsid w:val="006461D7"/>
    <w:rsid w:val="00646430"/>
    <w:rsid w:val="0064678F"/>
    <w:rsid w:val="0064694A"/>
    <w:rsid w:val="006469F8"/>
    <w:rsid w:val="00646ADF"/>
    <w:rsid w:val="00646C71"/>
    <w:rsid w:val="00646FCC"/>
    <w:rsid w:val="00647154"/>
    <w:rsid w:val="00647561"/>
    <w:rsid w:val="00647970"/>
    <w:rsid w:val="00647A19"/>
    <w:rsid w:val="00647CA3"/>
    <w:rsid w:val="00647F60"/>
    <w:rsid w:val="0065004C"/>
    <w:rsid w:val="006500A7"/>
    <w:rsid w:val="00650274"/>
    <w:rsid w:val="00650302"/>
    <w:rsid w:val="006503B2"/>
    <w:rsid w:val="00650C6E"/>
    <w:rsid w:val="00650D1C"/>
    <w:rsid w:val="00650D2E"/>
    <w:rsid w:val="0065100F"/>
    <w:rsid w:val="00651179"/>
    <w:rsid w:val="006513A7"/>
    <w:rsid w:val="00651547"/>
    <w:rsid w:val="00651742"/>
    <w:rsid w:val="0065176E"/>
    <w:rsid w:val="00651AA1"/>
    <w:rsid w:val="00651AE4"/>
    <w:rsid w:val="00652344"/>
    <w:rsid w:val="00652454"/>
    <w:rsid w:val="00652538"/>
    <w:rsid w:val="0065259E"/>
    <w:rsid w:val="00652AFC"/>
    <w:rsid w:val="00652EB9"/>
    <w:rsid w:val="00652EF4"/>
    <w:rsid w:val="00652FDC"/>
    <w:rsid w:val="00653110"/>
    <w:rsid w:val="0065324E"/>
    <w:rsid w:val="00653475"/>
    <w:rsid w:val="00653783"/>
    <w:rsid w:val="0065397A"/>
    <w:rsid w:val="00653ABB"/>
    <w:rsid w:val="00653B5B"/>
    <w:rsid w:val="00653B77"/>
    <w:rsid w:val="00653BF6"/>
    <w:rsid w:val="00653D6B"/>
    <w:rsid w:val="006540DF"/>
    <w:rsid w:val="00654A35"/>
    <w:rsid w:val="00654C53"/>
    <w:rsid w:val="00654F02"/>
    <w:rsid w:val="00655217"/>
    <w:rsid w:val="00655251"/>
    <w:rsid w:val="00655630"/>
    <w:rsid w:val="006557AF"/>
    <w:rsid w:val="00655DD9"/>
    <w:rsid w:val="0065634D"/>
    <w:rsid w:val="006564FA"/>
    <w:rsid w:val="00656A8C"/>
    <w:rsid w:val="00656D12"/>
    <w:rsid w:val="00656EC2"/>
    <w:rsid w:val="00657158"/>
    <w:rsid w:val="006572ED"/>
    <w:rsid w:val="00657582"/>
    <w:rsid w:val="00657F89"/>
    <w:rsid w:val="0066004D"/>
    <w:rsid w:val="00660220"/>
    <w:rsid w:val="00660287"/>
    <w:rsid w:val="006605A7"/>
    <w:rsid w:val="0066092E"/>
    <w:rsid w:val="00660FBF"/>
    <w:rsid w:val="006611D3"/>
    <w:rsid w:val="00661350"/>
    <w:rsid w:val="00661CF2"/>
    <w:rsid w:val="00661F11"/>
    <w:rsid w:val="00662472"/>
    <w:rsid w:val="00662CFB"/>
    <w:rsid w:val="00662D80"/>
    <w:rsid w:val="0066303F"/>
    <w:rsid w:val="0066345E"/>
    <w:rsid w:val="00663ADF"/>
    <w:rsid w:val="00663FAA"/>
    <w:rsid w:val="00664105"/>
    <w:rsid w:val="00664263"/>
    <w:rsid w:val="006645DB"/>
    <w:rsid w:val="00664EB7"/>
    <w:rsid w:val="0066542D"/>
    <w:rsid w:val="0066544D"/>
    <w:rsid w:val="00665553"/>
    <w:rsid w:val="00665954"/>
    <w:rsid w:val="00666219"/>
    <w:rsid w:val="006662A2"/>
    <w:rsid w:val="00666344"/>
    <w:rsid w:val="0066639C"/>
    <w:rsid w:val="006663AC"/>
    <w:rsid w:val="00666689"/>
    <w:rsid w:val="00666758"/>
    <w:rsid w:val="0066692B"/>
    <w:rsid w:val="006669C0"/>
    <w:rsid w:val="00666A1E"/>
    <w:rsid w:val="00666ECB"/>
    <w:rsid w:val="00667286"/>
    <w:rsid w:val="006674AC"/>
    <w:rsid w:val="006675E8"/>
    <w:rsid w:val="0066774A"/>
    <w:rsid w:val="00667807"/>
    <w:rsid w:val="006678B7"/>
    <w:rsid w:val="006678E3"/>
    <w:rsid w:val="006679C7"/>
    <w:rsid w:val="00667B50"/>
    <w:rsid w:val="00667B9F"/>
    <w:rsid w:val="00667C88"/>
    <w:rsid w:val="00667E07"/>
    <w:rsid w:val="00667F3C"/>
    <w:rsid w:val="00670058"/>
    <w:rsid w:val="0067024B"/>
    <w:rsid w:val="006703FF"/>
    <w:rsid w:val="006705BA"/>
    <w:rsid w:val="00670A8B"/>
    <w:rsid w:val="006710CC"/>
    <w:rsid w:val="006711B1"/>
    <w:rsid w:val="006712A5"/>
    <w:rsid w:val="0067136A"/>
    <w:rsid w:val="006714FA"/>
    <w:rsid w:val="0067152C"/>
    <w:rsid w:val="00671A90"/>
    <w:rsid w:val="00671BF0"/>
    <w:rsid w:val="00671C0A"/>
    <w:rsid w:val="00671DEC"/>
    <w:rsid w:val="0067262C"/>
    <w:rsid w:val="00672802"/>
    <w:rsid w:val="00672C9E"/>
    <w:rsid w:val="00672D6E"/>
    <w:rsid w:val="00672F4D"/>
    <w:rsid w:val="00673162"/>
    <w:rsid w:val="006737CF"/>
    <w:rsid w:val="006739FE"/>
    <w:rsid w:val="00673C58"/>
    <w:rsid w:val="00675034"/>
    <w:rsid w:val="00675084"/>
    <w:rsid w:val="0067573F"/>
    <w:rsid w:val="00675E14"/>
    <w:rsid w:val="00675E8E"/>
    <w:rsid w:val="00676956"/>
    <w:rsid w:val="00676CB6"/>
    <w:rsid w:val="00676D81"/>
    <w:rsid w:val="006770C9"/>
    <w:rsid w:val="006773FD"/>
    <w:rsid w:val="0067748D"/>
    <w:rsid w:val="006779E0"/>
    <w:rsid w:val="00677D45"/>
    <w:rsid w:val="0068028C"/>
    <w:rsid w:val="00680823"/>
    <w:rsid w:val="006808F9"/>
    <w:rsid w:val="00680BF8"/>
    <w:rsid w:val="00680D1A"/>
    <w:rsid w:val="00681586"/>
    <w:rsid w:val="00681845"/>
    <w:rsid w:val="0068191C"/>
    <w:rsid w:val="00681D38"/>
    <w:rsid w:val="00682246"/>
    <w:rsid w:val="006824ED"/>
    <w:rsid w:val="0068272A"/>
    <w:rsid w:val="00682755"/>
    <w:rsid w:val="00682DD1"/>
    <w:rsid w:val="006832EF"/>
    <w:rsid w:val="00683840"/>
    <w:rsid w:val="00683E5D"/>
    <w:rsid w:val="00683FF5"/>
    <w:rsid w:val="00684336"/>
    <w:rsid w:val="006844F0"/>
    <w:rsid w:val="0068464F"/>
    <w:rsid w:val="006848CB"/>
    <w:rsid w:val="00684B92"/>
    <w:rsid w:val="00684C11"/>
    <w:rsid w:val="006857ED"/>
    <w:rsid w:val="00685823"/>
    <w:rsid w:val="00685A31"/>
    <w:rsid w:val="00686588"/>
    <w:rsid w:val="00686878"/>
    <w:rsid w:val="00686E75"/>
    <w:rsid w:val="006871DF"/>
    <w:rsid w:val="00687632"/>
    <w:rsid w:val="00687AAC"/>
    <w:rsid w:val="00687AD7"/>
    <w:rsid w:val="00687E6F"/>
    <w:rsid w:val="00687EF5"/>
    <w:rsid w:val="00687FFA"/>
    <w:rsid w:val="00690205"/>
    <w:rsid w:val="006903D2"/>
    <w:rsid w:val="0069093F"/>
    <w:rsid w:val="006909C1"/>
    <w:rsid w:val="00690A6E"/>
    <w:rsid w:val="00690C3D"/>
    <w:rsid w:val="00690DF5"/>
    <w:rsid w:val="00690F39"/>
    <w:rsid w:val="00691076"/>
    <w:rsid w:val="0069123F"/>
    <w:rsid w:val="0069141C"/>
    <w:rsid w:val="0069150A"/>
    <w:rsid w:val="00691959"/>
    <w:rsid w:val="00691B95"/>
    <w:rsid w:val="00691F4C"/>
    <w:rsid w:val="00692111"/>
    <w:rsid w:val="00692362"/>
    <w:rsid w:val="0069240C"/>
    <w:rsid w:val="006925E7"/>
    <w:rsid w:val="0069268A"/>
    <w:rsid w:val="00692798"/>
    <w:rsid w:val="00692A0F"/>
    <w:rsid w:val="00692EFE"/>
    <w:rsid w:val="00693422"/>
    <w:rsid w:val="006934B0"/>
    <w:rsid w:val="00693685"/>
    <w:rsid w:val="00693A8F"/>
    <w:rsid w:val="00693C13"/>
    <w:rsid w:val="00693CA7"/>
    <w:rsid w:val="00693D5F"/>
    <w:rsid w:val="00694319"/>
    <w:rsid w:val="00694919"/>
    <w:rsid w:val="00694C2E"/>
    <w:rsid w:val="0069501E"/>
    <w:rsid w:val="00695156"/>
    <w:rsid w:val="0069528F"/>
    <w:rsid w:val="006956C3"/>
    <w:rsid w:val="00695815"/>
    <w:rsid w:val="006959AD"/>
    <w:rsid w:val="00695A50"/>
    <w:rsid w:val="00695A8A"/>
    <w:rsid w:val="00695CC1"/>
    <w:rsid w:val="0069601E"/>
    <w:rsid w:val="0069676C"/>
    <w:rsid w:val="00696C2E"/>
    <w:rsid w:val="00696C9A"/>
    <w:rsid w:val="00696D11"/>
    <w:rsid w:val="00696D27"/>
    <w:rsid w:val="00696F36"/>
    <w:rsid w:val="00697194"/>
    <w:rsid w:val="006971A7"/>
    <w:rsid w:val="0069744D"/>
    <w:rsid w:val="00697A4C"/>
    <w:rsid w:val="00697D87"/>
    <w:rsid w:val="00697F60"/>
    <w:rsid w:val="006A00EA"/>
    <w:rsid w:val="006A04FF"/>
    <w:rsid w:val="006A0A8D"/>
    <w:rsid w:val="006A0C53"/>
    <w:rsid w:val="006A0EC7"/>
    <w:rsid w:val="006A0F05"/>
    <w:rsid w:val="006A0F14"/>
    <w:rsid w:val="006A17B4"/>
    <w:rsid w:val="006A1884"/>
    <w:rsid w:val="006A18AA"/>
    <w:rsid w:val="006A1CEE"/>
    <w:rsid w:val="006A1E17"/>
    <w:rsid w:val="006A2136"/>
    <w:rsid w:val="006A2184"/>
    <w:rsid w:val="006A2310"/>
    <w:rsid w:val="006A2500"/>
    <w:rsid w:val="006A2786"/>
    <w:rsid w:val="006A2A05"/>
    <w:rsid w:val="006A2B5D"/>
    <w:rsid w:val="006A3217"/>
    <w:rsid w:val="006A348D"/>
    <w:rsid w:val="006A35B8"/>
    <w:rsid w:val="006A3A3F"/>
    <w:rsid w:val="006A3D5B"/>
    <w:rsid w:val="006A3D5E"/>
    <w:rsid w:val="006A4032"/>
    <w:rsid w:val="006A4E12"/>
    <w:rsid w:val="006A4EF6"/>
    <w:rsid w:val="006A4FE8"/>
    <w:rsid w:val="006A5119"/>
    <w:rsid w:val="006A53DA"/>
    <w:rsid w:val="006A58C5"/>
    <w:rsid w:val="006A5B7A"/>
    <w:rsid w:val="006A61D5"/>
    <w:rsid w:val="006A671D"/>
    <w:rsid w:val="006A6976"/>
    <w:rsid w:val="006A6C9E"/>
    <w:rsid w:val="006A6ED3"/>
    <w:rsid w:val="006A6FCE"/>
    <w:rsid w:val="006A7055"/>
    <w:rsid w:val="006A71C6"/>
    <w:rsid w:val="006A7B3F"/>
    <w:rsid w:val="006B0259"/>
    <w:rsid w:val="006B0377"/>
    <w:rsid w:val="006B051B"/>
    <w:rsid w:val="006B085F"/>
    <w:rsid w:val="006B0F72"/>
    <w:rsid w:val="006B1277"/>
    <w:rsid w:val="006B170B"/>
    <w:rsid w:val="006B19B3"/>
    <w:rsid w:val="006B1A72"/>
    <w:rsid w:val="006B1A9D"/>
    <w:rsid w:val="006B1B5C"/>
    <w:rsid w:val="006B1CCE"/>
    <w:rsid w:val="006B1E2C"/>
    <w:rsid w:val="006B20FB"/>
    <w:rsid w:val="006B21D0"/>
    <w:rsid w:val="006B2587"/>
    <w:rsid w:val="006B270D"/>
    <w:rsid w:val="006B2896"/>
    <w:rsid w:val="006B29AE"/>
    <w:rsid w:val="006B2AEB"/>
    <w:rsid w:val="006B2ED2"/>
    <w:rsid w:val="006B2FDD"/>
    <w:rsid w:val="006B31CA"/>
    <w:rsid w:val="006B331B"/>
    <w:rsid w:val="006B34C0"/>
    <w:rsid w:val="006B3981"/>
    <w:rsid w:val="006B3CB4"/>
    <w:rsid w:val="006B3DA3"/>
    <w:rsid w:val="006B40D2"/>
    <w:rsid w:val="006B448B"/>
    <w:rsid w:val="006B46C0"/>
    <w:rsid w:val="006B46C9"/>
    <w:rsid w:val="006B4752"/>
    <w:rsid w:val="006B483A"/>
    <w:rsid w:val="006B488C"/>
    <w:rsid w:val="006B512C"/>
    <w:rsid w:val="006B53C2"/>
    <w:rsid w:val="006B53FC"/>
    <w:rsid w:val="006B540B"/>
    <w:rsid w:val="006B5416"/>
    <w:rsid w:val="006B5486"/>
    <w:rsid w:val="006B5842"/>
    <w:rsid w:val="006B58CD"/>
    <w:rsid w:val="006B6320"/>
    <w:rsid w:val="006B6979"/>
    <w:rsid w:val="006B6A37"/>
    <w:rsid w:val="006B6ADB"/>
    <w:rsid w:val="006B6E33"/>
    <w:rsid w:val="006B6EA3"/>
    <w:rsid w:val="006B6F73"/>
    <w:rsid w:val="006B74AE"/>
    <w:rsid w:val="006B74DA"/>
    <w:rsid w:val="006B758C"/>
    <w:rsid w:val="006B7613"/>
    <w:rsid w:val="006B7741"/>
    <w:rsid w:val="006B7D41"/>
    <w:rsid w:val="006B7DA3"/>
    <w:rsid w:val="006C0846"/>
    <w:rsid w:val="006C0F0A"/>
    <w:rsid w:val="006C1484"/>
    <w:rsid w:val="006C1540"/>
    <w:rsid w:val="006C16D1"/>
    <w:rsid w:val="006C191D"/>
    <w:rsid w:val="006C1AF3"/>
    <w:rsid w:val="006C1D83"/>
    <w:rsid w:val="006C1D91"/>
    <w:rsid w:val="006C1DDB"/>
    <w:rsid w:val="006C1F34"/>
    <w:rsid w:val="006C1F9A"/>
    <w:rsid w:val="006C2D3A"/>
    <w:rsid w:val="006C2E51"/>
    <w:rsid w:val="006C3246"/>
    <w:rsid w:val="006C36EE"/>
    <w:rsid w:val="006C37D2"/>
    <w:rsid w:val="006C38CB"/>
    <w:rsid w:val="006C3FE7"/>
    <w:rsid w:val="006C40B5"/>
    <w:rsid w:val="006C4319"/>
    <w:rsid w:val="006C43E2"/>
    <w:rsid w:val="006C4513"/>
    <w:rsid w:val="006C4588"/>
    <w:rsid w:val="006C47B6"/>
    <w:rsid w:val="006C47DE"/>
    <w:rsid w:val="006C4B76"/>
    <w:rsid w:val="006C4CF5"/>
    <w:rsid w:val="006C5014"/>
    <w:rsid w:val="006C51C9"/>
    <w:rsid w:val="006C51FB"/>
    <w:rsid w:val="006C54FB"/>
    <w:rsid w:val="006C58D1"/>
    <w:rsid w:val="006C598A"/>
    <w:rsid w:val="006C59B3"/>
    <w:rsid w:val="006C5C48"/>
    <w:rsid w:val="006C6686"/>
    <w:rsid w:val="006C6936"/>
    <w:rsid w:val="006C6EE0"/>
    <w:rsid w:val="006C7983"/>
    <w:rsid w:val="006D0205"/>
    <w:rsid w:val="006D03B1"/>
    <w:rsid w:val="006D048A"/>
    <w:rsid w:val="006D0684"/>
    <w:rsid w:val="006D06BF"/>
    <w:rsid w:val="006D0821"/>
    <w:rsid w:val="006D08FF"/>
    <w:rsid w:val="006D099A"/>
    <w:rsid w:val="006D0D45"/>
    <w:rsid w:val="006D0DF7"/>
    <w:rsid w:val="006D0F53"/>
    <w:rsid w:val="006D0F70"/>
    <w:rsid w:val="006D1BCB"/>
    <w:rsid w:val="006D1D90"/>
    <w:rsid w:val="006D1E27"/>
    <w:rsid w:val="006D1E30"/>
    <w:rsid w:val="006D1F84"/>
    <w:rsid w:val="006D23A1"/>
    <w:rsid w:val="006D27F6"/>
    <w:rsid w:val="006D28FE"/>
    <w:rsid w:val="006D2C58"/>
    <w:rsid w:val="006D336C"/>
    <w:rsid w:val="006D3672"/>
    <w:rsid w:val="006D36EA"/>
    <w:rsid w:val="006D3815"/>
    <w:rsid w:val="006D3CE2"/>
    <w:rsid w:val="006D3D14"/>
    <w:rsid w:val="006D419E"/>
    <w:rsid w:val="006D430C"/>
    <w:rsid w:val="006D4BE6"/>
    <w:rsid w:val="006D5014"/>
    <w:rsid w:val="006D501F"/>
    <w:rsid w:val="006D5325"/>
    <w:rsid w:val="006D5607"/>
    <w:rsid w:val="006D5631"/>
    <w:rsid w:val="006D6199"/>
    <w:rsid w:val="006D635D"/>
    <w:rsid w:val="006D63AF"/>
    <w:rsid w:val="006D674F"/>
    <w:rsid w:val="006D699E"/>
    <w:rsid w:val="006D6CC1"/>
    <w:rsid w:val="006D7019"/>
    <w:rsid w:val="006D7193"/>
    <w:rsid w:val="006D72A6"/>
    <w:rsid w:val="006D73D3"/>
    <w:rsid w:val="006D77D3"/>
    <w:rsid w:val="006E01E5"/>
    <w:rsid w:val="006E08FD"/>
    <w:rsid w:val="006E0F85"/>
    <w:rsid w:val="006E1026"/>
    <w:rsid w:val="006E1117"/>
    <w:rsid w:val="006E1479"/>
    <w:rsid w:val="006E17F9"/>
    <w:rsid w:val="006E1B33"/>
    <w:rsid w:val="006E1B39"/>
    <w:rsid w:val="006E1E4A"/>
    <w:rsid w:val="006E1F6F"/>
    <w:rsid w:val="006E1FE4"/>
    <w:rsid w:val="006E24A5"/>
    <w:rsid w:val="006E266B"/>
    <w:rsid w:val="006E278E"/>
    <w:rsid w:val="006E3D94"/>
    <w:rsid w:val="006E3E6A"/>
    <w:rsid w:val="006E4048"/>
    <w:rsid w:val="006E418A"/>
    <w:rsid w:val="006E433F"/>
    <w:rsid w:val="006E4896"/>
    <w:rsid w:val="006E4EC6"/>
    <w:rsid w:val="006E4EE0"/>
    <w:rsid w:val="006E5193"/>
    <w:rsid w:val="006E5541"/>
    <w:rsid w:val="006E5A6F"/>
    <w:rsid w:val="006E5AB3"/>
    <w:rsid w:val="006E5D27"/>
    <w:rsid w:val="006E5F94"/>
    <w:rsid w:val="006E611B"/>
    <w:rsid w:val="006E6149"/>
    <w:rsid w:val="006E6823"/>
    <w:rsid w:val="006E69F0"/>
    <w:rsid w:val="006E6DDF"/>
    <w:rsid w:val="006E6E9E"/>
    <w:rsid w:val="006E7168"/>
    <w:rsid w:val="006E7C2E"/>
    <w:rsid w:val="006E7F1D"/>
    <w:rsid w:val="006E7F2C"/>
    <w:rsid w:val="006E7F56"/>
    <w:rsid w:val="006F0416"/>
    <w:rsid w:val="006F05DE"/>
    <w:rsid w:val="006F080C"/>
    <w:rsid w:val="006F09BF"/>
    <w:rsid w:val="006F09FE"/>
    <w:rsid w:val="006F1A17"/>
    <w:rsid w:val="006F1CFB"/>
    <w:rsid w:val="006F1D92"/>
    <w:rsid w:val="006F21D6"/>
    <w:rsid w:val="006F22C0"/>
    <w:rsid w:val="006F2367"/>
    <w:rsid w:val="006F286D"/>
    <w:rsid w:val="006F358A"/>
    <w:rsid w:val="006F3931"/>
    <w:rsid w:val="006F3C24"/>
    <w:rsid w:val="006F3C76"/>
    <w:rsid w:val="006F3E1B"/>
    <w:rsid w:val="006F3F7E"/>
    <w:rsid w:val="006F43C7"/>
    <w:rsid w:val="006F447D"/>
    <w:rsid w:val="006F459C"/>
    <w:rsid w:val="006F48F0"/>
    <w:rsid w:val="006F4A5F"/>
    <w:rsid w:val="006F4E69"/>
    <w:rsid w:val="006F51B3"/>
    <w:rsid w:val="006F51E4"/>
    <w:rsid w:val="006F5951"/>
    <w:rsid w:val="006F5B4C"/>
    <w:rsid w:val="006F5EB5"/>
    <w:rsid w:val="006F5ED6"/>
    <w:rsid w:val="006F60AC"/>
    <w:rsid w:val="006F67DA"/>
    <w:rsid w:val="006F6B98"/>
    <w:rsid w:val="006F6DED"/>
    <w:rsid w:val="006F71A6"/>
    <w:rsid w:val="006F747C"/>
    <w:rsid w:val="006F7498"/>
    <w:rsid w:val="006F7667"/>
    <w:rsid w:val="006F7BEC"/>
    <w:rsid w:val="007002EE"/>
    <w:rsid w:val="007007F9"/>
    <w:rsid w:val="007011FB"/>
    <w:rsid w:val="00701382"/>
    <w:rsid w:val="0070171A"/>
    <w:rsid w:val="007019A9"/>
    <w:rsid w:val="00701C79"/>
    <w:rsid w:val="00701D6E"/>
    <w:rsid w:val="00701DD0"/>
    <w:rsid w:val="00701FAB"/>
    <w:rsid w:val="00701FD6"/>
    <w:rsid w:val="007022F6"/>
    <w:rsid w:val="007029F7"/>
    <w:rsid w:val="00702D32"/>
    <w:rsid w:val="00702E1A"/>
    <w:rsid w:val="00702F3B"/>
    <w:rsid w:val="00702F8B"/>
    <w:rsid w:val="00703C8E"/>
    <w:rsid w:val="0070400B"/>
    <w:rsid w:val="00704250"/>
    <w:rsid w:val="00704262"/>
    <w:rsid w:val="0070442F"/>
    <w:rsid w:val="00704686"/>
    <w:rsid w:val="007047DB"/>
    <w:rsid w:val="00704A58"/>
    <w:rsid w:val="00704B0D"/>
    <w:rsid w:val="00704DB0"/>
    <w:rsid w:val="00704DD4"/>
    <w:rsid w:val="00704F50"/>
    <w:rsid w:val="00705060"/>
    <w:rsid w:val="0070552A"/>
    <w:rsid w:val="00705576"/>
    <w:rsid w:val="00705A0B"/>
    <w:rsid w:val="00705A94"/>
    <w:rsid w:val="00705B34"/>
    <w:rsid w:val="00705E6D"/>
    <w:rsid w:val="00705F14"/>
    <w:rsid w:val="00706074"/>
    <w:rsid w:val="007062CD"/>
    <w:rsid w:val="00706A3C"/>
    <w:rsid w:val="00706CAA"/>
    <w:rsid w:val="00706F34"/>
    <w:rsid w:val="007071D1"/>
    <w:rsid w:val="00707584"/>
    <w:rsid w:val="00707608"/>
    <w:rsid w:val="007076B0"/>
    <w:rsid w:val="007079BC"/>
    <w:rsid w:val="00707B50"/>
    <w:rsid w:val="00710627"/>
    <w:rsid w:val="00710739"/>
    <w:rsid w:val="00710ADB"/>
    <w:rsid w:val="00710BED"/>
    <w:rsid w:val="00710BF0"/>
    <w:rsid w:val="00710E3B"/>
    <w:rsid w:val="00710E9A"/>
    <w:rsid w:val="00711183"/>
    <w:rsid w:val="007112EB"/>
    <w:rsid w:val="007112F4"/>
    <w:rsid w:val="0071175D"/>
    <w:rsid w:val="00711796"/>
    <w:rsid w:val="007117B6"/>
    <w:rsid w:val="00711A98"/>
    <w:rsid w:val="00711AAC"/>
    <w:rsid w:val="00711FCD"/>
    <w:rsid w:val="00711FD3"/>
    <w:rsid w:val="007120BD"/>
    <w:rsid w:val="00712198"/>
    <w:rsid w:val="00712547"/>
    <w:rsid w:val="007129AC"/>
    <w:rsid w:val="00712B26"/>
    <w:rsid w:val="0071314D"/>
    <w:rsid w:val="007131BB"/>
    <w:rsid w:val="0071338F"/>
    <w:rsid w:val="0071370B"/>
    <w:rsid w:val="00713940"/>
    <w:rsid w:val="007139F1"/>
    <w:rsid w:val="00713B0C"/>
    <w:rsid w:val="0071474E"/>
    <w:rsid w:val="00714958"/>
    <w:rsid w:val="00714F4C"/>
    <w:rsid w:val="007152B5"/>
    <w:rsid w:val="00715682"/>
    <w:rsid w:val="00715800"/>
    <w:rsid w:val="00716079"/>
    <w:rsid w:val="007168A9"/>
    <w:rsid w:val="0071692C"/>
    <w:rsid w:val="00716AD2"/>
    <w:rsid w:val="00716C34"/>
    <w:rsid w:val="00716EA2"/>
    <w:rsid w:val="00716EF1"/>
    <w:rsid w:val="00717486"/>
    <w:rsid w:val="0071758D"/>
    <w:rsid w:val="00717B1B"/>
    <w:rsid w:val="007202F1"/>
    <w:rsid w:val="007205F7"/>
    <w:rsid w:val="00720A8A"/>
    <w:rsid w:val="00721AF8"/>
    <w:rsid w:val="0072251A"/>
    <w:rsid w:val="007225EB"/>
    <w:rsid w:val="00722785"/>
    <w:rsid w:val="00722B52"/>
    <w:rsid w:val="00722CA1"/>
    <w:rsid w:val="00722E1A"/>
    <w:rsid w:val="00722F9F"/>
    <w:rsid w:val="00723308"/>
    <w:rsid w:val="0072380A"/>
    <w:rsid w:val="00723B07"/>
    <w:rsid w:val="00723EAD"/>
    <w:rsid w:val="007240D2"/>
    <w:rsid w:val="0072422F"/>
    <w:rsid w:val="007242FB"/>
    <w:rsid w:val="00724411"/>
    <w:rsid w:val="0072444B"/>
    <w:rsid w:val="00724615"/>
    <w:rsid w:val="00724B7D"/>
    <w:rsid w:val="00724BA4"/>
    <w:rsid w:val="00724C03"/>
    <w:rsid w:val="00724DE6"/>
    <w:rsid w:val="00724E43"/>
    <w:rsid w:val="0072532E"/>
    <w:rsid w:val="00725501"/>
    <w:rsid w:val="00725F0F"/>
    <w:rsid w:val="0072620F"/>
    <w:rsid w:val="007266E8"/>
    <w:rsid w:val="00726727"/>
    <w:rsid w:val="00726DC2"/>
    <w:rsid w:val="00726EB4"/>
    <w:rsid w:val="007278D6"/>
    <w:rsid w:val="00727E6D"/>
    <w:rsid w:val="007300EF"/>
    <w:rsid w:val="00730297"/>
    <w:rsid w:val="00730A9D"/>
    <w:rsid w:val="00730ACB"/>
    <w:rsid w:val="00730C60"/>
    <w:rsid w:val="007311CC"/>
    <w:rsid w:val="00731348"/>
    <w:rsid w:val="0073157E"/>
    <w:rsid w:val="007317C1"/>
    <w:rsid w:val="00731EFC"/>
    <w:rsid w:val="00732218"/>
    <w:rsid w:val="007326AB"/>
    <w:rsid w:val="0073296C"/>
    <w:rsid w:val="00732DC6"/>
    <w:rsid w:val="00732F10"/>
    <w:rsid w:val="00732FD5"/>
    <w:rsid w:val="00733452"/>
    <w:rsid w:val="0073366E"/>
    <w:rsid w:val="007337AD"/>
    <w:rsid w:val="00733B43"/>
    <w:rsid w:val="00733FB4"/>
    <w:rsid w:val="00733FCF"/>
    <w:rsid w:val="0073495E"/>
    <w:rsid w:val="007349CB"/>
    <w:rsid w:val="00734BD6"/>
    <w:rsid w:val="00734C08"/>
    <w:rsid w:val="00734CED"/>
    <w:rsid w:val="0073541F"/>
    <w:rsid w:val="00735501"/>
    <w:rsid w:val="00735A1E"/>
    <w:rsid w:val="00735CB0"/>
    <w:rsid w:val="00735F52"/>
    <w:rsid w:val="00736583"/>
    <w:rsid w:val="00736D88"/>
    <w:rsid w:val="00736E83"/>
    <w:rsid w:val="007370E1"/>
    <w:rsid w:val="00737367"/>
    <w:rsid w:val="0073755B"/>
    <w:rsid w:val="007377AB"/>
    <w:rsid w:val="00737832"/>
    <w:rsid w:val="007378CD"/>
    <w:rsid w:val="00737AE4"/>
    <w:rsid w:val="00737D36"/>
    <w:rsid w:val="00737E49"/>
    <w:rsid w:val="00737E95"/>
    <w:rsid w:val="00737E9D"/>
    <w:rsid w:val="007402BC"/>
    <w:rsid w:val="00740885"/>
    <w:rsid w:val="00740B16"/>
    <w:rsid w:val="00740CA2"/>
    <w:rsid w:val="00741145"/>
    <w:rsid w:val="0074146C"/>
    <w:rsid w:val="00741569"/>
    <w:rsid w:val="0074175D"/>
    <w:rsid w:val="00741931"/>
    <w:rsid w:val="007420DF"/>
    <w:rsid w:val="007423D3"/>
    <w:rsid w:val="007424E0"/>
    <w:rsid w:val="00742845"/>
    <w:rsid w:val="007429EC"/>
    <w:rsid w:val="00742E35"/>
    <w:rsid w:val="0074327A"/>
    <w:rsid w:val="00743309"/>
    <w:rsid w:val="0074372B"/>
    <w:rsid w:val="00743BFC"/>
    <w:rsid w:val="00743D17"/>
    <w:rsid w:val="00743EBF"/>
    <w:rsid w:val="00743EFD"/>
    <w:rsid w:val="007444BD"/>
    <w:rsid w:val="0074489B"/>
    <w:rsid w:val="0074491B"/>
    <w:rsid w:val="007458A2"/>
    <w:rsid w:val="00745A69"/>
    <w:rsid w:val="00745B76"/>
    <w:rsid w:val="00745C8F"/>
    <w:rsid w:val="00745C9E"/>
    <w:rsid w:val="00746C0A"/>
    <w:rsid w:val="00746C50"/>
    <w:rsid w:val="00746C52"/>
    <w:rsid w:val="00746CFC"/>
    <w:rsid w:val="00746EC2"/>
    <w:rsid w:val="00746F5B"/>
    <w:rsid w:val="007470BF"/>
    <w:rsid w:val="00747813"/>
    <w:rsid w:val="0074781B"/>
    <w:rsid w:val="00747921"/>
    <w:rsid w:val="00747BC6"/>
    <w:rsid w:val="00747C6F"/>
    <w:rsid w:val="00747C70"/>
    <w:rsid w:val="00747D43"/>
    <w:rsid w:val="00747E92"/>
    <w:rsid w:val="00750308"/>
    <w:rsid w:val="00750997"/>
    <w:rsid w:val="00750A89"/>
    <w:rsid w:val="00750AB7"/>
    <w:rsid w:val="00750CE5"/>
    <w:rsid w:val="007513CB"/>
    <w:rsid w:val="007513E9"/>
    <w:rsid w:val="007515E2"/>
    <w:rsid w:val="00751E76"/>
    <w:rsid w:val="00751F18"/>
    <w:rsid w:val="0075200A"/>
    <w:rsid w:val="007521BF"/>
    <w:rsid w:val="00752C70"/>
    <w:rsid w:val="00752C8E"/>
    <w:rsid w:val="007535B5"/>
    <w:rsid w:val="0075371E"/>
    <w:rsid w:val="00753881"/>
    <w:rsid w:val="00753B44"/>
    <w:rsid w:val="00753D0F"/>
    <w:rsid w:val="00753DC6"/>
    <w:rsid w:val="007540A5"/>
    <w:rsid w:val="00754476"/>
    <w:rsid w:val="00754702"/>
    <w:rsid w:val="0075477D"/>
    <w:rsid w:val="00754939"/>
    <w:rsid w:val="0075495E"/>
    <w:rsid w:val="00754B4D"/>
    <w:rsid w:val="00754E80"/>
    <w:rsid w:val="00754E84"/>
    <w:rsid w:val="007554E7"/>
    <w:rsid w:val="007559D2"/>
    <w:rsid w:val="00755CE8"/>
    <w:rsid w:val="007561FD"/>
    <w:rsid w:val="00756AB1"/>
    <w:rsid w:val="00756F6C"/>
    <w:rsid w:val="0075733D"/>
    <w:rsid w:val="00757782"/>
    <w:rsid w:val="00757CD0"/>
    <w:rsid w:val="007600CD"/>
    <w:rsid w:val="00760152"/>
    <w:rsid w:val="007601DC"/>
    <w:rsid w:val="0076041C"/>
    <w:rsid w:val="007607F2"/>
    <w:rsid w:val="00760853"/>
    <w:rsid w:val="00760A3E"/>
    <w:rsid w:val="00760C6A"/>
    <w:rsid w:val="00760D27"/>
    <w:rsid w:val="0076102C"/>
    <w:rsid w:val="0076145A"/>
    <w:rsid w:val="00761708"/>
    <w:rsid w:val="00761A0E"/>
    <w:rsid w:val="00761EF6"/>
    <w:rsid w:val="00761F70"/>
    <w:rsid w:val="0076246F"/>
    <w:rsid w:val="007624E4"/>
    <w:rsid w:val="00762BA4"/>
    <w:rsid w:val="00762EF7"/>
    <w:rsid w:val="0076320B"/>
    <w:rsid w:val="007636D6"/>
    <w:rsid w:val="007638DB"/>
    <w:rsid w:val="00763A32"/>
    <w:rsid w:val="00763B63"/>
    <w:rsid w:val="00764013"/>
    <w:rsid w:val="00764654"/>
    <w:rsid w:val="00764767"/>
    <w:rsid w:val="00764CFC"/>
    <w:rsid w:val="00764D5B"/>
    <w:rsid w:val="00765154"/>
    <w:rsid w:val="00765284"/>
    <w:rsid w:val="007652CF"/>
    <w:rsid w:val="007657DB"/>
    <w:rsid w:val="0076587B"/>
    <w:rsid w:val="0076589B"/>
    <w:rsid w:val="00765D63"/>
    <w:rsid w:val="00766646"/>
    <w:rsid w:val="00766901"/>
    <w:rsid w:val="007669CE"/>
    <w:rsid w:val="00766A09"/>
    <w:rsid w:val="00766D59"/>
    <w:rsid w:val="0076721D"/>
    <w:rsid w:val="007703DF"/>
    <w:rsid w:val="00770668"/>
    <w:rsid w:val="0077074F"/>
    <w:rsid w:val="00770811"/>
    <w:rsid w:val="00770920"/>
    <w:rsid w:val="00770A62"/>
    <w:rsid w:val="00770E54"/>
    <w:rsid w:val="00771216"/>
    <w:rsid w:val="00771365"/>
    <w:rsid w:val="00771DA8"/>
    <w:rsid w:val="007724CC"/>
    <w:rsid w:val="00772D69"/>
    <w:rsid w:val="00772DD7"/>
    <w:rsid w:val="00773177"/>
    <w:rsid w:val="007734AA"/>
    <w:rsid w:val="00773610"/>
    <w:rsid w:val="007736A0"/>
    <w:rsid w:val="00773892"/>
    <w:rsid w:val="007738C8"/>
    <w:rsid w:val="00774538"/>
    <w:rsid w:val="0077499B"/>
    <w:rsid w:val="00774E30"/>
    <w:rsid w:val="00774F4C"/>
    <w:rsid w:val="0077508A"/>
    <w:rsid w:val="00775427"/>
    <w:rsid w:val="007755D9"/>
    <w:rsid w:val="007755E5"/>
    <w:rsid w:val="00775A2A"/>
    <w:rsid w:val="0077606C"/>
    <w:rsid w:val="007764F5"/>
    <w:rsid w:val="007766F8"/>
    <w:rsid w:val="00776836"/>
    <w:rsid w:val="00776CC9"/>
    <w:rsid w:val="00776DBF"/>
    <w:rsid w:val="007772E6"/>
    <w:rsid w:val="007773C1"/>
    <w:rsid w:val="007774CF"/>
    <w:rsid w:val="00777594"/>
    <w:rsid w:val="007775CF"/>
    <w:rsid w:val="00777D4A"/>
    <w:rsid w:val="007800BE"/>
    <w:rsid w:val="007800D3"/>
    <w:rsid w:val="00780166"/>
    <w:rsid w:val="0078055F"/>
    <w:rsid w:val="007805D3"/>
    <w:rsid w:val="00780E88"/>
    <w:rsid w:val="00780EDD"/>
    <w:rsid w:val="00780F78"/>
    <w:rsid w:val="007813E1"/>
    <w:rsid w:val="00781434"/>
    <w:rsid w:val="0078157A"/>
    <w:rsid w:val="0078192A"/>
    <w:rsid w:val="007819E9"/>
    <w:rsid w:val="00781A3E"/>
    <w:rsid w:val="00782203"/>
    <w:rsid w:val="00782363"/>
    <w:rsid w:val="00782643"/>
    <w:rsid w:val="00782822"/>
    <w:rsid w:val="00782D10"/>
    <w:rsid w:val="00782D1C"/>
    <w:rsid w:val="00782DC9"/>
    <w:rsid w:val="007833FC"/>
    <w:rsid w:val="0078355D"/>
    <w:rsid w:val="00783596"/>
    <w:rsid w:val="00783AC2"/>
    <w:rsid w:val="00783EA9"/>
    <w:rsid w:val="00784026"/>
    <w:rsid w:val="007857A6"/>
    <w:rsid w:val="007859CD"/>
    <w:rsid w:val="00785B01"/>
    <w:rsid w:val="00785C7E"/>
    <w:rsid w:val="00785D4E"/>
    <w:rsid w:val="00785E0E"/>
    <w:rsid w:val="0078617A"/>
    <w:rsid w:val="007863F3"/>
    <w:rsid w:val="0078641A"/>
    <w:rsid w:val="0078656F"/>
    <w:rsid w:val="007865D3"/>
    <w:rsid w:val="007869D0"/>
    <w:rsid w:val="00787062"/>
    <w:rsid w:val="00787645"/>
    <w:rsid w:val="00787904"/>
    <w:rsid w:val="00787E81"/>
    <w:rsid w:val="007899F6"/>
    <w:rsid w:val="00790209"/>
    <w:rsid w:val="00790248"/>
    <w:rsid w:val="00790252"/>
    <w:rsid w:val="00790316"/>
    <w:rsid w:val="00790703"/>
    <w:rsid w:val="00790740"/>
    <w:rsid w:val="0079094B"/>
    <w:rsid w:val="00790BA8"/>
    <w:rsid w:val="007914D1"/>
    <w:rsid w:val="007916C7"/>
    <w:rsid w:val="007918C5"/>
    <w:rsid w:val="007919A6"/>
    <w:rsid w:val="00791A16"/>
    <w:rsid w:val="00791B9A"/>
    <w:rsid w:val="00791EE1"/>
    <w:rsid w:val="00792678"/>
    <w:rsid w:val="007926A3"/>
    <w:rsid w:val="007928C4"/>
    <w:rsid w:val="0079290C"/>
    <w:rsid w:val="00792B82"/>
    <w:rsid w:val="00793158"/>
    <w:rsid w:val="00793226"/>
    <w:rsid w:val="0079336F"/>
    <w:rsid w:val="007936B2"/>
    <w:rsid w:val="00793CFA"/>
    <w:rsid w:val="00793FA2"/>
    <w:rsid w:val="0079412E"/>
    <w:rsid w:val="0079484B"/>
    <w:rsid w:val="0079489F"/>
    <w:rsid w:val="00794C47"/>
    <w:rsid w:val="00795177"/>
    <w:rsid w:val="007959FA"/>
    <w:rsid w:val="00795BB0"/>
    <w:rsid w:val="007961D6"/>
    <w:rsid w:val="007962E9"/>
    <w:rsid w:val="007964ED"/>
    <w:rsid w:val="007967CD"/>
    <w:rsid w:val="007967ED"/>
    <w:rsid w:val="00796D95"/>
    <w:rsid w:val="00796F86"/>
    <w:rsid w:val="00797236"/>
    <w:rsid w:val="00797619"/>
    <w:rsid w:val="00797F64"/>
    <w:rsid w:val="00797FC5"/>
    <w:rsid w:val="007A01B2"/>
    <w:rsid w:val="007A0510"/>
    <w:rsid w:val="007A0969"/>
    <w:rsid w:val="007A0B22"/>
    <w:rsid w:val="007A13A8"/>
    <w:rsid w:val="007A2354"/>
    <w:rsid w:val="007A26A7"/>
    <w:rsid w:val="007A288E"/>
    <w:rsid w:val="007A2DCC"/>
    <w:rsid w:val="007A3070"/>
    <w:rsid w:val="007A3083"/>
    <w:rsid w:val="007A33EF"/>
    <w:rsid w:val="007A34C7"/>
    <w:rsid w:val="007A4064"/>
    <w:rsid w:val="007A4518"/>
    <w:rsid w:val="007A4549"/>
    <w:rsid w:val="007A458D"/>
    <w:rsid w:val="007A45F7"/>
    <w:rsid w:val="007A4604"/>
    <w:rsid w:val="007A464E"/>
    <w:rsid w:val="007A46AD"/>
    <w:rsid w:val="007A484D"/>
    <w:rsid w:val="007A4A5D"/>
    <w:rsid w:val="007A4D91"/>
    <w:rsid w:val="007A4F23"/>
    <w:rsid w:val="007A5803"/>
    <w:rsid w:val="007A598E"/>
    <w:rsid w:val="007A59AC"/>
    <w:rsid w:val="007A5C57"/>
    <w:rsid w:val="007A5DA3"/>
    <w:rsid w:val="007A5ED7"/>
    <w:rsid w:val="007A5EED"/>
    <w:rsid w:val="007A6038"/>
    <w:rsid w:val="007A6249"/>
    <w:rsid w:val="007A6342"/>
    <w:rsid w:val="007A64EE"/>
    <w:rsid w:val="007A688F"/>
    <w:rsid w:val="007A6C25"/>
    <w:rsid w:val="007A6EAA"/>
    <w:rsid w:val="007A6EED"/>
    <w:rsid w:val="007A7433"/>
    <w:rsid w:val="007A75D1"/>
    <w:rsid w:val="007A7898"/>
    <w:rsid w:val="007A790C"/>
    <w:rsid w:val="007A7A15"/>
    <w:rsid w:val="007A7C36"/>
    <w:rsid w:val="007A7D44"/>
    <w:rsid w:val="007A7F10"/>
    <w:rsid w:val="007B0462"/>
    <w:rsid w:val="007B0A29"/>
    <w:rsid w:val="007B0C95"/>
    <w:rsid w:val="007B0DE2"/>
    <w:rsid w:val="007B0ECC"/>
    <w:rsid w:val="007B1134"/>
    <w:rsid w:val="007B13D3"/>
    <w:rsid w:val="007B142E"/>
    <w:rsid w:val="007B1BA0"/>
    <w:rsid w:val="007B1FD9"/>
    <w:rsid w:val="007B2305"/>
    <w:rsid w:val="007B2522"/>
    <w:rsid w:val="007B275F"/>
    <w:rsid w:val="007B27D2"/>
    <w:rsid w:val="007B29D1"/>
    <w:rsid w:val="007B2B91"/>
    <w:rsid w:val="007B2BC4"/>
    <w:rsid w:val="007B2D13"/>
    <w:rsid w:val="007B3252"/>
    <w:rsid w:val="007B34CE"/>
    <w:rsid w:val="007B378E"/>
    <w:rsid w:val="007B39D7"/>
    <w:rsid w:val="007B3B4F"/>
    <w:rsid w:val="007B4204"/>
    <w:rsid w:val="007B4251"/>
    <w:rsid w:val="007B43A7"/>
    <w:rsid w:val="007B446C"/>
    <w:rsid w:val="007B46A9"/>
    <w:rsid w:val="007B47A2"/>
    <w:rsid w:val="007B48F3"/>
    <w:rsid w:val="007B4A6F"/>
    <w:rsid w:val="007B4DE1"/>
    <w:rsid w:val="007B4E01"/>
    <w:rsid w:val="007B51CB"/>
    <w:rsid w:val="007B5504"/>
    <w:rsid w:val="007B5CB4"/>
    <w:rsid w:val="007B5D31"/>
    <w:rsid w:val="007B5F50"/>
    <w:rsid w:val="007B6106"/>
    <w:rsid w:val="007B697E"/>
    <w:rsid w:val="007B6A6F"/>
    <w:rsid w:val="007B6CFA"/>
    <w:rsid w:val="007B7167"/>
    <w:rsid w:val="007B7185"/>
    <w:rsid w:val="007B7285"/>
    <w:rsid w:val="007B7777"/>
    <w:rsid w:val="007B79B5"/>
    <w:rsid w:val="007C0068"/>
    <w:rsid w:val="007C00C9"/>
    <w:rsid w:val="007C0570"/>
    <w:rsid w:val="007C0653"/>
    <w:rsid w:val="007C090F"/>
    <w:rsid w:val="007C0962"/>
    <w:rsid w:val="007C0B4F"/>
    <w:rsid w:val="007C0FFD"/>
    <w:rsid w:val="007C1027"/>
    <w:rsid w:val="007C1406"/>
    <w:rsid w:val="007C1B24"/>
    <w:rsid w:val="007C1B99"/>
    <w:rsid w:val="007C1BC5"/>
    <w:rsid w:val="007C1C63"/>
    <w:rsid w:val="007C1E0B"/>
    <w:rsid w:val="007C265B"/>
    <w:rsid w:val="007C2666"/>
    <w:rsid w:val="007C2C07"/>
    <w:rsid w:val="007C2D5D"/>
    <w:rsid w:val="007C32BA"/>
    <w:rsid w:val="007C332D"/>
    <w:rsid w:val="007C3382"/>
    <w:rsid w:val="007C33BA"/>
    <w:rsid w:val="007C36B3"/>
    <w:rsid w:val="007C3714"/>
    <w:rsid w:val="007C375E"/>
    <w:rsid w:val="007C3ABB"/>
    <w:rsid w:val="007C424A"/>
    <w:rsid w:val="007C4418"/>
    <w:rsid w:val="007C4A29"/>
    <w:rsid w:val="007C4FEB"/>
    <w:rsid w:val="007C4FFF"/>
    <w:rsid w:val="007C506A"/>
    <w:rsid w:val="007C512E"/>
    <w:rsid w:val="007C5709"/>
    <w:rsid w:val="007C5908"/>
    <w:rsid w:val="007C5AC8"/>
    <w:rsid w:val="007C5E94"/>
    <w:rsid w:val="007C5F26"/>
    <w:rsid w:val="007C6292"/>
    <w:rsid w:val="007C663C"/>
    <w:rsid w:val="007C697E"/>
    <w:rsid w:val="007C6ABB"/>
    <w:rsid w:val="007C6DB7"/>
    <w:rsid w:val="007C6F0D"/>
    <w:rsid w:val="007C7877"/>
    <w:rsid w:val="007C7937"/>
    <w:rsid w:val="007C79E7"/>
    <w:rsid w:val="007C7E24"/>
    <w:rsid w:val="007D00B4"/>
    <w:rsid w:val="007D072B"/>
    <w:rsid w:val="007D08E7"/>
    <w:rsid w:val="007D0D0B"/>
    <w:rsid w:val="007D0D12"/>
    <w:rsid w:val="007D120F"/>
    <w:rsid w:val="007D175A"/>
    <w:rsid w:val="007D1767"/>
    <w:rsid w:val="007D18DF"/>
    <w:rsid w:val="007D1D20"/>
    <w:rsid w:val="007D2575"/>
    <w:rsid w:val="007D265E"/>
    <w:rsid w:val="007D26CA"/>
    <w:rsid w:val="007D27CE"/>
    <w:rsid w:val="007D2834"/>
    <w:rsid w:val="007D29A1"/>
    <w:rsid w:val="007D2A9C"/>
    <w:rsid w:val="007D2AFD"/>
    <w:rsid w:val="007D2CE4"/>
    <w:rsid w:val="007D2CEE"/>
    <w:rsid w:val="007D2DA5"/>
    <w:rsid w:val="007D2E57"/>
    <w:rsid w:val="007D2FF7"/>
    <w:rsid w:val="007D330A"/>
    <w:rsid w:val="007D3570"/>
    <w:rsid w:val="007D36E5"/>
    <w:rsid w:val="007D3894"/>
    <w:rsid w:val="007D3898"/>
    <w:rsid w:val="007D3A3B"/>
    <w:rsid w:val="007D3AEE"/>
    <w:rsid w:val="007D3B6F"/>
    <w:rsid w:val="007D3D3C"/>
    <w:rsid w:val="007D3FBE"/>
    <w:rsid w:val="007D4072"/>
    <w:rsid w:val="007D4164"/>
    <w:rsid w:val="007D4198"/>
    <w:rsid w:val="007D420B"/>
    <w:rsid w:val="007D42C2"/>
    <w:rsid w:val="007D4314"/>
    <w:rsid w:val="007D442F"/>
    <w:rsid w:val="007D455B"/>
    <w:rsid w:val="007D4A17"/>
    <w:rsid w:val="007D4BDD"/>
    <w:rsid w:val="007D4BFA"/>
    <w:rsid w:val="007D4CC5"/>
    <w:rsid w:val="007D4F3E"/>
    <w:rsid w:val="007D505D"/>
    <w:rsid w:val="007D550A"/>
    <w:rsid w:val="007D5690"/>
    <w:rsid w:val="007D57A3"/>
    <w:rsid w:val="007D5A8C"/>
    <w:rsid w:val="007D5C68"/>
    <w:rsid w:val="007D5C97"/>
    <w:rsid w:val="007D5F32"/>
    <w:rsid w:val="007D6098"/>
    <w:rsid w:val="007D62F7"/>
    <w:rsid w:val="007D6300"/>
    <w:rsid w:val="007D6407"/>
    <w:rsid w:val="007D6947"/>
    <w:rsid w:val="007D6F30"/>
    <w:rsid w:val="007D6FAE"/>
    <w:rsid w:val="007D7119"/>
    <w:rsid w:val="007D73FA"/>
    <w:rsid w:val="007D77A3"/>
    <w:rsid w:val="007D7AFA"/>
    <w:rsid w:val="007D7C43"/>
    <w:rsid w:val="007D7E86"/>
    <w:rsid w:val="007E0019"/>
    <w:rsid w:val="007E00A6"/>
    <w:rsid w:val="007E0243"/>
    <w:rsid w:val="007E04DB"/>
    <w:rsid w:val="007E0AC1"/>
    <w:rsid w:val="007E0D75"/>
    <w:rsid w:val="007E0E66"/>
    <w:rsid w:val="007E0FBD"/>
    <w:rsid w:val="007E10A5"/>
    <w:rsid w:val="007E14B6"/>
    <w:rsid w:val="007E1628"/>
    <w:rsid w:val="007E1AD4"/>
    <w:rsid w:val="007E1C11"/>
    <w:rsid w:val="007E1F09"/>
    <w:rsid w:val="007E2226"/>
    <w:rsid w:val="007E22DE"/>
    <w:rsid w:val="007E22E3"/>
    <w:rsid w:val="007E230F"/>
    <w:rsid w:val="007E23C4"/>
    <w:rsid w:val="007E2A37"/>
    <w:rsid w:val="007E2C19"/>
    <w:rsid w:val="007E2DF4"/>
    <w:rsid w:val="007E2EBE"/>
    <w:rsid w:val="007E3381"/>
    <w:rsid w:val="007E3727"/>
    <w:rsid w:val="007E38D5"/>
    <w:rsid w:val="007E39C6"/>
    <w:rsid w:val="007E435C"/>
    <w:rsid w:val="007E43C9"/>
    <w:rsid w:val="007E46BE"/>
    <w:rsid w:val="007E4941"/>
    <w:rsid w:val="007E4B36"/>
    <w:rsid w:val="007E4D11"/>
    <w:rsid w:val="007E4FFE"/>
    <w:rsid w:val="007E5059"/>
    <w:rsid w:val="007E5115"/>
    <w:rsid w:val="007E52F7"/>
    <w:rsid w:val="007E54C8"/>
    <w:rsid w:val="007E555A"/>
    <w:rsid w:val="007E570F"/>
    <w:rsid w:val="007E57B7"/>
    <w:rsid w:val="007E6121"/>
    <w:rsid w:val="007E61BF"/>
    <w:rsid w:val="007E6236"/>
    <w:rsid w:val="007E6809"/>
    <w:rsid w:val="007E6C68"/>
    <w:rsid w:val="007E6C6F"/>
    <w:rsid w:val="007E77C2"/>
    <w:rsid w:val="007E790D"/>
    <w:rsid w:val="007E7C9E"/>
    <w:rsid w:val="007E7E1F"/>
    <w:rsid w:val="007E7E39"/>
    <w:rsid w:val="007F007B"/>
    <w:rsid w:val="007F0176"/>
    <w:rsid w:val="007F0525"/>
    <w:rsid w:val="007F05F7"/>
    <w:rsid w:val="007F0602"/>
    <w:rsid w:val="007F07A6"/>
    <w:rsid w:val="007F0955"/>
    <w:rsid w:val="007F0ECC"/>
    <w:rsid w:val="007F10A7"/>
    <w:rsid w:val="007F1292"/>
    <w:rsid w:val="007F14DB"/>
    <w:rsid w:val="007F1763"/>
    <w:rsid w:val="007F17D7"/>
    <w:rsid w:val="007F2127"/>
    <w:rsid w:val="007F2164"/>
    <w:rsid w:val="007F226A"/>
    <w:rsid w:val="007F26CA"/>
    <w:rsid w:val="007F278E"/>
    <w:rsid w:val="007F29CE"/>
    <w:rsid w:val="007F2CFF"/>
    <w:rsid w:val="007F39A6"/>
    <w:rsid w:val="007F3AC8"/>
    <w:rsid w:val="007F3BA7"/>
    <w:rsid w:val="007F3E73"/>
    <w:rsid w:val="007F41C3"/>
    <w:rsid w:val="007F48CE"/>
    <w:rsid w:val="007F4B71"/>
    <w:rsid w:val="007F4CDC"/>
    <w:rsid w:val="007F4D8F"/>
    <w:rsid w:val="007F500E"/>
    <w:rsid w:val="007F547E"/>
    <w:rsid w:val="007F54CE"/>
    <w:rsid w:val="007F54EC"/>
    <w:rsid w:val="007F5D11"/>
    <w:rsid w:val="007F5E4D"/>
    <w:rsid w:val="007F65B1"/>
    <w:rsid w:val="007F69F7"/>
    <w:rsid w:val="007F6D3D"/>
    <w:rsid w:val="007F7118"/>
    <w:rsid w:val="007F73A5"/>
    <w:rsid w:val="007F747C"/>
    <w:rsid w:val="007F780D"/>
    <w:rsid w:val="007F7AC0"/>
    <w:rsid w:val="007F7AC8"/>
    <w:rsid w:val="007F7E9C"/>
    <w:rsid w:val="00800324"/>
    <w:rsid w:val="00800597"/>
    <w:rsid w:val="00800811"/>
    <w:rsid w:val="008009A1"/>
    <w:rsid w:val="00800AF0"/>
    <w:rsid w:val="00800E22"/>
    <w:rsid w:val="0080108E"/>
    <w:rsid w:val="0080190C"/>
    <w:rsid w:val="00801938"/>
    <w:rsid w:val="00801B84"/>
    <w:rsid w:val="008021C3"/>
    <w:rsid w:val="00802209"/>
    <w:rsid w:val="00802213"/>
    <w:rsid w:val="00802458"/>
    <w:rsid w:val="00802607"/>
    <w:rsid w:val="008027EC"/>
    <w:rsid w:val="00802A64"/>
    <w:rsid w:val="00802A9C"/>
    <w:rsid w:val="00802D56"/>
    <w:rsid w:val="008032D8"/>
    <w:rsid w:val="008033A2"/>
    <w:rsid w:val="0080351E"/>
    <w:rsid w:val="00803811"/>
    <w:rsid w:val="00803C95"/>
    <w:rsid w:val="00803E70"/>
    <w:rsid w:val="00803EFF"/>
    <w:rsid w:val="00804131"/>
    <w:rsid w:val="008044B3"/>
    <w:rsid w:val="00804658"/>
    <w:rsid w:val="00804D46"/>
    <w:rsid w:val="00804DE4"/>
    <w:rsid w:val="00804F96"/>
    <w:rsid w:val="00805379"/>
    <w:rsid w:val="0080564E"/>
    <w:rsid w:val="008058F2"/>
    <w:rsid w:val="00805996"/>
    <w:rsid w:val="0080638F"/>
    <w:rsid w:val="008063B6"/>
    <w:rsid w:val="008064E5"/>
    <w:rsid w:val="00806FFE"/>
    <w:rsid w:val="0080772A"/>
    <w:rsid w:val="00807CAA"/>
    <w:rsid w:val="00807E79"/>
    <w:rsid w:val="00810217"/>
    <w:rsid w:val="008107A5"/>
    <w:rsid w:val="008108D4"/>
    <w:rsid w:val="00810917"/>
    <w:rsid w:val="008109C0"/>
    <w:rsid w:val="00810C69"/>
    <w:rsid w:val="00810EC3"/>
    <w:rsid w:val="00810F73"/>
    <w:rsid w:val="0081102E"/>
    <w:rsid w:val="00811152"/>
    <w:rsid w:val="00811504"/>
    <w:rsid w:val="00811535"/>
    <w:rsid w:val="00811583"/>
    <w:rsid w:val="008118F2"/>
    <w:rsid w:val="00811A17"/>
    <w:rsid w:val="00811A30"/>
    <w:rsid w:val="00811BCD"/>
    <w:rsid w:val="00811E49"/>
    <w:rsid w:val="00811F6A"/>
    <w:rsid w:val="00811FA6"/>
    <w:rsid w:val="008126F1"/>
    <w:rsid w:val="00812703"/>
    <w:rsid w:val="0081273F"/>
    <w:rsid w:val="00812A65"/>
    <w:rsid w:val="00812EDE"/>
    <w:rsid w:val="00812F45"/>
    <w:rsid w:val="00812F54"/>
    <w:rsid w:val="00812F5C"/>
    <w:rsid w:val="00812FDE"/>
    <w:rsid w:val="0081303B"/>
    <w:rsid w:val="00813208"/>
    <w:rsid w:val="0081379A"/>
    <w:rsid w:val="00813CF8"/>
    <w:rsid w:val="00814063"/>
    <w:rsid w:val="00814268"/>
    <w:rsid w:val="00814DD6"/>
    <w:rsid w:val="00814F43"/>
    <w:rsid w:val="00815026"/>
    <w:rsid w:val="008157BA"/>
    <w:rsid w:val="008157FF"/>
    <w:rsid w:val="00815F20"/>
    <w:rsid w:val="0081606D"/>
    <w:rsid w:val="008163A9"/>
    <w:rsid w:val="0081682B"/>
    <w:rsid w:val="008172E0"/>
    <w:rsid w:val="0081749C"/>
    <w:rsid w:val="008174CC"/>
    <w:rsid w:val="00817856"/>
    <w:rsid w:val="00817B15"/>
    <w:rsid w:val="00817D12"/>
    <w:rsid w:val="00820097"/>
    <w:rsid w:val="0082010F"/>
    <w:rsid w:val="008201E3"/>
    <w:rsid w:val="00820324"/>
    <w:rsid w:val="008206D8"/>
    <w:rsid w:val="00820BFF"/>
    <w:rsid w:val="00820C6E"/>
    <w:rsid w:val="00820C78"/>
    <w:rsid w:val="0082102B"/>
    <w:rsid w:val="00821052"/>
    <w:rsid w:val="00821197"/>
    <w:rsid w:val="008211DF"/>
    <w:rsid w:val="00822028"/>
    <w:rsid w:val="00822530"/>
    <w:rsid w:val="0082277C"/>
    <w:rsid w:val="00822805"/>
    <w:rsid w:val="00822A25"/>
    <w:rsid w:val="00822B57"/>
    <w:rsid w:val="00822C06"/>
    <w:rsid w:val="00822EAF"/>
    <w:rsid w:val="00822F5C"/>
    <w:rsid w:val="00823036"/>
    <w:rsid w:val="008231AA"/>
    <w:rsid w:val="00823838"/>
    <w:rsid w:val="008239A4"/>
    <w:rsid w:val="00823C7F"/>
    <w:rsid w:val="00823DCF"/>
    <w:rsid w:val="00823F49"/>
    <w:rsid w:val="00824754"/>
    <w:rsid w:val="008247B3"/>
    <w:rsid w:val="008247C7"/>
    <w:rsid w:val="00824B01"/>
    <w:rsid w:val="0082564D"/>
    <w:rsid w:val="00825661"/>
    <w:rsid w:val="00825663"/>
    <w:rsid w:val="0082579E"/>
    <w:rsid w:val="00825AD4"/>
    <w:rsid w:val="00826388"/>
    <w:rsid w:val="008268B5"/>
    <w:rsid w:val="00826B09"/>
    <w:rsid w:val="00826B62"/>
    <w:rsid w:val="00827062"/>
    <w:rsid w:val="00827385"/>
    <w:rsid w:val="00827471"/>
    <w:rsid w:val="00827D09"/>
    <w:rsid w:val="00827D1E"/>
    <w:rsid w:val="0083016D"/>
    <w:rsid w:val="00830835"/>
    <w:rsid w:val="00830900"/>
    <w:rsid w:val="00830D33"/>
    <w:rsid w:val="00830F0E"/>
    <w:rsid w:val="00831029"/>
    <w:rsid w:val="008311D0"/>
    <w:rsid w:val="0083130E"/>
    <w:rsid w:val="008314B4"/>
    <w:rsid w:val="00831573"/>
    <w:rsid w:val="0083176F"/>
    <w:rsid w:val="00831A1E"/>
    <w:rsid w:val="00831BAC"/>
    <w:rsid w:val="00831CA3"/>
    <w:rsid w:val="00831CD6"/>
    <w:rsid w:val="00832088"/>
    <w:rsid w:val="00832447"/>
    <w:rsid w:val="008328E0"/>
    <w:rsid w:val="00832C70"/>
    <w:rsid w:val="008330D0"/>
    <w:rsid w:val="008333E4"/>
    <w:rsid w:val="008334CD"/>
    <w:rsid w:val="008336F5"/>
    <w:rsid w:val="00833F90"/>
    <w:rsid w:val="008341B5"/>
    <w:rsid w:val="008344B1"/>
    <w:rsid w:val="008345B6"/>
    <w:rsid w:val="0083498E"/>
    <w:rsid w:val="00834BDE"/>
    <w:rsid w:val="00834CD0"/>
    <w:rsid w:val="00834D48"/>
    <w:rsid w:val="0083512F"/>
    <w:rsid w:val="008351CC"/>
    <w:rsid w:val="008355D2"/>
    <w:rsid w:val="008355F6"/>
    <w:rsid w:val="008356E1"/>
    <w:rsid w:val="008358D3"/>
    <w:rsid w:val="00836313"/>
    <w:rsid w:val="0083691B"/>
    <w:rsid w:val="008369F4"/>
    <w:rsid w:val="00836BF9"/>
    <w:rsid w:val="00836E80"/>
    <w:rsid w:val="00837266"/>
    <w:rsid w:val="00837384"/>
    <w:rsid w:val="0083779C"/>
    <w:rsid w:val="00837812"/>
    <w:rsid w:val="00837A7F"/>
    <w:rsid w:val="00837BE3"/>
    <w:rsid w:val="00837C46"/>
    <w:rsid w:val="00837CCE"/>
    <w:rsid w:val="00840549"/>
    <w:rsid w:val="00840646"/>
    <w:rsid w:val="0084069B"/>
    <w:rsid w:val="008407BB"/>
    <w:rsid w:val="00840A78"/>
    <w:rsid w:val="00840D98"/>
    <w:rsid w:val="008410A7"/>
    <w:rsid w:val="0084167C"/>
    <w:rsid w:val="00841A41"/>
    <w:rsid w:val="00841C5B"/>
    <w:rsid w:val="00841F96"/>
    <w:rsid w:val="00842697"/>
    <w:rsid w:val="008428B7"/>
    <w:rsid w:val="00842A83"/>
    <w:rsid w:val="00842D19"/>
    <w:rsid w:val="00842EFA"/>
    <w:rsid w:val="00843200"/>
    <w:rsid w:val="008434A1"/>
    <w:rsid w:val="00843653"/>
    <w:rsid w:val="008438A5"/>
    <w:rsid w:val="00843BB4"/>
    <w:rsid w:val="0084412B"/>
    <w:rsid w:val="0084427E"/>
    <w:rsid w:val="008447EE"/>
    <w:rsid w:val="0084490D"/>
    <w:rsid w:val="008449F2"/>
    <w:rsid w:val="00844C29"/>
    <w:rsid w:val="00844D14"/>
    <w:rsid w:val="008451A4"/>
    <w:rsid w:val="0084522D"/>
    <w:rsid w:val="008453E4"/>
    <w:rsid w:val="008459B1"/>
    <w:rsid w:val="008459FE"/>
    <w:rsid w:val="00845E13"/>
    <w:rsid w:val="00845ECF"/>
    <w:rsid w:val="00845FDC"/>
    <w:rsid w:val="008461D7"/>
    <w:rsid w:val="008462AF"/>
    <w:rsid w:val="00846820"/>
    <w:rsid w:val="008471FE"/>
    <w:rsid w:val="008473D3"/>
    <w:rsid w:val="00847495"/>
    <w:rsid w:val="008479F6"/>
    <w:rsid w:val="00847DD2"/>
    <w:rsid w:val="0085065D"/>
    <w:rsid w:val="0085090E"/>
    <w:rsid w:val="00850970"/>
    <w:rsid w:val="00850C1F"/>
    <w:rsid w:val="00851347"/>
    <w:rsid w:val="00851626"/>
    <w:rsid w:val="00851753"/>
    <w:rsid w:val="00851A03"/>
    <w:rsid w:val="00851B1D"/>
    <w:rsid w:val="00851EF2"/>
    <w:rsid w:val="00851F2D"/>
    <w:rsid w:val="00852212"/>
    <w:rsid w:val="008524F0"/>
    <w:rsid w:val="00852A05"/>
    <w:rsid w:val="00852B76"/>
    <w:rsid w:val="00852CDE"/>
    <w:rsid w:val="00852F4A"/>
    <w:rsid w:val="008531AB"/>
    <w:rsid w:val="008532C7"/>
    <w:rsid w:val="00853390"/>
    <w:rsid w:val="00853D9E"/>
    <w:rsid w:val="00854355"/>
    <w:rsid w:val="008543D4"/>
    <w:rsid w:val="0085447C"/>
    <w:rsid w:val="008546E6"/>
    <w:rsid w:val="0085476F"/>
    <w:rsid w:val="00854796"/>
    <w:rsid w:val="0085497A"/>
    <w:rsid w:val="00854C86"/>
    <w:rsid w:val="00855052"/>
    <w:rsid w:val="008552D2"/>
    <w:rsid w:val="008553DB"/>
    <w:rsid w:val="008553ED"/>
    <w:rsid w:val="008554BC"/>
    <w:rsid w:val="0085579D"/>
    <w:rsid w:val="008557D0"/>
    <w:rsid w:val="00855C19"/>
    <w:rsid w:val="00855CB4"/>
    <w:rsid w:val="00855EEC"/>
    <w:rsid w:val="0085618F"/>
    <w:rsid w:val="008561BE"/>
    <w:rsid w:val="008564CD"/>
    <w:rsid w:val="00856520"/>
    <w:rsid w:val="00856D11"/>
    <w:rsid w:val="00856F4A"/>
    <w:rsid w:val="0085703E"/>
    <w:rsid w:val="008570BE"/>
    <w:rsid w:val="00857107"/>
    <w:rsid w:val="008571EF"/>
    <w:rsid w:val="00857315"/>
    <w:rsid w:val="0085766D"/>
    <w:rsid w:val="00857B64"/>
    <w:rsid w:val="00857C33"/>
    <w:rsid w:val="00860080"/>
    <w:rsid w:val="0086010B"/>
    <w:rsid w:val="00860355"/>
    <w:rsid w:val="00860541"/>
    <w:rsid w:val="008606E8"/>
    <w:rsid w:val="00860A71"/>
    <w:rsid w:val="00860C71"/>
    <w:rsid w:val="00861184"/>
    <w:rsid w:val="008611A7"/>
    <w:rsid w:val="00861221"/>
    <w:rsid w:val="008612AA"/>
    <w:rsid w:val="00861407"/>
    <w:rsid w:val="0086145C"/>
    <w:rsid w:val="00861710"/>
    <w:rsid w:val="008619A3"/>
    <w:rsid w:val="00861C0B"/>
    <w:rsid w:val="00861C46"/>
    <w:rsid w:val="00861CF7"/>
    <w:rsid w:val="00861D3C"/>
    <w:rsid w:val="008620D5"/>
    <w:rsid w:val="00862825"/>
    <w:rsid w:val="00862A82"/>
    <w:rsid w:val="00862C15"/>
    <w:rsid w:val="00862C94"/>
    <w:rsid w:val="00863208"/>
    <w:rsid w:val="008633DE"/>
    <w:rsid w:val="0086398B"/>
    <w:rsid w:val="00863D3E"/>
    <w:rsid w:val="00864428"/>
    <w:rsid w:val="008644B6"/>
    <w:rsid w:val="00864602"/>
    <w:rsid w:val="00864661"/>
    <w:rsid w:val="0086473F"/>
    <w:rsid w:val="00864A37"/>
    <w:rsid w:val="00864B2C"/>
    <w:rsid w:val="00864D67"/>
    <w:rsid w:val="00864DD9"/>
    <w:rsid w:val="008650C1"/>
    <w:rsid w:val="008651B3"/>
    <w:rsid w:val="00865218"/>
    <w:rsid w:val="00865238"/>
    <w:rsid w:val="008654E0"/>
    <w:rsid w:val="0086570C"/>
    <w:rsid w:val="008658CC"/>
    <w:rsid w:val="008658E8"/>
    <w:rsid w:val="00866136"/>
    <w:rsid w:val="008661C0"/>
    <w:rsid w:val="0086630C"/>
    <w:rsid w:val="00866800"/>
    <w:rsid w:val="00866AF9"/>
    <w:rsid w:val="00866C0A"/>
    <w:rsid w:val="00866DF2"/>
    <w:rsid w:val="00866ECA"/>
    <w:rsid w:val="0086707D"/>
    <w:rsid w:val="00867450"/>
    <w:rsid w:val="008676C2"/>
    <w:rsid w:val="00867AD6"/>
    <w:rsid w:val="00867CA4"/>
    <w:rsid w:val="00867F66"/>
    <w:rsid w:val="008700FA"/>
    <w:rsid w:val="008702AE"/>
    <w:rsid w:val="00870871"/>
    <w:rsid w:val="008709D7"/>
    <w:rsid w:val="00870B9E"/>
    <w:rsid w:val="00870C34"/>
    <w:rsid w:val="00870D3B"/>
    <w:rsid w:val="008710BB"/>
    <w:rsid w:val="008710F0"/>
    <w:rsid w:val="008713B2"/>
    <w:rsid w:val="0087140A"/>
    <w:rsid w:val="00872448"/>
    <w:rsid w:val="00872916"/>
    <w:rsid w:val="00872B8B"/>
    <w:rsid w:val="00873276"/>
    <w:rsid w:val="00873B24"/>
    <w:rsid w:val="00873CDA"/>
    <w:rsid w:val="008740AE"/>
    <w:rsid w:val="00874935"/>
    <w:rsid w:val="00874CBB"/>
    <w:rsid w:val="00875483"/>
    <w:rsid w:val="00875755"/>
    <w:rsid w:val="008758D0"/>
    <w:rsid w:val="0087594E"/>
    <w:rsid w:val="00875EC3"/>
    <w:rsid w:val="0087629F"/>
    <w:rsid w:val="008765E8"/>
    <w:rsid w:val="00876A19"/>
    <w:rsid w:val="00876A20"/>
    <w:rsid w:val="00876A4B"/>
    <w:rsid w:val="0087769F"/>
    <w:rsid w:val="008778B8"/>
    <w:rsid w:val="00877AD7"/>
    <w:rsid w:val="00877C86"/>
    <w:rsid w:val="00877CA6"/>
    <w:rsid w:val="00877CBF"/>
    <w:rsid w:val="00877E75"/>
    <w:rsid w:val="00877E9B"/>
    <w:rsid w:val="00877EAA"/>
    <w:rsid w:val="00877F4E"/>
    <w:rsid w:val="008803E1"/>
    <w:rsid w:val="00880A4F"/>
    <w:rsid w:val="0088121B"/>
    <w:rsid w:val="00881258"/>
    <w:rsid w:val="00881631"/>
    <w:rsid w:val="0088180F"/>
    <w:rsid w:val="0088192C"/>
    <w:rsid w:val="00881935"/>
    <w:rsid w:val="00881A4F"/>
    <w:rsid w:val="00881C50"/>
    <w:rsid w:val="00882200"/>
    <w:rsid w:val="008823EC"/>
    <w:rsid w:val="00882468"/>
    <w:rsid w:val="008825CB"/>
    <w:rsid w:val="00882D1D"/>
    <w:rsid w:val="008830CC"/>
    <w:rsid w:val="0088343C"/>
    <w:rsid w:val="008834BD"/>
    <w:rsid w:val="0088352A"/>
    <w:rsid w:val="00883E0D"/>
    <w:rsid w:val="00883F8F"/>
    <w:rsid w:val="00884008"/>
    <w:rsid w:val="0088412D"/>
    <w:rsid w:val="00884130"/>
    <w:rsid w:val="0088418E"/>
    <w:rsid w:val="008843F0"/>
    <w:rsid w:val="0088440F"/>
    <w:rsid w:val="00884541"/>
    <w:rsid w:val="00884A6F"/>
    <w:rsid w:val="00885321"/>
    <w:rsid w:val="0088538A"/>
    <w:rsid w:val="0088552A"/>
    <w:rsid w:val="00885942"/>
    <w:rsid w:val="008859C2"/>
    <w:rsid w:val="00885B3D"/>
    <w:rsid w:val="00885C30"/>
    <w:rsid w:val="00886032"/>
    <w:rsid w:val="00886412"/>
    <w:rsid w:val="00886FA3"/>
    <w:rsid w:val="008870AC"/>
    <w:rsid w:val="008871A6"/>
    <w:rsid w:val="008872C8"/>
    <w:rsid w:val="0088753D"/>
    <w:rsid w:val="00887892"/>
    <w:rsid w:val="00890249"/>
    <w:rsid w:val="008906F0"/>
    <w:rsid w:val="0089073A"/>
    <w:rsid w:val="00890BB7"/>
    <w:rsid w:val="00891243"/>
    <w:rsid w:val="0089131E"/>
    <w:rsid w:val="00891625"/>
    <w:rsid w:val="00891E02"/>
    <w:rsid w:val="00891F25"/>
    <w:rsid w:val="008923E4"/>
    <w:rsid w:val="00892850"/>
    <w:rsid w:val="0089287E"/>
    <w:rsid w:val="00892FB7"/>
    <w:rsid w:val="00893268"/>
    <w:rsid w:val="00893374"/>
    <w:rsid w:val="008933B3"/>
    <w:rsid w:val="0089358A"/>
    <w:rsid w:val="0089363A"/>
    <w:rsid w:val="00893647"/>
    <w:rsid w:val="0089365B"/>
    <w:rsid w:val="00893C07"/>
    <w:rsid w:val="00894545"/>
    <w:rsid w:val="0089471E"/>
    <w:rsid w:val="00894809"/>
    <w:rsid w:val="00894CD7"/>
    <w:rsid w:val="00894DFE"/>
    <w:rsid w:val="00894E84"/>
    <w:rsid w:val="00895619"/>
    <w:rsid w:val="00895633"/>
    <w:rsid w:val="00895772"/>
    <w:rsid w:val="00895868"/>
    <w:rsid w:val="00895958"/>
    <w:rsid w:val="00896192"/>
    <w:rsid w:val="008961C5"/>
    <w:rsid w:val="008961E2"/>
    <w:rsid w:val="00896373"/>
    <w:rsid w:val="0089644D"/>
    <w:rsid w:val="008965FE"/>
    <w:rsid w:val="008966C5"/>
    <w:rsid w:val="008966F4"/>
    <w:rsid w:val="00896739"/>
    <w:rsid w:val="0089687F"/>
    <w:rsid w:val="00896CDE"/>
    <w:rsid w:val="00896DBD"/>
    <w:rsid w:val="00897084"/>
    <w:rsid w:val="008971D1"/>
    <w:rsid w:val="008974F4"/>
    <w:rsid w:val="00897910"/>
    <w:rsid w:val="0089795F"/>
    <w:rsid w:val="00897FB2"/>
    <w:rsid w:val="008A0062"/>
    <w:rsid w:val="008A024E"/>
    <w:rsid w:val="008A0339"/>
    <w:rsid w:val="008A0345"/>
    <w:rsid w:val="008A0651"/>
    <w:rsid w:val="008A0D77"/>
    <w:rsid w:val="008A0E1B"/>
    <w:rsid w:val="008A0EBA"/>
    <w:rsid w:val="008A142E"/>
    <w:rsid w:val="008A1489"/>
    <w:rsid w:val="008A14D6"/>
    <w:rsid w:val="008A1C70"/>
    <w:rsid w:val="008A1EFF"/>
    <w:rsid w:val="008A22EC"/>
    <w:rsid w:val="008A2375"/>
    <w:rsid w:val="008A26B0"/>
    <w:rsid w:val="008A27AA"/>
    <w:rsid w:val="008A2910"/>
    <w:rsid w:val="008A2FC1"/>
    <w:rsid w:val="008A3226"/>
    <w:rsid w:val="008A32D4"/>
    <w:rsid w:val="008A3766"/>
    <w:rsid w:val="008A382A"/>
    <w:rsid w:val="008A3838"/>
    <w:rsid w:val="008A3C05"/>
    <w:rsid w:val="008A3C1E"/>
    <w:rsid w:val="008A3CA7"/>
    <w:rsid w:val="008A3CB5"/>
    <w:rsid w:val="008A3EE7"/>
    <w:rsid w:val="008A41E9"/>
    <w:rsid w:val="008A497D"/>
    <w:rsid w:val="008A697C"/>
    <w:rsid w:val="008A6D19"/>
    <w:rsid w:val="008A6EC6"/>
    <w:rsid w:val="008A6ECE"/>
    <w:rsid w:val="008A7072"/>
    <w:rsid w:val="008A74C6"/>
    <w:rsid w:val="008A7798"/>
    <w:rsid w:val="008A7952"/>
    <w:rsid w:val="008B0053"/>
    <w:rsid w:val="008B0382"/>
    <w:rsid w:val="008B0560"/>
    <w:rsid w:val="008B07B6"/>
    <w:rsid w:val="008B094C"/>
    <w:rsid w:val="008B0D06"/>
    <w:rsid w:val="008B0D61"/>
    <w:rsid w:val="008B0FC8"/>
    <w:rsid w:val="008B1038"/>
    <w:rsid w:val="008B107A"/>
    <w:rsid w:val="008B10A3"/>
    <w:rsid w:val="008B11E9"/>
    <w:rsid w:val="008B1809"/>
    <w:rsid w:val="008B2256"/>
    <w:rsid w:val="008B23AA"/>
    <w:rsid w:val="008B286B"/>
    <w:rsid w:val="008B2CD0"/>
    <w:rsid w:val="008B306C"/>
    <w:rsid w:val="008B334C"/>
    <w:rsid w:val="008B373C"/>
    <w:rsid w:val="008B3A5B"/>
    <w:rsid w:val="008B3B90"/>
    <w:rsid w:val="008B3E14"/>
    <w:rsid w:val="008B4339"/>
    <w:rsid w:val="008B47D7"/>
    <w:rsid w:val="008B49E0"/>
    <w:rsid w:val="008B4ABD"/>
    <w:rsid w:val="008B4E3C"/>
    <w:rsid w:val="008B54D9"/>
    <w:rsid w:val="008B5953"/>
    <w:rsid w:val="008B5B6F"/>
    <w:rsid w:val="008B6272"/>
    <w:rsid w:val="008B632B"/>
    <w:rsid w:val="008B645E"/>
    <w:rsid w:val="008B6482"/>
    <w:rsid w:val="008B6778"/>
    <w:rsid w:val="008B6A75"/>
    <w:rsid w:val="008B6CC9"/>
    <w:rsid w:val="008B6E76"/>
    <w:rsid w:val="008B6F8B"/>
    <w:rsid w:val="008B7357"/>
    <w:rsid w:val="008B76AF"/>
    <w:rsid w:val="008B7744"/>
    <w:rsid w:val="008B790A"/>
    <w:rsid w:val="008B7B61"/>
    <w:rsid w:val="008B7DC7"/>
    <w:rsid w:val="008B7DF0"/>
    <w:rsid w:val="008C0304"/>
    <w:rsid w:val="008C03AC"/>
    <w:rsid w:val="008C0976"/>
    <w:rsid w:val="008C0B43"/>
    <w:rsid w:val="008C0EE3"/>
    <w:rsid w:val="008C1139"/>
    <w:rsid w:val="008C15F6"/>
    <w:rsid w:val="008C16F9"/>
    <w:rsid w:val="008C19F5"/>
    <w:rsid w:val="008C1EC9"/>
    <w:rsid w:val="008C210A"/>
    <w:rsid w:val="008C2459"/>
    <w:rsid w:val="008C2490"/>
    <w:rsid w:val="008C26E8"/>
    <w:rsid w:val="008C2854"/>
    <w:rsid w:val="008C28A4"/>
    <w:rsid w:val="008C2DB6"/>
    <w:rsid w:val="008C2E55"/>
    <w:rsid w:val="008C3711"/>
    <w:rsid w:val="008C37C6"/>
    <w:rsid w:val="008C381D"/>
    <w:rsid w:val="008C38B3"/>
    <w:rsid w:val="008C3EF7"/>
    <w:rsid w:val="008C3F1F"/>
    <w:rsid w:val="008C3F90"/>
    <w:rsid w:val="008C41F9"/>
    <w:rsid w:val="008C450B"/>
    <w:rsid w:val="008C4872"/>
    <w:rsid w:val="008C4E2D"/>
    <w:rsid w:val="008C5133"/>
    <w:rsid w:val="008C51D1"/>
    <w:rsid w:val="008C5227"/>
    <w:rsid w:val="008C529D"/>
    <w:rsid w:val="008C5681"/>
    <w:rsid w:val="008C568B"/>
    <w:rsid w:val="008C593E"/>
    <w:rsid w:val="008C5A87"/>
    <w:rsid w:val="008C5E1E"/>
    <w:rsid w:val="008C5F36"/>
    <w:rsid w:val="008C650D"/>
    <w:rsid w:val="008C65C6"/>
    <w:rsid w:val="008C68AA"/>
    <w:rsid w:val="008C72A3"/>
    <w:rsid w:val="008C7334"/>
    <w:rsid w:val="008C7761"/>
    <w:rsid w:val="008C7833"/>
    <w:rsid w:val="008D0281"/>
    <w:rsid w:val="008D0353"/>
    <w:rsid w:val="008D0C80"/>
    <w:rsid w:val="008D0E0E"/>
    <w:rsid w:val="008D0E91"/>
    <w:rsid w:val="008D1392"/>
    <w:rsid w:val="008D13AD"/>
    <w:rsid w:val="008D17AF"/>
    <w:rsid w:val="008D1868"/>
    <w:rsid w:val="008D1E9E"/>
    <w:rsid w:val="008D21D6"/>
    <w:rsid w:val="008D2684"/>
    <w:rsid w:val="008D28D1"/>
    <w:rsid w:val="008D2C4D"/>
    <w:rsid w:val="008D2D3A"/>
    <w:rsid w:val="008D34A1"/>
    <w:rsid w:val="008D3638"/>
    <w:rsid w:val="008D36FB"/>
    <w:rsid w:val="008D38F4"/>
    <w:rsid w:val="008D3987"/>
    <w:rsid w:val="008D45F5"/>
    <w:rsid w:val="008D4716"/>
    <w:rsid w:val="008D4947"/>
    <w:rsid w:val="008D4AD2"/>
    <w:rsid w:val="008D4C71"/>
    <w:rsid w:val="008D4E2E"/>
    <w:rsid w:val="008D4F60"/>
    <w:rsid w:val="008D501D"/>
    <w:rsid w:val="008D5238"/>
    <w:rsid w:val="008D528A"/>
    <w:rsid w:val="008D52FC"/>
    <w:rsid w:val="008D5C57"/>
    <w:rsid w:val="008D5DEC"/>
    <w:rsid w:val="008D5F6E"/>
    <w:rsid w:val="008D5F74"/>
    <w:rsid w:val="008D6AE6"/>
    <w:rsid w:val="008D6B1F"/>
    <w:rsid w:val="008D6BC0"/>
    <w:rsid w:val="008D6EAC"/>
    <w:rsid w:val="008D740C"/>
    <w:rsid w:val="008D75CF"/>
    <w:rsid w:val="008D77CE"/>
    <w:rsid w:val="008D7E7F"/>
    <w:rsid w:val="008D7EC4"/>
    <w:rsid w:val="008E0017"/>
    <w:rsid w:val="008E0096"/>
    <w:rsid w:val="008E00E0"/>
    <w:rsid w:val="008E01F7"/>
    <w:rsid w:val="008E05E7"/>
    <w:rsid w:val="008E088F"/>
    <w:rsid w:val="008E09BE"/>
    <w:rsid w:val="008E0A51"/>
    <w:rsid w:val="008E0C97"/>
    <w:rsid w:val="008E10C4"/>
    <w:rsid w:val="008E1167"/>
    <w:rsid w:val="008E1513"/>
    <w:rsid w:val="008E18AD"/>
    <w:rsid w:val="008E209F"/>
    <w:rsid w:val="008E21D0"/>
    <w:rsid w:val="008E236F"/>
    <w:rsid w:val="008E240A"/>
    <w:rsid w:val="008E2915"/>
    <w:rsid w:val="008E2A71"/>
    <w:rsid w:val="008E2C6C"/>
    <w:rsid w:val="008E2F91"/>
    <w:rsid w:val="008E3237"/>
    <w:rsid w:val="008E326A"/>
    <w:rsid w:val="008E3471"/>
    <w:rsid w:val="008E358D"/>
    <w:rsid w:val="008E3745"/>
    <w:rsid w:val="008E3AF7"/>
    <w:rsid w:val="008E3FC5"/>
    <w:rsid w:val="008E482B"/>
    <w:rsid w:val="008E4E57"/>
    <w:rsid w:val="008E5398"/>
    <w:rsid w:val="008E5654"/>
    <w:rsid w:val="008E582B"/>
    <w:rsid w:val="008E5871"/>
    <w:rsid w:val="008E5A29"/>
    <w:rsid w:val="008E625F"/>
    <w:rsid w:val="008E62F7"/>
    <w:rsid w:val="008E6478"/>
    <w:rsid w:val="008E67BA"/>
    <w:rsid w:val="008E6812"/>
    <w:rsid w:val="008E6944"/>
    <w:rsid w:val="008E6ADB"/>
    <w:rsid w:val="008E6B52"/>
    <w:rsid w:val="008E6C12"/>
    <w:rsid w:val="008E6C95"/>
    <w:rsid w:val="008E6DBB"/>
    <w:rsid w:val="008E7295"/>
    <w:rsid w:val="008E74EC"/>
    <w:rsid w:val="008F029B"/>
    <w:rsid w:val="008F0901"/>
    <w:rsid w:val="008F0924"/>
    <w:rsid w:val="008F096C"/>
    <w:rsid w:val="008F0B27"/>
    <w:rsid w:val="008F0B76"/>
    <w:rsid w:val="008F0C75"/>
    <w:rsid w:val="008F0DBA"/>
    <w:rsid w:val="008F0FAA"/>
    <w:rsid w:val="008F1012"/>
    <w:rsid w:val="008F1158"/>
    <w:rsid w:val="008F1746"/>
    <w:rsid w:val="008F1899"/>
    <w:rsid w:val="008F1E3E"/>
    <w:rsid w:val="008F1F30"/>
    <w:rsid w:val="008F2379"/>
    <w:rsid w:val="008F24B6"/>
    <w:rsid w:val="008F2683"/>
    <w:rsid w:val="008F296B"/>
    <w:rsid w:val="008F3129"/>
    <w:rsid w:val="008F3378"/>
    <w:rsid w:val="008F34E2"/>
    <w:rsid w:val="008F3B09"/>
    <w:rsid w:val="008F3F74"/>
    <w:rsid w:val="008F419B"/>
    <w:rsid w:val="008F4324"/>
    <w:rsid w:val="008F46A0"/>
    <w:rsid w:val="008F4726"/>
    <w:rsid w:val="008F48C7"/>
    <w:rsid w:val="008F4A08"/>
    <w:rsid w:val="008F4BE6"/>
    <w:rsid w:val="008F50AE"/>
    <w:rsid w:val="008F5387"/>
    <w:rsid w:val="008F57F3"/>
    <w:rsid w:val="008F5A6D"/>
    <w:rsid w:val="008F6569"/>
    <w:rsid w:val="008F65DA"/>
    <w:rsid w:val="008F6C3F"/>
    <w:rsid w:val="008F6C51"/>
    <w:rsid w:val="008F6D6A"/>
    <w:rsid w:val="008F7083"/>
    <w:rsid w:val="008F7878"/>
    <w:rsid w:val="008F7D09"/>
    <w:rsid w:val="008F7E41"/>
    <w:rsid w:val="0090016B"/>
    <w:rsid w:val="00900298"/>
    <w:rsid w:val="00900548"/>
    <w:rsid w:val="00900560"/>
    <w:rsid w:val="009005B5"/>
    <w:rsid w:val="009005C0"/>
    <w:rsid w:val="009008E9"/>
    <w:rsid w:val="00900C4E"/>
    <w:rsid w:val="00900D2D"/>
    <w:rsid w:val="00900D44"/>
    <w:rsid w:val="00900E11"/>
    <w:rsid w:val="00900EBB"/>
    <w:rsid w:val="00900FB8"/>
    <w:rsid w:val="0090118C"/>
    <w:rsid w:val="00901895"/>
    <w:rsid w:val="009018CF"/>
    <w:rsid w:val="00901B34"/>
    <w:rsid w:val="00901D3A"/>
    <w:rsid w:val="00901D58"/>
    <w:rsid w:val="009024BF"/>
    <w:rsid w:val="00902561"/>
    <w:rsid w:val="00902F31"/>
    <w:rsid w:val="00902F5C"/>
    <w:rsid w:val="00902FFD"/>
    <w:rsid w:val="00903094"/>
    <w:rsid w:val="00903169"/>
    <w:rsid w:val="00903651"/>
    <w:rsid w:val="0090366B"/>
    <w:rsid w:val="00903719"/>
    <w:rsid w:val="00903843"/>
    <w:rsid w:val="009038F7"/>
    <w:rsid w:val="00903E80"/>
    <w:rsid w:val="00903EB9"/>
    <w:rsid w:val="00903F30"/>
    <w:rsid w:val="0090406C"/>
    <w:rsid w:val="009045DE"/>
    <w:rsid w:val="00904928"/>
    <w:rsid w:val="00904929"/>
    <w:rsid w:val="00904962"/>
    <w:rsid w:val="00904C26"/>
    <w:rsid w:val="00904E57"/>
    <w:rsid w:val="0090504D"/>
    <w:rsid w:val="009055B5"/>
    <w:rsid w:val="009061CF"/>
    <w:rsid w:val="00906668"/>
    <w:rsid w:val="00906E76"/>
    <w:rsid w:val="009073C2"/>
    <w:rsid w:val="009073CA"/>
    <w:rsid w:val="0090740C"/>
    <w:rsid w:val="0090756F"/>
    <w:rsid w:val="00907F45"/>
    <w:rsid w:val="009100E6"/>
    <w:rsid w:val="009101D6"/>
    <w:rsid w:val="0091031F"/>
    <w:rsid w:val="00910395"/>
    <w:rsid w:val="0091061B"/>
    <w:rsid w:val="00910A08"/>
    <w:rsid w:val="00910C01"/>
    <w:rsid w:val="00910C8B"/>
    <w:rsid w:val="00910F41"/>
    <w:rsid w:val="0091111A"/>
    <w:rsid w:val="00911174"/>
    <w:rsid w:val="009116D8"/>
    <w:rsid w:val="0091195F"/>
    <w:rsid w:val="00911969"/>
    <w:rsid w:val="00911A54"/>
    <w:rsid w:val="00911FF2"/>
    <w:rsid w:val="00912283"/>
    <w:rsid w:val="009123D6"/>
    <w:rsid w:val="00912A65"/>
    <w:rsid w:val="00912DA3"/>
    <w:rsid w:val="009130A4"/>
    <w:rsid w:val="00913A22"/>
    <w:rsid w:val="00913ADD"/>
    <w:rsid w:val="00913AFB"/>
    <w:rsid w:val="00913D15"/>
    <w:rsid w:val="009142A5"/>
    <w:rsid w:val="009142E5"/>
    <w:rsid w:val="0091478E"/>
    <w:rsid w:val="00914C2F"/>
    <w:rsid w:val="00914F6A"/>
    <w:rsid w:val="009151E3"/>
    <w:rsid w:val="00915253"/>
    <w:rsid w:val="0091554B"/>
    <w:rsid w:val="009155EA"/>
    <w:rsid w:val="00915953"/>
    <w:rsid w:val="00915A5C"/>
    <w:rsid w:val="00915EEE"/>
    <w:rsid w:val="009162E7"/>
    <w:rsid w:val="009167CF"/>
    <w:rsid w:val="00916903"/>
    <w:rsid w:val="009169BF"/>
    <w:rsid w:val="00916BAC"/>
    <w:rsid w:val="00916E75"/>
    <w:rsid w:val="00916F08"/>
    <w:rsid w:val="00917295"/>
    <w:rsid w:val="009174AE"/>
    <w:rsid w:val="00917886"/>
    <w:rsid w:val="00917C17"/>
    <w:rsid w:val="00917DAB"/>
    <w:rsid w:val="00917E26"/>
    <w:rsid w:val="0092024D"/>
    <w:rsid w:val="0092027C"/>
    <w:rsid w:val="00920831"/>
    <w:rsid w:val="00920D0D"/>
    <w:rsid w:val="009210A2"/>
    <w:rsid w:val="009212DA"/>
    <w:rsid w:val="0092187F"/>
    <w:rsid w:val="00921A56"/>
    <w:rsid w:val="00921B6B"/>
    <w:rsid w:val="00921E0C"/>
    <w:rsid w:val="0092205C"/>
    <w:rsid w:val="00922543"/>
    <w:rsid w:val="00922587"/>
    <w:rsid w:val="009228D7"/>
    <w:rsid w:val="00922D09"/>
    <w:rsid w:val="00922E39"/>
    <w:rsid w:val="0092353C"/>
    <w:rsid w:val="0092355A"/>
    <w:rsid w:val="009236E1"/>
    <w:rsid w:val="00923BAD"/>
    <w:rsid w:val="00923E27"/>
    <w:rsid w:val="00923F82"/>
    <w:rsid w:val="009240B2"/>
    <w:rsid w:val="00924427"/>
    <w:rsid w:val="0092457D"/>
    <w:rsid w:val="00924778"/>
    <w:rsid w:val="00924A60"/>
    <w:rsid w:val="00924B3C"/>
    <w:rsid w:val="00924BA8"/>
    <w:rsid w:val="00924D28"/>
    <w:rsid w:val="00924DB7"/>
    <w:rsid w:val="009251C4"/>
    <w:rsid w:val="009252B6"/>
    <w:rsid w:val="009253DD"/>
    <w:rsid w:val="00925874"/>
    <w:rsid w:val="00925AA9"/>
    <w:rsid w:val="00925DAE"/>
    <w:rsid w:val="00925E1E"/>
    <w:rsid w:val="00926131"/>
    <w:rsid w:val="00926209"/>
    <w:rsid w:val="00926A93"/>
    <w:rsid w:val="00926BEB"/>
    <w:rsid w:val="00926DC5"/>
    <w:rsid w:val="00926EFB"/>
    <w:rsid w:val="0092705B"/>
    <w:rsid w:val="009270DD"/>
    <w:rsid w:val="00927267"/>
    <w:rsid w:val="00927347"/>
    <w:rsid w:val="00927487"/>
    <w:rsid w:val="009278B0"/>
    <w:rsid w:val="009278ED"/>
    <w:rsid w:val="00927B88"/>
    <w:rsid w:val="00927E8D"/>
    <w:rsid w:val="009300C4"/>
    <w:rsid w:val="009300F6"/>
    <w:rsid w:val="00930553"/>
    <w:rsid w:val="00930847"/>
    <w:rsid w:val="00930A8F"/>
    <w:rsid w:val="00930F16"/>
    <w:rsid w:val="009310DC"/>
    <w:rsid w:val="009313F1"/>
    <w:rsid w:val="00931A5D"/>
    <w:rsid w:val="00931BDC"/>
    <w:rsid w:val="00931FE5"/>
    <w:rsid w:val="009321A6"/>
    <w:rsid w:val="009323AF"/>
    <w:rsid w:val="00932829"/>
    <w:rsid w:val="0093293C"/>
    <w:rsid w:val="00932979"/>
    <w:rsid w:val="00932C3F"/>
    <w:rsid w:val="00932C69"/>
    <w:rsid w:val="00932CB6"/>
    <w:rsid w:val="00932FCC"/>
    <w:rsid w:val="00933942"/>
    <w:rsid w:val="009339D3"/>
    <w:rsid w:val="00933AD2"/>
    <w:rsid w:val="00933C3D"/>
    <w:rsid w:val="00933FCE"/>
    <w:rsid w:val="00934034"/>
    <w:rsid w:val="009344B2"/>
    <w:rsid w:val="009346B1"/>
    <w:rsid w:val="00934700"/>
    <w:rsid w:val="00934A77"/>
    <w:rsid w:val="00934BB9"/>
    <w:rsid w:val="00934BFF"/>
    <w:rsid w:val="00934C6C"/>
    <w:rsid w:val="00934D1B"/>
    <w:rsid w:val="00935437"/>
    <w:rsid w:val="0093576D"/>
    <w:rsid w:val="00935937"/>
    <w:rsid w:val="0093668A"/>
    <w:rsid w:val="009369AF"/>
    <w:rsid w:val="00936C08"/>
    <w:rsid w:val="00936C09"/>
    <w:rsid w:val="00936D8F"/>
    <w:rsid w:val="00936F15"/>
    <w:rsid w:val="009376BB"/>
    <w:rsid w:val="00937740"/>
    <w:rsid w:val="009377C5"/>
    <w:rsid w:val="00937908"/>
    <w:rsid w:val="00937B33"/>
    <w:rsid w:val="00937C0E"/>
    <w:rsid w:val="00940328"/>
    <w:rsid w:val="00940A36"/>
    <w:rsid w:val="0094104F"/>
    <w:rsid w:val="00941109"/>
    <w:rsid w:val="009411DA"/>
    <w:rsid w:val="009416D7"/>
    <w:rsid w:val="009418D7"/>
    <w:rsid w:val="00941A04"/>
    <w:rsid w:val="00941A58"/>
    <w:rsid w:val="00941AE6"/>
    <w:rsid w:val="00941EB4"/>
    <w:rsid w:val="009423C5"/>
    <w:rsid w:val="009424DA"/>
    <w:rsid w:val="0094296E"/>
    <w:rsid w:val="00942CE3"/>
    <w:rsid w:val="00943011"/>
    <w:rsid w:val="009430E5"/>
    <w:rsid w:val="0094325F"/>
    <w:rsid w:val="00943393"/>
    <w:rsid w:val="009433D7"/>
    <w:rsid w:val="00943632"/>
    <w:rsid w:val="0094375A"/>
    <w:rsid w:val="00943807"/>
    <w:rsid w:val="009439CF"/>
    <w:rsid w:val="00943E14"/>
    <w:rsid w:val="0094438F"/>
    <w:rsid w:val="00944908"/>
    <w:rsid w:val="00944F3B"/>
    <w:rsid w:val="00945728"/>
    <w:rsid w:val="00945786"/>
    <w:rsid w:val="00945C61"/>
    <w:rsid w:val="009460A9"/>
    <w:rsid w:val="00946388"/>
    <w:rsid w:val="0094641D"/>
    <w:rsid w:val="009464F8"/>
    <w:rsid w:val="009468DC"/>
    <w:rsid w:val="00946CBE"/>
    <w:rsid w:val="0094703D"/>
    <w:rsid w:val="009470A6"/>
    <w:rsid w:val="009476CB"/>
    <w:rsid w:val="009477EC"/>
    <w:rsid w:val="00947921"/>
    <w:rsid w:val="00947972"/>
    <w:rsid w:val="00947B34"/>
    <w:rsid w:val="00947B4F"/>
    <w:rsid w:val="00947BE7"/>
    <w:rsid w:val="00947DFB"/>
    <w:rsid w:val="00947E46"/>
    <w:rsid w:val="00947E69"/>
    <w:rsid w:val="00950275"/>
    <w:rsid w:val="009504B7"/>
    <w:rsid w:val="009511C2"/>
    <w:rsid w:val="009516FC"/>
    <w:rsid w:val="00951943"/>
    <w:rsid w:val="00952435"/>
    <w:rsid w:val="009524B4"/>
    <w:rsid w:val="009525A6"/>
    <w:rsid w:val="0095267A"/>
    <w:rsid w:val="00952D0E"/>
    <w:rsid w:val="009531E2"/>
    <w:rsid w:val="009531E5"/>
    <w:rsid w:val="00953558"/>
    <w:rsid w:val="0095356C"/>
    <w:rsid w:val="009536C2"/>
    <w:rsid w:val="00953780"/>
    <w:rsid w:val="00953BE9"/>
    <w:rsid w:val="00953BEA"/>
    <w:rsid w:val="009540CA"/>
    <w:rsid w:val="00954136"/>
    <w:rsid w:val="009546B4"/>
    <w:rsid w:val="00954AB1"/>
    <w:rsid w:val="00954B7E"/>
    <w:rsid w:val="00954D02"/>
    <w:rsid w:val="00954D9C"/>
    <w:rsid w:val="00954FCE"/>
    <w:rsid w:val="00955294"/>
    <w:rsid w:val="009553BE"/>
    <w:rsid w:val="009558CF"/>
    <w:rsid w:val="00955BBD"/>
    <w:rsid w:val="00956528"/>
    <w:rsid w:val="0095679A"/>
    <w:rsid w:val="009568B0"/>
    <w:rsid w:val="00956B5E"/>
    <w:rsid w:val="00956D7A"/>
    <w:rsid w:val="00956ED1"/>
    <w:rsid w:val="0095725E"/>
    <w:rsid w:val="009573F4"/>
    <w:rsid w:val="0095772E"/>
    <w:rsid w:val="00957A2F"/>
    <w:rsid w:val="00957E86"/>
    <w:rsid w:val="00957F64"/>
    <w:rsid w:val="0096008F"/>
    <w:rsid w:val="00960148"/>
    <w:rsid w:val="009601A7"/>
    <w:rsid w:val="009610C4"/>
    <w:rsid w:val="00961239"/>
    <w:rsid w:val="0096167F"/>
    <w:rsid w:val="00961957"/>
    <w:rsid w:val="00961D6C"/>
    <w:rsid w:val="00961E2F"/>
    <w:rsid w:val="00962384"/>
    <w:rsid w:val="00962569"/>
    <w:rsid w:val="0096278E"/>
    <w:rsid w:val="009629E2"/>
    <w:rsid w:val="00962D3E"/>
    <w:rsid w:val="0096309F"/>
    <w:rsid w:val="009630BC"/>
    <w:rsid w:val="00963259"/>
    <w:rsid w:val="0096337A"/>
    <w:rsid w:val="009633B9"/>
    <w:rsid w:val="009633CF"/>
    <w:rsid w:val="00963759"/>
    <w:rsid w:val="00963E0A"/>
    <w:rsid w:val="00963E8E"/>
    <w:rsid w:val="00964469"/>
    <w:rsid w:val="00964681"/>
    <w:rsid w:val="00964884"/>
    <w:rsid w:val="009648CF"/>
    <w:rsid w:val="00964AF3"/>
    <w:rsid w:val="00964B0C"/>
    <w:rsid w:val="009650E6"/>
    <w:rsid w:val="0096512B"/>
    <w:rsid w:val="0096516A"/>
    <w:rsid w:val="009651E8"/>
    <w:rsid w:val="00965450"/>
    <w:rsid w:val="009655BE"/>
    <w:rsid w:val="00965655"/>
    <w:rsid w:val="0096568C"/>
    <w:rsid w:val="00965CA2"/>
    <w:rsid w:val="00966185"/>
    <w:rsid w:val="009661B9"/>
    <w:rsid w:val="009663B4"/>
    <w:rsid w:val="00966965"/>
    <w:rsid w:val="00966A35"/>
    <w:rsid w:val="00966A38"/>
    <w:rsid w:val="00966B2C"/>
    <w:rsid w:val="00966D47"/>
    <w:rsid w:val="00966DC2"/>
    <w:rsid w:val="00966FDC"/>
    <w:rsid w:val="00967551"/>
    <w:rsid w:val="00967A26"/>
    <w:rsid w:val="00967BAD"/>
    <w:rsid w:val="00967E43"/>
    <w:rsid w:val="009701B0"/>
    <w:rsid w:val="00970221"/>
    <w:rsid w:val="00970251"/>
    <w:rsid w:val="00970A8F"/>
    <w:rsid w:val="00970B97"/>
    <w:rsid w:val="0097147E"/>
    <w:rsid w:val="00971521"/>
    <w:rsid w:val="009715EA"/>
    <w:rsid w:val="00971690"/>
    <w:rsid w:val="00971A74"/>
    <w:rsid w:val="00971ADE"/>
    <w:rsid w:val="00971DA0"/>
    <w:rsid w:val="00971E0E"/>
    <w:rsid w:val="00972047"/>
    <w:rsid w:val="009726B1"/>
    <w:rsid w:val="00972779"/>
    <w:rsid w:val="00972C3F"/>
    <w:rsid w:val="00973323"/>
    <w:rsid w:val="0097347B"/>
    <w:rsid w:val="009738E6"/>
    <w:rsid w:val="009739D8"/>
    <w:rsid w:val="00973BD5"/>
    <w:rsid w:val="00973D1C"/>
    <w:rsid w:val="00973DE9"/>
    <w:rsid w:val="00973E31"/>
    <w:rsid w:val="0097438A"/>
    <w:rsid w:val="009744C6"/>
    <w:rsid w:val="009744EC"/>
    <w:rsid w:val="009745C3"/>
    <w:rsid w:val="00974605"/>
    <w:rsid w:val="00974CAC"/>
    <w:rsid w:val="00975056"/>
    <w:rsid w:val="0097568B"/>
    <w:rsid w:val="00975ACF"/>
    <w:rsid w:val="00975D1F"/>
    <w:rsid w:val="00975E93"/>
    <w:rsid w:val="00976191"/>
    <w:rsid w:val="0097625F"/>
    <w:rsid w:val="0097672F"/>
    <w:rsid w:val="00976757"/>
    <w:rsid w:val="009769B1"/>
    <w:rsid w:val="00976A43"/>
    <w:rsid w:val="0097704E"/>
    <w:rsid w:val="0097745B"/>
    <w:rsid w:val="0097752F"/>
    <w:rsid w:val="009775CD"/>
    <w:rsid w:val="0097795B"/>
    <w:rsid w:val="00980419"/>
    <w:rsid w:val="00980582"/>
    <w:rsid w:val="00980678"/>
    <w:rsid w:val="0098086F"/>
    <w:rsid w:val="00980A04"/>
    <w:rsid w:val="00980CAB"/>
    <w:rsid w:val="00980DE0"/>
    <w:rsid w:val="00980F5F"/>
    <w:rsid w:val="009812B7"/>
    <w:rsid w:val="009812D2"/>
    <w:rsid w:val="009813E6"/>
    <w:rsid w:val="00981401"/>
    <w:rsid w:val="00981437"/>
    <w:rsid w:val="0098154D"/>
    <w:rsid w:val="009815C6"/>
    <w:rsid w:val="00981742"/>
    <w:rsid w:val="00981979"/>
    <w:rsid w:val="00981A11"/>
    <w:rsid w:val="00981B5B"/>
    <w:rsid w:val="00981BAA"/>
    <w:rsid w:val="0098214F"/>
    <w:rsid w:val="00982158"/>
    <w:rsid w:val="00982216"/>
    <w:rsid w:val="00982654"/>
    <w:rsid w:val="009826DF"/>
    <w:rsid w:val="009828FC"/>
    <w:rsid w:val="00982923"/>
    <w:rsid w:val="00982BA8"/>
    <w:rsid w:val="00982BF7"/>
    <w:rsid w:val="009830AE"/>
    <w:rsid w:val="0098339F"/>
    <w:rsid w:val="0098355A"/>
    <w:rsid w:val="00983AE2"/>
    <w:rsid w:val="009840C4"/>
    <w:rsid w:val="00984B80"/>
    <w:rsid w:val="00984DCC"/>
    <w:rsid w:val="00984F42"/>
    <w:rsid w:val="0098549B"/>
    <w:rsid w:val="0098569F"/>
    <w:rsid w:val="009856E2"/>
    <w:rsid w:val="0098572D"/>
    <w:rsid w:val="00985981"/>
    <w:rsid w:val="00985AF7"/>
    <w:rsid w:val="00985C65"/>
    <w:rsid w:val="00985F51"/>
    <w:rsid w:val="009860B4"/>
    <w:rsid w:val="00986460"/>
    <w:rsid w:val="00986A60"/>
    <w:rsid w:val="00986A88"/>
    <w:rsid w:val="00986BC5"/>
    <w:rsid w:val="00986F76"/>
    <w:rsid w:val="009870DB"/>
    <w:rsid w:val="00987252"/>
    <w:rsid w:val="009876DB"/>
    <w:rsid w:val="00987B8E"/>
    <w:rsid w:val="00987C6F"/>
    <w:rsid w:val="00987E3A"/>
    <w:rsid w:val="0099009A"/>
    <w:rsid w:val="00990260"/>
    <w:rsid w:val="00990ADA"/>
    <w:rsid w:val="00990B38"/>
    <w:rsid w:val="00990CD9"/>
    <w:rsid w:val="00991124"/>
    <w:rsid w:val="00991127"/>
    <w:rsid w:val="009917B7"/>
    <w:rsid w:val="009919D0"/>
    <w:rsid w:val="00991BC7"/>
    <w:rsid w:val="00991D77"/>
    <w:rsid w:val="00992117"/>
    <w:rsid w:val="00992458"/>
    <w:rsid w:val="00992EEC"/>
    <w:rsid w:val="009930E5"/>
    <w:rsid w:val="00993391"/>
    <w:rsid w:val="009935D6"/>
    <w:rsid w:val="009935F6"/>
    <w:rsid w:val="00993D3E"/>
    <w:rsid w:val="00993EF6"/>
    <w:rsid w:val="00993EFA"/>
    <w:rsid w:val="009947E0"/>
    <w:rsid w:val="00994B7F"/>
    <w:rsid w:val="00994E74"/>
    <w:rsid w:val="009950A5"/>
    <w:rsid w:val="00995316"/>
    <w:rsid w:val="009953A7"/>
    <w:rsid w:val="00995AF6"/>
    <w:rsid w:val="00995CD7"/>
    <w:rsid w:val="00995F14"/>
    <w:rsid w:val="00995F50"/>
    <w:rsid w:val="0099627E"/>
    <w:rsid w:val="00996346"/>
    <w:rsid w:val="00996A7B"/>
    <w:rsid w:val="009972EC"/>
    <w:rsid w:val="009978FD"/>
    <w:rsid w:val="009979E6"/>
    <w:rsid w:val="00997B85"/>
    <w:rsid w:val="00997DEF"/>
    <w:rsid w:val="009A02AE"/>
    <w:rsid w:val="009A02D4"/>
    <w:rsid w:val="009A04D9"/>
    <w:rsid w:val="009A0864"/>
    <w:rsid w:val="009A0BEF"/>
    <w:rsid w:val="009A0E21"/>
    <w:rsid w:val="009A1094"/>
    <w:rsid w:val="009A10E8"/>
    <w:rsid w:val="009A111F"/>
    <w:rsid w:val="009A112A"/>
    <w:rsid w:val="009A1145"/>
    <w:rsid w:val="009A12BB"/>
    <w:rsid w:val="009A12D7"/>
    <w:rsid w:val="009A1612"/>
    <w:rsid w:val="009A164A"/>
    <w:rsid w:val="009A1816"/>
    <w:rsid w:val="009A1A8D"/>
    <w:rsid w:val="009A1B15"/>
    <w:rsid w:val="009A1BBD"/>
    <w:rsid w:val="009A1BD1"/>
    <w:rsid w:val="009A1BE2"/>
    <w:rsid w:val="009A1D6C"/>
    <w:rsid w:val="009A1E24"/>
    <w:rsid w:val="009A1E8E"/>
    <w:rsid w:val="009A1FBA"/>
    <w:rsid w:val="009A1FD4"/>
    <w:rsid w:val="009A2020"/>
    <w:rsid w:val="009A231E"/>
    <w:rsid w:val="009A239B"/>
    <w:rsid w:val="009A23E5"/>
    <w:rsid w:val="009A26DD"/>
    <w:rsid w:val="009A28B8"/>
    <w:rsid w:val="009A2B04"/>
    <w:rsid w:val="009A32F9"/>
    <w:rsid w:val="009A3909"/>
    <w:rsid w:val="009A3A89"/>
    <w:rsid w:val="009A3E76"/>
    <w:rsid w:val="009A3ED6"/>
    <w:rsid w:val="009A3F64"/>
    <w:rsid w:val="009A3FC9"/>
    <w:rsid w:val="009A4241"/>
    <w:rsid w:val="009A45E6"/>
    <w:rsid w:val="009A4C20"/>
    <w:rsid w:val="009A4DCC"/>
    <w:rsid w:val="009A4F5F"/>
    <w:rsid w:val="009A5637"/>
    <w:rsid w:val="009A5C83"/>
    <w:rsid w:val="009A5DB8"/>
    <w:rsid w:val="009A637B"/>
    <w:rsid w:val="009A711A"/>
    <w:rsid w:val="009A730F"/>
    <w:rsid w:val="009A758E"/>
    <w:rsid w:val="009A7E65"/>
    <w:rsid w:val="009A7EFF"/>
    <w:rsid w:val="009A7FF3"/>
    <w:rsid w:val="009B033C"/>
    <w:rsid w:val="009B09DE"/>
    <w:rsid w:val="009B0A63"/>
    <w:rsid w:val="009B0C21"/>
    <w:rsid w:val="009B0C6B"/>
    <w:rsid w:val="009B19B5"/>
    <w:rsid w:val="009B1D05"/>
    <w:rsid w:val="009B20FB"/>
    <w:rsid w:val="009B2166"/>
    <w:rsid w:val="009B26CB"/>
    <w:rsid w:val="009B288B"/>
    <w:rsid w:val="009B2A9E"/>
    <w:rsid w:val="009B2BBF"/>
    <w:rsid w:val="009B2ED2"/>
    <w:rsid w:val="009B2FE9"/>
    <w:rsid w:val="009B3021"/>
    <w:rsid w:val="009B3106"/>
    <w:rsid w:val="009B33B0"/>
    <w:rsid w:val="009B3579"/>
    <w:rsid w:val="009B3717"/>
    <w:rsid w:val="009B3764"/>
    <w:rsid w:val="009B3EFE"/>
    <w:rsid w:val="009B40ED"/>
    <w:rsid w:val="009B4189"/>
    <w:rsid w:val="009B4413"/>
    <w:rsid w:val="009B44E0"/>
    <w:rsid w:val="009B4657"/>
    <w:rsid w:val="009B47D9"/>
    <w:rsid w:val="009B5652"/>
    <w:rsid w:val="009B584D"/>
    <w:rsid w:val="009B5A4F"/>
    <w:rsid w:val="009B60C3"/>
    <w:rsid w:val="009B6281"/>
    <w:rsid w:val="009B638C"/>
    <w:rsid w:val="009B642D"/>
    <w:rsid w:val="009B658A"/>
    <w:rsid w:val="009B6895"/>
    <w:rsid w:val="009B6A0F"/>
    <w:rsid w:val="009B6BE9"/>
    <w:rsid w:val="009B6D62"/>
    <w:rsid w:val="009B7603"/>
    <w:rsid w:val="009B7761"/>
    <w:rsid w:val="009B7C77"/>
    <w:rsid w:val="009B7CC7"/>
    <w:rsid w:val="009B7F83"/>
    <w:rsid w:val="009C010D"/>
    <w:rsid w:val="009C01F5"/>
    <w:rsid w:val="009C0565"/>
    <w:rsid w:val="009C0666"/>
    <w:rsid w:val="009C0695"/>
    <w:rsid w:val="009C09DF"/>
    <w:rsid w:val="009C0A84"/>
    <w:rsid w:val="009C0ABC"/>
    <w:rsid w:val="009C0B12"/>
    <w:rsid w:val="009C1366"/>
    <w:rsid w:val="009C17DF"/>
    <w:rsid w:val="009C1821"/>
    <w:rsid w:val="009C1BE1"/>
    <w:rsid w:val="009C1BE5"/>
    <w:rsid w:val="009C24A6"/>
    <w:rsid w:val="009C2676"/>
    <w:rsid w:val="009C295B"/>
    <w:rsid w:val="009C29FA"/>
    <w:rsid w:val="009C2A3E"/>
    <w:rsid w:val="009C2F96"/>
    <w:rsid w:val="009C348D"/>
    <w:rsid w:val="009C375D"/>
    <w:rsid w:val="009C378A"/>
    <w:rsid w:val="009C3A0B"/>
    <w:rsid w:val="009C3A23"/>
    <w:rsid w:val="009C3B62"/>
    <w:rsid w:val="009C3B88"/>
    <w:rsid w:val="009C3DF5"/>
    <w:rsid w:val="009C4012"/>
    <w:rsid w:val="009C4227"/>
    <w:rsid w:val="009C4433"/>
    <w:rsid w:val="009C46FC"/>
    <w:rsid w:val="009C4AF3"/>
    <w:rsid w:val="009C4B10"/>
    <w:rsid w:val="009C4C0E"/>
    <w:rsid w:val="009C4C79"/>
    <w:rsid w:val="009C4CCC"/>
    <w:rsid w:val="009C4E1F"/>
    <w:rsid w:val="009C4E76"/>
    <w:rsid w:val="009C4F1F"/>
    <w:rsid w:val="009C505F"/>
    <w:rsid w:val="009C52FE"/>
    <w:rsid w:val="009C555B"/>
    <w:rsid w:val="009C5E57"/>
    <w:rsid w:val="009C657E"/>
    <w:rsid w:val="009C6A4C"/>
    <w:rsid w:val="009C6D24"/>
    <w:rsid w:val="009C6E6A"/>
    <w:rsid w:val="009C6EC2"/>
    <w:rsid w:val="009C7207"/>
    <w:rsid w:val="009C75F0"/>
    <w:rsid w:val="009C773A"/>
    <w:rsid w:val="009C7A16"/>
    <w:rsid w:val="009C7DDF"/>
    <w:rsid w:val="009C7EBF"/>
    <w:rsid w:val="009D05E5"/>
    <w:rsid w:val="009D0656"/>
    <w:rsid w:val="009D0714"/>
    <w:rsid w:val="009D0793"/>
    <w:rsid w:val="009D098F"/>
    <w:rsid w:val="009D09B4"/>
    <w:rsid w:val="009D0C5C"/>
    <w:rsid w:val="009D0F57"/>
    <w:rsid w:val="009D12D1"/>
    <w:rsid w:val="009D132E"/>
    <w:rsid w:val="009D1461"/>
    <w:rsid w:val="009D14AA"/>
    <w:rsid w:val="009D1503"/>
    <w:rsid w:val="009D18DA"/>
    <w:rsid w:val="009D1A6D"/>
    <w:rsid w:val="009D1ACF"/>
    <w:rsid w:val="009D1BD8"/>
    <w:rsid w:val="009D220F"/>
    <w:rsid w:val="009D25D7"/>
    <w:rsid w:val="009D2623"/>
    <w:rsid w:val="009D265F"/>
    <w:rsid w:val="009D269C"/>
    <w:rsid w:val="009D28D1"/>
    <w:rsid w:val="009D2A30"/>
    <w:rsid w:val="009D2A74"/>
    <w:rsid w:val="009D2C20"/>
    <w:rsid w:val="009D327B"/>
    <w:rsid w:val="009D3669"/>
    <w:rsid w:val="009D3AF5"/>
    <w:rsid w:val="009D3B88"/>
    <w:rsid w:val="009D40F9"/>
    <w:rsid w:val="009D429E"/>
    <w:rsid w:val="009D42CF"/>
    <w:rsid w:val="009D4432"/>
    <w:rsid w:val="009D4536"/>
    <w:rsid w:val="009D45B7"/>
    <w:rsid w:val="009D4BA6"/>
    <w:rsid w:val="009D4C4E"/>
    <w:rsid w:val="009D4FFE"/>
    <w:rsid w:val="009D51A4"/>
    <w:rsid w:val="009D55A0"/>
    <w:rsid w:val="009D59B0"/>
    <w:rsid w:val="009D5EB1"/>
    <w:rsid w:val="009D5ED6"/>
    <w:rsid w:val="009D6127"/>
    <w:rsid w:val="009D61B3"/>
    <w:rsid w:val="009D61D3"/>
    <w:rsid w:val="009D62E0"/>
    <w:rsid w:val="009D671E"/>
    <w:rsid w:val="009D674D"/>
    <w:rsid w:val="009D6964"/>
    <w:rsid w:val="009D6F48"/>
    <w:rsid w:val="009D7106"/>
    <w:rsid w:val="009D7B1B"/>
    <w:rsid w:val="009D7EA0"/>
    <w:rsid w:val="009E024A"/>
    <w:rsid w:val="009E03F8"/>
    <w:rsid w:val="009E04D8"/>
    <w:rsid w:val="009E0756"/>
    <w:rsid w:val="009E09F5"/>
    <w:rsid w:val="009E0EEE"/>
    <w:rsid w:val="009E115B"/>
    <w:rsid w:val="009E13F9"/>
    <w:rsid w:val="009E1BD5"/>
    <w:rsid w:val="009E1CEC"/>
    <w:rsid w:val="009E1E3F"/>
    <w:rsid w:val="009E1FA6"/>
    <w:rsid w:val="009E2020"/>
    <w:rsid w:val="009E2202"/>
    <w:rsid w:val="009E22B5"/>
    <w:rsid w:val="009E24D2"/>
    <w:rsid w:val="009E2574"/>
    <w:rsid w:val="009E26AC"/>
    <w:rsid w:val="009E2800"/>
    <w:rsid w:val="009E2C97"/>
    <w:rsid w:val="009E2F14"/>
    <w:rsid w:val="009E2F1B"/>
    <w:rsid w:val="009E30E5"/>
    <w:rsid w:val="009E31DD"/>
    <w:rsid w:val="009E3361"/>
    <w:rsid w:val="009E3395"/>
    <w:rsid w:val="009E33E1"/>
    <w:rsid w:val="009E381F"/>
    <w:rsid w:val="009E3B09"/>
    <w:rsid w:val="009E3B6F"/>
    <w:rsid w:val="009E3F8F"/>
    <w:rsid w:val="009E4041"/>
    <w:rsid w:val="009E424E"/>
    <w:rsid w:val="009E4297"/>
    <w:rsid w:val="009E597A"/>
    <w:rsid w:val="009E5DC6"/>
    <w:rsid w:val="009E5E76"/>
    <w:rsid w:val="009E6093"/>
    <w:rsid w:val="009E614D"/>
    <w:rsid w:val="009E614F"/>
    <w:rsid w:val="009E6312"/>
    <w:rsid w:val="009E63CF"/>
    <w:rsid w:val="009E6449"/>
    <w:rsid w:val="009E64EE"/>
    <w:rsid w:val="009E6532"/>
    <w:rsid w:val="009E6C69"/>
    <w:rsid w:val="009E7104"/>
    <w:rsid w:val="009E72AC"/>
    <w:rsid w:val="009E7880"/>
    <w:rsid w:val="009E7BF2"/>
    <w:rsid w:val="009E7C6B"/>
    <w:rsid w:val="009E7D5A"/>
    <w:rsid w:val="009F02E5"/>
    <w:rsid w:val="009F060F"/>
    <w:rsid w:val="009F06DB"/>
    <w:rsid w:val="009F0874"/>
    <w:rsid w:val="009F1124"/>
    <w:rsid w:val="009F17E1"/>
    <w:rsid w:val="009F1C53"/>
    <w:rsid w:val="009F1CE7"/>
    <w:rsid w:val="009F20AC"/>
    <w:rsid w:val="009F21CC"/>
    <w:rsid w:val="009F22F7"/>
    <w:rsid w:val="009F2367"/>
    <w:rsid w:val="009F28C1"/>
    <w:rsid w:val="009F2C43"/>
    <w:rsid w:val="009F2E76"/>
    <w:rsid w:val="009F2EFE"/>
    <w:rsid w:val="009F324E"/>
    <w:rsid w:val="009F32E4"/>
    <w:rsid w:val="009F331E"/>
    <w:rsid w:val="009F333C"/>
    <w:rsid w:val="009F3342"/>
    <w:rsid w:val="009F3377"/>
    <w:rsid w:val="009F34F8"/>
    <w:rsid w:val="009F3653"/>
    <w:rsid w:val="009F365F"/>
    <w:rsid w:val="009F36F7"/>
    <w:rsid w:val="009F3CBC"/>
    <w:rsid w:val="009F3DB6"/>
    <w:rsid w:val="009F40D0"/>
    <w:rsid w:val="009F44AD"/>
    <w:rsid w:val="009F47CC"/>
    <w:rsid w:val="009F4B0E"/>
    <w:rsid w:val="009F4C10"/>
    <w:rsid w:val="009F4EB8"/>
    <w:rsid w:val="009F514C"/>
    <w:rsid w:val="009F5225"/>
    <w:rsid w:val="009F52C2"/>
    <w:rsid w:val="009F531E"/>
    <w:rsid w:val="009F5C25"/>
    <w:rsid w:val="009F5DA0"/>
    <w:rsid w:val="009F62E7"/>
    <w:rsid w:val="009F69EC"/>
    <w:rsid w:val="009F6B8E"/>
    <w:rsid w:val="009F6BF3"/>
    <w:rsid w:val="009F7506"/>
    <w:rsid w:val="009F786E"/>
    <w:rsid w:val="009F7CEC"/>
    <w:rsid w:val="00A00477"/>
    <w:rsid w:val="00A005D0"/>
    <w:rsid w:val="00A00AA8"/>
    <w:rsid w:val="00A00F76"/>
    <w:rsid w:val="00A0128C"/>
    <w:rsid w:val="00A013D7"/>
    <w:rsid w:val="00A01531"/>
    <w:rsid w:val="00A01A69"/>
    <w:rsid w:val="00A01E98"/>
    <w:rsid w:val="00A020E2"/>
    <w:rsid w:val="00A026D0"/>
    <w:rsid w:val="00A02C77"/>
    <w:rsid w:val="00A02D7C"/>
    <w:rsid w:val="00A0385C"/>
    <w:rsid w:val="00A03B7B"/>
    <w:rsid w:val="00A03C9A"/>
    <w:rsid w:val="00A042F8"/>
    <w:rsid w:val="00A043A1"/>
    <w:rsid w:val="00A046B7"/>
    <w:rsid w:val="00A04A39"/>
    <w:rsid w:val="00A04DD3"/>
    <w:rsid w:val="00A0506A"/>
    <w:rsid w:val="00A0596A"/>
    <w:rsid w:val="00A05BF8"/>
    <w:rsid w:val="00A05D30"/>
    <w:rsid w:val="00A05E90"/>
    <w:rsid w:val="00A06019"/>
    <w:rsid w:val="00A0608E"/>
    <w:rsid w:val="00A06250"/>
    <w:rsid w:val="00A06356"/>
    <w:rsid w:val="00A06A68"/>
    <w:rsid w:val="00A06DDC"/>
    <w:rsid w:val="00A073AA"/>
    <w:rsid w:val="00A07515"/>
    <w:rsid w:val="00A07A71"/>
    <w:rsid w:val="00A07A9D"/>
    <w:rsid w:val="00A07AED"/>
    <w:rsid w:val="00A07FBC"/>
    <w:rsid w:val="00A1018A"/>
    <w:rsid w:val="00A10A0B"/>
    <w:rsid w:val="00A10F5B"/>
    <w:rsid w:val="00A10FF3"/>
    <w:rsid w:val="00A11268"/>
    <w:rsid w:val="00A113BB"/>
    <w:rsid w:val="00A11433"/>
    <w:rsid w:val="00A116E2"/>
    <w:rsid w:val="00A1170C"/>
    <w:rsid w:val="00A11AC0"/>
    <w:rsid w:val="00A11BDA"/>
    <w:rsid w:val="00A11CD9"/>
    <w:rsid w:val="00A11EC3"/>
    <w:rsid w:val="00A11EEA"/>
    <w:rsid w:val="00A11F37"/>
    <w:rsid w:val="00A1210D"/>
    <w:rsid w:val="00A128FD"/>
    <w:rsid w:val="00A12A96"/>
    <w:rsid w:val="00A12BE9"/>
    <w:rsid w:val="00A12BF6"/>
    <w:rsid w:val="00A12FD4"/>
    <w:rsid w:val="00A1339D"/>
    <w:rsid w:val="00A13471"/>
    <w:rsid w:val="00A138CA"/>
    <w:rsid w:val="00A14751"/>
    <w:rsid w:val="00A14D14"/>
    <w:rsid w:val="00A14E8D"/>
    <w:rsid w:val="00A15372"/>
    <w:rsid w:val="00A15608"/>
    <w:rsid w:val="00A15ED7"/>
    <w:rsid w:val="00A16278"/>
    <w:rsid w:val="00A16517"/>
    <w:rsid w:val="00A1658A"/>
    <w:rsid w:val="00A16BC3"/>
    <w:rsid w:val="00A16BE9"/>
    <w:rsid w:val="00A16C17"/>
    <w:rsid w:val="00A16CE8"/>
    <w:rsid w:val="00A16D02"/>
    <w:rsid w:val="00A16D2F"/>
    <w:rsid w:val="00A16EAB"/>
    <w:rsid w:val="00A16F01"/>
    <w:rsid w:val="00A16F94"/>
    <w:rsid w:val="00A17034"/>
    <w:rsid w:val="00A171E5"/>
    <w:rsid w:val="00A1760E"/>
    <w:rsid w:val="00A1790B"/>
    <w:rsid w:val="00A17D78"/>
    <w:rsid w:val="00A2006B"/>
    <w:rsid w:val="00A20322"/>
    <w:rsid w:val="00A20568"/>
    <w:rsid w:val="00A21286"/>
    <w:rsid w:val="00A212A8"/>
    <w:rsid w:val="00A21474"/>
    <w:rsid w:val="00A2164D"/>
    <w:rsid w:val="00A216FF"/>
    <w:rsid w:val="00A21E8D"/>
    <w:rsid w:val="00A220F9"/>
    <w:rsid w:val="00A22A68"/>
    <w:rsid w:val="00A22C1B"/>
    <w:rsid w:val="00A2315B"/>
    <w:rsid w:val="00A23252"/>
    <w:rsid w:val="00A2347C"/>
    <w:rsid w:val="00A234F2"/>
    <w:rsid w:val="00A2372A"/>
    <w:rsid w:val="00A238FE"/>
    <w:rsid w:val="00A23B04"/>
    <w:rsid w:val="00A23C59"/>
    <w:rsid w:val="00A23C5E"/>
    <w:rsid w:val="00A2414F"/>
    <w:rsid w:val="00A241D7"/>
    <w:rsid w:val="00A24621"/>
    <w:rsid w:val="00A246B3"/>
    <w:rsid w:val="00A24E39"/>
    <w:rsid w:val="00A25083"/>
    <w:rsid w:val="00A250F3"/>
    <w:rsid w:val="00A2525C"/>
    <w:rsid w:val="00A253E3"/>
    <w:rsid w:val="00A2542C"/>
    <w:rsid w:val="00A254E6"/>
    <w:rsid w:val="00A25599"/>
    <w:rsid w:val="00A25E62"/>
    <w:rsid w:val="00A25EE1"/>
    <w:rsid w:val="00A262B8"/>
    <w:rsid w:val="00A26451"/>
    <w:rsid w:val="00A26511"/>
    <w:rsid w:val="00A26791"/>
    <w:rsid w:val="00A26AA1"/>
    <w:rsid w:val="00A26ED8"/>
    <w:rsid w:val="00A2739D"/>
    <w:rsid w:val="00A273A9"/>
    <w:rsid w:val="00A27740"/>
    <w:rsid w:val="00A27784"/>
    <w:rsid w:val="00A27A88"/>
    <w:rsid w:val="00A27BA2"/>
    <w:rsid w:val="00A27C7F"/>
    <w:rsid w:val="00A27CAE"/>
    <w:rsid w:val="00A3007E"/>
    <w:rsid w:val="00A300A0"/>
    <w:rsid w:val="00A30548"/>
    <w:rsid w:val="00A308AB"/>
    <w:rsid w:val="00A30B0C"/>
    <w:rsid w:val="00A310A0"/>
    <w:rsid w:val="00A310DC"/>
    <w:rsid w:val="00A3118C"/>
    <w:rsid w:val="00A311B6"/>
    <w:rsid w:val="00A31386"/>
    <w:rsid w:val="00A3148C"/>
    <w:rsid w:val="00A31595"/>
    <w:rsid w:val="00A315DE"/>
    <w:rsid w:val="00A316B9"/>
    <w:rsid w:val="00A31A2E"/>
    <w:rsid w:val="00A31A79"/>
    <w:rsid w:val="00A32027"/>
    <w:rsid w:val="00A32262"/>
    <w:rsid w:val="00A322C2"/>
    <w:rsid w:val="00A3235D"/>
    <w:rsid w:val="00A3247D"/>
    <w:rsid w:val="00A32621"/>
    <w:rsid w:val="00A32B06"/>
    <w:rsid w:val="00A32F3E"/>
    <w:rsid w:val="00A3320B"/>
    <w:rsid w:val="00A337C3"/>
    <w:rsid w:val="00A33842"/>
    <w:rsid w:val="00A339C4"/>
    <w:rsid w:val="00A33BC3"/>
    <w:rsid w:val="00A33E25"/>
    <w:rsid w:val="00A33E8D"/>
    <w:rsid w:val="00A343FB"/>
    <w:rsid w:val="00A349AE"/>
    <w:rsid w:val="00A34E2D"/>
    <w:rsid w:val="00A35288"/>
    <w:rsid w:val="00A35A8F"/>
    <w:rsid w:val="00A35B77"/>
    <w:rsid w:val="00A35ED4"/>
    <w:rsid w:val="00A36A2E"/>
    <w:rsid w:val="00A36A6C"/>
    <w:rsid w:val="00A36D66"/>
    <w:rsid w:val="00A3743C"/>
    <w:rsid w:val="00A37939"/>
    <w:rsid w:val="00A37A3B"/>
    <w:rsid w:val="00A37B32"/>
    <w:rsid w:val="00A37E67"/>
    <w:rsid w:val="00A40502"/>
    <w:rsid w:val="00A40CD1"/>
    <w:rsid w:val="00A4196E"/>
    <w:rsid w:val="00A4198B"/>
    <w:rsid w:val="00A41E25"/>
    <w:rsid w:val="00A4257D"/>
    <w:rsid w:val="00A427E3"/>
    <w:rsid w:val="00A42B2D"/>
    <w:rsid w:val="00A42EB5"/>
    <w:rsid w:val="00A42F81"/>
    <w:rsid w:val="00A43189"/>
    <w:rsid w:val="00A431B7"/>
    <w:rsid w:val="00A43335"/>
    <w:rsid w:val="00A43850"/>
    <w:rsid w:val="00A43944"/>
    <w:rsid w:val="00A43946"/>
    <w:rsid w:val="00A43A09"/>
    <w:rsid w:val="00A44020"/>
    <w:rsid w:val="00A44116"/>
    <w:rsid w:val="00A441DE"/>
    <w:rsid w:val="00A442AF"/>
    <w:rsid w:val="00A44322"/>
    <w:rsid w:val="00A4454C"/>
    <w:rsid w:val="00A44E90"/>
    <w:rsid w:val="00A450CB"/>
    <w:rsid w:val="00A45191"/>
    <w:rsid w:val="00A4545F"/>
    <w:rsid w:val="00A455BE"/>
    <w:rsid w:val="00A45A60"/>
    <w:rsid w:val="00A460B3"/>
    <w:rsid w:val="00A466B6"/>
    <w:rsid w:val="00A466F2"/>
    <w:rsid w:val="00A468C7"/>
    <w:rsid w:val="00A468C8"/>
    <w:rsid w:val="00A46D9F"/>
    <w:rsid w:val="00A4708B"/>
    <w:rsid w:val="00A474E0"/>
    <w:rsid w:val="00A50215"/>
    <w:rsid w:val="00A5083C"/>
    <w:rsid w:val="00A50A1A"/>
    <w:rsid w:val="00A50AC0"/>
    <w:rsid w:val="00A50E9C"/>
    <w:rsid w:val="00A50FF6"/>
    <w:rsid w:val="00A511AE"/>
    <w:rsid w:val="00A511F0"/>
    <w:rsid w:val="00A51261"/>
    <w:rsid w:val="00A51B1D"/>
    <w:rsid w:val="00A51D12"/>
    <w:rsid w:val="00A51D5B"/>
    <w:rsid w:val="00A52146"/>
    <w:rsid w:val="00A52644"/>
    <w:rsid w:val="00A5271D"/>
    <w:rsid w:val="00A530D1"/>
    <w:rsid w:val="00A53ACD"/>
    <w:rsid w:val="00A53B54"/>
    <w:rsid w:val="00A53C7E"/>
    <w:rsid w:val="00A53CC5"/>
    <w:rsid w:val="00A53CFA"/>
    <w:rsid w:val="00A54098"/>
    <w:rsid w:val="00A54F3E"/>
    <w:rsid w:val="00A552BF"/>
    <w:rsid w:val="00A55335"/>
    <w:rsid w:val="00A553F1"/>
    <w:rsid w:val="00A556A1"/>
    <w:rsid w:val="00A56134"/>
    <w:rsid w:val="00A5644F"/>
    <w:rsid w:val="00A567AF"/>
    <w:rsid w:val="00A56998"/>
    <w:rsid w:val="00A57827"/>
    <w:rsid w:val="00A578F8"/>
    <w:rsid w:val="00A57A4A"/>
    <w:rsid w:val="00A57B13"/>
    <w:rsid w:val="00A57C65"/>
    <w:rsid w:val="00A57ECC"/>
    <w:rsid w:val="00A60003"/>
    <w:rsid w:val="00A6008A"/>
    <w:rsid w:val="00A600AF"/>
    <w:rsid w:val="00A6031C"/>
    <w:rsid w:val="00A603B6"/>
    <w:rsid w:val="00A606F3"/>
    <w:rsid w:val="00A60AA0"/>
    <w:rsid w:val="00A60EB5"/>
    <w:rsid w:val="00A61164"/>
    <w:rsid w:val="00A61295"/>
    <w:rsid w:val="00A61652"/>
    <w:rsid w:val="00A61B43"/>
    <w:rsid w:val="00A61CE9"/>
    <w:rsid w:val="00A61E5F"/>
    <w:rsid w:val="00A61F3B"/>
    <w:rsid w:val="00A62011"/>
    <w:rsid w:val="00A6242E"/>
    <w:rsid w:val="00A62599"/>
    <w:rsid w:val="00A628F6"/>
    <w:rsid w:val="00A6292E"/>
    <w:rsid w:val="00A62B56"/>
    <w:rsid w:val="00A62B5E"/>
    <w:rsid w:val="00A62B97"/>
    <w:rsid w:val="00A62C17"/>
    <w:rsid w:val="00A62C2F"/>
    <w:rsid w:val="00A62CFF"/>
    <w:rsid w:val="00A62F02"/>
    <w:rsid w:val="00A62F49"/>
    <w:rsid w:val="00A63805"/>
    <w:rsid w:val="00A6460B"/>
    <w:rsid w:val="00A64631"/>
    <w:rsid w:val="00A64A4B"/>
    <w:rsid w:val="00A64DA7"/>
    <w:rsid w:val="00A65845"/>
    <w:rsid w:val="00A65B3B"/>
    <w:rsid w:val="00A65BE1"/>
    <w:rsid w:val="00A65C49"/>
    <w:rsid w:val="00A65C54"/>
    <w:rsid w:val="00A66246"/>
    <w:rsid w:val="00A668A7"/>
    <w:rsid w:val="00A66B4F"/>
    <w:rsid w:val="00A6719E"/>
    <w:rsid w:val="00A67344"/>
    <w:rsid w:val="00A67835"/>
    <w:rsid w:val="00A67B61"/>
    <w:rsid w:val="00A67B7D"/>
    <w:rsid w:val="00A707EC"/>
    <w:rsid w:val="00A70930"/>
    <w:rsid w:val="00A70B5A"/>
    <w:rsid w:val="00A70C21"/>
    <w:rsid w:val="00A70C34"/>
    <w:rsid w:val="00A70CAD"/>
    <w:rsid w:val="00A71193"/>
    <w:rsid w:val="00A71234"/>
    <w:rsid w:val="00A715A9"/>
    <w:rsid w:val="00A715AE"/>
    <w:rsid w:val="00A716FE"/>
    <w:rsid w:val="00A71767"/>
    <w:rsid w:val="00A71FFD"/>
    <w:rsid w:val="00A720AD"/>
    <w:rsid w:val="00A72170"/>
    <w:rsid w:val="00A7237E"/>
    <w:rsid w:val="00A72A4F"/>
    <w:rsid w:val="00A72BF4"/>
    <w:rsid w:val="00A72D4F"/>
    <w:rsid w:val="00A72F03"/>
    <w:rsid w:val="00A73107"/>
    <w:rsid w:val="00A7395B"/>
    <w:rsid w:val="00A73A4C"/>
    <w:rsid w:val="00A73B47"/>
    <w:rsid w:val="00A73BE4"/>
    <w:rsid w:val="00A73CF0"/>
    <w:rsid w:val="00A73D1B"/>
    <w:rsid w:val="00A73EC0"/>
    <w:rsid w:val="00A74362"/>
    <w:rsid w:val="00A74502"/>
    <w:rsid w:val="00A74B35"/>
    <w:rsid w:val="00A74BF4"/>
    <w:rsid w:val="00A74E5D"/>
    <w:rsid w:val="00A7504D"/>
    <w:rsid w:val="00A75674"/>
    <w:rsid w:val="00A756E4"/>
    <w:rsid w:val="00A75763"/>
    <w:rsid w:val="00A7580D"/>
    <w:rsid w:val="00A75D1D"/>
    <w:rsid w:val="00A75D45"/>
    <w:rsid w:val="00A75DB1"/>
    <w:rsid w:val="00A75E6A"/>
    <w:rsid w:val="00A75ED7"/>
    <w:rsid w:val="00A75FE3"/>
    <w:rsid w:val="00A76153"/>
    <w:rsid w:val="00A76E63"/>
    <w:rsid w:val="00A77639"/>
    <w:rsid w:val="00A779ED"/>
    <w:rsid w:val="00A77F01"/>
    <w:rsid w:val="00A8013A"/>
    <w:rsid w:val="00A80147"/>
    <w:rsid w:val="00A80635"/>
    <w:rsid w:val="00A808C6"/>
    <w:rsid w:val="00A808EC"/>
    <w:rsid w:val="00A80EAE"/>
    <w:rsid w:val="00A80F5B"/>
    <w:rsid w:val="00A811D5"/>
    <w:rsid w:val="00A8124D"/>
    <w:rsid w:val="00A8151E"/>
    <w:rsid w:val="00A8189E"/>
    <w:rsid w:val="00A81950"/>
    <w:rsid w:val="00A81BDA"/>
    <w:rsid w:val="00A81D38"/>
    <w:rsid w:val="00A81DCF"/>
    <w:rsid w:val="00A82014"/>
    <w:rsid w:val="00A82295"/>
    <w:rsid w:val="00A82357"/>
    <w:rsid w:val="00A8292A"/>
    <w:rsid w:val="00A82A3B"/>
    <w:rsid w:val="00A834F1"/>
    <w:rsid w:val="00A83889"/>
    <w:rsid w:val="00A838FE"/>
    <w:rsid w:val="00A83AFB"/>
    <w:rsid w:val="00A83D30"/>
    <w:rsid w:val="00A83FA2"/>
    <w:rsid w:val="00A84211"/>
    <w:rsid w:val="00A84256"/>
    <w:rsid w:val="00A843D8"/>
    <w:rsid w:val="00A84B56"/>
    <w:rsid w:val="00A84BFC"/>
    <w:rsid w:val="00A84F80"/>
    <w:rsid w:val="00A850AB"/>
    <w:rsid w:val="00A85199"/>
    <w:rsid w:val="00A854EA"/>
    <w:rsid w:val="00A85CDA"/>
    <w:rsid w:val="00A86034"/>
    <w:rsid w:val="00A86127"/>
    <w:rsid w:val="00A8620C"/>
    <w:rsid w:val="00A86337"/>
    <w:rsid w:val="00A864CB"/>
    <w:rsid w:val="00A864CE"/>
    <w:rsid w:val="00A86741"/>
    <w:rsid w:val="00A8685C"/>
    <w:rsid w:val="00A86AF9"/>
    <w:rsid w:val="00A86B8E"/>
    <w:rsid w:val="00A86CF8"/>
    <w:rsid w:val="00A874EB"/>
    <w:rsid w:val="00A875E9"/>
    <w:rsid w:val="00A87AEC"/>
    <w:rsid w:val="00A87D92"/>
    <w:rsid w:val="00A87E7A"/>
    <w:rsid w:val="00A87FFD"/>
    <w:rsid w:val="00A90D19"/>
    <w:rsid w:val="00A90ED1"/>
    <w:rsid w:val="00A911AB"/>
    <w:rsid w:val="00A913D6"/>
    <w:rsid w:val="00A91437"/>
    <w:rsid w:val="00A9157F"/>
    <w:rsid w:val="00A917E4"/>
    <w:rsid w:val="00A91818"/>
    <w:rsid w:val="00A921ED"/>
    <w:rsid w:val="00A92243"/>
    <w:rsid w:val="00A927FF"/>
    <w:rsid w:val="00A92B0C"/>
    <w:rsid w:val="00A92B6A"/>
    <w:rsid w:val="00A92FB6"/>
    <w:rsid w:val="00A9336E"/>
    <w:rsid w:val="00A933FB"/>
    <w:rsid w:val="00A935C3"/>
    <w:rsid w:val="00A937E5"/>
    <w:rsid w:val="00A9383B"/>
    <w:rsid w:val="00A9399A"/>
    <w:rsid w:val="00A93EF4"/>
    <w:rsid w:val="00A93F70"/>
    <w:rsid w:val="00A9420B"/>
    <w:rsid w:val="00A9426E"/>
    <w:rsid w:val="00A94CCD"/>
    <w:rsid w:val="00A94D82"/>
    <w:rsid w:val="00A94F05"/>
    <w:rsid w:val="00A9583D"/>
    <w:rsid w:val="00A95903"/>
    <w:rsid w:val="00A95938"/>
    <w:rsid w:val="00A95988"/>
    <w:rsid w:val="00A95BAD"/>
    <w:rsid w:val="00A95CD4"/>
    <w:rsid w:val="00A96082"/>
    <w:rsid w:val="00A96EAF"/>
    <w:rsid w:val="00A9709F"/>
    <w:rsid w:val="00A9724C"/>
    <w:rsid w:val="00A9798A"/>
    <w:rsid w:val="00A979C0"/>
    <w:rsid w:val="00A97F4E"/>
    <w:rsid w:val="00AA010F"/>
    <w:rsid w:val="00AA0505"/>
    <w:rsid w:val="00AA0875"/>
    <w:rsid w:val="00AA098D"/>
    <w:rsid w:val="00AA0B34"/>
    <w:rsid w:val="00AA0FA7"/>
    <w:rsid w:val="00AA102C"/>
    <w:rsid w:val="00AA13B0"/>
    <w:rsid w:val="00AA14F2"/>
    <w:rsid w:val="00AA16B2"/>
    <w:rsid w:val="00AA18A7"/>
    <w:rsid w:val="00AA18D9"/>
    <w:rsid w:val="00AA1CA9"/>
    <w:rsid w:val="00AA25F9"/>
    <w:rsid w:val="00AA278D"/>
    <w:rsid w:val="00AA2E49"/>
    <w:rsid w:val="00AA30CE"/>
    <w:rsid w:val="00AA3101"/>
    <w:rsid w:val="00AA32E6"/>
    <w:rsid w:val="00AA35AA"/>
    <w:rsid w:val="00AA3830"/>
    <w:rsid w:val="00AA3F5D"/>
    <w:rsid w:val="00AA467D"/>
    <w:rsid w:val="00AA4B0F"/>
    <w:rsid w:val="00AA4BCC"/>
    <w:rsid w:val="00AA4BE9"/>
    <w:rsid w:val="00AA5343"/>
    <w:rsid w:val="00AA5521"/>
    <w:rsid w:val="00AA55B0"/>
    <w:rsid w:val="00AA578C"/>
    <w:rsid w:val="00AA5D87"/>
    <w:rsid w:val="00AA6097"/>
    <w:rsid w:val="00AA63B6"/>
    <w:rsid w:val="00AA6571"/>
    <w:rsid w:val="00AA6782"/>
    <w:rsid w:val="00AA6DBA"/>
    <w:rsid w:val="00AA6FA2"/>
    <w:rsid w:val="00AA710A"/>
    <w:rsid w:val="00AA7234"/>
    <w:rsid w:val="00AA745D"/>
    <w:rsid w:val="00AA75AC"/>
    <w:rsid w:val="00AA76F1"/>
    <w:rsid w:val="00AA7707"/>
    <w:rsid w:val="00AA7777"/>
    <w:rsid w:val="00AB0162"/>
    <w:rsid w:val="00AB0625"/>
    <w:rsid w:val="00AB0735"/>
    <w:rsid w:val="00AB0775"/>
    <w:rsid w:val="00AB0F7F"/>
    <w:rsid w:val="00AB1283"/>
    <w:rsid w:val="00AB13FC"/>
    <w:rsid w:val="00AB13FD"/>
    <w:rsid w:val="00AB1A18"/>
    <w:rsid w:val="00AB1CB0"/>
    <w:rsid w:val="00AB1CE0"/>
    <w:rsid w:val="00AB2484"/>
    <w:rsid w:val="00AB295C"/>
    <w:rsid w:val="00AB2C92"/>
    <w:rsid w:val="00AB2F1B"/>
    <w:rsid w:val="00AB31FE"/>
    <w:rsid w:val="00AB3466"/>
    <w:rsid w:val="00AB3472"/>
    <w:rsid w:val="00AB350A"/>
    <w:rsid w:val="00AB389F"/>
    <w:rsid w:val="00AB3C42"/>
    <w:rsid w:val="00AB3D21"/>
    <w:rsid w:val="00AB3D73"/>
    <w:rsid w:val="00AB3DDC"/>
    <w:rsid w:val="00AB3F5D"/>
    <w:rsid w:val="00AB400B"/>
    <w:rsid w:val="00AB4012"/>
    <w:rsid w:val="00AB4046"/>
    <w:rsid w:val="00AB415A"/>
    <w:rsid w:val="00AB43A5"/>
    <w:rsid w:val="00AB447A"/>
    <w:rsid w:val="00AB4503"/>
    <w:rsid w:val="00AB45C8"/>
    <w:rsid w:val="00AB4644"/>
    <w:rsid w:val="00AB466B"/>
    <w:rsid w:val="00AB479B"/>
    <w:rsid w:val="00AB4928"/>
    <w:rsid w:val="00AB49AE"/>
    <w:rsid w:val="00AB4B0C"/>
    <w:rsid w:val="00AB4FCC"/>
    <w:rsid w:val="00AB5413"/>
    <w:rsid w:val="00AB57BA"/>
    <w:rsid w:val="00AB5BA3"/>
    <w:rsid w:val="00AB5FD8"/>
    <w:rsid w:val="00AB649F"/>
    <w:rsid w:val="00AB651D"/>
    <w:rsid w:val="00AB690D"/>
    <w:rsid w:val="00AB6923"/>
    <w:rsid w:val="00AB6C25"/>
    <w:rsid w:val="00AB6D11"/>
    <w:rsid w:val="00AB77E5"/>
    <w:rsid w:val="00AB7957"/>
    <w:rsid w:val="00AB7A34"/>
    <w:rsid w:val="00AB7AC5"/>
    <w:rsid w:val="00AB7DC9"/>
    <w:rsid w:val="00AB7F28"/>
    <w:rsid w:val="00AC0314"/>
    <w:rsid w:val="00AC09E5"/>
    <w:rsid w:val="00AC0D57"/>
    <w:rsid w:val="00AC167D"/>
    <w:rsid w:val="00AC1716"/>
    <w:rsid w:val="00AC1773"/>
    <w:rsid w:val="00AC1873"/>
    <w:rsid w:val="00AC1AF0"/>
    <w:rsid w:val="00AC1C45"/>
    <w:rsid w:val="00AC1FA6"/>
    <w:rsid w:val="00AC2043"/>
    <w:rsid w:val="00AC2150"/>
    <w:rsid w:val="00AC258A"/>
    <w:rsid w:val="00AC29F7"/>
    <w:rsid w:val="00AC2B4B"/>
    <w:rsid w:val="00AC2BAC"/>
    <w:rsid w:val="00AC2F17"/>
    <w:rsid w:val="00AC2F83"/>
    <w:rsid w:val="00AC2FAB"/>
    <w:rsid w:val="00AC301A"/>
    <w:rsid w:val="00AC3204"/>
    <w:rsid w:val="00AC3432"/>
    <w:rsid w:val="00AC34ED"/>
    <w:rsid w:val="00AC34F5"/>
    <w:rsid w:val="00AC3981"/>
    <w:rsid w:val="00AC3C15"/>
    <w:rsid w:val="00AC3E91"/>
    <w:rsid w:val="00AC41C0"/>
    <w:rsid w:val="00AC4B74"/>
    <w:rsid w:val="00AC5008"/>
    <w:rsid w:val="00AC501E"/>
    <w:rsid w:val="00AC5155"/>
    <w:rsid w:val="00AC5194"/>
    <w:rsid w:val="00AC51E5"/>
    <w:rsid w:val="00AC5278"/>
    <w:rsid w:val="00AC5550"/>
    <w:rsid w:val="00AC5753"/>
    <w:rsid w:val="00AC58F8"/>
    <w:rsid w:val="00AC592C"/>
    <w:rsid w:val="00AC604E"/>
    <w:rsid w:val="00AC69F7"/>
    <w:rsid w:val="00AC6BFF"/>
    <w:rsid w:val="00AC7159"/>
    <w:rsid w:val="00AC772C"/>
    <w:rsid w:val="00AC7804"/>
    <w:rsid w:val="00AC7F57"/>
    <w:rsid w:val="00AD0169"/>
    <w:rsid w:val="00AD0781"/>
    <w:rsid w:val="00AD0900"/>
    <w:rsid w:val="00AD0B53"/>
    <w:rsid w:val="00AD0B65"/>
    <w:rsid w:val="00AD0D93"/>
    <w:rsid w:val="00AD10AC"/>
    <w:rsid w:val="00AD11EC"/>
    <w:rsid w:val="00AD128E"/>
    <w:rsid w:val="00AD1505"/>
    <w:rsid w:val="00AD15FB"/>
    <w:rsid w:val="00AD1D67"/>
    <w:rsid w:val="00AD1EB6"/>
    <w:rsid w:val="00AD1FC4"/>
    <w:rsid w:val="00AD22BA"/>
    <w:rsid w:val="00AD2466"/>
    <w:rsid w:val="00AD2719"/>
    <w:rsid w:val="00AD2876"/>
    <w:rsid w:val="00AD2AA6"/>
    <w:rsid w:val="00AD2AAC"/>
    <w:rsid w:val="00AD2E24"/>
    <w:rsid w:val="00AD2FF1"/>
    <w:rsid w:val="00AD3511"/>
    <w:rsid w:val="00AD355F"/>
    <w:rsid w:val="00AD35D6"/>
    <w:rsid w:val="00AD3AAE"/>
    <w:rsid w:val="00AD3C31"/>
    <w:rsid w:val="00AD3D4C"/>
    <w:rsid w:val="00AD47C4"/>
    <w:rsid w:val="00AD4AE6"/>
    <w:rsid w:val="00AD4D33"/>
    <w:rsid w:val="00AD4DA8"/>
    <w:rsid w:val="00AD4DE1"/>
    <w:rsid w:val="00AD4E10"/>
    <w:rsid w:val="00AD4F8A"/>
    <w:rsid w:val="00AD5431"/>
    <w:rsid w:val="00AD54EB"/>
    <w:rsid w:val="00AD5C54"/>
    <w:rsid w:val="00AD5E9A"/>
    <w:rsid w:val="00AD63EC"/>
    <w:rsid w:val="00AD6651"/>
    <w:rsid w:val="00AD6695"/>
    <w:rsid w:val="00AD69C7"/>
    <w:rsid w:val="00AD6AC8"/>
    <w:rsid w:val="00AD6BBC"/>
    <w:rsid w:val="00AD6C0F"/>
    <w:rsid w:val="00AD6FB4"/>
    <w:rsid w:val="00AD7100"/>
    <w:rsid w:val="00AD7298"/>
    <w:rsid w:val="00AD7B83"/>
    <w:rsid w:val="00AD7ECD"/>
    <w:rsid w:val="00AE008B"/>
    <w:rsid w:val="00AE01EA"/>
    <w:rsid w:val="00AE0365"/>
    <w:rsid w:val="00AE064D"/>
    <w:rsid w:val="00AE0705"/>
    <w:rsid w:val="00AE0716"/>
    <w:rsid w:val="00AE0D8D"/>
    <w:rsid w:val="00AE0DA4"/>
    <w:rsid w:val="00AE1184"/>
    <w:rsid w:val="00AE13CF"/>
    <w:rsid w:val="00AE147F"/>
    <w:rsid w:val="00AE19A2"/>
    <w:rsid w:val="00AE19C7"/>
    <w:rsid w:val="00AE1A91"/>
    <w:rsid w:val="00AE204D"/>
    <w:rsid w:val="00AE26B1"/>
    <w:rsid w:val="00AE2CB8"/>
    <w:rsid w:val="00AE2DE6"/>
    <w:rsid w:val="00AE321A"/>
    <w:rsid w:val="00AE3220"/>
    <w:rsid w:val="00AE328E"/>
    <w:rsid w:val="00AE3394"/>
    <w:rsid w:val="00AE348C"/>
    <w:rsid w:val="00AE34C2"/>
    <w:rsid w:val="00AE3CFC"/>
    <w:rsid w:val="00AE417E"/>
    <w:rsid w:val="00AE44D3"/>
    <w:rsid w:val="00AE450D"/>
    <w:rsid w:val="00AE465B"/>
    <w:rsid w:val="00AE4752"/>
    <w:rsid w:val="00AE496E"/>
    <w:rsid w:val="00AE4A2C"/>
    <w:rsid w:val="00AE4B32"/>
    <w:rsid w:val="00AE4E4A"/>
    <w:rsid w:val="00AE505F"/>
    <w:rsid w:val="00AE554E"/>
    <w:rsid w:val="00AE55BF"/>
    <w:rsid w:val="00AE59AC"/>
    <w:rsid w:val="00AE5C24"/>
    <w:rsid w:val="00AE5DCB"/>
    <w:rsid w:val="00AE5DD1"/>
    <w:rsid w:val="00AE5E29"/>
    <w:rsid w:val="00AE6028"/>
    <w:rsid w:val="00AE6345"/>
    <w:rsid w:val="00AE6346"/>
    <w:rsid w:val="00AE641B"/>
    <w:rsid w:val="00AE6477"/>
    <w:rsid w:val="00AE66C1"/>
    <w:rsid w:val="00AE6989"/>
    <w:rsid w:val="00AE69D3"/>
    <w:rsid w:val="00AE6B0D"/>
    <w:rsid w:val="00AE6F3B"/>
    <w:rsid w:val="00AE724F"/>
    <w:rsid w:val="00AE7374"/>
    <w:rsid w:val="00AE75F2"/>
    <w:rsid w:val="00AF0831"/>
    <w:rsid w:val="00AF0AC0"/>
    <w:rsid w:val="00AF0B9F"/>
    <w:rsid w:val="00AF0D31"/>
    <w:rsid w:val="00AF0D9E"/>
    <w:rsid w:val="00AF0EAC"/>
    <w:rsid w:val="00AF119B"/>
    <w:rsid w:val="00AF1260"/>
    <w:rsid w:val="00AF14E5"/>
    <w:rsid w:val="00AF1A08"/>
    <w:rsid w:val="00AF1A3A"/>
    <w:rsid w:val="00AF1AE6"/>
    <w:rsid w:val="00AF1CBC"/>
    <w:rsid w:val="00AF1D13"/>
    <w:rsid w:val="00AF1E87"/>
    <w:rsid w:val="00AF1F58"/>
    <w:rsid w:val="00AF238F"/>
    <w:rsid w:val="00AF246E"/>
    <w:rsid w:val="00AF2B31"/>
    <w:rsid w:val="00AF2CA7"/>
    <w:rsid w:val="00AF2F04"/>
    <w:rsid w:val="00AF2FF4"/>
    <w:rsid w:val="00AF3113"/>
    <w:rsid w:val="00AF371D"/>
    <w:rsid w:val="00AF381E"/>
    <w:rsid w:val="00AF389E"/>
    <w:rsid w:val="00AF38C5"/>
    <w:rsid w:val="00AF3C49"/>
    <w:rsid w:val="00AF3D3D"/>
    <w:rsid w:val="00AF3EA0"/>
    <w:rsid w:val="00AF4452"/>
    <w:rsid w:val="00AF4833"/>
    <w:rsid w:val="00AF498B"/>
    <w:rsid w:val="00AF4A20"/>
    <w:rsid w:val="00AF4E7C"/>
    <w:rsid w:val="00AF508A"/>
    <w:rsid w:val="00AF5428"/>
    <w:rsid w:val="00AF580E"/>
    <w:rsid w:val="00AF5825"/>
    <w:rsid w:val="00AF5D4A"/>
    <w:rsid w:val="00AF5D54"/>
    <w:rsid w:val="00AF5D68"/>
    <w:rsid w:val="00AF5E2B"/>
    <w:rsid w:val="00AF6632"/>
    <w:rsid w:val="00AF67A7"/>
    <w:rsid w:val="00AF681A"/>
    <w:rsid w:val="00AF6B05"/>
    <w:rsid w:val="00AF6B42"/>
    <w:rsid w:val="00AF6D5B"/>
    <w:rsid w:val="00AF6EA7"/>
    <w:rsid w:val="00AF706E"/>
    <w:rsid w:val="00AF70C4"/>
    <w:rsid w:val="00AF7191"/>
    <w:rsid w:val="00AF73FA"/>
    <w:rsid w:val="00AF762A"/>
    <w:rsid w:val="00AF7A86"/>
    <w:rsid w:val="00AF7B1A"/>
    <w:rsid w:val="00AF7C14"/>
    <w:rsid w:val="00B001BE"/>
    <w:rsid w:val="00B00340"/>
    <w:rsid w:val="00B00733"/>
    <w:rsid w:val="00B01450"/>
    <w:rsid w:val="00B0153D"/>
    <w:rsid w:val="00B01561"/>
    <w:rsid w:val="00B01761"/>
    <w:rsid w:val="00B01A1C"/>
    <w:rsid w:val="00B01BF1"/>
    <w:rsid w:val="00B01F9A"/>
    <w:rsid w:val="00B022E1"/>
    <w:rsid w:val="00B0246B"/>
    <w:rsid w:val="00B0261A"/>
    <w:rsid w:val="00B03039"/>
    <w:rsid w:val="00B033F5"/>
    <w:rsid w:val="00B0349C"/>
    <w:rsid w:val="00B03CE0"/>
    <w:rsid w:val="00B03ECC"/>
    <w:rsid w:val="00B03EFB"/>
    <w:rsid w:val="00B040A0"/>
    <w:rsid w:val="00B04830"/>
    <w:rsid w:val="00B04F27"/>
    <w:rsid w:val="00B04FFB"/>
    <w:rsid w:val="00B050C4"/>
    <w:rsid w:val="00B053A2"/>
    <w:rsid w:val="00B054C5"/>
    <w:rsid w:val="00B05671"/>
    <w:rsid w:val="00B056A6"/>
    <w:rsid w:val="00B0572E"/>
    <w:rsid w:val="00B05F9E"/>
    <w:rsid w:val="00B0602D"/>
    <w:rsid w:val="00B0628D"/>
    <w:rsid w:val="00B0661A"/>
    <w:rsid w:val="00B06839"/>
    <w:rsid w:val="00B06873"/>
    <w:rsid w:val="00B06BF7"/>
    <w:rsid w:val="00B06D8E"/>
    <w:rsid w:val="00B07062"/>
    <w:rsid w:val="00B070C1"/>
    <w:rsid w:val="00B070D2"/>
    <w:rsid w:val="00B07481"/>
    <w:rsid w:val="00B0762A"/>
    <w:rsid w:val="00B076DA"/>
    <w:rsid w:val="00B0775D"/>
    <w:rsid w:val="00B07880"/>
    <w:rsid w:val="00B07A36"/>
    <w:rsid w:val="00B07AA1"/>
    <w:rsid w:val="00B07C2B"/>
    <w:rsid w:val="00B07D75"/>
    <w:rsid w:val="00B07E97"/>
    <w:rsid w:val="00B07F45"/>
    <w:rsid w:val="00B10202"/>
    <w:rsid w:val="00B10484"/>
    <w:rsid w:val="00B10561"/>
    <w:rsid w:val="00B105DA"/>
    <w:rsid w:val="00B10AD7"/>
    <w:rsid w:val="00B11071"/>
    <w:rsid w:val="00B11341"/>
    <w:rsid w:val="00B1141F"/>
    <w:rsid w:val="00B11494"/>
    <w:rsid w:val="00B11971"/>
    <w:rsid w:val="00B11984"/>
    <w:rsid w:val="00B11D40"/>
    <w:rsid w:val="00B12187"/>
    <w:rsid w:val="00B12B99"/>
    <w:rsid w:val="00B12BBC"/>
    <w:rsid w:val="00B12EF4"/>
    <w:rsid w:val="00B13668"/>
    <w:rsid w:val="00B13697"/>
    <w:rsid w:val="00B136C0"/>
    <w:rsid w:val="00B13ABD"/>
    <w:rsid w:val="00B13B46"/>
    <w:rsid w:val="00B13B8E"/>
    <w:rsid w:val="00B14206"/>
    <w:rsid w:val="00B142E3"/>
    <w:rsid w:val="00B1438E"/>
    <w:rsid w:val="00B1447C"/>
    <w:rsid w:val="00B14655"/>
    <w:rsid w:val="00B151E6"/>
    <w:rsid w:val="00B15414"/>
    <w:rsid w:val="00B15673"/>
    <w:rsid w:val="00B157DC"/>
    <w:rsid w:val="00B15C40"/>
    <w:rsid w:val="00B1619C"/>
    <w:rsid w:val="00B1638F"/>
    <w:rsid w:val="00B164B7"/>
    <w:rsid w:val="00B16957"/>
    <w:rsid w:val="00B16D03"/>
    <w:rsid w:val="00B16EAA"/>
    <w:rsid w:val="00B174AB"/>
    <w:rsid w:val="00B17880"/>
    <w:rsid w:val="00B17E49"/>
    <w:rsid w:val="00B201F4"/>
    <w:rsid w:val="00B20248"/>
    <w:rsid w:val="00B204B8"/>
    <w:rsid w:val="00B20A1C"/>
    <w:rsid w:val="00B20CFE"/>
    <w:rsid w:val="00B20D23"/>
    <w:rsid w:val="00B20E41"/>
    <w:rsid w:val="00B20FE0"/>
    <w:rsid w:val="00B21316"/>
    <w:rsid w:val="00B21802"/>
    <w:rsid w:val="00B21A50"/>
    <w:rsid w:val="00B21BCD"/>
    <w:rsid w:val="00B21D08"/>
    <w:rsid w:val="00B21D18"/>
    <w:rsid w:val="00B22811"/>
    <w:rsid w:val="00B22821"/>
    <w:rsid w:val="00B22B5D"/>
    <w:rsid w:val="00B231F9"/>
    <w:rsid w:val="00B2338D"/>
    <w:rsid w:val="00B2397E"/>
    <w:rsid w:val="00B23B68"/>
    <w:rsid w:val="00B23B86"/>
    <w:rsid w:val="00B2404F"/>
    <w:rsid w:val="00B241A3"/>
    <w:rsid w:val="00B242DB"/>
    <w:rsid w:val="00B247AF"/>
    <w:rsid w:val="00B248EB"/>
    <w:rsid w:val="00B24AD7"/>
    <w:rsid w:val="00B2503C"/>
    <w:rsid w:val="00B25380"/>
    <w:rsid w:val="00B253D5"/>
    <w:rsid w:val="00B254B6"/>
    <w:rsid w:val="00B25962"/>
    <w:rsid w:val="00B259D1"/>
    <w:rsid w:val="00B25A4E"/>
    <w:rsid w:val="00B25B15"/>
    <w:rsid w:val="00B25D16"/>
    <w:rsid w:val="00B25E09"/>
    <w:rsid w:val="00B25FB9"/>
    <w:rsid w:val="00B26194"/>
    <w:rsid w:val="00B26798"/>
    <w:rsid w:val="00B26DF1"/>
    <w:rsid w:val="00B27614"/>
    <w:rsid w:val="00B27837"/>
    <w:rsid w:val="00B27AC5"/>
    <w:rsid w:val="00B30045"/>
    <w:rsid w:val="00B30313"/>
    <w:rsid w:val="00B30371"/>
    <w:rsid w:val="00B3040B"/>
    <w:rsid w:val="00B3057F"/>
    <w:rsid w:val="00B3091A"/>
    <w:rsid w:val="00B30C64"/>
    <w:rsid w:val="00B30FB4"/>
    <w:rsid w:val="00B3149A"/>
    <w:rsid w:val="00B31513"/>
    <w:rsid w:val="00B3162F"/>
    <w:rsid w:val="00B31B6F"/>
    <w:rsid w:val="00B323B0"/>
    <w:rsid w:val="00B3240E"/>
    <w:rsid w:val="00B324C3"/>
    <w:rsid w:val="00B32B21"/>
    <w:rsid w:val="00B32CCF"/>
    <w:rsid w:val="00B32E6A"/>
    <w:rsid w:val="00B332B0"/>
    <w:rsid w:val="00B33631"/>
    <w:rsid w:val="00B33806"/>
    <w:rsid w:val="00B33A00"/>
    <w:rsid w:val="00B34834"/>
    <w:rsid w:val="00B34B18"/>
    <w:rsid w:val="00B34B70"/>
    <w:rsid w:val="00B34BC2"/>
    <w:rsid w:val="00B34BF8"/>
    <w:rsid w:val="00B34CDA"/>
    <w:rsid w:val="00B34DAB"/>
    <w:rsid w:val="00B34E8A"/>
    <w:rsid w:val="00B35134"/>
    <w:rsid w:val="00B351B2"/>
    <w:rsid w:val="00B351B6"/>
    <w:rsid w:val="00B3542F"/>
    <w:rsid w:val="00B3568C"/>
    <w:rsid w:val="00B3591F"/>
    <w:rsid w:val="00B35A8D"/>
    <w:rsid w:val="00B35AE2"/>
    <w:rsid w:val="00B35CA9"/>
    <w:rsid w:val="00B35CD2"/>
    <w:rsid w:val="00B360EF"/>
    <w:rsid w:val="00B364E5"/>
    <w:rsid w:val="00B3674C"/>
    <w:rsid w:val="00B36A29"/>
    <w:rsid w:val="00B36AAC"/>
    <w:rsid w:val="00B36BCD"/>
    <w:rsid w:val="00B36E18"/>
    <w:rsid w:val="00B36E24"/>
    <w:rsid w:val="00B36FB5"/>
    <w:rsid w:val="00B370E3"/>
    <w:rsid w:val="00B371EA"/>
    <w:rsid w:val="00B372E3"/>
    <w:rsid w:val="00B37AB6"/>
    <w:rsid w:val="00B4038C"/>
    <w:rsid w:val="00B403CD"/>
    <w:rsid w:val="00B4040F"/>
    <w:rsid w:val="00B40C5B"/>
    <w:rsid w:val="00B40E87"/>
    <w:rsid w:val="00B413AC"/>
    <w:rsid w:val="00B41438"/>
    <w:rsid w:val="00B4185A"/>
    <w:rsid w:val="00B418F5"/>
    <w:rsid w:val="00B419B0"/>
    <w:rsid w:val="00B41DD2"/>
    <w:rsid w:val="00B41FFA"/>
    <w:rsid w:val="00B423F3"/>
    <w:rsid w:val="00B42467"/>
    <w:rsid w:val="00B42605"/>
    <w:rsid w:val="00B4261A"/>
    <w:rsid w:val="00B4296A"/>
    <w:rsid w:val="00B42B31"/>
    <w:rsid w:val="00B42B5B"/>
    <w:rsid w:val="00B42C40"/>
    <w:rsid w:val="00B43031"/>
    <w:rsid w:val="00B431E2"/>
    <w:rsid w:val="00B43236"/>
    <w:rsid w:val="00B4354E"/>
    <w:rsid w:val="00B43642"/>
    <w:rsid w:val="00B43704"/>
    <w:rsid w:val="00B43721"/>
    <w:rsid w:val="00B4373C"/>
    <w:rsid w:val="00B43BD4"/>
    <w:rsid w:val="00B43E01"/>
    <w:rsid w:val="00B44297"/>
    <w:rsid w:val="00B4435E"/>
    <w:rsid w:val="00B44B39"/>
    <w:rsid w:val="00B44BCD"/>
    <w:rsid w:val="00B44EC9"/>
    <w:rsid w:val="00B44F64"/>
    <w:rsid w:val="00B4526F"/>
    <w:rsid w:val="00B4550D"/>
    <w:rsid w:val="00B45800"/>
    <w:rsid w:val="00B459A4"/>
    <w:rsid w:val="00B45B72"/>
    <w:rsid w:val="00B45C9D"/>
    <w:rsid w:val="00B45D76"/>
    <w:rsid w:val="00B45EB8"/>
    <w:rsid w:val="00B45F26"/>
    <w:rsid w:val="00B45FC0"/>
    <w:rsid w:val="00B4609E"/>
    <w:rsid w:val="00B462B4"/>
    <w:rsid w:val="00B46475"/>
    <w:rsid w:val="00B46969"/>
    <w:rsid w:val="00B46A1D"/>
    <w:rsid w:val="00B46F84"/>
    <w:rsid w:val="00B47121"/>
    <w:rsid w:val="00B47150"/>
    <w:rsid w:val="00B47316"/>
    <w:rsid w:val="00B474D8"/>
    <w:rsid w:val="00B47EFC"/>
    <w:rsid w:val="00B502DB"/>
    <w:rsid w:val="00B503E2"/>
    <w:rsid w:val="00B50799"/>
    <w:rsid w:val="00B509AA"/>
    <w:rsid w:val="00B50A68"/>
    <w:rsid w:val="00B50B8A"/>
    <w:rsid w:val="00B5122B"/>
    <w:rsid w:val="00B5124B"/>
    <w:rsid w:val="00B51C28"/>
    <w:rsid w:val="00B51D14"/>
    <w:rsid w:val="00B521A5"/>
    <w:rsid w:val="00B5255F"/>
    <w:rsid w:val="00B52781"/>
    <w:rsid w:val="00B52974"/>
    <w:rsid w:val="00B52D69"/>
    <w:rsid w:val="00B535D9"/>
    <w:rsid w:val="00B536AB"/>
    <w:rsid w:val="00B537FA"/>
    <w:rsid w:val="00B53A1A"/>
    <w:rsid w:val="00B541F1"/>
    <w:rsid w:val="00B543CD"/>
    <w:rsid w:val="00B546A7"/>
    <w:rsid w:val="00B546AE"/>
    <w:rsid w:val="00B546B2"/>
    <w:rsid w:val="00B546FB"/>
    <w:rsid w:val="00B5475E"/>
    <w:rsid w:val="00B548DF"/>
    <w:rsid w:val="00B5491A"/>
    <w:rsid w:val="00B55299"/>
    <w:rsid w:val="00B55B6F"/>
    <w:rsid w:val="00B55D7A"/>
    <w:rsid w:val="00B55D81"/>
    <w:rsid w:val="00B55DCD"/>
    <w:rsid w:val="00B55F7E"/>
    <w:rsid w:val="00B5600C"/>
    <w:rsid w:val="00B5609D"/>
    <w:rsid w:val="00B566F7"/>
    <w:rsid w:val="00B56A7B"/>
    <w:rsid w:val="00B56AD7"/>
    <w:rsid w:val="00B56C63"/>
    <w:rsid w:val="00B56C95"/>
    <w:rsid w:val="00B56E10"/>
    <w:rsid w:val="00B56F69"/>
    <w:rsid w:val="00B5703F"/>
    <w:rsid w:val="00B5715F"/>
    <w:rsid w:val="00B57243"/>
    <w:rsid w:val="00B5768C"/>
    <w:rsid w:val="00B577E6"/>
    <w:rsid w:val="00B57953"/>
    <w:rsid w:val="00B57BB9"/>
    <w:rsid w:val="00B57D22"/>
    <w:rsid w:val="00B601DC"/>
    <w:rsid w:val="00B6027F"/>
    <w:rsid w:val="00B60438"/>
    <w:rsid w:val="00B606B0"/>
    <w:rsid w:val="00B606EA"/>
    <w:rsid w:val="00B608F5"/>
    <w:rsid w:val="00B60D31"/>
    <w:rsid w:val="00B60F1A"/>
    <w:rsid w:val="00B6163B"/>
    <w:rsid w:val="00B6186E"/>
    <w:rsid w:val="00B618BF"/>
    <w:rsid w:val="00B61A4D"/>
    <w:rsid w:val="00B61B72"/>
    <w:rsid w:val="00B62185"/>
    <w:rsid w:val="00B622A4"/>
    <w:rsid w:val="00B624C2"/>
    <w:rsid w:val="00B62643"/>
    <w:rsid w:val="00B6284E"/>
    <w:rsid w:val="00B629CB"/>
    <w:rsid w:val="00B63004"/>
    <w:rsid w:val="00B63194"/>
    <w:rsid w:val="00B638B9"/>
    <w:rsid w:val="00B63DEC"/>
    <w:rsid w:val="00B64060"/>
    <w:rsid w:val="00B64486"/>
    <w:rsid w:val="00B64681"/>
    <w:rsid w:val="00B6486D"/>
    <w:rsid w:val="00B649AF"/>
    <w:rsid w:val="00B64AB2"/>
    <w:rsid w:val="00B64BC5"/>
    <w:rsid w:val="00B64C50"/>
    <w:rsid w:val="00B64FF9"/>
    <w:rsid w:val="00B6502E"/>
    <w:rsid w:val="00B651C3"/>
    <w:rsid w:val="00B6527D"/>
    <w:rsid w:val="00B6554A"/>
    <w:rsid w:val="00B656CE"/>
    <w:rsid w:val="00B65792"/>
    <w:rsid w:val="00B65818"/>
    <w:rsid w:val="00B65B2D"/>
    <w:rsid w:val="00B65BAA"/>
    <w:rsid w:val="00B65C91"/>
    <w:rsid w:val="00B65DA4"/>
    <w:rsid w:val="00B65E68"/>
    <w:rsid w:val="00B65EB9"/>
    <w:rsid w:val="00B66158"/>
    <w:rsid w:val="00B6634A"/>
    <w:rsid w:val="00B664AE"/>
    <w:rsid w:val="00B6660F"/>
    <w:rsid w:val="00B6662C"/>
    <w:rsid w:val="00B666A2"/>
    <w:rsid w:val="00B66A75"/>
    <w:rsid w:val="00B66A99"/>
    <w:rsid w:val="00B66DCF"/>
    <w:rsid w:val="00B66FFA"/>
    <w:rsid w:val="00B67418"/>
    <w:rsid w:val="00B67645"/>
    <w:rsid w:val="00B67668"/>
    <w:rsid w:val="00B67906"/>
    <w:rsid w:val="00B67B8F"/>
    <w:rsid w:val="00B67C03"/>
    <w:rsid w:val="00B67CD6"/>
    <w:rsid w:val="00B67DA2"/>
    <w:rsid w:val="00B700DC"/>
    <w:rsid w:val="00B70403"/>
    <w:rsid w:val="00B7066B"/>
    <w:rsid w:val="00B70853"/>
    <w:rsid w:val="00B70CA0"/>
    <w:rsid w:val="00B71264"/>
    <w:rsid w:val="00B712B0"/>
    <w:rsid w:val="00B7164B"/>
    <w:rsid w:val="00B71945"/>
    <w:rsid w:val="00B71B3B"/>
    <w:rsid w:val="00B71D4C"/>
    <w:rsid w:val="00B71FD3"/>
    <w:rsid w:val="00B723EA"/>
    <w:rsid w:val="00B72663"/>
    <w:rsid w:val="00B72BCC"/>
    <w:rsid w:val="00B72C6F"/>
    <w:rsid w:val="00B72E70"/>
    <w:rsid w:val="00B72EC4"/>
    <w:rsid w:val="00B732E0"/>
    <w:rsid w:val="00B734AF"/>
    <w:rsid w:val="00B738DB"/>
    <w:rsid w:val="00B738F8"/>
    <w:rsid w:val="00B7407C"/>
    <w:rsid w:val="00B7412C"/>
    <w:rsid w:val="00B742A3"/>
    <w:rsid w:val="00B74767"/>
    <w:rsid w:val="00B7486D"/>
    <w:rsid w:val="00B74945"/>
    <w:rsid w:val="00B74F1D"/>
    <w:rsid w:val="00B74F4A"/>
    <w:rsid w:val="00B750F5"/>
    <w:rsid w:val="00B75377"/>
    <w:rsid w:val="00B75D14"/>
    <w:rsid w:val="00B75E3C"/>
    <w:rsid w:val="00B76344"/>
    <w:rsid w:val="00B7664B"/>
    <w:rsid w:val="00B7692B"/>
    <w:rsid w:val="00B76A8D"/>
    <w:rsid w:val="00B76BB9"/>
    <w:rsid w:val="00B76F65"/>
    <w:rsid w:val="00B771FB"/>
    <w:rsid w:val="00B772A7"/>
    <w:rsid w:val="00B77690"/>
    <w:rsid w:val="00B77691"/>
    <w:rsid w:val="00B77809"/>
    <w:rsid w:val="00B77863"/>
    <w:rsid w:val="00B779CE"/>
    <w:rsid w:val="00B80274"/>
    <w:rsid w:val="00B811FA"/>
    <w:rsid w:val="00B81370"/>
    <w:rsid w:val="00B816AD"/>
    <w:rsid w:val="00B81C3C"/>
    <w:rsid w:val="00B8206A"/>
    <w:rsid w:val="00B8217A"/>
    <w:rsid w:val="00B82AC0"/>
    <w:rsid w:val="00B82CCD"/>
    <w:rsid w:val="00B82F25"/>
    <w:rsid w:val="00B83266"/>
    <w:rsid w:val="00B83762"/>
    <w:rsid w:val="00B83B70"/>
    <w:rsid w:val="00B83C09"/>
    <w:rsid w:val="00B83CC1"/>
    <w:rsid w:val="00B83EA0"/>
    <w:rsid w:val="00B83F4A"/>
    <w:rsid w:val="00B841C8"/>
    <w:rsid w:val="00B84237"/>
    <w:rsid w:val="00B84C2B"/>
    <w:rsid w:val="00B84F94"/>
    <w:rsid w:val="00B84FCC"/>
    <w:rsid w:val="00B85387"/>
    <w:rsid w:val="00B8545D"/>
    <w:rsid w:val="00B85A98"/>
    <w:rsid w:val="00B85AAA"/>
    <w:rsid w:val="00B8641B"/>
    <w:rsid w:val="00B86480"/>
    <w:rsid w:val="00B865DF"/>
    <w:rsid w:val="00B867B7"/>
    <w:rsid w:val="00B872E1"/>
    <w:rsid w:val="00B872EF"/>
    <w:rsid w:val="00B87316"/>
    <w:rsid w:val="00B873AB"/>
    <w:rsid w:val="00B87FAB"/>
    <w:rsid w:val="00B901FE"/>
    <w:rsid w:val="00B906CA"/>
    <w:rsid w:val="00B90A40"/>
    <w:rsid w:val="00B90DAF"/>
    <w:rsid w:val="00B910D4"/>
    <w:rsid w:val="00B911A7"/>
    <w:rsid w:val="00B91311"/>
    <w:rsid w:val="00B91653"/>
    <w:rsid w:val="00B9183C"/>
    <w:rsid w:val="00B91E6C"/>
    <w:rsid w:val="00B92064"/>
    <w:rsid w:val="00B92246"/>
    <w:rsid w:val="00B92621"/>
    <w:rsid w:val="00B92AB1"/>
    <w:rsid w:val="00B92B57"/>
    <w:rsid w:val="00B9304E"/>
    <w:rsid w:val="00B93159"/>
    <w:rsid w:val="00B932FA"/>
    <w:rsid w:val="00B933FB"/>
    <w:rsid w:val="00B93B4F"/>
    <w:rsid w:val="00B93C7F"/>
    <w:rsid w:val="00B93D71"/>
    <w:rsid w:val="00B93E41"/>
    <w:rsid w:val="00B93F00"/>
    <w:rsid w:val="00B93F05"/>
    <w:rsid w:val="00B93F57"/>
    <w:rsid w:val="00B941FB"/>
    <w:rsid w:val="00B942C7"/>
    <w:rsid w:val="00B942E1"/>
    <w:rsid w:val="00B94315"/>
    <w:rsid w:val="00B943AA"/>
    <w:rsid w:val="00B9447B"/>
    <w:rsid w:val="00B94507"/>
    <w:rsid w:val="00B94B3C"/>
    <w:rsid w:val="00B95071"/>
    <w:rsid w:val="00B956D4"/>
    <w:rsid w:val="00B95B48"/>
    <w:rsid w:val="00B960DE"/>
    <w:rsid w:val="00B96398"/>
    <w:rsid w:val="00B96463"/>
    <w:rsid w:val="00B96CB5"/>
    <w:rsid w:val="00B971D9"/>
    <w:rsid w:val="00B9720B"/>
    <w:rsid w:val="00B974D3"/>
    <w:rsid w:val="00B97D4C"/>
    <w:rsid w:val="00B97EB8"/>
    <w:rsid w:val="00B97F53"/>
    <w:rsid w:val="00B9B2C2"/>
    <w:rsid w:val="00BA00AF"/>
    <w:rsid w:val="00BA021F"/>
    <w:rsid w:val="00BA0318"/>
    <w:rsid w:val="00BA04F1"/>
    <w:rsid w:val="00BA09FD"/>
    <w:rsid w:val="00BA179E"/>
    <w:rsid w:val="00BA18AF"/>
    <w:rsid w:val="00BA1955"/>
    <w:rsid w:val="00BA1D16"/>
    <w:rsid w:val="00BA2344"/>
    <w:rsid w:val="00BA2501"/>
    <w:rsid w:val="00BA26C0"/>
    <w:rsid w:val="00BA29C5"/>
    <w:rsid w:val="00BA2D35"/>
    <w:rsid w:val="00BA3303"/>
    <w:rsid w:val="00BA34FC"/>
    <w:rsid w:val="00BA3806"/>
    <w:rsid w:val="00BA39E1"/>
    <w:rsid w:val="00BA3CF8"/>
    <w:rsid w:val="00BA3D3E"/>
    <w:rsid w:val="00BA3D74"/>
    <w:rsid w:val="00BA3F3B"/>
    <w:rsid w:val="00BA3FA1"/>
    <w:rsid w:val="00BA421A"/>
    <w:rsid w:val="00BA44DA"/>
    <w:rsid w:val="00BA4D1D"/>
    <w:rsid w:val="00BA4F23"/>
    <w:rsid w:val="00BA59CA"/>
    <w:rsid w:val="00BA5B60"/>
    <w:rsid w:val="00BA5C11"/>
    <w:rsid w:val="00BA5FEC"/>
    <w:rsid w:val="00BA6435"/>
    <w:rsid w:val="00BA6592"/>
    <w:rsid w:val="00BA688A"/>
    <w:rsid w:val="00BA6A6A"/>
    <w:rsid w:val="00BA6E1B"/>
    <w:rsid w:val="00BA755B"/>
    <w:rsid w:val="00BA7847"/>
    <w:rsid w:val="00BA7970"/>
    <w:rsid w:val="00BA7A98"/>
    <w:rsid w:val="00BA7E20"/>
    <w:rsid w:val="00BA7F6E"/>
    <w:rsid w:val="00BB0703"/>
    <w:rsid w:val="00BB0911"/>
    <w:rsid w:val="00BB09A3"/>
    <w:rsid w:val="00BB14D5"/>
    <w:rsid w:val="00BB158A"/>
    <w:rsid w:val="00BB15CE"/>
    <w:rsid w:val="00BB197A"/>
    <w:rsid w:val="00BB1FC0"/>
    <w:rsid w:val="00BB210B"/>
    <w:rsid w:val="00BB2692"/>
    <w:rsid w:val="00BB29A5"/>
    <w:rsid w:val="00BB2E9D"/>
    <w:rsid w:val="00BB3033"/>
    <w:rsid w:val="00BB339F"/>
    <w:rsid w:val="00BB355C"/>
    <w:rsid w:val="00BB356B"/>
    <w:rsid w:val="00BB370A"/>
    <w:rsid w:val="00BB37B5"/>
    <w:rsid w:val="00BB3B11"/>
    <w:rsid w:val="00BB3E7D"/>
    <w:rsid w:val="00BB4098"/>
    <w:rsid w:val="00BB48C2"/>
    <w:rsid w:val="00BB4900"/>
    <w:rsid w:val="00BB52C5"/>
    <w:rsid w:val="00BB576E"/>
    <w:rsid w:val="00BB598B"/>
    <w:rsid w:val="00BB68A6"/>
    <w:rsid w:val="00BB6F0B"/>
    <w:rsid w:val="00BB7165"/>
    <w:rsid w:val="00BB7306"/>
    <w:rsid w:val="00BB76AB"/>
    <w:rsid w:val="00BB7B23"/>
    <w:rsid w:val="00BB7B4D"/>
    <w:rsid w:val="00BB7B9E"/>
    <w:rsid w:val="00BB7BBA"/>
    <w:rsid w:val="00BB7C58"/>
    <w:rsid w:val="00BB7D26"/>
    <w:rsid w:val="00BC032B"/>
    <w:rsid w:val="00BC03E4"/>
    <w:rsid w:val="00BC04D4"/>
    <w:rsid w:val="00BC052D"/>
    <w:rsid w:val="00BC0A8B"/>
    <w:rsid w:val="00BC15DA"/>
    <w:rsid w:val="00BC16AD"/>
    <w:rsid w:val="00BC1922"/>
    <w:rsid w:val="00BC1C11"/>
    <w:rsid w:val="00BC20E8"/>
    <w:rsid w:val="00BC234B"/>
    <w:rsid w:val="00BC27B0"/>
    <w:rsid w:val="00BC29DE"/>
    <w:rsid w:val="00BC2A5A"/>
    <w:rsid w:val="00BC2B4A"/>
    <w:rsid w:val="00BC2F22"/>
    <w:rsid w:val="00BC2F62"/>
    <w:rsid w:val="00BC333E"/>
    <w:rsid w:val="00BC3353"/>
    <w:rsid w:val="00BC384D"/>
    <w:rsid w:val="00BC38C6"/>
    <w:rsid w:val="00BC43D4"/>
    <w:rsid w:val="00BC4591"/>
    <w:rsid w:val="00BC4C29"/>
    <w:rsid w:val="00BC4CC0"/>
    <w:rsid w:val="00BC52D0"/>
    <w:rsid w:val="00BC5682"/>
    <w:rsid w:val="00BC5799"/>
    <w:rsid w:val="00BC584A"/>
    <w:rsid w:val="00BC5EF5"/>
    <w:rsid w:val="00BC6308"/>
    <w:rsid w:val="00BC63D5"/>
    <w:rsid w:val="00BC645F"/>
    <w:rsid w:val="00BC6579"/>
    <w:rsid w:val="00BC6625"/>
    <w:rsid w:val="00BC665D"/>
    <w:rsid w:val="00BC7156"/>
    <w:rsid w:val="00BC72B2"/>
    <w:rsid w:val="00BC744F"/>
    <w:rsid w:val="00BC747B"/>
    <w:rsid w:val="00BC7789"/>
    <w:rsid w:val="00BC7906"/>
    <w:rsid w:val="00BC7A3B"/>
    <w:rsid w:val="00BC7CBF"/>
    <w:rsid w:val="00BC7FFE"/>
    <w:rsid w:val="00BD0158"/>
    <w:rsid w:val="00BD0330"/>
    <w:rsid w:val="00BD0435"/>
    <w:rsid w:val="00BD0C96"/>
    <w:rsid w:val="00BD0F09"/>
    <w:rsid w:val="00BD12B7"/>
    <w:rsid w:val="00BD141E"/>
    <w:rsid w:val="00BD1894"/>
    <w:rsid w:val="00BD1A15"/>
    <w:rsid w:val="00BD1E99"/>
    <w:rsid w:val="00BD1F15"/>
    <w:rsid w:val="00BD20A4"/>
    <w:rsid w:val="00BD262A"/>
    <w:rsid w:val="00BD2653"/>
    <w:rsid w:val="00BD289D"/>
    <w:rsid w:val="00BD2B1D"/>
    <w:rsid w:val="00BD2E6F"/>
    <w:rsid w:val="00BD2FB8"/>
    <w:rsid w:val="00BD324C"/>
    <w:rsid w:val="00BD3AD4"/>
    <w:rsid w:val="00BD3E9A"/>
    <w:rsid w:val="00BD3F08"/>
    <w:rsid w:val="00BD40A5"/>
    <w:rsid w:val="00BD4875"/>
    <w:rsid w:val="00BD4A23"/>
    <w:rsid w:val="00BD4D24"/>
    <w:rsid w:val="00BD52CB"/>
    <w:rsid w:val="00BD547E"/>
    <w:rsid w:val="00BD58BC"/>
    <w:rsid w:val="00BD598F"/>
    <w:rsid w:val="00BD5AA0"/>
    <w:rsid w:val="00BD5AA4"/>
    <w:rsid w:val="00BD5B6E"/>
    <w:rsid w:val="00BD6071"/>
    <w:rsid w:val="00BD639B"/>
    <w:rsid w:val="00BD6740"/>
    <w:rsid w:val="00BD69D1"/>
    <w:rsid w:val="00BD6D32"/>
    <w:rsid w:val="00BD6DE7"/>
    <w:rsid w:val="00BD6F08"/>
    <w:rsid w:val="00BD74D4"/>
    <w:rsid w:val="00BD7577"/>
    <w:rsid w:val="00BD760D"/>
    <w:rsid w:val="00BD7751"/>
    <w:rsid w:val="00BD79A1"/>
    <w:rsid w:val="00BD7A29"/>
    <w:rsid w:val="00BD7AF6"/>
    <w:rsid w:val="00BD7B78"/>
    <w:rsid w:val="00BD7C64"/>
    <w:rsid w:val="00BE037E"/>
    <w:rsid w:val="00BE0572"/>
    <w:rsid w:val="00BE05E9"/>
    <w:rsid w:val="00BE0C95"/>
    <w:rsid w:val="00BE0DF0"/>
    <w:rsid w:val="00BE1083"/>
    <w:rsid w:val="00BE11AF"/>
    <w:rsid w:val="00BE11F5"/>
    <w:rsid w:val="00BE12A3"/>
    <w:rsid w:val="00BE13D3"/>
    <w:rsid w:val="00BE1474"/>
    <w:rsid w:val="00BE1523"/>
    <w:rsid w:val="00BE179E"/>
    <w:rsid w:val="00BE1B9E"/>
    <w:rsid w:val="00BE1CB6"/>
    <w:rsid w:val="00BE1F72"/>
    <w:rsid w:val="00BE1FCD"/>
    <w:rsid w:val="00BE2215"/>
    <w:rsid w:val="00BE2746"/>
    <w:rsid w:val="00BE28AF"/>
    <w:rsid w:val="00BE292F"/>
    <w:rsid w:val="00BE2E88"/>
    <w:rsid w:val="00BE2E8C"/>
    <w:rsid w:val="00BE2F95"/>
    <w:rsid w:val="00BE347D"/>
    <w:rsid w:val="00BE3CF4"/>
    <w:rsid w:val="00BE3E8A"/>
    <w:rsid w:val="00BE426F"/>
    <w:rsid w:val="00BE450C"/>
    <w:rsid w:val="00BE46BE"/>
    <w:rsid w:val="00BE4963"/>
    <w:rsid w:val="00BE4DEB"/>
    <w:rsid w:val="00BE505C"/>
    <w:rsid w:val="00BE50C7"/>
    <w:rsid w:val="00BE5BC7"/>
    <w:rsid w:val="00BE5EE5"/>
    <w:rsid w:val="00BE6238"/>
    <w:rsid w:val="00BE6812"/>
    <w:rsid w:val="00BE6864"/>
    <w:rsid w:val="00BE69E7"/>
    <w:rsid w:val="00BE6C1B"/>
    <w:rsid w:val="00BE7107"/>
    <w:rsid w:val="00BE714B"/>
    <w:rsid w:val="00BE7207"/>
    <w:rsid w:val="00BE730B"/>
    <w:rsid w:val="00BE7395"/>
    <w:rsid w:val="00BE7A32"/>
    <w:rsid w:val="00BF00B7"/>
    <w:rsid w:val="00BF02E2"/>
    <w:rsid w:val="00BF03F0"/>
    <w:rsid w:val="00BF0459"/>
    <w:rsid w:val="00BF07CF"/>
    <w:rsid w:val="00BF09D9"/>
    <w:rsid w:val="00BF0C98"/>
    <w:rsid w:val="00BF1081"/>
    <w:rsid w:val="00BF1262"/>
    <w:rsid w:val="00BF1A56"/>
    <w:rsid w:val="00BF2035"/>
    <w:rsid w:val="00BF22D5"/>
    <w:rsid w:val="00BF2365"/>
    <w:rsid w:val="00BF253D"/>
    <w:rsid w:val="00BF26D4"/>
    <w:rsid w:val="00BF26FF"/>
    <w:rsid w:val="00BF2CE8"/>
    <w:rsid w:val="00BF2D83"/>
    <w:rsid w:val="00BF30E1"/>
    <w:rsid w:val="00BF3696"/>
    <w:rsid w:val="00BF377E"/>
    <w:rsid w:val="00BF37DE"/>
    <w:rsid w:val="00BF38DB"/>
    <w:rsid w:val="00BF3D54"/>
    <w:rsid w:val="00BF3D79"/>
    <w:rsid w:val="00BF3F03"/>
    <w:rsid w:val="00BF3FBB"/>
    <w:rsid w:val="00BF4165"/>
    <w:rsid w:val="00BF4492"/>
    <w:rsid w:val="00BF4969"/>
    <w:rsid w:val="00BF4A6C"/>
    <w:rsid w:val="00BF4BCB"/>
    <w:rsid w:val="00BF5471"/>
    <w:rsid w:val="00BF552F"/>
    <w:rsid w:val="00BF560F"/>
    <w:rsid w:val="00BF5667"/>
    <w:rsid w:val="00BF57C9"/>
    <w:rsid w:val="00BF5B53"/>
    <w:rsid w:val="00BF5F78"/>
    <w:rsid w:val="00BF6078"/>
    <w:rsid w:val="00BF62C3"/>
    <w:rsid w:val="00BF688C"/>
    <w:rsid w:val="00BF688D"/>
    <w:rsid w:val="00BF69D5"/>
    <w:rsid w:val="00BF69E5"/>
    <w:rsid w:val="00BF6A35"/>
    <w:rsid w:val="00BF6D36"/>
    <w:rsid w:val="00BF71BE"/>
    <w:rsid w:val="00BF7305"/>
    <w:rsid w:val="00BF731F"/>
    <w:rsid w:val="00BF7325"/>
    <w:rsid w:val="00BF79F0"/>
    <w:rsid w:val="00BF7D28"/>
    <w:rsid w:val="00BF7EA3"/>
    <w:rsid w:val="00BF7F90"/>
    <w:rsid w:val="00C00074"/>
    <w:rsid w:val="00C0022F"/>
    <w:rsid w:val="00C00230"/>
    <w:rsid w:val="00C003C6"/>
    <w:rsid w:val="00C00407"/>
    <w:rsid w:val="00C004D8"/>
    <w:rsid w:val="00C0057A"/>
    <w:rsid w:val="00C007C4"/>
    <w:rsid w:val="00C0080F"/>
    <w:rsid w:val="00C00D30"/>
    <w:rsid w:val="00C011A3"/>
    <w:rsid w:val="00C011D2"/>
    <w:rsid w:val="00C01381"/>
    <w:rsid w:val="00C013F5"/>
    <w:rsid w:val="00C017C6"/>
    <w:rsid w:val="00C01F4B"/>
    <w:rsid w:val="00C02411"/>
    <w:rsid w:val="00C026A9"/>
    <w:rsid w:val="00C029DE"/>
    <w:rsid w:val="00C02EC1"/>
    <w:rsid w:val="00C0367D"/>
    <w:rsid w:val="00C037FF"/>
    <w:rsid w:val="00C04354"/>
    <w:rsid w:val="00C0451A"/>
    <w:rsid w:val="00C045A1"/>
    <w:rsid w:val="00C04766"/>
    <w:rsid w:val="00C0479D"/>
    <w:rsid w:val="00C0481C"/>
    <w:rsid w:val="00C04AC8"/>
    <w:rsid w:val="00C04B14"/>
    <w:rsid w:val="00C04C72"/>
    <w:rsid w:val="00C0544E"/>
    <w:rsid w:val="00C05683"/>
    <w:rsid w:val="00C05C54"/>
    <w:rsid w:val="00C060E3"/>
    <w:rsid w:val="00C0630F"/>
    <w:rsid w:val="00C065CE"/>
    <w:rsid w:val="00C06778"/>
    <w:rsid w:val="00C06B07"/>
    <w:rsid w:val="00C06B0A"/>
    <w:rsid w:val="00C06B84"/>
    <w:rsid w:val="00C074E5"/>
    <w:rsid w:val="00C07582"/>
    <w:rsid w:val="00C07791"/>
    <w:rsid w:val="00C07E68"/>
    <w:rsid w:val="00C07F04"/>
    <w:rsid w:val="00C10001"/>
    <w:rsid w:val="00C100DC"/>
    <w:rsid w:val="00C100FF"/>
    <w:rsid w:val="00C1010A"/>
    <w:rsid w:val="00C1017A"/>
    <w:rsid w:val="00C101B3"/>
    <w:rsid w:val="00C10A27"/>
    <w:rsid w:val="00C10A32"/>
    <w:rsid w:val="00C10C84"/>
    <w:rsid w:val="00C10EB8"/>
    <w:rsid w:val="00C10FD6"/>
    <w:rsid w:val="00C1118B"/>
    <w:rsid w:val="00C116CB"/>
    <w:rsid w:val="00C11E47"/>
    <w:rsid w:val="00C11F15"/>
    <w:rsid w:val="00C12335"/>
    <w:rsid w:val="00C12414"/>
    <w:rsid w:val="00C12B4D"/>
    <w:rsid w:val="00C12EA4"/>
    <w:rsid w:val="00C12EED"/>
    <w:rsid w:val="00C12F4E"/>
    <w:rsid w:val="00C130B2"/>
    <w:rsid w:val="00C13231"/>
    <w:rsid w:val="00C13244"/>
    <w:rsid w:val="00C1334F"/>
    <w:rsid w:val="00C13440"/>
    <w:rsid w:val="00C13975"/>
    <w:rsid w:val="00C13A0C"/>
    <w:rsid w:val="00C13A31"/>
    <w:rsid w:val="00C14069"/>
    <w:rsid w:val="00C14532"/>
    <w:rsid w:val="00C14905"/>
    <w:rsid w:val="00C14E63"/>
    <w:rsid w:val="00C14EDF"/>
    <w:rsid w:val="00C14FA9"/>
    <w:rsid w:val="00C15311"/>
    <w:rsid w:val="00C1549A"/>
    <w:rsid w:val="00C1549E"/>
    <w:rsid w:val="00C15A1E"/>
    <w:rsid w:val="00C15A5F"/>
    <w:rsid w:val="00C15B8D"/>
    <w:rsid w:val="00C15CE7"/>
    <w:rsid w:val="00C15E66"/>
    <w:rsid w:val="00C15FEA"/>
    <w:rsid w:val="00C165DC"/>
    <w:rsid w:val="00C16A1D"/>
    <w:rsid w:val="00C16CC2"/>
    <w:rsid w:val="00C16DFC"/>
    <w:rsid w:val="00C17079"/>
    <w:rsid w:val="00C1717A"/>
    <w:rsid w:val="00C171B2"/>
    <w:rsid w:val="00C173E3"/>
    <w:rsid w:val="00C1753A"/>
    <w:rsid w:val="00C1755A"/>
    <w:rsid w:val="00C176B9"/>
    <w:rsid w:val="00C1775E"/>
    <w:rsid w:val="00C179DE"/>
    <w:rsid w:val="00C17DA5"/>
    <w:rsid w:val="00C17F09"/>
    <w:rsid w:val="00C206FB"/>
    <w:rsid w:val="00C2075E"/>
    <w:rsid w:val="00C20810"/>
    <w:rsid w:val="00C20B83"/>
    <w:rsid w:val="00C20E3A"/>
    <w:rsid w:val="00C20FD9"/>
    <w:rsid w:val="00C21014"/>
    <w:rsid w:val="00C210E8"/>
    <w:rsid w:val="00C2124F"/>
    <w:rsid w:val="00C2131D"/>
    <w:rsid w:val="00C215A0"/>
    <w:rsid w:val="00C2162A"/>
    <w:rsid w:val="00C21670"/>
    <w:rsid w:val="00C218BC"/>
    <w:rsid w:val="00C2197B"/>
    <w:rsid w:val="00C219D6"/>
    <w:rsid w:val="00C21EB0"/>
    <w:rsid w:val="00C21F60"/>
    <w:rsid w:val="00C21FCA"/>
    <w:rsid w:val="00C22559"/>
    <w:rsid w:val="00C22BBE"/>
    <w:rsid w:val="00C22BF0"/>
    <w:rsid w:val="00C22CA7"/>
    <w:rsid w:val="00C22EB3"/>
    <w:rsid w:val="00C2310D"/>
    <w:rsid w:val="00C2326C"/>
    <w:rsid w:val="00C2361C"/>
    <w:rsid w:val="00C239E6"/>
    <w:rsid w:val="00C23BC7"/>
    <w:rsid w:val="00C23ECF"/>
    <w:rsid w:val="00C240CF"/>
    <w:rsid w:val="00C24198"/>
    <w:rsid w:val="00C2423E"/>
    <w:rsid w:val="00C2460A"/>
    <w:rsid w:val="00C246C1"/>
    <w:rsid w:val="00C2489B"/>
    <w:rsid w:val="00C24B7B"/>
    <w:rsid w:val="00C24CE4"/>
    <w:rsid w:val="00C24DF1"/>
    <w:rsid w:val="00C250CE"/>
    <w:rsid w:val="00C25C93"/>
    <w:rsid w:val="00C25EF7"/>
    <w:rsid w:val="00C25F69"/>
    <w:rsid w:val="00C261CB"/>
    <w:rsid w:val="00C2674D"/>
    <w:rsid w:val="00C26A6A"/>
    <w:rsid w:val="00C26C60"/>
    <w:rsid w:val="00C26E4C"/>
    <w:rsid w:val="00C272D1"/>
    <w:rsid w:val="00C273E3"/>
    <w:rsid w:val="00C27753"/>
    <w:rsid w:val="00C278FC"/>
    <w:rsid w:val="00C30118"/>
    <w:rsid w:val="00C301A3"/>
    <w:rsid w:val="00C303AF"/>
    <w:rsid w:val="00C30651"/>
    <w:rsid w:val="00C306ED"/>
    <w:rsid w:val="00C30714"/>
    <w:rsid w:val="00C307B4"/>
    <w:rsid w:val="00C315A7"/>
    <w:rsid w:val="00C31868"/>
    <w:rsid w:val="00C31BC7"/>
    <w:rsid w:val="00C31C8F"/>
    <w:rsid w:val="00C31DAC"/>
    <w:rsid w:val="00C31EBD"/>
    <w:rsid w:val="00C31ED2"/>
    <w:rsid w:val="00C32075"/>
    <w:rsid w:val="00C32091"/>
    <w:rsid w:val="00C32162"/>
    <w:rsid w:val="00C32242"/>
    <w:rsid w:val="00C32593"/>
    <w:rsid w:val="00C326E3"/>
    <w:rsid w:val="00C32CB1"/>
    <w:rsid w:val="00C32DD4"/>
    <w:rsid w:val="00C33364"/>
    <w:rsid w:val="00C333B9"/>
    <w:rsid w:val="00C33483"/>
    <w:rsid w:val="00C33761"/>
    <w:rsid w:val="00C33803"/>
    <w:rsid w:val="00C33809"/>
    <w:rsid w:val="00C3383A"/>
    <w:rsid w:val="00C3383C"/>
    <w:rsid w:val="00C33B6B"/>
    <w:rsid w:val="00C33FDD"/>
    <w:rsid w:val="00C346E6"/>
    <w:rsid w:val="00C34A6D"/>
    <w:rsid w:val="00C34B11"/>
    <w:rsid w:val="00C34BDF"/>
    <w:rsid w:val="00C34C89"/>
    <w:rsid w:val="00C34E3B"/>
    <w:rsid w:val="00C353D7"/>
    <w:rsid w:val="00C354B4"/>
    <w:rsid w:val="00C35697"/>
    <w:rsid w:val="00C3583F"/>
    <w:rsid w:val="00C35879"/>
    <w:rsid w:val="00C35967"/>
    <w:rsid w:val="00C35B8D"/>
    <w:rsid w:val="00C35DB3"/>
    <w:rsid w:val="00C35F22"/>
    <w:rsid w:val="00C35F32"/>
    <w:rsid w:val="00C3624B"/>
    <w:rsid w:val="00C36301"/>
    <w:rsid w:val="00C364BD"/>
    <w:rsid w:val="00C36AC7"/>
    <w:rsid w:val="00C36E47"/>
    <w:rsid w:val="00C373AD"/>
    <w:rsid w:val="00C37A29"/>
    <w:rsid w:val="00C37B34"/>
    <w:rsid w:val="00C4036A"/>
    <w:rsid w:val="00C4075E"/>
    <w:rsid w:val="00C408EC"/>
    <w:rsid w:val="00C40A3C"/>
    <w:rsid w:val="00C40AA1"/>
    <w:rsid w:val="00C40DAD"/>
    <w:rsid w:val="00C41119"/>
    <w:rsid w:val="00C41577"/>
    <w:rsid w:val="00C416F1"/>
    <w:rsid w:val="00C41737"/>
    <w:rsid w:val="00C4193C"/>
    <w:rsid w:val="00C41A38"/>
    <w:rsid w:val="00C421DA"/>
    <w:rsid w:val="00C4233A"/>
    <w:rsid w:val="00C4277D"/>
    <w:rsid w:val="00C428EA"/>
    <w:rsid w:val="00C42C85"/>
    <w:rsid w:val="00C431A3"/>
    <w:rsid w:val="00C44366"/>
    <w:rsid w:val="00C444CA"/>
    <w:rsid w:val="00C4455C"/>
    <w:rsid w:val="00C445E8"/>
    <w:rsid w:val="00C4463A"/>
    <w:rsid w:val="00C4469F"/>
    <w:rsid w:val="00C448D9"/>
    <w:rsid w:val="00C44926"/>
    <w:rsid w:val="00C44976"/>
    <w:rsid w:val="00C44E62"/>
    <w:rsid w:val="00C4549F"/>
    <w:rsid w:val="00C45827"/>
    <w:rsid w:val="00C45926"/>
    <w:rsid w:val="00C45998"/>
    <w:rsid w:val="00C45ABD"/>
    <w:rsid w:val="00C46060"/>
    <w:rsid w:val="00C46498"/>
    <w:rsid w:val="00C4675D"/>
    <w:rsid w:val="00C4688E"/>
    <w:rsid w:val="00C46A65"/>
    <w:rsid w:val="00C46AAC"/>
    <w:rsid w:val="00C46C28"/>
    <w:rsid w:val="00C46D7C"/>
    <w:rsid w:val="00C46D9D"/>
    <w:rsid w:val="00C470D8"/>
    <w:rsid w:val="00C4715F"/>
    <w:rsid w:val="00C473FF"/>
    <w:rsid w:val="00C4756A"/>
    <w:rsid w:val="00C47684"/>
    <w:rsid w:val="00C47F5D"/>
    <w:rsid w:val="00C50040"/>
    <w:rsid w:val="00C500B9"/>
    <w:rsid w:val="00C501CE"/>
    <w:rsid w:val="00C50541"/>
    <w:rsid w:val="00C50625"/>
    <w:rsid w:val="00C506C2"/>
    <w:rsid w:val="00C5071B"/>
    <w:rsid w:val="00C5076B"/>
    <w:rsid w:val="00C50AE6"/>
    <w:rsid w:val="00C50C33"/>
    <w:rsid w:val="00C50CFB"/>
    <w:rsid w:val="00C50DB4"/>
    <w:rsid w:val="00C50E03"/>
    <w:rsid w:val="00C51375"/>
    <w:rsid w:val="00C51C93"/>
    <w:rsid w:val="00C51EAC"/>
    <w:rsid w:val="00C5234C"/>
    <w:rsid w:val="00C524BE"/>
    <w:rsid w:val="00C5277C"/>
    <w:rsid w:val="00C527D8"/>
    <w:rsid w:val="00C527F3"/>
    <w:rsid w:val="00C52C47"/>
    <w:rsid w:val="00C52C96"/>
    <w:rsid w:val="00C52D48"/>
    <w:rsid w:val="00C52EF7"/>
    <w:rsid w:val="00C52F10"/>
    <w:rsid w:val="00C52FC8"/>
    <w:rsid w:val="00C5382B"/>
    <w:rsid w:val="00C53857"/>
    <w:rsid w:val="00C538CB"/>
    <w:rsid w:val="00C53EDE"/>
    <w:rsid w:val="00C53F3B"/>
    <w:rsid w:val="00C541A4"/>
    <w:rsid w:val="00C541A6"/>
    <w:rsid w:val="00C5437C"/>
    <w:rsid w:val="00C54624"/>
    <w:rsid w:val="00C54810"/>
    <w:rsid w:val="00C54C11"/>
    <w:rsid w:val="00C54CEB"/>
    <w:rsid w:val="00C553FB"/>
    <w:rsid w:val="00C55619"/>
    <w:rsid w:val="00C55955"/>
    <w:rsid w:val="00C564A4"/>
    <w:rsid w:val="00C56B97"/>
    <w:rsid w:val="00C570FA"/>
    <w:rsid w:val="00C573B3"/>
    <w:rsid w:val="00C574C6"/>
    <w:rsid w:val="00C57DF2"/>
    <w:rsid w:val="00C57F9B"/>
    <w:rsid w:val="00C60302"/>
    <w:rsid w:val="00C60449"/>
    <w:rsid w:val="00C6044F"/>
    <w:rsid w:val="00C6054C"/>
    <w:rsid w:val="00C60659"/>
    <w:rsid w:val="00C60965"/>
    <w:rsid w:val="00C60C38"/>
    <w:rsid w:val="00C60C8E"/>
    <w:rsid w:val="00C60CF0"/>
    <w:rsid w:val="00C60E77"/>
    <w:rsid w:val="00C6140B"/>
    <w:rsid w:val="00C61DBB"/>
    <w:rsid w:val="00C622AC"/>
    <w:rsid w:val="00C62470"/>
    <w:rsid w:val="00C624C2"/>
    <w:rsid w:val="00C626AC"/>
    <w:rsid w:val="00C62809"/>
    <w:rsid w:val="00C628CD"/>
    <w:rsid w:val="00C62DAD"/>
    <w:rsid w:val="00C62E24"/>
    <w:rsid w:val="00C63A96"/>
    <w:rsid w:val="00C63AC5"/>
    <w:rsid w:val="00C63E15"/>
    <w:rsid w:val="00C63EFA"/>
    <w:rsid w:val="00C63F03"/>
    <w:rsid w:val="00C64DD4"/>
    <w:rsid w:val="00C64F51"/>
    <w:rsid w:val="00C65256"/>
    <w:rsid w:val="00C652D8"/>
    <w:rsid w:val="00C65B05"/>
    <w:rsid w:val="00C65B40"/>
    <w:rsid w:val="00C65C52"/>
    <w:rsid w:val="00C65D21"/>
    <w:rsid w:val="00C65E2C"/>
    <w:rsid w:val="00C65EC4"/>
    <w:rsid w:val="00C65EC7"/>
    <w:rsid w:val="00C660BC"/>
    <w:rsid w:val="00C660F9"/>
    <w:rsid w:val="00C6616A"/>
    <w:rsid w:val="00C66EDC"/>
    <w:rsid w:val="00C6716A"/>
    <w:rsid w:val="00C67186"/>
    <w:rsid w:val="00C675BD"/>
    <w:rsid w:val="00C67632"/>
    <w:rsid w:val="00C67C8C"/>
    <w:rsid w:val="00C6CB6E"/>
    <w:rsid w:val="00C70957"/>
    <w:rsid w:val="00C70C31"/>
    <w:rsid w:val="00C70FDD"/>
    <w:rsid w:val="00C71459"/>
    <w:rsid w:val="00C71A2C"/>
    <w:rsid w:val="00C71C4B"/>
    <w:rsid w:val="00C720CF"/>
    <w:rsid w:val="00C72163"/>
    <w:rsid w:val="00C7232D"/>
    <w:rsid w:val="00C7233E"/>
    <w:rsid w:val="00C72431"/>
    <w:rsid w:val="00C72437"/>
    <w:rsid w:val="00C72597"/>
    <w:rsid w:val="00C725C6"/>
    <w:rsid w:val="00C72661"/>
    <w:rsid w:val="00C7272A"/>
    <w:rsid w:val="00C7276F"/>
    <w:rsid w:val="00C727A1"/>
    <w:rsid w:val="00C727FA"/>
    <w:rsid w:val="00C72A41"/>
    <w:rsid w:val="00C72E2D"/>
    <w:rsid w:val="00C73121"/>
    <w:rsid w:val="00C7314D"/>
    <w:rsid w:val="00C73636"/>
    <w:rsid w:val="00C738BB"/>
    <w:rsid w:val="00C73AEB"/>
    <w:rsid w:val="00C73B6A"/>
    <w:rsid w:val="00C740D4"/>
    <w:rsid w:val="00C7421C"/>
    <w:rsid w:val="00C745E0"/>
    <w:rsid w:val="00C75771"/>
    <w:rsid w:val="00C75937"/>
    <w:rsid w:val="00C75B31"/>
    <w:rsid w:val="00C75B35"/>
    <w:rsid w:val="00C75D35"/>
    <w:rsid w:val="00C75DC4"/>
    <w:rsid w:val="00C75E19"/>
    <w:rsid w:val="00C75E6C"/>
    <w:rsid w:val="00C75FB7"/>
    <w:rsid w:val="00C76280"/>
    <w:rsid w:val="00C767DB"/>
    <w:rsid w:val="00C76DE1"/>
    <w:rsid w:val="00C76F13"/>
    <w:rsid w:val="00C770C5"/>
    <w:rsid w:val="00C772DD"/>
    <w:rsid w:val="00C77333"/>
    <w:rsid w:val="00C77438"/>
    <w:rsid w:val="00C77558"/>
    <w:rsid w:val="00C77B5B"/>
    <w:rsid w:val="00C80548"/>
    <w:rsid w:val="00C8070F"/>
    <w:rsid w:val="00C80958"/>
    <w:rsid w:val="00C809F4"/>
    <w:rsid w:val="00C80C0B"/>
    <w:rsid w:val="00C80C24"/>
    <w:rsid w:val="00C80D7B"/>
    <w:rsid w:val="00C80EAA"/>
    <w:rsid w:val="00C80F27"/>
    <w:rsid w:val="00C810A6"/>
    <w:rsid w:val="00C81530"/>
    <w:rsid w:val="00C81846"/>
    <w:rsid w:val="00C81AED"/>
    <w:rsid w:val="00C8295A"/>
    <w:rsid w:val="00C82B00"/>
    <w:rsid w:val="00C82B4E"/>
    <w:rsid w:val="00C82DCD"/>
    <w:rsid w:val="00C83080"/>
    <w:rsid w:val="00C83664"/>
    <w:rsid w:val="00C83CCF"/>
    <w:rsid w:val="00C83EB5"/>
    <w:rsid w:val="00C8431E"/>
    <w:rsid w:val="00C8447C"/>
    <w:rsid w:val="00C84843"/>
    <w:rsid w:val="00C84932"/>
    <w:rsid w:val="00C8494F"/>
    <w:rsid w:val="00C8524D"/>
    <w:rsid w:val="00C85A70"/>
    <w:rsid w:val="00C85D85"/>
    <w:rsid w:val="00C860F5"/>
    <w:rsid w:val="00C8618E"/>
    <w:rsid w:val="00C866B3"/>
    <w:rsid w:val="00C868B2"/>
    <w:rsid w:val="00C86BF4"/>
    <w:rsid w:val="00C87635"/>
    <w:rsid w:val="00C87BF3"/>
    <w:rsid w:val="00C87BF9"/>
    <w:rsid w:val="00C87F5C"/>
    <w:rsid w:val="00C90136"/>
    <w:rsid w:val="00C901FE"/>
    <w:rsid w:val="00C90483"/>
    <w:rsid w:val="00C907D2"/>
    <w:rsid w:val="00C90ADD"/>
    <w:rsid w:val="00C90B26"/>
    <w:rsid w:val="00C90BF5"/>
    <w:rsid w:val="00C90C4B"/>
    <w:rsid w:val="00C90E88"/>
    <w:rsid w:val="00C9133F"/>
    <w:rsid w:val="00C91CC0"/>
    <w:rsid w:val="00C91D6A"/>
    <w:rsid w:val="00C920C3"/>
    <w:rsid w:val="00C92380"/>
    <w:rsid w:val="00C92413"/>
    <w:rsid w:val="00C92A43"/>
    <w:rsid w:val="00C93189"/>
    <w:rsid w:val="00C9320A"/>
    <w:rsid w:val="00C9323B"/>
    <w:rsid w:val="00C93464"/>
    <w:rsid w:val="00C934AC"/>
    <w:rsid w:val="00C937CF"/>
    <w:rsid w:val="00C93934"/>
    <w:rsid w:val="00C93A89"/>
    <w:rsid w:val="00C93D9A"/>
    <w:rsid w:val="00C93E5C"/>
    <w:rsid w:val="00C9417C"/>
    <w:rsid w:val="00C943A7"/>
    <w:rsid w:val="00C94453"/>
    <w:rsid w:val="00C94846"/>
    <w:rsid w:val="00C94971"/>
    <w:rsid w:val="00C94ADF"/>
    <w:rsid w:val="00C9515E"/>
    <w:rsid w:val="00C95761"/>
    <w:rsid w:val="00C95E42"/>
    <w:rsid w:val="00C95F63"/>
    <w:rsid w:val="00C962AF"/>
    <w:rsid w:val="00C967E6"/>
    <w:rsid w:val="00C96D4F"/>
    <w:rsid w:val="00C96E88"/>
    <w:rsid w:val="00C971EE"/>
    <w:rsid w:val="00C97545"/>
    <w:rsid w:val="00C97599"/>
    <w:rsid w:val="00C97D8F"/>
    <w:rsid w:val="00CA0360"/>
    <w:rsid w:val="00CA0401"/>
    <w:rsid w:val="00CA04D3"/>
    <w:rsid w:val="00CA063A"/>
    <w:rsid w:val="00CA071B"/>
    <w:rsid w:val="00CA079B"/>
    <w:rsid w:val="00CA08A2"/>
    <w:rsid w:val="00CA0A28"/>
    <w:rsid w:val="00CA0B8A"/>
    <w:rsid w:val="00CA11F7"/>
    <w:rsid w:val="00CA1743"/>
    <w:rsid w:val="00CA27D0"/>
    <w:rsid w:val="00CA27FB"/>
    <w:rsid w:val="00CA2D2F"/>
    <w:rsid w:val="00CA2D6C"/>
    <w:rsid w:val="00CA2D9F"/>
    <w:rsid w:val="00CA30DC"/>
    <w:rsid w:val="00CA3109"/>
    <w:rsid w:val="00CA34CA"/>
    <w:rsid w:val="00CA3875"/>
    <w:rsid w:val="00CA3906"/>
    <w:rsid w:val="00CA3D8F"/>
    <w:rsid w:val="00CA4015"/>
    <w:rsid w:val="00CA4088"/>
    <w:rsid w:val="00CA4245"/>
    <w:rsid w:val="00CA42E5"/>
    <w:rsid w:val="00CA454E"/>
    <w:rsid w:val="00CA4842"/>
    <w:rsid w:val="00CA4978"/>
    <w:rsid w:val="00CA4E14"/>
    <w:rsid w:val="00CA507F"/>
    <w:rsid w:val="00CA51B4"/>
    <w:rsid w:val="00CA5214"/>
    <w:rsid w:val="00CA53DF"/>
    <w:rsid w:val="00CA53EE"/>
    <w:rsid w:val="00CA5D60"/>
    <w:rsid w:val="00CA642B"/>
    <w:rsid w:val="00CA64AF"/>
    <w:rsid w:val="00CA67CF"/>
    <w:rsid w:val="00CA68D5"/>
    <w:rsid w:val="00CA6A7B"/>
    <w:rsid w:val="00CA6CD5"/>
    <w:rsid w:val="00CA6E4A"/>
    <w:rsid w:val="00CA738B"/>
    <w:rsid w:val="00CA7987"/>
    <w:rsid w:val="00CB020B"/>
    <w:rsid w:val="00CB038B"/>
    <w:rsid w:val="00CB0446"/>
    <w:rsid w:val="00CB0554"/>
    <w:rsid w:val="00CB1296"/>
    <w:rsid w:val="00CB1332"/>
    <w:rsid w:val="00CB18FE"/>
    <w:rsid w:val="00CB1C14"/>
    <w:rsid w:val="00CB2418"/>
    <w:rsid w:val="00CB272A"/>
    <w:rsid w:val="00CB29CC"/>
    <w:rsid w:val="00CB2A68"/>
    <w:rsid w:val="00CB2D2D"/>
    <w:rsid w:val="00CB3466"/>
    <w:rsid w:val="00CB35E2"/>
    <w:rsid w:val="00CB3774"/>
    <w:rsid w:val="00CB3884"/>
    <w:rsid w:val="00CB443E"/>
    <w:rsid w:val="00CB4831"/>
    <w:rsid w:val="00CB4877"/>
    <w:rsid w:val="00CB4C5A"/>
    <w:rsid w:val="00CB4FA3"/>
    <w:rsid w:val="00CB52EF"/>
    <w:rsid w:val="00CB56C3"/>
    <w:rsid w:val="00CB57DE"/>
    <w:rsid w:val="00CB5C94"/>
    <w:rsid w:val="00CB5D3B"/>
    <w:rsid w:val="00CB5D49"/>
    <w:rsid w:val="00CB606B"/>
    <w:rsid w:val="00CB64D6"/>
    <w:rsid w:val="00CB6582"/>
    <w:rsid w:val="00CB662B"/>
    <w:rsid w:val="00CB663B"/>
    <w:rsid w:val="00CB6795"/>
    <w:rsid w:val="00CB6A8D"/>
    <w:rsid w:val="00CB6B57"/>
    <w:rsid w:val="00CB6B83"/>
    <w:rsid w:val="00CB6BED"/>
    <w:rsid w:val="00CB6C54"/>
    <w:rsid w:val="00CB6D02"/>
    <w:rsid w:val="00CB6F7F"/>
    <w:rsid w:val="00CB6F8C"/>
    <w:rsid w:val="00CB702A"/>
    <w:rsid w:val="00CB70E6"/>
    <w:rsid w:val="00CB70ED"/>
    <w:rsid w:val="00CB7B39"/>
    <w:rsid w:val="00CB7E1E"/>
    <w:rsid w:val="00CB7ECF"/>
    <w:rsid w:val="00CC03F9"/>
    <w:rsid w:val="00CC0586"/>
    <w:rsid w:val="00CC05B5"/>
    <w:rsid w:val="00CC0718"/>
    <w:rsid w:val="00CC09D6"/>
    <w:rsid w:val="00CC09FF"/>
    <w:rsid w:val="00CC0A20"/>
    <w:rsid w:val="00CC0BD6"/>
    <w:rsid w:val="00CC0CF5"/>
    <w:rsid w:val="00CC0EAD"/>
    <w:rsid w:val="00CC0EEE"/>
    <w:rsid w:val="00CC1205"/>
    <w:rsid w:val="00CC1222"/>
    <w:rsid w:val="00CC13FB"/>
    <w:rsid w:val="00CC1509"/>
    <w:rsid w:val="00CC1A6A"/>
    <w:rsid w:val="00CC1E47"/>
    <w:rsid w:val="00CC1F71"/>
    <w:rsid w:val="00CC20AA"/>
    <w:rsid w:val="00CC21AD"/>
    <w:rsid w:val="00CC21F8"/>
    <w:rsid w:val="00CC252A"/>
    <w:rsid w:val="00CC25CC"/>
    <w:rsid w:val="00CC2EEC"/>
    <w:rsid w:val="00CC2F30"/>
    <w:rsid w:val="00CC2FB2"/>
    <w:rsid w:val="00CC3000"/>
    <w:rsid w:val="00CC3184"/>
    <w:rsid w:val="00CC33B5"/>
    <w:rsid w:val="00CC3655"/>
    <w:rsid w:val="00CC375E"/>
    <w:rsid w:val="00CC3B87"/>
    <w:rsid w:val="00CC3EDF"/>
    <w:rsid w:val="00CC4149"/>
    <w:rsid w:val="00CC4461"/>
    <w:rsid w:val="00CC4DB1"/>
    <w:rsid w:val="00CC4F4F"/>
    <w:rsid w:val="00CC505E"/>
    <w:rsid w:val="00CC5477"/>
    <w:rsid w:val="00CC56AF"/>
    <w:rsid w:val="00CC5E39"/>
    <w:rsid w:val="00CC5E4E"/>
    <w:rsid w:val="00CC5E8B"/>
    <w:rsid w:val="00CC5F7A"/>
    <w:rsid w:val="00CC6237"/>
    <w:rsid w:val="00CC62D9"/>
    <w:rsid w:val="00CC6592"/>
    <w:rsid w:val="00CC6873"/>
    <w:rsid w:val="00CC6BB6"/>
    <w:rsid w:val="00CC6F9F"/>
    <w:rsid w:val="00CC7128"/>
    <w:rsid w:val="00CC75C8"/>
    <w:rsid w:val="00CC7743"/>
    <w:rsid w:val="00CC7909"/>
    <w:rsid w:val="00CC7B37"/>
    <w:rsid w:val="00CC7BB4"/>
    <w:rsid w:val="00CC7D9F"/>
    <w:rsid w:val="00CC7E19"/>
    <w:rsid w:val="00CD00A6"/>
    <w:rsid w:val="00CD00C0"/>
    <w:rsid w:val="00CD031B"/>
    <w:rsid w:val="00CD04E6"/>
    <w:rsid w:val="00CD1486"/>
    <w:rsid w:val="00CD1699"/>
    <w:rsid w:val="00CD1771"/>
    <w:rsid w:val="00CD1D71"/>
    <w:rsid w:val="00CD2706"/>
    <w:rsid w:val="00CD2C8F"/>
    <w:rsid w:val="00CD2D41"/>
    <w:rsid w:val="00CD2E3C"/>
    <w:rsid w:val="00CD2F87"/>
    <w:rsid w:val="00CD3191"/>
    <w:rsid w:val="00CD31BD"/>
    <w:rsid w:val="00CD3526"/>
    <w:rsid w:val="00CD36C3"/>
    <w:rsid w:val="00CD3769"/>
    <w:rsid w:val="00CD38ED"/>
    <w:rsid w:val="00CD3B17"/>
    <w:rsid w:val="00CD3F4A"/>
    <w:rsid w:val="00CD4005"/>
    <w:rsid w:val="00CD4361"/>
    <w:rsid w:val="00CD4670"/>
    <w:rsid w:val="00CD4814"/>
    <w:rsid w:val="00CD4B3E"/>
    <w:rsid w:val="00CD5575"/>
    <w:rsid w:val="00CD55F5"/>
    <w:rsid w:val="00CD561F"/>
    <w:rsid w:val="00CD5781"/>
    <w:rsid w:val="00CD597A"/>
    <w:rsid w:val="00CD5B64"/>
    <w:rsid w:val="00CD5E90"/>
    <w:rsid w:val="00CD5F14"/>
    <w:rsid w:val="00CD5F9B"/>
    <w:rsid w:val="00CD604A"/>
    <w:rsid w:val="00CD6813"/>
    <w:rsid w:val="00CD6985"/>
    <w:rsid w:val="00CD6EBF"/>
    <w:rsid w:val="00CD7014"/>
    <w:rsid w:val="00CD729B"/>
    <w:rsid w:val="00CD75C1"/>
    <w:rsid w:val="00CD75CF"/>
    <w:rsid w:val="00CD7ABD"/>
    <w:rsid w:val="00CD7B65"/>
    <w:rsid w:val="00CD7B99"/>
    <w:rsid w:val="00CD7DB8"/>
    <w:rsid w:val="00CE0151"/>
    <w:rsid w:val="00CE01DA"/>
    <w:rsid w:val="00CE024A"/>
    <w:rsid w:val="00CE0313"/>
    <w:rsid w:val="00CE0419"/>
    <w:rsid w:val="00CE05CB"/>
    <w:rsid w:val="00CE0A6E"/>
    <w:rsid w:val="00CE1454"/>
    <w:rsid w:val="00CE1681"/>
    <w:rsid w:val="00CE1855"/>
    <w:rsid w:val="00CE1C6D"/>
    <w:rsid w:val="00CE1D68"/>
    <w:rsid w:val="00CE1D8C"/>
    <w:rsid w:val="00CE1DD2"/>
    <w:rsid w:val="00CE1DFF"/>
    <w:rsid w:val="00CE1FA8"/>
    <w:rsid w:val="00CE2A40"/>
    <w:rsid w:val="00CE3131"/>
    <w:rsid w:val="00CE39BB"/>
    <w:rsid w:val="00CE3D63"/>
    <w:rsid w:val="00CE3E2F"/>
    <w:rsid w:val="00CE4052"/>
    <w:rsid w:val="00CE40BB"/>
    <w:rsid w:val="00CE42BD"/>
    <w:rsid w:val="00CE4472"/>
    <w:rsid w:val="00CE4478"/>
    <w:rsid w:val="00CE47BB"/>
    <w:rsid w:val="00CE4A53"/>
    <w:rsid w:val="00CE4B57"/>
    <w:rsid w:val="00CE4C46"/>
    <w:rsid w:val="00CE4E15"/>
    <w:rsid w:val="00CE4ED5"/>
    <w:rsid w:val="00CE5048"/>
    <w:rsid w:val="00CE56F9"/>
    <w:rsid w:val="00CE5700"/>
    <w:rsid w:val="00CE5D25"/>
    <w:rsid w:val="00CE5FDA"/>
    <w:rsid w:val="00CE644E"/>
    <w:rsid w:val="00CE6528"/>
    <w:rsid w:val="00CE65C5"/>
    <w:rsid w:val="00CE65CB"/>
    <w:rsid w:val="00CE6A81"/>
    <w:rsid w:val="00CE6BD9"/>
    <w:rsid w:val="00CE7300"/>
    <w:rsid w:val="00CE73A2"/>
    <w:rsid w:val="00CE756A"/>
    <w:rsid w:val="00CE771B"/>
    <w:rsid w:val="00CE7936"/>
    <w:rsid w:val="00CE7CF7"/>
    <w:rsid w:val="00CE7CFB"/>
    <w:rsid w:val="00CE7D65"/>
    <w:rsid w:val="00CE7DB3"/>
    <w:rsid w:val="00CE7F89"/>
    <w:rsid w:val="00CF02A6"/>
    <w:rsid w:val="00CF06E9"/>
    <w:rsid w:val="00CF0B64"/>
    <w:rsid w:val="00CF0B68"/>
    <w:rsid w:val="00CF0C3F"/>
    <w:rsid w:val="00CF1573"/>
    <w:rsid w:val="00CF1622"/>
    <w:rsid w:val="00CF17A3"/>
    <w:rsid w:val="00CF1927"/>
    <w:rsid w:val="00CF1A4A"/>
    <w:rsid w:val="00CF3101"/>
    <w:rsid w:val="00CF3BDE"/>
    <w:rsid w:val="00CF3CAD"/>
    <w:rsid w:val="00CF45C3"/>
    <w:rsid w:val="00CF4A1E"/>
    <w:rsid w:val="00CF4D08"/>
    <w:rsid w:val="00CF4F81"/>
    <w:rsid w:val="00CF4FA0"/>
    <w:rsid w:val="00CF4FE4"/>
    <w:rsid w:val="00CF51C0"/>
    <w:rsid w:val="00CF56DA"/>
    <w:rsid w:val="00CF59B2"/>
    <w:rsid w:val="00CF5ADA"/>
    <w:rsid w:val="00CF5F05"/>
    <w:rsid w:val="00CF5FC2"/>
    <w:rsid w:val="00CF669A"/>
    <w:rsid w:val="00CF69C9"/>
    <w:rsid w:val="00CF6D0C"/>
    <w:rsid w:val="00CF739D"/>
    <w:rsid w:val="00CF74A4"/>
    <w:rsid w:val="00CF74B7"/>
    <w:rsid w:val="00CF7C9C"/>
    <w:rsid w:val="00CF7D26"/>
    <w:rsid w:val="00CF7EF1"/>
    <w:rsid w:val="00CF7FF2"/>
    <w:rsid w:val="00D000DA"/>
    <w:rsid w:val="00D00148"/>
    <w:rsid w:val="00D00590"/>
    <w:rsid w:val="00D00655"/>
    <w:rsid w:val="00D006AF"/>
    <w:rsid w:val="00D00868"/>
    <w:rsid w:val="00D00B4C"/>
    <w:rsid w:val="00D00F43"/>
    <w:rsid w:val="00D010DB"/>
    <w:rsid w:val="00D01B5B"/>
    <w:rsid w:val="00D01FE2"/>
    <w:rsid w:val="00D02C9C"/>
    <w:rsid w:val="00D0310B"/>
    <w:rsid w:val="00D033C3"/>
    <w:rsid w:val="00D03485"/>
    <w:rsid w:val="00D03AE9"/>
    <w:rsid w:val="00D03B45"/>
    <w:rsid w:val="00D03BC0"/>
    <w:rsid w:val="00D03F4B"/>
    <w:rsid w:val="00D03F80"/>
    <w:rsid w:val="00D040BF"/>
    <w:rsid w:val="00D041CE"/>
    <w:rsid w:val="00D04529"/>
    <w:rsid w:val="00D047C1"/>
    <w:rsid w:val="00D04D86"/>
    <w:rsid w:val="00D04EF1"/>
    <w:rsid w:val="00D0537F"/>
    <w:rsid w:val="00D055AE"/>
    <w:rsid w:val="00D05C7D"/>
    <w:rsid w:val="00D05D44"/>
    <w:rsid w:val="00D05DA1"/>
    <w:rsid w:val="00D064C2"/>
    <w:rsid w:val="00D0650A"/>
    <w:rsid w:val="00D06E6F"/>
    <w:rsid w:val="00D070B3"/>
    <w:rsid w:val="00D073BB"/>
    <w:rsid w:val="00D07458"/>
    <w:rsid w:val="00D074A0"/>
    <w:rsid w:val="00D074C0"/>
    <w:rsid w:val="00D07880"/>
    <w:rsid w:val="00D07EBC"/>
    <w:rsid w:val="00D1001F"/>
    <w:rsid w:val="00D10A66"/>
    <w:rsid w:val="00D10DC4"/>
    <w:rsid w:val="00D1118C"/>
    <w:rsid w:val="00D112DB"/>
    <w:rsid w:val="00D1157B"/>
    <w:rsid w:val="00D118E1"/>
    <w:rsid w:val="00D119FD"/>
    <w:rsid w:val="00D11A29"/>
    <w:rsid w:val="00D11EB8"/>
    <w:rsid w:val="00D120A8"/>
    <w:rsid w:val="00D12183"/>
    <w:rsid w:val="00D123A6"/>
    <w:rsid w:val="00D125D0"/>
    <w:rsid w:val="00D129AD"/>
    <w:rsid w:val="00D129BE"/>
    <w:rsid w:val="00D129E1"/>
    <w:rsid w:val="00D12D23"/>
    <w:rsid w:val="00D12D25"/>
    <w:rsid w:val="00D130D4"/>
    <w:rsid w:val="00D130EB"/>
    <w:rsid w:val="00D13159"/>
    <w:rsid w:val="00D13264"/>
    <w:rsid w:val="00D135DA"/>
    <w:rsid w:val="00D13883"/>
    <w:rsid w:val="00D138DD"/>
    <w:rsid w:val="00D13BCA"/>
    <w:rsid w:val="00D13C57"/>
    <w:rsid w:val="00D140A4"/>
    <w:rsid w:val="00D1416F"/>
    <w:rsid w:val="00D142C9"/>
    <w:rsid w:val="00D143A6"/>
    <w:rsid w:val="00D14563"/>
    <w:rsid w:val="00D14B87"/>
    <w:rsid w:val="00D14F3C"/>
    <w:rsid w:val="00D156B9"/>
    <w:rsid w:val="00D15DE3"/>
    <w:rsid w:val="00D15F16"/>
    <w:rsid w:val="00D162FE"/>
    <w:rsid w:val="00D16784"/>
    <w:rsid w:val="00D169BB"/>
    <w:rsid w:val="00D16A10"/>
    <w:rsid w:val="00D16A46"/>
    <w:rsid w:val="00D16DD0"/>
    <w:rsid w:val="00D16E2E"/>
    <w:rsid w:val="00D16F8F"/>
    <w:rsid w:val="00D16FB5"/>
    <w:rsid w:val="00D16FBB"/>
    <w:rsid w:val="00D17536"/>
    <w:rsid w:val="00D1755D"/>
    <w:rsid w:val="00D17875"/>
    <w:rsid w:val="00D17A09"/>
    <w:rsid w:val="00D17C05"/>
    <w:rsid w:val="00D17CFA"/>
    <w:rsid w:val="00D17E23"/>
    <w:rsid w:val="00D205A9"/>
    <w:rsid w:val="00D205BD"/>
    <w:rsid w:val="00D209CC"/>
    <w:rsid w:val="00D20EA7"/>
    <w:rsid w:val="00D210B8"/>
    <w:rsid w:val="00D212AA"/>
    <w:rsid w:val="00D213A5"/>
    <w:rsid w:val="00D21473"/>
    <w:rsid w:val="00D2199F"/>
    <w:rsid w:val="00D21A61"/>
    <w:rsid w:val="00D21C3E"/>
    <w:rsid w:val="00D21D5B"/>
    <w:rsid w:val="00D21EA8"/>
    <w:rsid w:val="00D2211E"/>
    <w:rsid w:val="00D22124"/>
    <w:rsid w:val="00D223BB"/>
    <w:rsid w:val="00D227C5"/>
    <w:rsid w:val="00D22879"/>
    <w:rsid w:val="00D22D23"/>
    <w:rsid w:val="00D22FC5"/>
    <w:rsid w:val="00D2389E"/>
    <w:rsid w:val="00D238E3"/>
    <w:rsid w:val="00D239ED"/>
    <w:rsid w:val="00D23AF8"/>
    <w:rsid w:val="00D23B16"/>
    <w:rsid w:val="00D23EB8"/>
    <w:rsid w:val="00D240EE"/>
    <w:rsid w:val="00D243A2"/>
    <w:rsid w:val="00D246D3"/>
    <w:rsid w:val="00D24766"/>
    <w:rsid w:val="00D249A3"/>
    <w:rsid w:val="00D24AE7"/>
    <w:rsid w:val="00D24D17"/>
    <w:rsid w:val="00D24E0E"/>
    <w:rsid w:val="00D2513D"/>
    <w:rsid w:val="00D2520F"/>
    <w:rsid w:val="00D258EF"/>
    <w:rsid w:val="00D259DA"/>
    <w:rsid w:val="00D259EF"/>
    <w:rsid w:val="00D25A37"/>
    <w:rsid w:val="00D25C25"/>
    <w:rsid w:val="00D25D6E"/>
    <w:rsid w:val="00D25E0E"/>
    <w:rsid w:val="00D2604D"/>
    <w:rsid w:val="00D26051"/>
    <w:rsid w:val="00D26353"/>
    <w:rsid w:val="00D26624"/>
    <w:rsid w:val="00D269CF"/>
    <w:rsid w:val="00D26B39"/>
    <w:rsid w:val="00D26CEF"/>
    <w:rsid w:val="00D2707D"/>
    <w:rsid w:val="00D2734B"/>
    <w:rsid w:val="00D276B4"/>
    <w:rsid w:val="00D27F2D"/>
    <w:rsid w:val="00D30019"/>
    <w:rsid w:val="00D3042F"/>
    <w:rsid w:val="00D3057B"/>
    <w:rsid w:val="00D306CC"/>
    <w:rsid w:val="00D30900"/>
    <w:rsid w:val="00D309BA"/>
    <w:rsid w:val="00D30A48"/>
    <w:rsid w:val="00D30DFD"/>
    <w:rsid w:val="00D30F4A"/>
    <w:rsid w:val="00D30F72"/>
    <w:rsid w:val="00D3125E"/>
    <w:rsid w:val="00D31891"/>
    <w:rsid w:val="00D31A0B"/>
    <w:rsid w:val="00D31D82"/>
    <w:rsid w:val="00D31E92"/>
    <w:rsid w:val="00D32825"/>
    <w:rsid w:val="00D32BB9"/>
    <w:rsid w:val="00D32DFC"/>
    <w:rsid w:val="00D32E0E"/>
    <w:rsid w:val="00D330DC"/>
    <w:rsid w:val="00D33106"/>
    <w:rsid w:val="00D33745"/>
    <w:rsid w:val="00D33879"/>
    <w:rsid w:val="00D33D2C"/>
    <w:rsid w:val="00D33EDA"/>
    <w:rsid w:val="00D34004"/>
    <w:rsid w:val="00D3404F"/>
    <w:rsid w:val="00D3413E"/>
    <w:rsid w:val="00D342D2"/>
    <w:rsid w:val="00D342D5"/>
    <w:rsid w:val="00D3444B"/>
    <w:rsid w:val="00D3445E"/>
    <w:rsid w:val="00D347AB"/>
    <w:rsid w:val="00D34CC8"/>
    <w:rsid w:val="00D351FB"/>
    <w:rsid w:val="00D35290"/>
    <w:rsid w:val="00D35363"/>
    <w:rsid w:val="00D3592A"/>
    <w:rsid w:val="00D3597D"/>
    <w:rsid w:val="00D35F13"/>
    <w:rsid w:val="00D35F64"/>
    <w:rsid w:val="00D360D2"/>
    <w:rsid w:val="00D3672E"/>
    <w:rsid w:val="00D367C3"/>
    <w:rsid w:val="00D36E0E"/>
    <w:rsid w:val="00D37022"/>
    <w:rsid w:val="00D371E2"/>
    <w:rsid w:val="00D37434"/>
    <w:rsid w:val="00D374CE"/>
    <w:rsid w:val="00D379A8"/>
    <w:rsid w:val="00D37F4E"/>
    <w:rsid w:val="00D4048F"/>
    <w:rsid w:val="00D4054E"/>
    <w:rsid w:val="00D40864"/>
    <w:rsid w:val="00D40948"/>
    <w:rsid w:val="00D40EE7"/>
    <w:rsid w:val="00D41459"/>
    <w:rsid w:val="00D41474"/>
    <w:rsid w:val="00D41567"/>
    <w:rsid w:val="00D41C8F"/>
    <w:rsid w:val="00D41CD8"/>
    <w:rsid w:val="00D41D34"/>
    <w:rsid w:val="00D420D8"/>
    <w:rsid w:val="00D42178"/>
    <w:rsid w:val="00D42239"/>
    <w:rsid w:val="00D4262A"/>
    <w:rsid w:val="00D42CE3"/>
    <w:rsid w:val="00D433F1"/>
    <w:rsid w:val="00D436DB"/>
    <w:rsid w:val="00D438BF"/>
    <w:rsid w:val="00D438D6"/>
    <w:rsid w:val="00D43A15"/>
    <w:rsid w:val="00D43BE4"/>
    <w:rsid w:val="00D43C3E"/>
    <w:rsid w:val="00D43D42"/>
    <w:rsid w:val="00D44331"/>
    <w:rsid w:val="00D44810"/>
    <w:rsid w:val="00D44835"/>
    <w:rsid w:val="00D44C8C"/>
    <w:rsid w:val="00D45142"/>
    <w:rsid w:val="00D451CB"/>
    <w:rsid w:val="00D45277"/>
    <w:rsid w:val="00D45510"/>
    <w:rsid w:val="00D4563A"/>
    <w:rsid w:val="00D46194"/>
    <w:rsid w:val="00D4635E"/>
    <w:rsid w:val="00D464B3"/>
    <w:rsid w:val="00D464C2"/>
    <w:rsid w:val="00D465F9"/>
    <w:rsid w:val="00D46612"/>
    <w:rsid w:val="00D469AE"/>
    <w:rsid w:val="00D46F80"/>
    <w:rsid w:val="00D4714D"/>
    <w:rsid w:val="00D478DC"/>
    <w:rsid w:val="00D50149"/>
    <w:rsid w:val="00D503B0"/>
    <w:rsid w:val="00D5060D"/>
    <w:rsid w:val="00D50A80"/>
    <w:rsid w:val="00D50B13"/>
    <w:rsid w:val="00D50C4F"/>
    <w:rsid w:val="00D50C7D"/>
    <w:rsid w:val="00D50DAA"/>
    <w:rsid w:val="00D50E9E"/>
    <w:rsid w:val="00D50EAC"/>
    <w:rsid w:val="00D50F1A"/>
    <w:rsid w:val="00D50F7C"/>
    <w:rsid w:val="00D50F9A"/>
    <w:rsid w:val="00D51027"/>
    <w:rsid w:val="00D5131E"/>
    <w:rsid w:val="00D51792"/>
    <w:rsid w:val="00D518D3"/>
    <w:rsid w:val="00D519BA"/>
    <w:rsid w:val="00D519C8"/>
    <w:rsid w:val="00D51E32"/>
    <w:rsid w:val="00D51F82"/>
    <w:rsid w:val="00D5205E"/>
    <w:rsid w:val="00D52123"/>
    <w:rsid w:val="00D5263F"/>
    <w:rsid w:val="00D528F8"/>
    <w:rsid w:val="00D52A61"/>
    <w:rsid w:val="00D52BC1"/>
    <w:rsid w:val="00D52BD5"/>
    <w:rsid w:val="00D52EDD"/>
    <w:rsid w:val="00D52F4B"/>
    <w:rsid w:val="00D5307F"/>
    <w:rsid w:val="00D53299"/>
    <w:rsid w:val="00D533A8"/>
    <w:rsid w:val="00D53451"/>
    <w:rsid w:val="00D53B75"/>
    <w:rsid w:val="00D53D8E"/>
    <w:rsid w:val="00D545BD"/>
    <w:rsid w:val="00D546D6"/>
    <w:rsid w:val="00D546E1"/>
    <w:rsid w:val="00D547D1"/>
    <w:rsid w:val="00D54A9B"/>
    <w:rsid w:val="00D54E7F"/>
    <w:rsid w:val="00D550A1"/>
    <w:rsid w:val="00D55260"/>
    <w:rsid w:val="00D55420"/>
    <w:rsid w:val="00D55876"/>
    <w:rsid w:val="00D55BDB"/>
    <w:rsid w:val="00D55D61"/>
    <w:rsid w:val="00D567C4"/>
    <w:rsid w:val="00D56863"/>
    <w:rsid w:val="00D56866"/>
    <w:rsid w:val="00D56A90"/>
    <w:rsid w:val="00D571E1"/>
    <w:rsid w:val="00D5727A"/>
    <w:rsid w:val="00D57378"/>
    <w:rsid w:val="00D57933"/>
    <w:rsid w:val="00D579D8"/>
    <w:rsid w:val="00D57E7C"/>
    <w:rsid w:val="00D57EFF"/>
    <w:rsid w:val="00D60031"/>
    <w:rsid w:val="00D603DA"/>
    <w:rsid w:val="00D6053F"/>
    <w:rsid w:val="00D6090D"/>
    <w:rsid w:val="00D60F3D"/>
    <w:rsid w:val="00D60F48"/>
    <w:rsid w:val="00D614F7"/>
    <w:rsid w:val="00D618A2"/>
    <w:rsid w:val="00D618C0"/>
    <w:rsid w:val="00D618FE"/>
    <w:rsid w:val="00D6194D"/>
    <w:rsid w:val="00D61C35"/>
    <w:rsid w:val="00D61FDA"/>
    <w:rsid w:val="00D62003"/>
    <w:rsid w:val="00D620F9"/>
    <w:rsid w:val="00D621CF"/>
    <w:rsid w:val="00D62618"/>
    <w:rsid w:val="00D62D10"/>
    <w:rsid w:val="00D631D5"/>
    <w:rsid w:val="00D632FE"/>
    <w:rsid w:val="00D6331A"/>
    <w:rsid w:val="00D63399"/>
    <w:rsid w:val="00D6350A"/>
    <w:rsid w:val="00D637C9"/>
    <w:rsid w:val="00D63DCD"/>
    <w:rsid w:val="00D63ECF"/>
    <w:rsid w:val="00D64C75"/>
    <w:rsid w:val="00D64D28"/>
    <w:rsid w:val="00D650FA"/>
    <w:rsid w:val="00D654E8"/>
    <w:rsid w:val="00D655FC"/>
    <w:rsid w:val="00D65D59"/>
    <w:rsid w:val="00D65D87"/>
    <w:rsid w:val="00D65E5E"/>
    <w:rsid w:val="00D6651C"/>
    <w:rsid w:val="00D66987"/>
    <w:rsid w:val="00D67170"/>
    <w:rsid w:val="00D67356"/>
    <w:rsid w:val="00D67684"/>
    <w:rsid w:val="00D676A4"/>
    <w:rsid w:val="00D67741"/>
    <w:rsid w:val="00D678D8"/>
    <w:rsid w:val="00D67ABA"/>
    <w:rsid w:val="00D67B67"/>
    <w:rsid w:val="00D67CCF"/>
    <w:rsid w:val="00D67D31"/>
    <w:rsid w:val="00D67EF4"/>
    <w:rsid w:val="00D67F6B"/>
    <w:rsid w:val="00D67F85"/>
    <w:rsid w:val="00D704B4"/>
    <w:rsid w:val="00D70C11"/>
    <w:rsid w:val="00D70EDD"/>
    <w:rsid w:val="00D71523"/>
    <w:rsid w:val="00D71FA4"/>
    <w:rsid w:val="00D7235B"/>
    <w:rsid w:val="00D72740"/>
    <w:rsid w:val="00D727DE"/>
    <w:rsid w:val="00D72CF0"/>
    <w:rsid w:val="00D72E26"/>
    <w:rsid w:val="00D72EED"/>
    <w:rsid w:val="00D732DB"/>
    <w:rsid w:val="00D73428"/>
    <w:rsid w:val="00D736D4"/>
    <w:rsid w:val="00D737AB"/>
    <w:rsid w:val="00D73C7A"/>
    <w:rsid w:val="00D73F64"/>
    <w:rsid w:val="00D74175"/>
    <w:rsid w:val="00D74335"/>
    <w:rsid w:val="00D74621"/>
    <w:rsid w:val="00D74E68"/>
    <w:rsid w:val="00D7500F"/>
    <w:rsid w:val="00D75223"/>
    <w:rsid w:val="00D75322"/>
    <w:rsid w:val="00D755F7"/>
    <w:rsid w:val="00D75E09"/>
    <w:rsid w:val="00D75EF3"/>
    <w:rsid w:val="00D75F25"/>
    <w:rsid w:val="00D763E9"/>
    <w:rsid w:val="00D768E3"/>
    <w:rsid w:val="00D76B15"/>
    <w:rsid w:val="00D76B2B"/>
    <w:rsid w:val="00D76C65"/>
    <w:rsid w:val="00D77039"/>
    <w:rsid w:val="00D7742A"/>
    <w:rsid w:val="00D77661"/>
    <w:rsid w:val="00D7791B"/>
    <w:rsid w:val="00D77D9B"/>
    <w:rsid w:val="00D77E68"/>
    <w:rsid w:val="00D77FA0"/>
    <w:rsid w:val="00D80088"/>
    <w:rsid w:val="00D8038C"/>
    <w:rsid w:val="00D80548"/>
    <w:rsid w:val="00D805A5"/>
    <w:rsid w:val="00D806F1"/>
    <w:rsid w:val="00D807D8"/>
    <w:rsid w:val="00D808EE"/>
    <w:rsid w:val="00D80DCC"/>
    <w:rsid w:val="00D8106B"/>
    <w:rsid w:val="00D81083"/>
    <w:rsid w:val="00D81806"/>
    <w:rsid w:val="00D818BC"/>
    <w:rsid w:val="00D819FA"/>
    <w:rsid w:val="00D8229D"/>
    <w:rsid w:val="00D82606"/>
    <w:rsid w:val="00D826AA"/>
    <w:rsid w:val="00D82A36"/>
    <w:rsid w:val="00D82AB7"/>
    <w:rsid w:val="00D82FA9"/>
    <w:rsid w:val="00D831C5"/>
    <w:rsid w:val="00D83390"/>
    <w:rsid w:val="00D83455"/>
    <w:rsid w:val="00D836ED"/>
    <w:rsid w:val="00D837D3"/>
    <w:rsid w:val="00D838AC"/>
    <w:rsid w:val="00D841EF"/>
    <w:rsid w:val="00D84BF3"/>
    <w:rsid w:val="00D84F64"/>
    <w:rsid w:val="00D852BA"/>
    <w:rsid w:val="00D85365"/>
    <w:rsid w:val="00D853A8"/>
    <w:rsid w:val="00D85728"/>
    <w:rsid w:val="00D85809"/>
    <w:rsid w:val="00D85BF6"/>
    <w:rsid w:val="00D85F62"/>
    <w:rsid w:val="00D85F76"/>
    <w:rsid w:val="00D86AD7"/>
    <w:rsid w:val="00D86B28"/>
    <w:rsid w:val="00D86C06"/>
    <w:rsid w:val="00D86D75"/>
    <w:rsid w:val="00D87054"/>
    <w:rsid w:val="00D87237"/>
    <w:rsid w:val="00D872FA"/>
    <w:rsid w:val="00D87487"/>
    <w:rsid w:val="00D875A3"/>
    <w:rsid w:val="00D87684"/>
    <w:rsid w:val="00D87731"/>
    <w:rsid w:val="00D87C7C"/>
    <w:rsid w:val="00D87DB5"/>
    <w:rsid w:val="00D902D3"/>
    <w:rsid w:val="00D90388"/>
    <w:rsid w:val="00D905B9"/>
    <w:rsid w:val="00D907CD"/>
    <w:rsid w:val="00D908B9"/>
    <w:rsid w:val="00D90BEF"/>
    <w:rsid w:val="00D90CC2"/>
    <w:rsid w:val="00D90DD8"/>
    <w:rsid w:val="00D911AE"/>
    <w:rsid w:val="00D91534"/>
    <w:rsid w:val="00D9180E"/>
    <w:rsid w:val="00D9188E"/>
    <w:rsid w:val="00D918BD"/>
    <w:rsid w:val="00D918CA"/>
    <w:rsid w:val="00D918DA"/>
    <w:rsid w:val="00D91A37"/>
    <w:rsid w:val="00D91EC3"/>
    <w:rsid w:val="00D920CB"/>
    <w:rsid w:val="00D9224B"/>
    <w:rsid w:val="00D928A4"/>
    <w:rsid w:val="00D92A0A"/>
    <w:rsid w:val="00D93091"/>
    <w:rsid w:val="00D935F8"/>
    <w:rsid w:val="00D93A80"/>
    <w:rsid w:val="00D93AA9"/>
    <w:rsid w:val="00D9405C"/>
    <w:rsid w:val="00D94098"/>
    <w:rsid w:val="00D940F2"/>
    <w:rsid w:val="00D94260"/>
    <w:rsid w:val="00D943DD"/>
    <w:rsid w:val="00D947D7"/>
    <w:rsid w:val="00D95311"/>
    <w:rsid w:val="00D95337"/>
    <w:rsid w:val="00D953A0"/>
    <w:rsid w:val="00D95C2C"/>
    <w:rsid w:val="00D96257"/>
    <w:rsid w:val="00D967A5"/>
    <w:rsid w:val="00D96B1A"/>
    <w:rsid w:val="00D96E85"/>
    <w:rsid w:val="00D97056"/>
    <w:rsid w:val="00D97345"/>
    <w:rsid w:val="00D97378"/>
    <w:rsid w:val="00D9793F"/>
    <w:rsid w:val="00DA03BC"/>
    <w:rsid w:val="00DA074E"/>
    <w:rsid w:val="00DA10A1"/>
    <w:rsid w:val="00DA1258"/>
    <w:rsid w:val="00DA1276"/>
    <w:rsid w:val="00DA12FC"/>
    <w:rsid w:val="00DA1C59"/>
    <w:rsid w:val="00DA258B"/>
    <w:rsid w:val="00DA29D9"/>
    <w:rsid w:val="00DA2AE3"/>
    <w:rsid w:val="00DA3151"/>
    <w:rsid w:val="00DA315C"/>
    <w:rsid w:val="00DA33B8"/>
    <w:rsid w:val="00DA33BF"/>
    <w:rsid w:val="00DA366B"/>
    <w:rsid w:val="00DA38BA"/>
    <w:rsid w:val="00DA39EF"/>
    <w:rsid w:val="00DA3C19"/>
    <w:rsid w:val="00DA3D6F"/>
    <w:rsid w:val="00DA3F5F"/>
    <w:rsid w:val="00DA4301"/>
    <w:rsid w:val="00DA44DB"/>
    <w:rsid w:val="00DA47A3"/>
    <w:rsid w:val="00DA47C5"/>
    <w:rsid w:val="00DA4C79"/>
    <w:rsid w:val="00DA4D1E"/>
    <w:rsid w:val="00DA4E82"/>
    <w:rsid w:val="00DA4EC6"/>
    <w:rsid w:val="00DA50A6"/>
    <w:rsid w:val="00DA5AF0"/>
    <w:rsid w:val="00DA5AF8"/>
    <w:rsid w:val="00DA5D46"/>
    <w:rsid w:val="00DA6221"/>
    <w:rsid w:val="00DA63D5"/>
    <w:rsid w:val="00DA65AF"/>
    <w:rsid w:val="00DA6779"/>
    <w:rsid w:val="00DA6872"/>
    <w:rsid w:val="00DA6959"/>
    <w:rsid w:val="00DA6A6A"/>
    <w:rsid w:val="00DA6EEA"/>
    <w:rsid w:val="00DA70C4"/>
    <w:rsid w:val="00DA7157"/>
    <w:rsid w:val="00DA7995"/>
    <w:rsid w:val="00DA7B6B"/>
    <w:rsid w:val="00DB012B"/>
    <w:rsid w:val="00DB0298"/>
    <w:rsid w:val="00DB0400"/>
    <w:rsid w:val="00DB0880"/>
    <w:rsid w:val="00DB08B9"/>
    <w:rsid w:val="00DB0DA3"/>
    <w:rsid w:val="00DB148B"/>
    <w:rsid w:val="00DB19E7"/>
    <w:rsid w:val="00DB1E1E"/>
    <w:rsid w:val="00DB2215"/>
    <w:rsid w:val="00DB2872"/>
    <w:rsid w:val="00DB2B0F"/>
    <w:rsid w:val="00DB3307"/>
    <w:rsid w:val="00DB3364"/>
    <w:rsid w:val="00DB3783"/>
    <w:rsid w:val="00DB3C5B"/>
    <w:rsid w:val="00DB407D"/>
    <w:rsid w:val="00DB41BC"/>
    <w:rsid w:val="00DB4264"/>
    <w:rsid w:val="00DB435D"/>
    <w:rsid w:val="00DB43C6"/>
    <w:rsid w:val="00DB5013"/>
    <w:rsid w:val="00DB5022"/>
    <w:rsid w:val="00DB5265"/>
    <w:rsid w:val="00DB554A"/>
    <w:rsid w:val="00DB573E"/>
    <w:rsid w:val="00DB599F"/>
    <w:rsid w:val="00DB5D49"/>
    <w:rsid w:val="00DB5E42"/>
    <w:rsid w:val="00DB5FB2"/>
    <w:rsid w:val="00DB6137"/>
    <w:rsid w:val="00DB6183"/>
    <w:rsid w:val="00DB61F7"/>
    <w:rsid w:val="00DB6954"/>
    <w:rsid w:val="00DB6961"/>
    <w:rsid w:val="00DB6C46"/>
    <w:rsid w:val="00DB6D75"/>
    <w:rsid w:val="00DB6E13"/>
    <w:rsid w:val="00DB72A1"/>
    <w:rsid w:val="00DB75A4"/>
    <w:rsid w:val="00DB76B4"/>
    <w:rsid w:val="00DB7B29"/>
    <w:rsid w:val="00DB7E1E"/>
    <w:rsid w:val="00DB7FA8"/>
    <w:rsid w:val="00DB7FF4"/>
    <w:rsid w:val="00DB7FF5"/>
    <w:rsid w:val="00DC010D"/>
    <w:rsid w:val="00DC0252"/>
    <w:rsid w:val="00DC043B"/>
    <w:rsid w:val="00DC049B"/>
    <w:rsid w:val="00DC0588"/>
    <w:rsid w:val="00DC05F8"/>
    <w:rsid w:val="00DC07CB"/>
    <w:rsid w:val="00DC08CD"/>
    <w:rsid w:val="00DC0B20"/>
    <w:rsid w:val="00DC0B64"/>
    <w:rsid w:val="00DC0C34"/>
    <w:rsid w:val="00DC0F4D"/>
    <w:rsid w:val="00DC0FA4"/>
    <w:rsid w:val="00DC1026"/>
    <w:rsid w:val="00DC1265"/>
    <w:rsid w:val="00DC13CD"/>
    <w:rsid w:val="00DC1712"/>
    <w:rsid w:val="00DC1989"/>
    <w:rsid w:val="00DC2092"/>
    <w:rsid w:val="00DC2199"/>
    <w:rsid w:val="00DC21C5"/>
    <w:rsid w:val="00DC227A"/>
    <w:rsid w:val="00DC25F7"/>
    <w:rsid w:val="00DC2615"/>
    <w:rsid w:val="00DC26C4"/>
    <w:rsid w:val="00DC2A85"/>
    <w:rsid w:val="00DC3106"/>
    <w:rsid w:val="00DC3356"/>
    <w:rsid w:val="00DC34C5"/>
    <w:rsid w:val="00DC351D"/>
    <w:rsid w:val="00DC48AC"/>
    <w:rsid w:val="00DC4D65"/>
    <w:rsid w:val="00DC4EC8"/>
    <w:rsid w:val="00DC56AD"/>
    <w:rsid w:val="00DC5BAB"/>
    <w:rsid w:val="00DC64A0"/>
    <w:rsid w:val="00DC6592"/>
    <w:rsid w:val="00DC659C"/>
    <w:rsid w:val="00DC66E9"/>
    <w:rsid w:val="00DC6AD9"/>
    <w:rsid w:val="00DC6FFD"/>
    <w:rsid w:val="00DC786D"/>
    <w:rsid w:val="00DC7ABA"/>
    <w:rsid w:val="00DC7FB9"/>
    <w:rsid w:val="00DD0128"/>
    <w:rsid w:val="00DD068C"/>
    <w:rsid w:val="00DD095E"/>
    <w:rsid w:val="00DD0D7A"/>
    <w:rsid w:val="00DD1091"/>
    <w:rsid w:val="00DD11FB"/>
    <w:rsid w:val="00DD1769"/>
    <w:rsid w:val="00DD17AE"/>
    <w:rsid w:val="00DD197F"/>
    <w:rsid w:val="00DD1C3D"/>
    <w:rsid w:val="00DD1CCD"/>
    <w:rsid w:val="00DD2340"/>
    <w:rsid w:val="00DD27D4"/>
    <w:rsid w:val="00DD2AF1"/>
    <w:rsid w:val="00DD2C7F"/>
    <w:rsid w:val="00DD2ED0"/>
    <w:rsid w:val="00DD38ED"/>
    <w:rsid w:val="00DD3A68"/>
    <w:rsid w:val="00DD3B13"/>
    <w:rsid w:val="00DD3BFA"/>
    <w:rsid w:val="00DD3E86"/>
    <w:rsid w:val="00DD3F1E"/>
    <w:rsid w:val="00DD4BB5"/>
    <w:rsid w:val="00DD4E09"/>
    <w:rsid w:val="00DD550D"/>
    <w:rsid w:val="00DD55B0"/>
    <w:rsid w:val="00DD59B8"/>
    <w:rsid w:val="00DD5B72"/>
    <w:rsid w:val="00DD5C51"/>
    <w:rsid w:val="00DD5E7F"/>
    <w:rsid w:val="00DD6111"/>
    <w:rsid w:val="00DD63A3"/>
    <w:rsid w:val="00DD661E"/>
    <w:rsid w:val="00DD66C2"/>
    <w:rsid w:val="00DD6DB2"/>
    <w:rsid w:val="00DD6E39"/>
    <w:rsid w:val="00DD7227"/>
    <w:rsid w:val="00DD76A1"/>
    <w:rsid w:val="00DD7760"/>
    <w:rsid w:val="00DD7AF6"/>
    <w:rsid w:val="00DD7D10"/>
    <w:rsid w:val="00DE005F"/>
    <w:rsid w:val="00DE01BB"/>
    <w:rsid w:val="00DE05E5"/>
    <w:rsid w:val="00DE06AD"/>
    <w:rsid w:val="00DE0B88"/>
    <w:rsid w:val="00DE0BD6"/>
    <w:rsid w:val="00DE0D7C"/>
    <w:rsid w:val="00DE0E98"/>
    <w:rsid w:val="00DE0FA2"/>
    <w:rsid w:val="00DE115D"/>
    <w:rsid w:val="00DE1270"/>
    <w:rsid w:val="00DE14BB"/>
    <w:rsid w:val="00DE1586"/>
    <w:rsid w:val="00DE1611"/>
    <w:rsid w:val="00DE1E2B"/>
    <w:rsid w:val="00DE1F24"/>
    <w:rsid w:val="00DE2034"/>
    <w:rsid w:val="00DE2255"/>
    <w:rsid w:val="00DE2690"/>
    <w:rsid w:val="00DE26A2"/>
    <w:rsid w:val="00DE29AA"/>
    <w:rsid w:val="00DE2ACE"/>
    <w:rsid w:val="00DE2B28"/>
    <w:rsid w:val="00DE2EE0"/>
    <w:rsid w:val="00DE2EF5"/>
    <w:rsid w:val="00DE41CD"/>
    <w:rsid w:val="00DE41DF"/>
    <w:rsid w:val="00DE4B28"/>
    <w:rsid w:val="00DE4C84"/>
    <w:rsid w:val="00DE4DF4"/>
    <w:rsid w:val="00DE5005"/>
    <w:rsid w:val="00DE52B2"/>
    <w:rsid w:val="00DE560C"/>
    <w:rsid w:val="00DE5782"/>
    <w:rsid w:val="00DE5D06"/>
    <w:rsid w:val="00DE5D87"/>
    <w:rsid w:val="00DE5D9E"/>
    <w:rsid w:val="00DE5DC9"/>
    <w:rsid w:val="00DE612A"/>
    <w:rsid w:val="00DE63C1"/>
    <w:rsid w:val="00DE66F3"/>
    <w:rsid w:val="00DE67CA"/>
    <w:rsid w:val="00DE6899"/>
    <w:rsid w:val="00DE6950"/>
    <w:rsid w:val="00DE6CF1"/>
    <w:rsid w:val="00DE7827"/>
    <w:rsid w:val="00DF025D"/>
    <w:rsid w:val="00DF045E"/>
    <w:rsid w:val="00DF0562"/>
    <w:rsid w:val="00DF0706"/>
    <w:rsid w:val="00DF09FE"/>
    <w:rsid w:val="00DF1160"/>
    <w:rsid w:val="00DF150B"/>
    <w:rsid w:val="00DF198C"/>
    <w:rsid w:val="00DF2214"/>
    <w:rsid w:val="00DF2442"/>
    <w:rsid w:val="00DF251C"/>
    <w:rsid w:val="00DF2935"/>
    <w:rsid w:val="00DF2D7C"/>
    <w:rsid w:val="00DF2DF8"/>
    <w:rsid w:val="00DF318D"/>
    <w:rsid w:val="00DF323A"/>
    <w:rsid w:val="00DF335A"/>
    <w:rsid w:val="00DF34BA"/>
    <w:rsid w:val="00DF34CD"/>
    <w:rsid w:val="00DF3C72"/>
    <w:rsid w:val="00DF41A7"/>
    <w:rsid w:val="00DF41BF"/>
    <w:rsid w:val="00DF42B7"/>
    <w:rsid w:val="00DF47DF"/>
    <w:rsid w:val="00DF49A8"/>
    <w:rsid w:val="00DF512E"/>
    <w:rsid w:val="00DF51A1"/>
    <w:rsid w:val="00DF5323"/>
    <w:rsid w:val="00DF5516"/>
    <w:rsid w:val="00DF63B3"/>
    <w:rsid w:val="00DF6460"/>
    <w:rsid w:val="00DF6707"/>
    <w:rsid w:val="00DF6C88"/>
    <w:rsid w:val="00DF6DE6"/>
    <w:rsid w:val="00DF6FBA"/>
    <w:rsid w:val="00DF70A6"/>
    <w:rsid w:val="00DF779D"/>
    <w:rsid w:val="00DF7B8F"/>
    <w:rsid w:val="00DF7D58"/>
    <w:rsid w:val="00DF7F06"/>
    <w:rsid w:val="00DF7F92"/>
    <w:rsid w:val="00E0033D"/>
    <w:rsid w:val="00E004A2"/>
    <w:rsid w:val="00E0075E"/>
    <w:rsid w:val="00E008AD"/>
    <w:rsid w:val="00E00B80"/>
    <w:rsid w:val="00E00FAE"/>
    <w:rsid w:val="00E01033"/>
    <w:rsid w:val="00E0125D"/>
    <w:rsid w:val="00E0179A"/>
    <w:rsid w:val="00E01815"/>
    <w:rsid w:val="00E01949"/>
    <w:rsid w:val="00E01BD3"/>
    <w:rsid w:val="00E01D58"/>
    <w:rsid w:val="00E01DD5"/>
    <w:rsid w:val="00E01E85"/>
    <w:rsid w:val="00E02211"/>
    <w:rsid w:val="00E02275"/>
    <w:rsid w:val="00E0283F"/>
    <w:rsid w:val="00E02B9A"/>
    <w:rsid w:val="00E02DC8"/>
    <w:rsid w:val="00E02E7D"/>
    <w:rsid w:val="00E02EDC"/>
    <w:rsid w:val="00E03A67"/>
    <w:rsid w:val="00E03BF7"/>
    <w:rsid w:val="00E03C78"/>
    <w:rsid w:val="00E03CD0"/>
    <w:rsid w:val="00E03D05"/>
    <w:rsid w:val="00E04343"/>
    <w:rsid w:val="00E04468"/>
    <w:rsid w:val="00E045FD"/>
    <w:rsid w:val="00E048BE"/>
    <w:rsid w:val="00E04A70"/>
    <w:rsid w:val="00E04BB1"/>
    <w:rsid w:val="00E04D12"/>
    <w:rsid w:val="00E04E7A"/>
    <w:rsid w:val="00E05775"/>
    <w:rsid w:val="00E05C64"/>
    <w:rsid w:val="00E05CF5"/>
    <w:rsid w:val="00E06842"/>
    <w:rsid w:val="00E06A2C"/>
    <w:rsid w:val="00E06A42"/>
    <w:rsid w:val="00E06B87"/>
    <w:rsid w:val="00E06BF5"/>
    <w:rsid w:val="00E070EC"/>
    <w:rsid w:val="00E07208"/>
    <w:rsid w:val="00E07970"/>
    <w:rsid w:val="00E10069"/>
    <w:rsid w:val="00E1037E"/>
    <w:rsid w:val="00E10713"/>
    <w:rsid w:val="00E112A4"/>
    <w:rsid w:val="00E114B4"/>
    <w:rsid w:val="00E11C67"/>
    <w:rsid w:val="00E1213C"/>
    <w:rsid w:val="00E12229"/>
    <w:rsid w:val="00E123D2"/>
    <w:rsid w:val="00E12569"/>
    <w:rsid w:val="00E12592"/>
    <w:rsid w:val="00E12805"/>
    <w:rsid w:val="00E128FE"/>
    <w:rsid w:val="00E1296C"/>
    <w:rsid w:val="00E12D61"/>
    <w:rsid w:val="00E12ED2"/>
    <w:rsid w:val="00E12FFD"/>
    <w:rsid w:val="00E133E3"/>
    <w:rsid w:val="00E1366A"/>
    <w:rsid w:val="00E136A5"/>
    <w:rsid w:val="00E13714"/>
    <w:rsid w:val="00E13784"/>
    <w:rsid w:val="00E13A6D"/>
    <w:rsid w:val="00E140C1"/>
    <w:rsid w:val="00E146B9"/>
    <w:rsid w:val="00E1484D"/>
    <w:rsid w:val="00E15B41"/>
    <w:rsid w:val="00E15C43"/>
    <w:rsid w:val="00E15F3C"/>
    <w:rsid w:val="00E15F5F"/>
    <w:rsid w:val="00E16043"/>
    <w:rsid w:val="00E16093"/>
    <w:rsid w:val="00E16242"/>
    <w:rsid w:val="00E1639C"/>
    <w:rsid w:val="00E1654C"/>
    <w:rsid w:val="00E1671F"/>
    <w:rsid w:val="00E16838"/>
    <w:rsid w:val="00E16CE9"/>
    <w:rsid w:val="00E17569"/>
    <w:rsid w:val="00E17869"/>
    <w:rsid w:val="00E178D6"/>
    <w:rsid w:val="00E178E3"/>
    <w:rsid w:val="00E201C0"/>
    <w:rsid w:val="00E204E7"/>
    <w:rsid w:val="00E207FE"/>
    <w:rsid w:val="00E20891"/>
    <w:rsid w:val="00E20E22"/>
    <w:rsid w:val="00E20E53"/>
    <w:rsid w:val="00E20EBE"/>
    <w:rsid w:val="00E20F58"/>
    <w:rsid w:val="00E20FB1"/>
    <w:rsid w:val="00E2147E"/>
    <w:rsid w:val="00E21909"/>
    <w:rsid w:val="00E21A25"/>
    <w:rsid w:val="00E21CD6"/>
    <w:rsid w:val="00E220EC"/>
    <w:rsid w:val="00E22168"/>
    <w:rsid w:val="00E22BB8"/>
    <w:rsid w:val="00E22D2C"/>
    <w:rsid w:val="00E23515"/>
    <w:rsid w:val="00E23760"/>
    <w:rsid w:val="00E23EB2"/>
    <w:rsid w:val="00E245B9"/>
    <w:rsid w:val="00E247FE"/>
    <w:rsid w:val="00E24DF3"/>
    <w:rsid w:val="00E24FE8"/>
    <w:rsid w:val="00E2517A"/>
    <w:rsid w:val="00E25354"/>
    <w:rsid w:val="00E25559"/>
    <w:rsid w:val="00E25E0E"/>
    <w:rsid w:val="00E26190"/>
    <w:rsid w:val="00E268DD"/>
    <w:rsid w:val="00E26A3F"/>
    <w:rsid w:val="00E26C55"/>
    <w:rsid w:val="00E2711A"/>
    <w:rsid w:val="00E272C2"/>
    <w:rsid w:val="00E276EC"/>
    <w:rsid w:val="00E27755"/>
    <w:rsid w:val="00E27946"/>
    <w:rsid w:val="00E27B4E"/>
    <w:rsid w:val="00E27BBA"/>
    <w:rsid w:val="00E27BD0"/>
    <w:rsid w:val="00E302EA"/>
    <w:rsid w:val="00E303FD"/>
    <w:rsid w:val="00E30540"/>
    <w:rsid w:val="00E30722"/>
    <w:rsid w:val="00E30A18"/>
    <w:rsid w:val="00E30D0D"/>
    <w:rsid w:val="00E30E23"/>
    <w:rsid w:val="00E3104A"/>
    <w:rsid w:val="00E31204"/>
    <w:rsid w:val="00E31266"/>
    <w:rsid w:val="00E312FE"/>
    <w:rsid w:val="00E313D9"/>
    <w:rsid w:val="00E31495"/>
    <w:rsid w:val="00E318CF"/>
    <w:rsid w:val="00E31A89"/>
    <w:rsid w:val="00E31BA4"/>
    <w:rsid w:val="00E31C71"/>
    <w:rsid w:val="00E3223A"/>
    <w:rsid w:val="00E3248A"/>
    <w:rsid w:val="00E324FF"/>
    <w:rsid w:val="00E325FD"/>
    <w:rsid w:val="00E32642"/>
    <w:rsid w:val="00E328DC"/>
    <w:rsid w:val="00E32AB8"/>
    <w:rsid w:val="00E32CE7"/>
    <w:rsid w:val="00E32DF5"/>
    <w:rsid w:val="00E3322D"/>
    <w:rsid w:val="00E339FD"/>
    <w:rsid w:val="00E33CB3"/>
    <w:rsid w:val="00E33E9D"/>
    <w:rsid w:val="00E3441E"/>
    <w:rsid w:val="00E3442A"/>
    <w:rsid w:val="00E34602"/>
    <w:rsid w:val="00E34646"/>
    <w:rsid w:val="00E347C7"/>
    <w:rsid w:val="00E34DD0"/>
    <w:rsid w:val="00E34ED4"/>
    <w:rsid w:val="00E350AB"/>
    <w:rsid w:val="00E350BF"/>
    <w:rsid w:val="00E351B6"/>
    <w:rsid w:val="00E351F3"/>
    <w:rsid w:val="00E352EA"/>
    <w:rsid w:val="00E355EA"/>
    <w:rsid w:val="00E35B39"/>
    <w:rsid w:val="00E361C4"/>
    <w:rsid w:val="00E364FC"/>
    <w:rsid w:val="00E3655A"/>
    <w:rsid w:val="00E365DC"/>
    <w:rsid w:val="00E36705"/>
    <w:rsid w:val="00E36A02"/>
    <w:rsid w:val="00E36C47"/>
    <w:rsid w:val="00E370E0"/>
    <w:rsid w:val="00E376FE"/>
    <w:rsid w:val="00E3786B"/>
    <w:rsid w:val="00E379FD"/>
    <w:rsid w:val="00E37A40"/>
    <w:rsid w:val="00E40227"/>
    <w:rsid w:val="00E403F7"/>
    <w:rsid w:val="00E40638"/>
    <w:rsid w:val="00E4074D"/>
    <w:rsid w:val="00E408B5"/>
    <w:rsid w:val="00E40D63"/>
    <w:rsid w:val="00E40DF6"/>
    <w:rsid w:val="00E40FE7"/>
    <w:rsid w:val="00E41004"/>
    <w:rsid w:val="00E412E5"/>
    <w:rsid w:val="00E4149F"/>
    <w:rsid w:val="00E41B12"/>
    <w:rsid w:val="00E41C4E"/>
    <w:rsid w:val="00E41DF3"/>
    <w:rsid w:val="00E41EB7"/>
    <w:rsid w:val="00E41FDB"/>
    <w:rsid w:val="00E42252"/>
    <w:rsid w:val="00E42598"/>
    <w:rsid w:val="00E42A86"/>
    <w:rsid w:val="00E42A8D"/>
    <w:rsid w:val="00E42E5D"/>
    <w:rsid w:val="00E43490"/>
    <w:rsid w:val="00E435E1"/>
    <w:rsid w:val="00E437A3"/>
    <w:rsid w:val="00E43876"/>
    <w:rsid w:val="00E43BCA"/>
    <w:rsid w:val="00E43C87"/>
    <w:rsid w:val="00E44755"/>
    <w:rsid w:val="00E44917"/>
    <w:rsid w:val="00E44D45"/>
    <w:rsid w:val="00E44E95"/>
    <w:rsid w:val="00E44F44"/>
    <w:rsid w:val="00E45002"/>
    <w:rsid w:val="00E45BF6"/>
    <w:rsid w:val="00E45D26"/>
    <w:rsid w:val="00E45F3A"/>
    <w:rsid w:val="00E46172"/>
    <w:rsid w:val="00E469C3"/>
    <w:rsid w:val="00E469E6"/>
    <w:rsid w:val="00E470BA"/>
    <w:rsid w:val="00E47694"/>
    <w:rsid w:val="00E47952"/>
    <w:rsid w:val="00E47B11"/>
    <w:rsid w:val="00E47B21"/>
    <w:rsid w:val="00E47CFC"/>
    <w:rsid w:val="00E50324"/>
    <w:rsid w:val="00E503ED"/>
    <w:rsid w:val="00E5086B"/>
    <w:rsid w:val="00E50B9B"/>
    <w:rsid w:val="00E50BFD"/>
    <w:rsid w:val="00E50D22"/>
    <w:rsid w:val="00E50F71"/>
    <w:rsid w:val="00E50FC9"/>
    <w:rsid w:val="00E5103E"/>
    <w:rsid w:val="00E51066"/>
    <w:rsid w:val="00E513F5"/>
    <w:rsid w:val="00E518FC"/>
    <w:rsid w:val="00E51AE0"/>
    <w:rsid w:val="00E51AF7"/>
    <w:rsid w:val="00E51FBF"/>
    <w:rsid w:val="00E52375"/>
    <w:rsid w:val="00E52555"/>
    <w:rsid w:val="00E5283B"/>
    <w:rsid w:val="00E52AE5"/>
    <w:rsid w:val="00E533B9"/>
    <w:rsid w:val="00E53535"/>
    <w:rsid w:val="00E53871"/>
    <w:rsid w:val="00E53889"/>
    <w:rsid w:val="00E53ED4"/>
    <w:rsid w:val="00E53FA7"/>
    <w:rsid w:val="00E54038"/>
    <w:rsid w:val="00E545B9"/>
    <w:rsid w:val="00E54A88"/>
    <w:rsid w:val="00E54BDD"/>
    <w:rsid w:val="00E55321"/>
    <w:rsid w:val="00E55B40"/>
    <w:rsid w:val="00E55C0F"/>
    <w:rsid w:val="00E560CA"/>
    <w:rsid w:val="00E564CA"/>
    <w:rsid w:val="00E564CE"/>
    <w:rsid w:val="00E5650D"/>
    <w:rsid w:val="00E568C2"/>
    <w:rsid w:val="00E568C8"/>
    <w:rsid w:val="00E5698A"/>
    <w:rsid w:val="00E56EE1"/>
    <w:rsid w:val="00E570DB"/>
    <w:rsid w:val="00E57212"/>
    <w:rsid w:val="00E575FB"/>
    <w:rsid w:val="00E57638"/>
    <w:rsid w:val="00E60054"/>
    <w:rsid w:val="00E6021B"/>
    <w:rsid w:val="00E604F1"/>
    <w:rsid w:val="00E60A69"/>
    <w:rsid w:val="00E60B1E"/>
    <w:rsid w:val="00E6113F"/>
    <w:rsid w:val="00E613B7"/>
    <w:rsid w:val="00E616BC"/>
    <w:rsid w:val="00E617CA"/>
    <w:rsid w:val="00E61886"/>
    <w:rsid w:val="00E61B73"/>
    <w:rsid w:val="00E61E5A"/>
    <w:rsid w:val="00E621B8"/>
    <w:rsid w:val="00E621F1"/>
    <w:rsid w:val="00E62629"/>
    <w:rsid w:val="00E6265C"/>
    <w:rsid w:val="00E62D55"/>
    <w:rsid w:val="00E62E2A"/>
    <w:rsid w:val="00E63056"/>
    <w:rsid w:val="00E6348F"/>
    <w:rsid w:val="00E6355A"/>
    <w:rsid w:val="00E6370A"/>
    <w:rsid w:val="00E63831"/>
    <w:rsid w:val="00E63A6F"/>
    <w:rsid w:val="00E63F85"/>
    <w:rsid w:val="00E6408A"/>
    <w:rsid w:val="00E64E5E"/>
    <w:rsid w:val="00E64E9F"/>
    <w:rsid w:val="00E64F3F"/>
    <w:rsid w:val="00E653F7"/>
    <w:rsid w:val="00E65502"/>
    <w:rsid w:val="00E65911"/>
    <w:rsid w:val="00E65937"/>
    <w:rsid w:val="00E6596F"/>
    <w:rsid w:val="00E659C8"/>
    <w:rsid w:val="00E662FE"/>
    <w:rsid w:val="00E66381"/>
    <w:rsid w:val="00E6641E"/>
    <w:rsid w:val="00E66A18"/>
    <w:rsid w:val="00E66AD0"/>
    <w:rsid w:val="00E66F4E"/>
    <w:rsid w:val="00E67385"/>
    <w:rsid w:val="00E67482"/>
    <w:rsid w:val="00E6758B"/>
    <w:rsid w:val="00E6775D"/>
    <w:rsid w:val="00E677FD"/>
    <w:rsid w:val="00E70251"/>
    <w:rsid w:val="00E702C8"/>
    <w:rsid w:val="00E707D1"/>
    <w:rsid w:val="00E70DFD"/>
    <w:rsid w:val="00E71744"/>
    <w:rsid w:val="00E71994"/>
    <w:rsid w:val="00E723D7"/>
    <w:rsid w:val="00E729BA"/>
    <w:rsid w:val="00E72FC7"/>
    <w:rsid w:val="00E7302F"/>
    <w:rsid w:val="00E733B5"/>
    <w:rsid w:val="00E73437"/>
    <w:rsid w:val="00E73694"/>
    <w:rsid w:val="00E73B51"/>
    <w:rsid w:val="00E73C6F"/>
    <w:rsid w:val="00E73D97"/>
    <w:rsid w:val="00E73E29"/>
    <w:rsid w:val="00E745EE"/>
    <w:rsid w:val="00E74609"/>
    <w:rsid w:val="00E74750"/>
    <w:rsid w:val="00E74839"/>
    <w:rsid w:val="00E74879"/>
    <w:rsid w:val="00E749CE"/>
    <w:rsid w:val="00E74E5F"/>
    <w:rsid w:val="00E74F31"/>
    <w:rsid w:val="00E74F62"/>
    <w:rsid w:val="00E7500B"/>
    <w:rsid w:val="00E754F2"/>
    <w:rsid w:val="00E75A3E"/>
    <w:rsid w:val="00E75ABE"/>
    <w:rsid w:val="00E75B3B"/>
    <w:rsid w:val="00E7635E"/>
    <w:rsid w:val="00E76542"/>
    <w:rsid w:val="00E765A3"/>
    <w:rsid w:val="00E766E8"/>
    <w:rsid w:val="00E76AFA"/>
    <w:rsid w:val="00E76EDF"/>
    <w:rsid w:val="00E772AF"/>
    <w:rsid w:val="00E77304"/>
    <w:rsid w:val="00E7782A"/>
    <w:rsid w:val="00E778BD"/>
    <w:rsid w:val="00E77BE1"/>
    <w:rsid w:val="00E77BEA"/>
    <w:rsid w:val="00E80072"/>
    <w:rsid w:val="00E801F0"/>
    <w:rsid w:val="00E802B1"/>
    <w:rsid w:val="00E802CE"/>
    <w:rsid w:val="00E80937"/>
    <w:rsid w:val="00E8102E"/>
    <w:rsid w:val="00E810A4"/>
    <w:rsid w:val="00E81417"/>
    <w:rsid w:val="00E81861"/>
    <w:rsid w:val="00E81AA9"/>
    <w:rsid w:val="00E81D04"/>
    <w:rsid w:val="00E81DBA"/>
    <w:rsid w:val="00E81E79"/>
    <w:rsid w:val="00E82C73"/>
    <w:rsid w:val="00E82DBC"/>
    <w:rsid w:val="00E82E78"/>
    <w:rsid w:val="00E83339"/>
    <w:rsid w:val="00E83515"/>
    <w:rsid w:val="00E83581"/>
    <w:rsid w:val="00E83D20"/>
    <w:rsid w:val="00E8429A"/>
    <w:rsid w:val="00E84423"/>
    <w:rsid w:val="00E84B7E"/>
    <w:rsid w:val="00E85468"/>
    <w:rsid w:val="00E8548E"/>
    <w:rsid w:val="00E857A1"/>
    <w:rsid w:val="00E857B6"/>
    <w:rsid w:val="00E8595D"/>
    <w:rsid w:val="00E866A6"/>
    <w:rsid w:val="00E86768"/>
    <w:rsid w:val="00E86841"/>
    <w:rsid w:val="00E86CDB"/>
    <w:rsid w:val="00E87011"/>
    <w:rsid w:val="00E87129"/>
    <w:rsid w:val="00E87280"/>
    <w:rsid w:val="00E87314"/>
    <w:rsid w:val="00E87354"/>
    <w:rsid w:val="00E87422"/>
    <w:rsid w:val="00E875A4"/>
    <w:rsid w:val="00E87601"/>
    <w:rsid w:val="00E8773F"/>
    <w:rsid w:val="00E87911"/>
    <w:rsid w:val="00E87EF4"/>
    <w:rsid w:val="00E900FE"/>
    <w:rsid w:val="00E90172"/>
    <w:rsid w:val="00E904F7"/>
    <w:rsid w:val="00E904FB"/>
    <w:rsid w:val="00E90ADD"/>
    <w:rsid w:val="00E91056"/>
    <w:rsid w:val="00E912A5"/>
    <w:rsid w:val="00E914EC"/>
    <w:rsid w:val="00E91532"/>
    <w:rsid w:val="00E91540"/>
    <w:rsid w:val="00E91723"/>
    <w:rsid w:val="00E917D0"/>
    <w:rsid w:val="00E917F7"/>
    <w:rsid w:val="00E91A82"/>
    <w:rsid w:val="00E91C29"/>
    <w:rsid w:val="00E92078"/>
    <w:rsid w:val="00E92094"/>
    <w:rsid w:val="00E92120"/>
    <w:rsid w:val="00E924AC"/>
    <w:rsid w:val="00E925A3"/>
    <w:rsid w:val="00E925D2"/>
    <w:rsid w:val="00E92B35"/>
    <w:rsid w:val="00E92B69"/>
    <w:rsid w:val="00E92F98"/>
    <w:rsid w:val="00E93222"/>
    <w:rsid w:val="00E93244"/>
    <w:rsid w:val="00E934A6"/>
    <w:rsid w:val="00E93946"/>
    <w:rsid w:val="00E9402B"/>
    <w:rsid w:val="00E941E2"/>
    <w:rsid w:val="00E9447B"/>
    <w:rsid w:val="00E94BF5"/>
    <w:rsid w:val="00E94D1A"/>
    <w:rsid w:val="00E94FA4"/>
    <w:rsid w:val="00E951F8"/>
    <w:rsid w:val="00E95413"/>
    <w:rsid w:val="00E9552A"/>
    <w:rsid w:val="00E955D0"/>
    <w:rsid w:val="00E9560D"/>
    <w:rsid w:val="00E95751"/>
    <w:rsid w:val="00E95AAD"/>
    <w:rsid w:val="00E96B57"/>
    <w:rsid w:val="00E96E91"/>
    <w:rsid w:val="00E9720E"/>
    <w:rsid w:val="00E97332"/>
    <w:rsid w:val="00E97624"/>
    <w:rsid w:val="00E97852"/>
    <w:rsid w:val="00E97A7D"/>
    <w:rsid w:val="00E97D3E"/>
    <w:rsid w:val="00EA043E"/>
    <w:rsid w:val="00EA0960"/>
    <w:rsid w:val="00EA0992"/>
    <w:rsid w:val="00EA0AD0"/>
    <w:rsid w:val="00EA1463"/>
    <w:rsid w:val="00EA14C3"/>
    <w:rsid w:val="00EA1DC2"/>
    <w:rsid w:val="00EA20FB"/>
    <w:rsid w:val="00EA20FE"/>
    <w:rsid w:val="00EA21FF"/>
    <w:rsid w:val="00EA22E6"/>
    <w:rsid w:val="00EA23D5"/>
    <w:rsid w:val="00EA248E"/>
    <w:rsid w:val="00EA25FB"/>
    <w:rsid w:val="00EA2896"/>
    <w:rsid w:val="00EA2C17"/>
    <w:rsid w:val="00EA2C2B"/>
    <w:rsid w:val="00EA2F59"/>
    <w:rsid w:val="00EA3210"/>
    <w:rsid w:val="00EA3515"/>
    <w:rsid w:val="00EA3A64"/>
    <w:rsid w:val="00EA3C3A"/>
    <w:rsid w:val="00EA3E7C"/>
    <w:rsid w:val="00EA3F7F"/>
    <w:rsid w:val="00EA429B"/>
    <w:rsid w:val="00EA44CE"/>
    <w:rsid w:val="00EA4563"/>
    <w:rsid w:val="00EA4785"/>
    <w:rsid w:val="00EA47CA"/>
    <w:rsid w:val="00EA497C"/>
    <w:rsid w:val="00EA4A39"/>
    <w:rsid w:val="00EA4B0A"/>
    <w:rsid w:val="00EA4FE8"/>
    <w:rsid w:val="00EA566A"/>
    <w:rsid w:val="00EA58BE"/>
    <w:rsid w:val="00EA5E92"/>
    <w:rsid w:val="00EA6000"/>
    <w:rsid w:val="00EA6248"/>
    <w:rsid w:val="00EA646C"/>
    <w:rsid w:val="00EA6808"/>
    <w:rsid w:val="00EA698B"/>
    <w:rsid w:val="00EA6D9A"/>
    <w:rsid w:val="00EA6F76"/>
    <w:rsid w:val="00EA70E5"/>
    <w:rsid w:val="00EA7240"/>
    <w:rsid w:val="00EA726A"/>
    <w:rsid w:val="00EA7420"/>
    <w:rsid w:val="00EA7451"/>
    <w:rsid w:val="00EA7780"/>
    <w:rsid w:val="00EA7D75"/>
    <w:rsid w:val="00EB01D6"/>
    <w:rsid w:val="00EB0369"/>
    <w:rsid w:val="00EB037F"/>
    <w:rsid w:val="00EB05C1"/>
    <w:rsid w:val="00EB05C8"/>
    <w:rsid w:val="00EB0892"/>
    <w:rsid w:val="00EB0F5F"/>
    <w:rsid w:val="00EB10DA"/>
    <w:rsid w:val="00EB118F"/>
    <w:rsid w:val="00EB133E"/>
    <w:rsid w:val="00EB15F2"/>
    <w:rsid w:val="00EB17C3"/>
    <w:rsid w:val="00EB1960"/>
    <w:rsid w:val="00EB1E23"/>
    <w:rsid w:val="00EB1E25"/>
    <w:rsid w:val="00EB1F58"/>
    <w:rsid w:val="00EB24F4"/>
    <w:rsid w:val="00EB2897"/>
    <w:rsid w:val="00EB29F2"/>
    <w:rsid w:val="00EB2A3F"/>
    <w:rsid w:val="00EB2DBC"/>
    <w:rsid w:val="00EB2DD9"/>
    <w:rsid w:val="00EB2E21"/>
    <w:rsid w:val="00EB3099"/>
    <w:rsid w:val="00EB341B"/>
    <w:rsid w:val="00EB34DF"/>
    <w:rsid w:val="00EB3504"/>
    <w:rsid w:val="00EB35B5"/>
    <w:rsid w:val="00EB3625"/>
    <w:rsid w:val="00EB365C"/>
    <w:rsid w:val="00EB37ED"/>
    <w:rsid w:val="00EB4863"/>
    <w:rsid w:val="00EB48D3"/>
    <w:rsid w:val="00EB5174"/>
    <w:rsid w:val="00EB525C"/>
    <w:rsid w:val="00EB5D6E"/>
    <w:rsid w:val="00EB5F5A"/>
    <w:rsid w:val="00EB6420"/>
    <w:rsid w:val="00EB68CA"/>
    <w:rsid w:val="00EB68EC"/>
    <w:rsid w:val="00EB6C6A"/>
    <w:rsid w:val="00EB6E60"/>
    <w:rsid w:val="00EB6F85"/>
    <w:rsid w:val="00EB753B"/>
    <w:rsid w:val="00EB77A6"/>
    <w:rsid w:val="00EB788D"/>
    <w:rsid w:val="00EB7AF7"/>
    <w:rsid w:val="00EB7BAC"/>
    <w:rsid w:val="00EB7E4D"/>
    <w:rsid w:val="00EB7F35"/>
    <w:rsid w:val="00EB7FE2"/>
    <w:rsid w:val="00EC020D"/>
    <w:rsid w:val="00EC0262"/>
    <w:rsid w:val="00EC038F"/>
    <w:rsid w:val="00EC0699"/>
    <w:rsid w:val="00EC074F"/>
    <w:rsid w:val="00EC0A48"/>
    <w:rsid w:val="00EC0A83"/>
    <w:rsid w:val="00EC0E5F"/>
    <w:rsid w:val="00EC0FC7"/>
    <w:rsid w:val="00EC131E"/>
    <w:rsid w:val="00EC13B2"/>
    <w:rsid w:val="00EC1643"/>
    <w:rsid w:val="00EC167A"/>
    <w:rsid w:val="00EC1698"/>
    <w:rsid w:val="00EC1993"/>
    <w:rsid w:val="00EC1DDA"/>
    <w:rsid w:val="00EC1F0B"/>
    <w:rsid w:val="00EC1F64"/>
    <w:rsid w:val="00EC1F9B"/>
    <w:rsid w:val="00EC203E"/>
    <w:rsid w:val="00EC2380"/>
    <w:rsid w:val="00EC26E5"/>
    <w:rsid w:val="00EC28EC"/>
    <w:rsid w:val="00EC2A51"/>
    <w:rsid w:val="00EC2B89"/>
    <w:rsid w:val="00EC2C45"/>
    <w:rsid w:val="00EC2F18"/>
    <w:rsid w:val="00EC3482"/>
    <w:rsid w:val="00EC3520"/>
    <w:rsid w:val="00EC3B8F"/>
    <w:rsid w:val="00EC3BA4"/>
    <w:rsid w:val="00EC3DE6"/>
    <w:rsid w:val="00EC3DEC"/>
    <w:rsid w:val="00EC4063"/>
    <w:rsid w:val="00EC41C6"/>
    <w:rsid w:val="00EC4493"/>
    <w:rsid w:val="00EC45A0"/>
    <w:rsid w:val="00EC4C85"/>
    <w:rsid w:val="00EC4CEC"/>
    <w:rsid w:val="00EC4D83"/>
    <w:rsid w:val="00EC5395"/>
    <w:rsid w:val="00EC53FF"/>
    <w:rsid w:val="00EC5963"/>
    <w:rsid w:val="00EC5A35"/>
    <w:rsid w:val="00EC5BFF"/>
    <w:rsid w:val="00EC5E78"/>
    <w:rsid w:val="00EC5FB8"/>
    <w:rsid w:val="00EC6322"/>
    <w:rsid w:val="00EC6566"/>
    <w:rsid w:val="00EC6689"/>
    <w:rsid w:val="00EC689A"/>
    <w:rsid w:val="00EC6AAA"/>
    <w:rsid w:val="00EC6AE2"/>
    <w:rsid w:val="00EC6AEC"/>
    <w:rsid w:val="00EC6DBB"/>
    <w:rsid w:val="00EC7002"/>
    <w:rsid w:val="00EC7581"/>
    <w:rsid w:val="00EC76A5"/>
    <w:rsid w:val="00EC770F"/>
    <w:rsid w:val="00EC7735"/>
    <w:rsid w:val="00EC7F56"/>
    <w:rsid w:val="00ED06B2"/>
    <w:rsid w:val="00ED0A2D"/>
    <w:rsid w:val="00ED0B8C"/>
    <w:rsid w:val="00ED0D1F"/>
    <w:rsid w:val="00ED0EC1"/>
    <w:rsid w:val="00ED0F4E"/>
    <w:rsid w:val="00ED0F77"/>
    <w:rsid w:val="00ED1505"/>
    <w:rsid w:val="00ED1719"/>
    <w:rsid w:val="00ED17A7"/>
    <w:rsid w:val="00ED1949"/>
    <w:rsid w:val="00ED19F3"/>
    <w:rsid w:val="00ED1BCD"/>
    <w:rsid w:val="00ED1E23"/>
    <w:rsid w:val="00ED20C0"/>
    <w:rsid w:val="00ED25F9"/>
    <w:rsid w:val="00ED261B"/>
    <w:rsid w:val="00ED263C"/>
    <w:rsid w:val="00ED2AB2"/>
    <w:rsid w:val="00ED2BBC"/>
    <w:rsid w:val="00ED2C42"/>
    <w:rsid w:val="00ED2D34"/>
    <w:rsid w:val="00ED2EE3"/>
    <w:rsid w:val="00ED2FF1"/>
    <w:rsid w:val="00ED3085"/>
    <w:rsid w:val="00ED3209"/>
    <w:rsid w:val="00ED332D"/>
    <w:rsid w:val="00ED38C2"/>
    <w:rsid w:val="00ED39CB"/>
    <w:rsid w:val="00ED3A4F"/>
    <w:rsid w:val="00ED3A51"/>
    <w:rsid w:val="00ED3A96"/>
    <w:rsid w:val="00ED3CD0"/>
    <w:rsid w:val="00ED456E"/>
    <w:rsid w:val="00ED498D"/>
    <w:rsid w:val="00ED4A11"/>
    <w:rsid w:val="00ED4BFF"/>
    <w:rsid w:val="00ED4C9B"/>
    <w:rsid w:val="00ED4D65"/>
    <w:rsid w:val="00ED5223"/>
    <w:rsid w:val="00ED5469"/>
    <w:rsid w:val="00ED5E2D"/>
    <w:rsid w:val="00ED625B"/>
    <w:rsid w:val="00ED6745"/>
    <w:rsid w:val="00ED683E"/>
    <w:rsid w:val="00ED6A2B"/>
    <w:rsid w:val="00ED6A69"/>
    <w:rsid w:val="00ED6AA2"/>
    <w:rsid w:val="00ED6AE7"/>
    <w:rsid w:val="00ED6B8F"/>
    <w:rsid w:val="00ED6FCC"/>
    <w:rsid w:val="00ED7106"/>
    <w:rsid w:val="00ED7157"/>
    <w:rsid w:val="00ED7266"/>
    <w:rsid w:val="00ED7346"/>
    <w:rsid w:val="00ED7560"/>
    <w:rsid w:val="00ED761A"/>
    <w:rsid w:val="00ED7D99"/>
    <w:rsid w:val="00EE04A7"/>
    <w:rsid w:val="00EE0A60"/>
    <w:rsid w:val="00EE0F37"/>
    <w:rsid w:val="00EE10C4"/>
    <w:rsid w:val="00EE12D2"/>
    <w:rsid w:val="00EE1585"/>
    <w:rsid w:val="00EE16C7"/>
    <w:rsid w:val="00EE16FB"/>
    <w:rsid w:val="00EE1787"/>
    <w:rsid w:val="00EE1977"/>
    <w:rsid w:val="00EE1983"/>
    <w:rsid w:val="00EE20E4"/>
    <w:rsid w:val="00EE212F"/>
    <w:rsid w:val="00EE2312"/>
    <w:rsid w:val="00EE24F5"/>
    <w:rsid w:val="00EE26B4"/>
    <w:rsid w:val="00EE2887"/>
    <w:rsid w:val="00EE2B13"/>
    <w:rsid w:val="00EE2CBA"/>
    <w:rsid w:val="00EE2F15"/>
    <w:rsid w:val="00EE3028"/>
    <w:rsid w:val="00EE33D6"/>
    <w:rsid w:val="00EE3482"/>
    <w:rsid w:val="00EE3714"/>
    <w:rsid w:val="00EE37DD"/>
    <w:rsid w:val="00EE39A9"/>
    <w:rsid w:val="00EE39D9"/>
    <w:rsid w:val="00EE3F23"/>
    <w:rsid w:val="00EE3F3A"/>
    <w:rsid w:val="00EE40A3"/>
    <w:rsid w:val="00EE44A0"/>
    <w:rsid w:val="00EE4510"/>
    <w:rsid w:val="00EE48BA"/>
    <w:rsid w:val="00EE4C3E"/>
    <w:rsid w:val="00EE4F69"/>
    <w:rsid w:val="00EE4F8A"/>
    <w:rsid w:val="00EE501B"/>
    <w:rsid w:val="00EE53CC"/>
    <w:rsid w:val="00EE55AF"/>
    <w:rsid w:val="00EE57EA"/>
    <w:rsid w:val="00EE5963"/>
    <w:rsid w:val="00EE5BF1"/>
    <w:rsid w:val="00EE5E3A"/>
    <w:rsid w:val="00EE60F0"/>
    <w:rsid w:val="00EE675D"/>
    <w:rsid w:val="00EE6818"/>
    <w:rsid w:val="00EE710B"/>
    <w:rsid w:val="00EE7658"/>
    <w:rsid w:val="00EF00A3"/>
    <w:rsid w:val="00EF010B"/>
    <w:rsid w:val="00EF0319"/>
    <w:rsid w:val="00EF03B6"/>
    <w:rsid w:val="00EF0B9D"/>
    <w:rsid w:val="00EF0C5D"/>
    <w:rsid w:val="00EF11DB"/>
    <w:rsid w:val="00EF123C"/>
    <w:rsid w:val="00EF1333"/>
    <w:rsid w:val="00EF1B1E"/>
    <w:rsid w:val="00EF2279"/>
    <w:rsid w:val="00EF236F"/>
    <w:rsid w:val="00EF24C9"/>
    <w:rsid w:val="00EF2927"/>
    <w:rsid w:val="00EF29BA"/>
    <w:rsid w:val="00EF29C3"/>
    <w:rsid w:val="00EF2B8B"/>
    <w:rsid w:val="00EF2E5C"/>
    <w:rsid w:val="00EF2F4E"/>
    <w:rsid w:val="00EF3150"/>
    <w:rsid w:val="00EF3279"/>
    <w:rsid w:val="00EF34DF"/>
    <w:rsid w:val="00EF34EB"/>
    <w:rsid w:val="00EF38A2"/>
    <w:rsid w:val="00EF3908"/>
    <w:rsid w:val="00EF3B64"/>
    <w:rsid w:val="00EF3B73"/>
    <w:rsid w:val="00EF3E16"/>
    <w:rsid w:val="00EF3E6F"/>
    <w:rsid w:val="00EF40F7"/>
    <w:rsid w:val="00EF4A3E"/>
    <w:rsid w:val="00EF4D99"/>
    <w:rsid w:val="00EF4EFB"/>
    <w:rsid w:val="00EF54E7"/>
    <w:rsid w:val="00EF56AB"/>
    <w:rsid w:val="00EF583B"/>
    <w:rsid w:val="00EF5D22"/>
    <w:rsid w:val="00EF5DAF"/>
    <w:rsid w:val="00EF5E7F"/>
    <w:rsid w:val="00EF623C"/>
    <w:rsid w:val="00EF6414"/>
    <w:rsid w:val="00EF6855"/>
    <w:rsid w:val="00EF6C93"/>
    <w:rsid w:val="00EF6F88"/>
    <w:rsid w:val="00EF6F9F"/>
    <w:rsid w:val="00EF7AA7"/>
    <w:rsid w:val="00EF7C4E"/>
    <w:rsid w:val="00F00165"/>
    <w:rsid w:val="00F00271"/>
    <w:rsid w:val="00F0094D"/>
    <w:rsid w:val="00F00D25"/>
    <w:rsid w:val="00F01222"/>
    <w:rsid w:val="00F01432"/>
    <w:rsid w:val="00F015BC"/>
    <w:rsid w:val="00F0160F"/>
    <w:rsid w:val="00F01694"/>
    <w:rsid w:val="00F0174F"/>
    <w:rsid w:val="00F01B37"/>
    <w:rsid w:val="00F01CE5"/>
    <w:rsid w:val="00F01D55"/>
    <w:rsid w:val="00F02068"/>
    <w:rsid w:val="00F02133"/>
    <w:rsid w:val="00F028E4"/>
    <w:rsid w:val="00F030BB"/>
    <w:rsid w:val="00F0346B"/>
    <w:rsid w:val="00F03B13"/>
    <w:rsid w:val="00F03C4B"/>
    <w:rsid w:val="00F03C70"/>
    <w:rsid w:val="00F03E46"/>
    <w:rsid w:val="00F03F87"/>
    <w:rsid w:val="00F042B2"/>
    <w:rsid w:val="00F043EE"/>
    <w:rsid w:val="00F049F0"/>
    <w:rsid w:val="00F04DA1"/>
    <w:rsid w:val="00F051D6"/>
    <w:rsid w:val="00F053F4"/>
    <w:rsid w:val="00F056AB"/>
    <w:rsid w:val="00F0586F"/>
    <w:rsid w:val="00F058EA"/>
    <w:rsid w:val="00F05C15"/>
    <w:rsid w:val="00F05D68"/>
    <w:rsid w:val="00F05D75"/>
    <w:rsid w:val="00F05EFA"/>
    <w:rsid w:val="00F060C8"/>
    <w:rsid w:val="00F061C0"/>
    <w:rsid w:val="00F06462"/>
    <w:rsid w:val="00F066C8"/>
    <w:rsid w:val="00F06822"/>
    <w:rsid w:val="00F06A64"/>
    <w:rsid w:val="00F06AC7"/>
    <w:rsid w:val="00F076A5"/>
    <w:rsid w:val="00F07C09"/>
    <w:rsid w:val="00F0F6D4"/>
    <w:rsid w:val="00F10066"/>
    <w:rsid w:val="00F103D6"/>
    <w:rsid w:val="00F10C51"/>
    <w:rsid w:val="00F10DA0"/>
    <w:rsid w:val="00F111EE"/>
    <w:rsid w:val="00F116EE"/>
    <w:rsid w:val="00F117C0"/>
    <w:rsid w:val="00F11974"/>
    <w:rsid w:val="00F12011"/>
    <w:rsid w:val="00F12449"/>
    <w:rsid w:val="00F1261D"/>
    <w:rsid w:val="00F1282E"/>
    <w:rsid w:val="00F12860"/>
    <w:rsid w:val="00F12AE6"/>
    <w:rsid w:val="00F12B20"/>
    <w:rsid w:val="00F12CE3"/>
    <w:rsid w:val="00F12DB9"/>
    <w:rsid w:val="00F13188"/>
    <w:rsid w:val="00F13302"/>
    <w:rsid w:val="00F13567"/>
    <w:rsid w:val="00F13AD9"/>
    <w:rsid w:val="00F14242"/>
    <w:rsid w:val="00F146B2"/>
    <w:rsid w:val="00F149BC"/>
    <w:rsid w:val="00F14CDA"/>
    <w:rsid w:val="00F14E6A"/>
    <w:rsid w:val="00F14F40"/>
    <w:rsid w:val="00F1501B"/>
    <w:rsid w:val="00F15277"/>
    <w:rsid w:val="00F155F6"/>
    <w:rsid w:val="00F15CED"/>
    <w:rsid w:val="00F15FDA"/>
    <w:rsid w:val="00F160C5"/>
    <w:rsid w:val="00F162B4"/>
    <w:rsid w:val="00F16773"/>
    <w:rsid w:val="00F167A8"/>
    <w:rsid w:val="00F169BD"/>
    <w:rsid w:val="00F169ED"/>
    <w:rsid w:val="00F16A63"/>
    <w:rsid w:val="00F16AAC"/>
    <w:rsid w:val="00F16D93"/>
    <w:rsid w:val="00F16FF8"/>
    <w:rsid w:val="00F1715F"/>
    <w:rsid w:val="00F175BC"/>
    <w:rsid w:val="00F179D1"/>
    <w:rsid w:val="00F17A5F"/>
    <w:rsid w:val="00F17E89"/>
    <w:rsid w:val="00F17EE6"/>
    <w:rsid w:val="00F20285"/>
    <w:rsid w:val="00F2064A"/>
    <w:rsid w:val="00F20687"/>
    <w:rsid w:val="00F20790"/>
    <w:rsid w:val="00F20971"/>
    <w:rsid w:val="00F20B90"/>
    <w:rsid w:val="00F2159D"/>
    <w:rsid w:val="00F217F5"/>
    <w:rsid w:val="00F21959"/>
    <w:rsid w:val="00F2201C"/>
    <w:rsid w:val="00F22529"/>
    <w:rsid w:val="00F226A0"/>
    <w:rsid w:val="00F226D4"/>
    <w:rsid w:val="00F22932"/>
    <w:rsid w:val="00F22A80"/>
    <w:rsid w:val="00F22ACB"/>
    <w:rsid w:val="00F22B2F"/>
    <w:rsid w:val="00F22C60"/>
    <w:rsid w:val="00F231DB"/>
    <w:rsid w:val="00F23370"/>
    <w:rsid w:val="00F23471"/>
    <w:rsid w:val="00F234F8"/>
    <w:rsid w:val="00F23959"/>
    <w:rsid w:val="00F23D93"/>
    <w:rsid w:val="00F24058"/>
    <w:rsid w:val="00F2467E"/>
    <w:rsid w:val="00F248B7"/>
    <w:rsid w:val="00F249F2"/>
    <w:rsid w:val="00F253E1"/>
    <w:rsid w:val="00F255B6"/>
    <w:rsid w:val="00F25695"/>
    <w:rsid w:val="00F25795"/>
    <w:rsid w:val="00F257A5"/>
    <w:rsid w:val="00F25952"/>
    <w:rsid w:val="00F25F7D"/>
    <w:rsid w:val="00F261BB"/>
    <w:rsid w:val="00F26224"/>
    <w:rsid w:val="00F2637B"/>
    <w:rsid w:val="00F26C59"/>
    <w:rsid w:val="00F27850"/>
    <w:rsid w:val="00F278F5"/>
    <w:rsid w:val="00F279C3"/>
    <w:rsid w:val="00F279E7"/>
    <w:rsid w:val="00F27A84"/>
    <w:rsid w:val="00F27AC9"/>
    <w:rsid w:val="00F27C1A"/>
    <w:rsid w:val="00F301AB"/>
    <w:rsid w:val="00F30C5D"/>
    <w:rsid w:val="00F30DBA"/>
    <w:rsid w:val="00F30FE3"/>
    <w:rsid w:val="00F312A4"/>
    <w:rsid w:val="00F313F9"/>
    <w:rsid w:val="00F31472"/>
    <w:rsid w:val="00F31854"/>
    <w:rsid w:val="00F31C1C"/>
    <w:rsid w:val="00F322B7"/>
    <w:rsid w:val="00F32696"/>
    <w:rsid w:val="00F32764"/>
    <w:rsid w:val="00F32B44"/>
    <w:rsid w:val="00F32BF6"/>
    <w:rsid w:val="00F33085"/>
    <w:rsid w:val="00F336A7"/>
    <w:rsid w:val="00F33E11"/>
    <w:rsid w:val="00F341D0"/>
    <w:rsid w:val="00F34297"/>
    <w:rsid w:val="00F344EB"/>
    <w:rsid w:val="00F34563"/>
    <w:rsid w:val="00F34666"/>
    <w:rsid w:val="00F34AC1"/>
    <w:rsid w:val="00F34CF4"/>
    <w:rsid w:val="00F34E20"/>
    <w:rsid w:val="00F35344"/>
    <w:rsid w:val="00F35488"/>
    <w:rsid w:val="00F3554F"/>
    <w:rsid w:val="00F35910"/>
    <w:rsid w:val="00F35B58"/>
    <w:rsid w:val="00F35BC2"/>
    <w:rsid w:val="00F35C23"/>
    <w:rsid w:val="00F36419"/>
    <w:rsid w:val="00F36FD1"/>
    <w:rsid w:val="00F3705F"/>
    <w:rsid w:val="00F37569"/>
    <w:rsid w:val="00F37825"/>
    <w:rsid w:val="00F3784D"/>
    <w:rsid w:val="00F37B9A"/>
    <w:rsid w:val="00F37C91"/>
    <w:rsid w:val="00F37DE9"/>
    <w:rsid w:val="00F37F75"/>
    <w:rsid w:val="00F400BF"/>
    <w:rsid w:val="00F401D9"/>
    <w:rsid w:val="00F4090B"/>
    <w:rsid w:val="00F40D4B"/>
    <w:rsid w:val="00F40E19"/>
    <w:rsid w:val="00F411C0"/>
    <w:rsid w:val="00F4173C"/>
    <w:rsid w:val="00F418F0"/>
    <w:rsid w:val="00F41EFA"/>
    <w:rsid w:val="00F4206C"/>
    <w:rsid w:val="00F42275"/>
    <w:rsid w:val="00F42827"/>
    <w:rsid w:val="00F42A8E"/>
    <w:rsid w:val="00F431B2"/>
    <w:rsid w:val="00F43421"/>
    <w:rsid w:val="00F4350D"/>
    <w:rsid w:val="00F4367A"/>
    <w:rsid w:val="00F4398E"/>
    <w:rsid w:val="00F43BA7"/>
    <w:rsid w:val="00F43BDC"/>
    <w:rsid w:val="00F43C02"/>
    <w:rsid w:val="00F442EB"/>
    <w:rsid w:val="00F44334"/>
    <w:rsid w:val="00F4456E"/>
    <w:rsid w:val="00F44578"/>
    <w:rsid w:val="00F446FB"/>
    <w:rsid w:val="00F44AD7"/>
    <w:rsid w:val="00F4513C"/>
    <w:rsid w:val="00F453E1"/>
    <w:rsid w:val="00F4619E"/>
    <w:rsid w:val="00F4630B"/>
    <w:rsid w:val="00F466B1"/>
    <w:rsid w:val="00F46D68"/>
    <w:rsid w:val="00F47017"/>
    <w:rsid w:val="00F470B7"/>
    <w:rsid w:val="00F479FC"/>
    <w:rsid w:val="00F47DA6"/>
    <w:rsid w:val="00F47E49"/>
    <w:rsid w:val="00F47ED7"/>
    <w:rsid w:val="00F501F0"/>
    <w:rsid w:val="00F50307"/>
    <w:rsid w:val="00F50519"/>
    <w:rsid w:val="00F5062C"/>
    <w:rsid w:val="00F5081A"/>
    <w:rsid w:val="00F50B43"/>
    <w:rsid w:val="00F50BA3"/>
    <w:rsid w:val="00F51065"/>
    <w:rsid w:val="00F51142"/>
    <w:rsid w:val="00F513CD"/>
    <w:rsid w:val="00F51CEC"/>
    <w:rsid w:val="00F51DF7"/>
    <w:rsid w:val="00F520D7"/>
    <w:rsid w:val="00F521B4"/>
    <w:rsid w:val="00F52276"/>
    <w:rsid w:val="00F5253F"/>
    <w:rsid w:val="00F5257F"/>
    <w:rsid w:val="00F5263F"/>
    <w:rsid w:val="00F526F4"/>
    <w:rsid w:val="00F5289B"/>
    <w:rsid w:val="00F52AC6"/>
    <w:rsid w:val="00F530C0"/>
    <w:rsid w:val="00F53357"/>
    <w:rsid w:val="00F53409"/>
    <w:rsid w:val="00F534FC"/>
    <w:rsid w:val="00F53A57"/>
    <w:rsid w:val="00F53B94"/>
    <w:rsid w:val="00F53D52"/>
    <w:rsid w:val="00F53F78"/>
    <w:rsid w:val="00F53F8A"/>
    <w:rsid w:val="00F544BC"/>
    <w:rsid w:val="00F54B25"/>
    <w:rsid w:val="00F5510E"/>
    <w:rsid w:val="00F55534"/>
    <w:rsid w:val="00F556F5"/>
    <w:rsid w:val="00F559E3"/>
    <w:rsid w:val="00F559EB"/>
    <w:rsid w:val="00F560D6"/>
    <w:rsid w:val="00F566BF"/>
    <w:rsid w:val="00F575DA"/>
    <w:rsid w:val="00F57784"/>
    <w:rsid w:val="00F600CA"/>
    <w:rsid w:val="00F603B9"/>
    <w:rsid w:val="00F60954"/>
    <w:rsid w:val="00F60F09"/>
    <w:rsid w:val="00F61180"/>
    <w:rsid w:val="00F61257"/>
    <w:rsid w:val="00F61303"/>
    <w:rsid w:val="00F615D1"/>
    <w:rsid w:val="00F61728"/>
    <w:rsid w:val="00F618E5"/>
    <w:rsid w:val="00F619F5"/>
    <w:rsid w:val="00F61B4C"/>
    <w:rsid w:val="00F61D79"/>
    <w:rsid w:val="00F620BC"/>
    <w:rsid w:val="00F621E6"/>
    <w:rsid w:val="00F626DC"/>
    <w:rsid w:val="00F628E9"/>
    <w:rsid w:val="00F62A70"/>
    <w:rsid w:val="00F62C76"/>
    <w:rsid w:val="00F62E9D"/>
    <w:rsid w:val="00F631D5"/>
    <w:rsid w:val="00F63BDD"/>
    <w:rsid w:val="00F63DBB"/>
    <w:rsid w:val="00F63DE0"/>
    <w:rsid w:val="00F640DC"/>
    <w:rsid w:val="00F64176"/>
    <w:rsid w:val="00F643C9"/>
    <w:rsid w:val="00F6447A"/>
    <w:rsid w:val="00F64562"/>
    <w:rsid w:val="00F64678"/>
    <w:rsid w:val="00F6481E"/>
    <w:rsid w:val="00F64ED4"/>
    <w:rsid w:val="00F650A0"/>
    <w:rsid w:val="00F650DE"/>
    <w:rsid w:val="00F6534C"/>
    <w:rsid w:val="00F65614"/>
    <w:rsid w:val="00F65A41"/>
    <w:rsid w:val="00F65A73"/>
    <w:rsid w:val="00F65EAF"/>
    <w:rsid w:val="00F66212"/>
    <w:rsid w:val="00F662D2"/>
    <w:rsid w:val="00F662D5"/>
    <w:rsid w:val="00F66951"/>
    <w:rsid w:val="00F66994"/>
    <w:rsid w:val="00F66D6F"/>
    <w:rsid w:val="00F67206"/>
    <w:rsid w:val="00F67828"/>
    <w:rsid w:val="00F678B2"/>
    <w:rsid w:val="00F67C9A"/>
    <w:rsid w:val="00F70B22"/>
    <w:rsid w:val="00F712CA"/>
    <w:rsid w:val="00F713FC"/>
    <w:rsid w:val="00F71606"/>
    <w:rsid w:val="00F718DC"/>
    <w:rsid w:val="00F71B52"/>
    <w:rsid w:val="00F71C30"/>
    <w:rsid w:val="00F71E6E"/>
    <w:rsid w:val="00F71F9C"/>
    <w:rsid w:val="00F721EE"/>
    <w:rsid w:val="00F72345"/>
    <w:rsid w:val="00F72985"/>
    <w:rsid w:val="00F72C4C"/>
    <w:rsid w:val="00F72D71"/>
    <w:rsid w:val="00F72E62"/>
    <w:rsid w:val="00F72FC8"/>
    <w:rsid w:val="00F731E8"/>
    <w:rsid w:val="00F73426"/>
    <w:rsid w:val="00F7361E"/>
    <w:rsid w:val="00F7367B"/>
    <w:rsid w:val="00F7367C"/>
    <w:rsid w:val="00F736B4"/>
    <w:rsid w:val="00F7391A"/>
    <w:rsid w:val="00F739CF"/>
    <w:rsid w:val="00F73C3D"/>
    <w:rsid w:val="00F73E4C"/>
    <w:rsid w:val="00F74036"/>
    <w:rsid w:val="00F7435A"/>
    <w:rsid w:val="00F74360"/>
    <w:rsid w:val="00F7436F"/>
    <w:rsid w:val="00F74466"/>
    <w:rsid w:val="00F74636"/>
    <w:rsid w:val="00F7492D"/>
    <w:rsid w:val="00F74D60"/>
    <w:rsid w:val="00F74FFA"/>
    <w:rsid w:val="00F7508D"/>
    <w:rsid w:val="00F7595D"/>
    <w:rsid w:val="00F75AE5"/>
    <w:rsid w:val="00F75B1E"/>
    <w:rsid w:val="00F75D81"/>
    <w:rsid w:val="00F75EB4"/>
    <w:rsid w:val="00F769FF"/>
    <w:rsid w:val="00F76B15"/>
    <w:rsid w:val="00F76E95"/>
    <w:rsid w:val="00F77441"/>
    <w:rsid w:val="00F77BE0"/>
    <w:rsid w:val="00F77EC6"/>
    <w:rsid w:val="00F806FD"/>
    <w:rsid w:val="00F8077B"/>
    <w:rsid w:val="00F815DC"/>
    <w:rsid w:val="00F818C9"/>
    <w:rsid w:val="00F81935"/>
    <w:rsid w:val="00F81AEB"/>
    <w:rsid w:val="00F82161"/>
    <w:rsid w:val="00F82266"/>
    <w:rsid w:val="00F82671"/>
    <w:rsid w:val="00F827C0"/>
    <w:rsid w:val="00F82B56"/>
    <w:rsid w:val="00F82CCB"/>
    <w:rsid w:val="00F82E98"/>
    <w:rsid w:val="00F82FBD"/>
    <w:rsid w:val="00F83696"/>
    <w:rsid w:val="00F83AF3"/>
    <w:rsid w:val="00F83B2F"/>
    <w:rsid w:val="00F83B5B"/>
    <w:rsid w:val="00F83E17"/>
    <w:rsid w:val="00F84353"/>
    <w:rsid w:val="00F84590"/>
    <w:rsid w:val="00F84987"/>
    <w:rsid w:val="00F849CB"/>
    <w:rsid w:val="00F84BC1"/>
    <w:rsid w:val="00F84F53"/>
    <w:rsid w:val="00F852A2"/>
    <w:rsid w:val="00F8533C"/>
    <w:rsid w:val="00F853D3"/>
    <w:rsid w:val="00F854A3"/>
    <w:rsid w:val="00F85E5B"/>
    <w:rsid w:val="00F85F2C"/>
    <w:rsid w:val="00F86276"/>
    <w:rsid w:val="00F86495"/>
    <w:rsid w:val="00F864E1"/>
    <w:rsid w:val="00F8690A"/>
    <w:rsid w:val="00F86AF7"/>
    <w:rsid w:val="00F86B79"/>
    <w:rsid w:val="00F86CB4"/>
    <w:rsid w:val="00F86EE5"/>
    <w:rsid w:val="00F86F9E"/>
    <w:rsid w:val="00F8713A"/>
    <w:rsid w:val="00F8794E"/>
    <w:rsid w:val="00F87C08"/>
    <w:rsid w:val="00F8D679"/>
    <w:rsid w:val="00F90017"/>
    <w:rsid w:val="00F9044B"/>
    <w:rsid w:val="00F90590"/>
    <w:rsid w:val="00F905A3"/>
    <w:rsid w:val="00F905E8"/>
    <w:rsid w:val="00F907BF"/>
    <w:rsid w:val="00F909BF"/>
    <w:rsid w:val="00F90F80"/>
    <w:rsid w:val="00F91763"/>
    <w:rsid w:val="00F91CA4"/>
    <w:rsid w:val="00F91EF3"/>
    <w:rsid w:val="00F91F11"/>
    <w:rsid w:val="00F925C0"/>
    <w:rsid w:val="00F92630"/>
    <w:rsid w:val="00F92ADD"/>
    <w:rsid w:val="00F92EB5"/>
    <w:rsid w:val="00F93040"/>
    <w:rsid w:val="00F93298"/>
    <w:rsid w:val="00F93311"/>
    <w:rsid w:val="00F93412"/>
    <w:rsid w:val="00F93B2D"/>
    <w:rsid w:val="00F94CB3"/>
    <w:rsid w:val="00F9505F"/>
    <w:rsid w:val="00F9518C"/>
    <w:rsid w:val="00F951A7"/>
    <w:rsid w:val="00F95398"/>
    <w:rsid w:val="00F95590"/>
    <w:rsid w:val="00F9560E"/>
    <w:rsid w:val="00F9574E"/>
    <w:rsid w:val="00F9585D"/>
    <w:rsid w:val="00F959FC"/>
    <w:rsid w:val="00F95CDB"/>
    <w:rsid w:val="00F95F04"/>
    <w:rsid w:val="00F95FFD"/>
    <w:rsid w:val="00F9621F"/>
    <w:rsid w:val="00F96287"/>
    <w:rsid w:val="00F96393"/>
    <w:rsid w:val="00F964B6"/>
    <w:rsid w:val="00F96660"/>
    <w:rsid w:val="00F96E00"/>
    <w:rsid w:val="00F96E56"/>
    <w:rsid w:val="00F9710F"/>
    <w:rsid w:val="00F973FF"/>
    <w:rsid w:val="00F978AD"/>
    <w:rsid w:val="00FA017E"/>
    <w:rsid w:val="00FA0597"/>
    <w:rsid w:val="00FA0665"/>
    <w:rsid w:val="00FA0CDE"/>
    <w:rsid w:val="00FA14FF"/>
    <w:rsid w:val="00FA169F"/>
    <w:rsid w:val="00FA16B5"/>
    <w:rsid w:val="00FA1737"/>
    <w:rsid w:val="00FA18A0"/>
    <w:rsid w:val="00FA1A32"/>
    <w:rsid w:val="00FA1BDE"/>
    <w:rsid w:val="00FA1F0B"/>
    <w:rsid w:val="00FA214B"/>
    <w:rsid w:val="00FA25F2"/>
    <w:rsid w:val="00FA2A13"/>
    <w:rsid w:val="00FA2BFB"/>
    <w:rsid w:val="00FA3039"/>
    <w:rsid w:val="00FA30C9"/>
    <w:rsid w:val="00FA32C2"/>
    <w:rsid w:val="00FA345D"/>
    <w:rsid w:val="00FA360D"/>
    <w:rsid w:val="00FA3611"/>
    <w:rsid w:val="00FA3A88"/>
    <w:rsid w:val="00FA4250"/>
    <w:rsid w:val="00FA443F"/>
    <w:rsid w:val="00FA446E"/>
    <w:rsid w:val="00FA48E9"/>
    <w:rsid w:val="00FA4BFC"/>
    <w:rsid w:val="00FA4DA1"/>
    <w:rsid w:val="00FA50FC"/>
    <w:rsid w:val="00FA51B8"/>
    <w:rsid w:val="00FA52C7"/>
    <w:rsid w:val="00FA539C"/>
    <w:rsid w:val="00FA5467"/>
    <w:rsid w:val="00FA5541"/>
    <w:rsid w:val="00FA59E3"/>
    <w:rsid w:val="00FA5D6C"/>
    <w:rsid w:val="00FA5EF9"/>
    <w:rsid w:val="00FA5FC0"/>
    <w:rsid w:val="00FA674B"/>
    <w:rsid w:val="00FA6B4E"/>
    <w:rsid w:val="00FA6CF4"/>
    <w:rsid w:val="00FA733A"/>
    <w:rsid w:val="00FA738D"/>
    <w:rsid w:val="00FA7509"/>
    <w:rsid w:val="00FA7845"/>
    <w:rsid w:val="00FA7B87"/>
    <w:rsid w:val="00FB017B"/>
    <w:rsid w:val="00FB063B"/>
    <w:rsid w:val="00FB0857"/>
    <w:rsid w:val="00FB0CE1"/>
    <w:rsid w:val="00FB0D33"/>
    <w:rsid w:val="00FB0D6E"/>
    <w:rsid w:val="00FB0DBE"/>
    <w:rsid w:val="00FB1931"/>
    <w:rsid w:val="00FB1DCF"/>
    <w:rsid w:val="00FB2033"/>
    <w:rsid w:val="00FB219B"/>
    <w:rsid w:val="00FB25DD"/>
    <w:rsid w:val="00FB25E7"/>
    <w:rsid w:val="00FB2816"/>
    <w:rsid w:val="00FB28C0"/>
    <w:rsid w:val="00FB2A97"/>
    <w:rsid w:val="00FB2C78"/>
    <w:rsid w:val="00FB2E64"/>
    <w:rsid w:val="00FB33C8"/>
    <w:rsid w:val="00FB36AA"/>
    <w:rsid w:val="00FB3D36"/>
    <w:rsid w:val="00FB4036"/>
    <w:rsid w:val="00FB414F"/>
    <w:rsid w:val="00FB442B"/>
    <w:rsid w:val="00FB4498"/>
    <w:rsid w:val="00FB472D"/>
    <w:rsid w:val="00FB49EE"/>
    <w:rsid w:val="00FB4B1F"/>
    <w:rsid w:val="00FB4B9B"/>
    <w:rsid w:val="00FB4F0A"/>
    <w:rsid w:val="00FB5003"/>
    <w:rsid w:val="00FB542F"/>
    <w:rsid w:val="00FB5C6C"/>
    <w:rsid w:val="00FB6187"/>
    <w:rsid w:val="00FB63AA"/>
    <w:rsid w:val="00FB695A"/>
    <w:rsid w:val="00FB6A2A"/>
    <w:rsid w:val="00FB6B3E"/>
    <w:rsid w:val="00FB6EEF"/>
    <w:rsid w:val="00FB6F77"/>
    <w:rsid w:val="00FB70E0"/>
    <w:rsid w:val="00FB70E2"/>
    <w:rsid w:val="00FB7221"/>
    <w:rsid w:val="00FB738A"/>
    <w:rsid w:val="00FB7591"/>
    <w:rsid w:val="00FB79BC"/>
    <w:rsid w:val="00FB7A79"/>
    <w:rsid w:val="00FC05F1"/>
    <w:rsid w:val="00FC065F"/>
    <w:rsid w:val="00FC07DF"/>
    <w:rsid w:val="00FC0B2D"/>
    <w:rsid w:val="00FC0B8E"/>
    <w:rsid w:val="00FC0E1F"/>
    <w:rsid w:val="00FC1074"/>
    <w:rsid w:val="00FC12FE"/>
    <w:rsid w:val="00FC16DA"/>
    <w:rsid w:val="00FC17A5"/>
    <w:rsid w:val="00FC1A15"/>
    <w:rsid w:val="00FC1FBC"/>
    <w:rsid w:val="00FC238D"/>
    <w:rsid w:val="00FC23D4"/>
    <w:rsid w:val="00FC268D"/>
    <w:rsid w:val="00FC2706"/>
    <w:rsid w:val="00FC278F"/>
    <w:rsid w:val="00FC29C9"/>
    <w:rsid w:val="00FC2FBC"/>
    <w:rsid w:val="00FC3069"/>
    <w:rsid w:val="00FC31CA"/>
    <w:rsid w:val="00FC3320"/>
    <w:rsid w:val="00FC3366"/>
    <w:rsid w:val="00FC3640"/>
    <w:rsid w:val="00FC36AD"/>
    <w:rsid w:val="00FC391C"/>
    <w:rsid w:val="00FC39EA"/>
    <w:rsid w:val="00FC3DBE"/>
    <w:rsid w:val="00FC3E2D"/>
    <w:rsid w:val="00FC3ED6"/>
    <w:rsid w:val="00FC3FB6"/>
    <w:rsid w:val="00FC3FC0"/>
    <w:rsid w:val="00FC42C8"/>
    <w:rsid w:val="00FC4561"/>
    <w:rsid w:val="00FC4724"/>
    <w:rsid w:val="00FC47AF"/>
    <w:rsid w:val="00FC48E6"/>
    <w:rsid w:val="00FC4A74"/>
    <w:rsid w:val="00FC504E"/>
    <w:rsid w:val="00FC50CF"/>
    <w:rsid w:val="00FC566A"/>
    <w:rsid w:val="00FC5960"/>
    <w:rsid w:val="00FC6173"/>
    <w:rsid w:val="00FC627E"/>
    <w:rsid w:val="00FC630C"/>
    <w:rsid w:val="00FC6314"/>
    <w:rsid w:val="00FC6821"/>
    <w:rsid w:val="00FC6B57"/>
    <w:rsid w:val="00FC6B97"/>
    <w:rsid w:val="00FC6CEC"/>
    <w:rsid w:val="00FC6D98"/>
    <w:rsid w:val="00FC711C"/>
    <w:rsid w:val="00FC72EC"/>
    <w:rsid w:val="00FC749D"/>
    <w:rsid w:val="00FC74C8"/>
    <w:rsid w:val="00FC75CD"/>
    <w:rsid w:val="00FC775F"/>
    <w:rsid w:val="00FC7FA3"/>
    <w:rsid w:val="00FD00E3"/>
    <w:rsid w:val="00FD0121"/>
    <w:rsid w:val="00FD018C"/>
    <w:rsid w:val="00FD0307"/>
    <w:rsid w:val="00FD0551"/>
    <w:rsid w:val="00FD05B6"/>
    <w:rsid w:val="00FD061F"/>
    <w:rsid w:val="00FD0B16"/>
    <w:rsid w:val="00FD0B4F"/>
    <w:rsid w:val="00FD0BE7"/>
    <w:rsid w:val="00FD0DA1"/>
    <w:rsid w:val="00FD0E2C"/>
    <w:rsid w:val="00FD1323"/>
    <w:rsid w:val="00FD13D9"/>
    <w:rsid w:val="00FD1AF6"/>
    <w:rsid w:val="00FD1B5D"/>
    <w:rsid w:val="00FD220C"/>
    <w:rsid w:val="00FD2434"/>
    <w:rsid w:val="00FD24C1"/>
    <w:rsid w:val="00FD262D"/>
    <w:rsid w:val="00FD2669"/>
    <w:rsid w:val="00FD26D2"/>
    <w:rsid w:val="00FD2B3B"/>
    <w:rsid w:val="00FD2C43"/>
    <w:rsid w:val="00FD2D48"/>
    <w:rsid w:val="00FD2D79"/>
    <w:rsid w:val="00FD2E67"/>
    <w:rsid w:val="00FD2F71"/>
    <w:rsid w:val="00FD300B"/>
    <w:rsid w:val="00FD3557"/>
    <w:rsid w:val="00FD3668"/>
    <w:rsid w:val="00FD36BB"/>
    <w:rsid w:val="00FD3AC5"/>
    <w:rsid w:val="00FD3CD8"/>
    <w:rsid w:val="00FD3F56"/>
    <w:rsid w:val="00FD4007"/>
    <w:rsid w:val="00FD408F"/>
    <w:rsid w:val="00FD40B5"/>
    <w:rsid w:val="00FD44D4"/>
    <w:rsid w:val="00FD48E4"/>
    <w:rsid w:val="00FD4A7F"/>
    <w:rsid w:val="00FD4A9D"/>
    <w:rsid w:val="00FD4ECC"/>
    <w:rsid w:val="00FD5423"/>
    <w:rsid w:val="00FD5428"/>
    <w:rsid w:val="00FD5771"/>
    <w:rsid w:val="00FD57F2"/>
    <w:rsid w:val="00FD6855"/>
    <w:rsid w:val="00FD6C84"/>
    <w:rsid w:val="00FD6DC7"/>
    <w:rsid w:val="00FD7387"/>
    <w:rsid w:val="00FD73CE"/>
    <w:rsid w:val="00FD7997"/>
    <w:rsid w:val="00FD7B11"/>
    <w:rsid w:val="00FD7F33"/>
    <w:rsid w:val="00FE11EA"/>
    <w:rsid w:val="00FE1642"/>
    <w:rsid w:val="00FE174A"/>
    <w:rsid w:val="00FE17D7"/>
    <w:rsid w:val="00FE2BD8"/>
    <w:rsid w:val="00FE2D0E"/>
    <w:rsid w:val="00FE2DEE"/>
    <w:rsid w:val="00FE320D"/>
    <w:rsid w:val="00FE36F2"/>
    <w:rsid w:val="00FE389D"/>
    <w:rsid w:val="00FE3966"/>
    <w:rsid w:val="00FE3E1E"/>
    <w:rsid w:val="00FE3F60"/>
    <w:rsid w:val="00FE48A8"/>
    <w:rsid w:val="00FE4957"/>
    <w:rsid w:val="00FE4FC1"/>
    <w:rsid w:val="00FE502A"/>
    <w:rsid w:val="00FE5040"/>
    <w:rsid w:val="00FE5147"/>
    <w:rsid w:val="00FE5391"/>
    <w:rsid w:val="00FE53D9"/>
    <w:rsid w:val="00FE5804"/>
    <w:rsid w:val="00FE5AEC"/>
    <w:rsid w:val="00FE5D8B"/>
    <w:rsid w:val="00FE6471"/>
    <w:rsid w:val="00FE67EB"/>
    <w:rsid w:val="00FE682D"/>
    <w:rsid w:val="00FE68DE"/>
    <w:rsid w:val="00FE6D80"/>
    <w:rsid w:val="00FE704E"/>
    <w:rsid w:val="00FE7785"/>
    <w:rsid w:val="00FE7986"/>
    <w:rsid w:val="00FE7BB7"/>
    <w:rsid w:val="00FE7FD0"/>
    <w:rsid w:val="00FF0087"/>
    <w:rsid w:val="00FF0123"/>
    <w:rsid w:val="00FF0239"/>
    <w:rsid w:val="00FF041E"/>
    <w:rsid w:val="00FF0657"/>
    <w:rsid w:val="00FF0A52"/>
    <w:rsid w:val="00FF0D62"/>
    <w:rsid w:val="00FF0FE7"/>
    <w:rsid w:val="00FF10DC"/>
    <w:rsid w:val="00FF126E"/>
    <w:rsid w:val="00FF148B"/>
    <w:rsid w:val="00FF192C"/>
    <w:rsid w:val="00FF2048"/>
    <w:rsid w:val="00FF20C7"/>
    <w:rsid w:val="00FF21A9"/>
    <w:rsid w:val="00FF2241"/>
    <w:rsid w:val="00FF22B8"/>
    <w:rsid w:val="00FF26BD"/>
    <w:rsid w:val="00FF28D6"/>
    <w:rsid w:val="00FF2C88"/>
    <w:rsid w:val="00FF2D2F"/>
    <w:rsid w:val="00FF2F58"/>
    <w:rsid w:val="00FF2FAD"/>
    <w:rsid w:val="00FF305D"/>
    <w:rsid w:val="00FF3BBD"/>
    <w:rsid w:val="00FF3F02"/>
    <w:rsid w:val="00FF3FEF"/>
    <w:rsid w:val="00FF4108"/>
    <w:rsid w:val="00FF43E9"/>
    <w:rsid w:val="00FF47D2"/>
    <w:rsid w:val="00FF48DD"/>
    <w:rsid w:val="00FF52E4"/>
    <w:rsid w:val="00FF5507"/>
    <w:rsid w:val="00FF554A"/>
    <w:rsid w:val="00FF5818"/>
    <w:rsid w:val="00FF5871"/>
    <w:rsid w:val="00FF58C7"/>
    <w:rsid w:val="00FF5996"/>
    <w:rsid w:val="00FF5CA1"/>
    <w:rsid w:val="00FF5FDC"/>
    <w:rsid w:val="00FF6054"/>
    <w:rsid w:val="00FF6201"/>
    <w:rsid w:val="00FF6512"/>
    <w:rsid w:val="00FF6888"/>
    <w:rsid w:val="00FF6AE6"/>
    <w:rsid w:val="00FF6F4A"/>
    <w:rsid w:val="00FF79CC"/>
    <w:rsid w:val="00FF7FB6"/>
    <w:rsid w:val="00FF7FBB"/>
    <w:rsid w:val="010475AD"/>
    <w:rsid w:val="01181EBD"/>
    <w:rsid w:val="01292039"/>
    <w:rsid w:val="012AF367"/>
    <w:rsid w:val="01311C81"/>
    <w:rsid w:val="0131D436"/>
    <w:rsid w:val="0138A1C6"/>
    <w:rsid w:val="01716DDB"/>
    <w:rsid w:val="017FDC7A"/>
    <w:rsid w:val="0181A8AA"/>
    <w:rsid w:val="01B04679"/>
    <w:rsid w:val="01D350F9"/>
    <w:rsid w:val="01E05F80"/>
    <w:rsid w:val="01EA0183"/>
    <w:rsid w:val="01F4A499"/>
    <w:rsid w:val="02416CAD"/>
    <w:rsid w:val="0245C18B"/>
    <w:rsid w:val="024E03C2"/>
    <w:rsid w:val="0257E76E"/>
    <w:rsid w:val="02643015"/>
    <w:rsid w:val="02688EA7"/>
    <w:rsid w:val="02754981"/>
    <w:rsid w:val="0278FAB0"/>
    <w:rsid w:val="0283CF00"/>
    <w:rsid w:val="02935921"/>
    <w:rsid w:val="029E8D9F"/>
    <w:rsid w:val="02A547AD"/>
    <w:rsid w:val="02B415EF"/>
    <w:rsid w:val="02BC295A"/>
    <w:rsid w:val="02BC6698"/>
    <w:rsid w:val="02C2C7D7"/>
    <w:rsid w:val="02DAB04D"/>
    <w:rsid w:val="02E46259"/>
    <w:rsid w:val="02F9F67D"/>
    <w:rsid w:val="0302DC1C"/>
    <w:rsid w:val="031155A2"/>
    <w:rsid w:val="03142F1D"/>
    <w:rsid w:val="03447E6B"/>
    <w:rsid w:val="035F2C52"/>
    <w:rsid w:val="0372541D"/>
    <w:rsid w:val="039CB07F"/>
    <w:rsid w:val="03B8835F"/>
    <w:rsid w:val="03B9EAC4"/>
    <w:rsid w:val="03C87FB4"/>
    <w:rsid w:val="03F883A7"/>
    <w:rsid w:val="0409B242"/>
    <w:rsid w:val="041C9C9C"/>
    <w:rsid w:val="042B50DC"/>
    <w:rsid w:val="042F2A0D"/>
    <w:rsid w:val="042F7BC9"/>
    <w:rsid w:val="043F0EA5"/>
    <w:rsid w:val="04484621"/>
    <w:rsid w:val="044D5982"/>
    <w:rsid w:val="044D8831"/>
    <w:rsid w:val="044E9800"/>
    <w:rsid w:val="0464A33F"/>
    <w:rsid w:val="0470E17C"/>
    <w:rsid w:val="0479BF1B"/>
    <w:rsid w:val="048735B1"/>
    <w:rsid w:val="049F5EBD"/>
    <w:rsid w:val="04BBE712"/>
    <w:rsid w:val="04BE8D31"/>
    <w:rsid w:val="04BEEC2E"/>
    <w:rsid w:val="04C64197"/>
    <w:rsid w:val="04C990CA"/>
    <w:rsid w:val="04F89E1E"/>
    <w:rsid w:val="05117267"/>
    <w:rsid w:val="05176C44"/>
    <w:rsid w:val="05229947"/>
    <w:rsid w:val="0538B0D7"/>
    <w:rsid w:val="053A845F"/>
    <w:rsid w:val="0559B374"/>
    <w:rsid w:val="055C1786"/>
    <w:rsid w:val="056D1187"/>
    <w:rsid w:val="0592B0F0"/>
    <w:rsid w:val="05A7E7B6"/>
    <w:rsid w:val="05AF3848"/>
    <w:rsid w:val="05E244D5"/>
    <w:rsid w:val="05EDD731"/>
    <w:rsid w:val="05FC1252"/>
    <w:rsid w:val="05FCD008"/>
    <w:rsid w:val="05FED2A1"/>
    <w:rsid w:val="060B7795"/>
    <w:rsid w:val="064FCC5D"/>
    <w:rsid w:val="066F57D7"/>
    <w:rsid w:val="06961690"/>
    <w:rsid w:val="06E70B28"/>
    <w:rsid w:val="070893AA"/>
    <w:rsid w:val="0726EF10"/>
    <w:rsid w:val="073248FD"/>
    <w:rsid w:val="073845CE"/>
    <w:rsid w:val="07403050"/>
    <w:rsid w:val="07432059"/>
    <w:rsid w:val="0748294E"/>
    <w:rsid w:val="0753C8B5"/>
    <w:rsid w:val="076DC3FB"/>
    <w:rsid w:val="07824612"/>
    <w:rsid w:val="0796D66D"/>
    <w:rsid w:val="07989CD5"/>
    <w:rsid w:val="079C4401"/>
    <w:rsid w:val="079DE0F7"/>
    <w:rsid w:val="079FA52B"/>
    <w:rsid w:val="07A6C2F7"/>
    <w:rsid w:val="07B0E002"/>
    <w:rsid w:val="07D3643D"/>
    <w:rsid w:val="07D36F78"/>
    <w:rsid w:val="07D4BD48"/>
    <w:rsid w:val="07DB5D11"/>
    <w:rsid w:val="08008027"/>
    <w:rsid w:val="0806F56F"/>
    <w:rsid w:val="080A54DF"/>
    <w:rsid w:val="081726EC"/>
    <w:rsid w:val="083322F4"/>
    <w:rsid w:val="0860D41F"/>
    <w:rsid w:val="08752B8C"/>
    <w:rsid w:val="087B38D5"/>
    <w:rsid w:val="088DA99C"/>
    <w:rsid w:val="08A2E3DE"/>
    <w:rsid w:val="08C181F4"/>
    <w:rsid w:val="08D643AA"/>
    <w:rsid w:val="08D65FF8"/>
    <w:rsid w:val="08D98F36"/>
    <w:rsid w:val="08F3CD06"/>
    <w:rsid w:val="09105441"/>
    <w:rsid w:val="091072EB"/>
    <w:rsid w:val="0937AC73"/>
    <w:rsid w:val="094690A3"/>
    <w:rsid w:val="0956761C"/>
    <w:rsid w:val="095D7320"/>
    <w:rsid w:val="096DC501"/>
    <w:rsid w:val="09A2C5D0"/>
    <w:rsid w:val="09A619A0"/>
    <w:rsid w:val="09B52C66"/>
    <w:rsid w:val="09C40039"/>
    <w:rsid w:val="09C50102"/>
    <w:rsid w:val="09DCAD75"/>
    <w:rsid w:val="09EDAB77"/>
    <w:rsid w:val="09EF64F1"/>
    <w:rsid w:val="0A071ED5"/>
    <w:rsid w:val="0A0CD03B"/>
    <w:rsid w:val="0A1584DC"/>
    <w:rsid w:val="0A216191"/>
    <w:rsid w:val="0A29EEAC"/>
    <w:rsid w:val="0A522F7C"/>
    <w:rsid w:val="0A5B08E0"/>
    <w:rsid w:val="0A669ACD"/>
    <w:rsid w:val="0A6C9981"/>
    <w:rsid w:val="0A8B6977"/>
    <w:rsid w:val="0A8DF92D"/>
    <w:rsid w:val="0A9AB863"/>
    <w:rsid w:val="0A9FF470"/>
    <w:rsid w:val="0AA1A065"/>
    <w:rsid w:val="0AAEAD57"/>
    <w:rsid w:val="0AC4AF0C"/>
    <w:rsid w:val="0AC93A97"/>
    <w:rsid w:val="0ACE0EAD"/>
    <w:rsid w:val="0B20E743"/>
    <w:rsid w:val="0B566778"/>
    <w:rsid w:val="0B56B504"/>
    <w:rsid w:val="0B6004FE"/>
    <w:rsid w:val="0B63803C"/>
    <w:rsid w:val="0B740F83"/>
    <w:rsid w:val="0B8525D6"/>
    <w:rsid w:val="0B885180"/>
    <w:rsid w:val="0BA1EA59"/>
    <w:rsid w:val="0BCB39CD"/>
    <w:rsid w:val="0BDBBA2C"/>
    <w:rsid w:val="0BDEB766"/>
    <w:rsid w:val="0BEF8E35"/>
    <w:rsid w:val="0C05434B"/>
    <w:rsid w:val="0C28A5D6"/>
    <w:rsid w:val="0C479321"/>
    <w:rsid w:val="0C53D490"/>
    <w:rsid w:val="0C622484"/>
    <w:rsid w:val="0C64A2BA"/>
    <w:rsid w:val="0C69C8FD"/>
    <w:rsid w:val="0C7172F4"/>
    <w:rsid w:val="0CAB8E80"/>
    <w:rsid w:val="0CAEEAEB"/>
    <w:rsid w:val="0CBFDC6F"/>
    <w:rsid w:val="0CD202DD"/>
    <w:rsid w:val="0CD51DA2"/>
    <w:rsid w:val="0CE85C98"/>
    <w:rsid w:val="0CF3EFD8"/>
    <w:rsid w:val="0CF9E6E8"/>
    <w:rsid w:val="0D03AFDD"/>
    <w:rsid w:val="0D1BE496"/>
    <w:rsid w:val="0D2421E1"/>
    <w:rsid w:val="0D28C39E"/>
    <w:rsid w:val="0D2A7291"/>
    <w:rsid w:val="0D2FE33D"/>
    <w:rsid w:val="0D36858D"/>
    <w:rsid w:val="0D389788"/>
    <w:rsid w:val="0D391632"/>
    <w:rsid w:val="0D55E6C8"/>
    <w:rsid w:val="0D6C042D"/>
    <w:rsid w:val="0D92648E"/>
    <w:rsid w:val="0D96DA62"/>
    <w:rsid w:val="0D9C1F91"/>
    <w:rsid w:val="0D9D413E"/>
    <w:rsid w:val="0DBF054C"/>
    <w:rsid w:val="0DC02DC6"/>
    <w:rsid w:val="0DC1DE33"/>
    <w:rsid w:val="0DDFF1E8"/>
    <w:rsid w:val="0DE3A886"/>
    <w:rsid w:val="0E2EF8A1"/>
    <w:rsid w:val="0E31838A"/>
    <w:rsid w:val="0E3A5EC7"/>
    <w:rsid w:val="0E61415F"/>
    <w:rsid w:val="0E65C86E"/>
    <w:rsid w:val="0E7FAB02"/>
    <w:rsid w:val="0E81C025"/>
    <w:rsid w:val="0E9D5140"/>
    <w:rsid w:val="0EB626F8"/>
    <w:rsid w:val="0EC5F615"/>
    <w:rsid w:val="0ECB4B60"/>
    <w:rsid w:val="0ED71420"/>
    <w:rsid w:val="0EDE4C3C"/>
    <w:rsid w:val="0EE234BE"/>
    <w:rsid w:val="0EEABAB9"/>
    <w:rsid w:val="0EFA3F8B"/>
    <w:rsid w:val="0F067222"/>
    <w:rsid w:val="0F0F0700"/>
    <w:rsid w:val="0F28FF58"/>
    <w:rsid w:val="0F29DB7B"/>
    <w:rsid w:val="0F2C1447"/>
    <w:rsid w:val="0F35E07D"/>
    <w:rsid w:val="0F366F5C"/>
    <w:rsid w:val="0F388E8B"/>
    <w:rsid w:val="0F396F94"/>
    <w:rsid w:val="0F4936E4"/>
    <w:rsid w:val="0F7DD3EF"/>
    <w:rsid w:val="0F81B208"/>
    <w:rsid w:val="0F87224A"/>
    <w:rsid w:val="0F8EA06D"/>
    <w:rsid w:val="0F9103A5"/>
    <w:rsid w:val="0F9DB937"/>
    <w:rsid w:val="0FA00C34"/>
    <w:rsid w:val="0FA50B26"/>
    <w:rsid w:val="0FA9AFF7"/>
    <w:rsid w:val="0FBF6A79"/>
    <w:rsid w:val="0FD3AD96"/>
    <w:rsid w:val="0FE46D03"/>
    <w:rsid w:val="0FE81AE1"/>
    <w:rsid w:val="10150BB3"/>
    <w:rsid w:val="10372FC1"/>
    <w:rsid w:val="103B5778"/>
    <w:rsid w:val="104475C1"/>
    <w:rsid w:val="10468691"/>
    <w:rsid w:val="105A0573"/>
    <w:rsid w:val="107195E7"/>
    <w:rsid w:val="1081BC04"/>
    <w:rsid w:val="10938978"/>
    <w:rsid w:val="109C83AF"/>
    <w:rsid w:val="10D1B0DE"/>
    <w:rsid w:val="10D9901E"/>
    <w:rsid w:val="10E0726E"/>
    <w:rsid w:val="10F9F9AB"/>
    <w:rsid w:val="10FDBC47"/>
    <w:rsid w:val="110B826F"/>
    <w:rsid w:val="111112B8"/>
    <w:rsid w:val="113808CD"/>
    <w:rsid w:val="11461028"/>
    <w:rsid w:val="114C4368"/>
    <w:rsid w:val="115B8ACA"/>
    <w:rsid w:val="11674FE0"/>
    <w:rsid w:val="11A24D57"/>
    <w:rsid w:val="11B3076A"/>
    <w:rsid w:val="11B60D8E"/>
    <w:rsid w:val="11D758A5"/>
    <w:rsid w:val="11E285F2"/>
    <w:rsid w:val="11E4B4D2"/>
    <w:rsid w:val="11EC3397"/>
    <w:rsid w:val="120F512E"/>
    <w:rsid w:val="120FE730"/>
    <w:rsid w:val="12241806"/>
    <w:rsid w:val="1226E9A2"/>
    <w:rsid w:val="1237BB82"/>
    <w:rsid w:val="124B441C"/>
    <w:rsid w:val="126307C4"/>
    <w:rsid w:val="12782110"/>
    <w:rsid w:val="128FB54E"/>
    <w:rsid w:val="12A5A54F"/>
    <w:rsid w:val="12A5CD71"/>
    <w:rsid w:val="12B2FBD1"/>
    <w:rsid w:val="12CA3ECF"/>
    <w:rsid w:val="12D44999"/>
    <w:rsid w:val="12DF1743"/>
    <w:rsid w:val="130A7723"/>
    <w:rsid w:val="131E4557"/>
    <w:rsid w:val="1349D8F6"/>
    <w:rsid w:val="1355AF69"/>
    <w:rsid w:val="13684529"/>
    <w:rsid w:val="1376249D"/>
    <w:rsid w:val="1394A2CE"/>
    <w:rsid w:val="13A4CC7E"/>
    <w:rsid w:val="13C3E53D"/>
    <w:rsid w:val="13DF0481"/>
    <w:rsid w:val="13FDEDED"/>
    <w:rsid w:val="14016CD0"/>
    <w:rsid w:val="140951A0"/>
    <w:rsid w:val="141EA5B2"/>
    <w:rsid w:val="141EFEFF"/>
    <w:rsid w:val="1430A45C"/>
    <w:rsid w:val="143E3BAD"/>
    <w:rsid w:val="1466279B"/>
    <w:rsid w:val="1468A3EE"/>
    <w:rsid w:val="146D20A2"/>
    <w:rsid w:val="146FDC80"/>
    <w:rsid w:val="14729D0C"/>
    <w:rsid w:val="14912FC9"/>
    <w:rsid w:val="14E02A23"/>
    <w:rsid w:val="14E07A20"/>
    <w:rsid w:val="1507CFE5"/>
    <w:rsid w:val="15163AF1"/>
    <w:rsid w:val="151E53FB"/>
    <w:rsid w:val="152A8C0E"/>
    <w:rsid w:val="152F40A8"/>
    <w:rsid w:val="1557723E"/>
    <w:rsid w:val="155F0862"/>
    <w:rsid w:val="156642EF"/>
    <w:rsid w:val="1568BDF4"/>
    <w:rsid w:val="15744C00"/>
    <w:rsid w:val="1575CABB"/>
    <w:rsid w:val="15822D60"/>
    <w:rsid w:val="158E3011"/>
    <w:rsid w:val="158F297E"/>
    <w:rsid w:val="158FF75B"/>
    <w:rsid w:val="15912A6C"/>
    <w:rsid w:val="159FE70F"/>
    <w:rsid w:val="15A8D328"/>
    <w:rsid w:val="15A96020"/>
    <w:rsid w:val="15D710AD"/>
    <w:rsid w:val="1601F7FC"/>
    <w:rsid w:val="1618BD27"/>
    <w:rsid w:val="16206E76"/>
    <w:rsid w:val="1628C3C1"/>
    <w:rsid w:val="163A9544"/>
    <w:rsid w:val="164A65E4"/>
    <w:rsid w:val="16554B5E"/>
    <w:rsid w:val="1658D228"/>
    <w:rsid w:val="166749EF"/>
    <w:rsid w:val="16910EA5"/>
    <w:rsid w:val="16A3CB85"/>
    <w:rsid w:val="16ACAC9A"/>
    <w:rsid w:val="16B7A26D"/>
    <w:rsid w:val="16C3D74F"/>
    <w:rsid w:val="16D6F9A3"/>
    <w:rsid w:val="16DC1CA6"/>
    <w:rsid w:val="16EA4466"/>
    <w:rsid w:val="16F01D41"/>
    <w:rsid w:val="16F42725"/>
    <w:rsid w:val="17068347"/>
    <w:rsid w:val="1706B6C5"/>
    <w:rsid w:val="171026F9"/>
    <w:rsid w:val="1742CDA8"/>
    <w:rsid w:val="175B1920"/>
    <w:rsid w:val="175DDCEB"/>
    <w:rsid w:val="175E2E43"/>
    <w:rsid w:val="1763B1A1"/>
    <w:rsid w:val="1764E024"/>
    <w:rsid w:val="1765E5E2"/>
    <w:rsid w:val="176D9F2A"/>
    <w:rsid w:val="17795AC5"/>
    <w:rsid w:val="1789A526"/>
    <w:rsid w:val="178A9E57"/>
    <w:rsid w:val="17B1D2EF"/>
    <w:rsid w:val="17C8140C"/>
    <w:rsid w:val="17CC8A32"/>
    <w:rsid w:val="17FBBFF8"/>
    <w:rsid w:val="18057282"/>
    <w:rsid w:val="180B646B"/>
    <w:rsid w:val="18387A8D"/>
    <w:rsid w:val="18393CB0"/>
    <w:rsid w:val="1843BA45"/>
    <w:rsid w:val="18453E76"/>
    <w:rsid w:val="1891DB1B"/>
    <w:rsid w:val="189EDFD0"/>
    <w:rsid w:val="18C6B381"/>
    <w:rsid w:val="18C819FC"/>
    <w:rsid w:val="18E357CD"/>
    <w:rsid w:val="19062EE0"/>
    <w:rsid w:val="19072C81"/>
    <w:rsid w:val="19165B35"/>
    <w:rsid w:val="1920A32A"/>
    <w:rsid w:val="19247C10"/>
    <w:rsid w:val="192B48FB"/>
    <w:rsid w:val="192F7034"/>
    <w:rsid w:val="19390CD1"/>
    <w:rsid w:val="193B4830"/>
    <w:rsid w:val="19539650"/>
    <w:rsid w:val="19957C3C"/>
    <w:rsid w:val="199F17F7"/>
    <w:rsid w:val="19B5B67E"/>
    <w:rsid w:val="1A3AB031"/>
    <w:rsid w:val="1A596814"/>
    <w:rsid w:val="1A5BA51D"/>
    <w:rsid w:val="1A626E4B"/>
    <w:rsid w:val="1A70FDC1"/>
    <w:rsid w:val="1A7DAFA9"/>
    <w:rsid w:val="1A816686"/>
    <w:rsid w:val="1A843B6E"/>
    <w:rsid w:val="1AADC40E"/>
    <w:rsid w:val="1AB5B4FD"/>
    <w:rsid w:val="1B15DE95"/>
    <w:rsid w:val="1B17616D"/>
    <w:rsid w:val="1B22F6FC"/>
    <w:rsid w:val="1B2326EC"/>
    <w:rsid w:val="1B2C44C8"/>
    <w:rsid w:val="1B375B16"/>
    <w:rsid w:val="1B57390E"/>
    <w:rsid w:val="1B5CC52C"/>
    <w:rsid w:val="1B6ED4ED"/>
    <w:rsid w:val="1B8AE62B"/>
    <w:rsid w:val="1B8D957F"/>
    <w:rsid w:val="1BB89414"/>
    <w:rsid w:val="1BD8B775"/>
    <w:rsid w:val="1BF692A6"/>
    <w:rsid w:val="1C0E2AC7"/>
    <w:rsid w:val="1C206749"/>
    <w:rsid w:val="1C20E36B"/>
    <w:rsid w:val="1C519938"/>
    <w:rsid w:val="1C55664F"/>
    <w:rsid w:val="1C6566DF"/>
    <w:rsid w:val="1C797C92"/>
    <w:rsid w:val="1C905EF2"/>
    <w:rsid w:val="1C958A88"/>
    <w:rsid w:val="1CBD5D0B"/>
    <w:rsid w:val="1CD26EE6"/>
    <w:rsid w:val="1CE52964"/>
    <w:rsid w:val="1CE5A8B2"/>
    <w:rsid w:val="1D17F838"/>
    <w:rsid w:val="1D2965E0"/>
    <w:rsid w:val="1D2F1EF4"/>
    <w:rsid w:val="1D3802C2"/>
    <w:rsid w:val="1D6AF20F"/>
    <w:rsid w:val="1D7154D4"/>
    <w:rsid w:val="1D789747"/>
    <w:rsid w:val="1DA01FAE"/>
    <w:rsid w:val="1DA80CBB"/>
    <w:rsid w:val="1DAAFCAD"/>
    <w:rsid w:val="1DC2FDFE"/>
    <w:rsid w:val="1DEF1839"/>
    <w:rsid w:val="1DF75277"/>
    <w:rsid w:val="1E13C2D0"/>
    <w:rsid w:val="1E1B78E8"/>
    <w:rsid w:val="1E2B821A"/>
    <w:rsid w:val="1E343BDF"/>
    <w:rsid w:val="1E35FB36"/>
    <w:rsid w:val="1E49BBF8"/>
    <w:rsid w:val="1E500DE1"/>
    <w:rsid w:val="1E6F0F65"/>
    <w:rsid w:val="1E705F18"/>
    <w:rsid w:val="1E942BEF"/>
    <w:rsid w:val="1E97FFF8"/>
    <w:rsid w:val="1E9BC83C"/>
    <w:rsid w:val="1EA0F6DC"/>
    <w:rsid w:val="1EA240E9"/>
    <w:rsid w:val="1EDE0392"/>
    <w:rsid w:val="1EECAE62"/>
    <w:rsid w:val="1EFC43E5"/>
    <w:rsid w:val="1F03DA68"/>
    <w:rsid w:val="1F0B761E"/>
    <w:rsid w:val="1F0E612F"/>
    <w:rsid w:val="1F19F634"/>
    <w:rsid w:val="1F59477E"/>
    <w:rsid w:val="1F59C419"/>
    <w:rsid w:val="1F796CB6"/>
    <w:rsid w:val="1F9A889B"/>
    <w:rsid w:val="1F9FA335"/>
    <w:rsid w:val="1FA2288E"/>
    <w:rsid w:val="1FADAFA1"/>
    <w:rsid w:val="1FBF6756"/>
    <w:rsid w:val="1FD0517D"/>
    <w:rsid w:val="1FDFDD77"/>
    <w:rsid w:val="1FEE0FCF"/>
    <w:rsid w:val="20358AE1"/>
    <w:rsid w:val="204F1184"/>
    <w:rsid w:val="20613798"/>
    <w:rsid w:val="2061D898"/>
    <w:rsid w:val="207970DF"/>
    <w:rsid w:val="20A7BF76"/>
    <w:rsid w:val="20A8878B"/>
    <w:rsid w:val="20AECF74"/>
    <w:rsid w:val="20B32005"/>
    <w:rsid w:val="20C2BE42"/>
    <w:rsid w:val="20D31226"/>
    <w:rsid w:val="20E911C4"/>
    <w:rsid w:val="20EF9985"/>
    <w:rsid w:val="20F38F0F"/>
    <w:rsid w:val="21027308"/>
    <w:rsid w:val="21225310"/>
    <w:rsid w:val="212A6B66"/>
    <w:rsid w:val="213C58B5"/>
    <w:rsid w:val="214C1C59"/>
    <w:rsid w:val="217A122A"/>
    <w:rsid w:val="219F917C"/>
    <w:rsid w:val="21A0AAC7"/>
    <w:rsid w:val="21AACC32"/>
    <w:rsid w:val="21B1086F"/>
    <w:rsid w:val="21CE3883"/>
    <w:rsid w:val="21D0D373"/>
    <w:rsid w:val="21D8D7CE"/>
    <w:rsid w:val="21D96C85"/>
    <w:rsid w:val="21F68E6E"/>
    <w:rsid w:val="220BF2E7"/>
    <w:rsid w:val="22363784"/>
    <w:rsid w:val="22643F9E"/>
    <w:rsid w:val="227117E3"/>
    <w:rsid w:val="22757E6C"/>
    <w:rsid w:val="22862A4F"/>
    <w:rsid w:val="228B6D98"/>
    <w:rsid w:val="22B69EFE"/>
    <w:rsid w:val="22DED6AE"/>
    <w:rsid w:val="22E0A99E"/>
    <w:rsid w:val="2307C81D"/>
    <w:rsid w:val="230EF9FA"/>
    <w:rsid w:val="231B3655"/>
    <w:rsid w:val="2361CEB6"/>
    <w:rsid w:val="23766E16"/>
    <w:rsid w:val="2380C474"/>
    <w:rsid w:val="23811379"/>
    <w:rsid w:val="23A64B43"/>
    <w:rsid w:val="23ABCB4C"/>
    <w:rsid w:val="23B1611D"/>
    <w:rsid w:val="23B2CF88"/>
    <w:rsid w:val="23CAC5BA"/>
    <w:rsid w:val="23CBDDF2"/>
    <w:rsid w:val="23D38FF6"/>
    <w:rsid w:val="23E4F70E"/>
    <w:rsid w:val="23EDC99B"/>
    <w:rsid w:val="23F42D43"/>
    <w:rsid w:val="23F65E5C"/>
    <w:rsid w:val="23FA5F04"/>
    <w:rsid w:val="24130B14"/>
    <w:rsid w:val="2416A034"/>
    <w:rsid w:val="2437D712"/>
    <w:rsid w:val="2441D547"/>
    <w:rsid w:val="2455C40B"/>
    <w:rsid w:val="2473C5C3"/>
    <w:rsid w:val="248661FB"/>
    <w:rsid w:val="24931F41"/>
    <w:rsid w:val="24A470D8"/>
    <w:rsid w:val="24B79EDE"/>
    <w:rsid w:val="24C11AA3"/>
    <w:rsid w:val="24F00DC0"/>
    <w:rsid w:val="24F67D36"/>
    <w:rsid w:val="24FE3B73"/>
    <w:rsid w:val="25091CDB"/>
    <w:rsid w:val="2566D21C"/>
    <w:rsid w:val="258765F1"/>
    <w:rsid w:val="258E2F51"/>
    <w:rsid w:val="25920936"/>
    <w:rsid w:val="25FF2501"/>
    <w:rsid w:val="26025908"/>
    <w:rsid w:val="260478FA"/>
    <w:rsid w:val="260CC40D"/>
    <w:rsid w:val="261827AD"/>
    <w:rsid w:val="2642374D"/>
    <w:rsid w:val="266E005A"/>
    <w:rsid w:val="266F86FD"/>
    <w:rsid w:val="2684C746"/>
    <w:rsid w:val="268BD66D"/>
    <w:rsid w:val="2690A2D8"/>
    <w:rsid w:val="26A1925A"/>
    <w:rsid w:val="26A66435"/>
    <w:rsid w:val="26C0F37D"/>
    <w:rsid w:val="26CE4B3A"/>
    <w:rsid w:val="26D5D75D"/>
    <w:rsid w:val="26EF66B7"/>
    <w:rsid w:val="270F7E32"/>
    <w:rsid w:val="2712F137"/>
    <w:rsid w:val="2721CDC3"/>
    <w:rsid w:val="275F321B"/>
    <w:rsid w:val="27617783"/>
    <w:rsid w:val="2768EF46"/>
    <w:rsid w:val="2772335A"/>
    <w:rsid w:val="277DC259"/>
    <w:rsid w:val="2792D31E"/>
    <w:rsid w:val="27B24957"/>
    <w:rsid w:val="27B2DA31"/>
    <w:rsid w:val="27CEC9CE"/>
    <w:rsid w:val="27D3E9CC"/>
    <w:rsid w:val="27DDAB80"/>
    <w:rsid w:val="27E638FE"/>
    <w:rsid w:val="2820DB91"/>
    <w:rsid w:val="2839DDF8"/>
    <w:rsid w:val="28452E3E"/>
    <w:rsid w:val="285268B4"/>
    <w:rsid w:val="2862984C"/>
    <w:rsid w:val="2865FF91"/>
    <w:rsid w:val="2867B25E"/>
    <w:rsid w:val="28788D66"/>
    <w:rsid w:val="287DEEBF"/>
    <w:rsid w:val="287E1080"/>
    <w:rsid w:val="288C2965"/>
    <w:rsid w:val="2895079D"/>
    <w:rsid w:val="2898A340"/>
    <w:rsid w:val="28A7EF7B"/>
    <w:rsid w:val="28B06C36"/>
    <w:rsid w:val="28B26EB8"/>
    <w:rsid w:val="28C20846"/>
    <w:rsid w:val="28C6B989"/>
    <w:rsid w:val="28EC2D76"/>
    <w:rsid w:val="2924B942"/>
    <w:rsid w:val="29446E5E"/>
    <w:rsid w:val="295670DA"/>
    <w:rsid w:val="2957B8CD"/>
    <w:rsid w:val="295FD68D"/>
    <w:rsid w:val="29663928"/>
    <w:rsid w:val="29697717"/>
    <w:rsid w:val="296E2B8C"/>
    <w:rsid w:val="297F56A2"/>
    <w:rsid w:val="2993DFE5"/>
    <w:rsid w:val="299711AB"/>
    <w:rsid w:val="29974265"/>
    <w:rsid w:val="29B20138"/>
    <w:rsid w:val="29D1103A"/>
    <w:rsid w:val="29E43731"/>
    <w:rsid w:val="29F6B27B"/>
    <w:rsid w:val="2A102520"/>
    <w:rsid w:val="2A218829"/>
    <w:rsid w:val="2A333004"/>
    <w:rsid w:val="2A3D0BC7"/>
    <w:rsid w:val="2A3D379A"/>
    <w:rsid w:val="2A946A7E"/>
    <w:rsid w:val="2A9AF144"/>
    <w:rsid w:val="2AB3CD31"/>
    <w:rsid w:val="2AB81FE8"/>
    <w:rsid w:val="2ABC7DF0"/>
    <w:rsid w:val="2AD06B43"/>
    <w:rsid w:val="2AD113FA"/>
    <w:rsid w:val="2AFA08CA"/>
    <w:rsid w:val="2B0FBB27"/>
    <w:rsid w:val="2B27431D"/>
    <w:rsid w:val="2B2D03EA"/>
    <w:rsid w:val="2B355B44"/>
    <w:rsid w:val="2B4C7AB7"/>
    <w:rsid w:val="2B4E5CB6"/>
    <w:rsid w:val="2B545325"/>
    <w:rsid w:val="2B6CE09B"/>
    <w:rsid w:val="2B6D7FF3"/>
    <w:rsid w:val="2B72A781"/>
    <w:rsid w:val="2B922E36"/>
    <w:rsid w:val="2B982495"/>
    <w:rsid w:val="2BBE093A"/>
    <w:rsid w:val="2BC6541D"/>
    <w:rsid w:val="2BC9CB40"/>
    <w:rsid w:val="2BD54955"/>
    <w:rsid w:val="2BF99E5E"/>
    <w:rsid w:val="2BFAC7BB"/>
    <w:rsid w:val="2C0F7462"/>
    <w:rsid w:val="2C40BAFD"/>
    <w:rsid w:val="2C4245C8"/>
    <w:rsid w:val="2C4D86F6"/>
    <w:rsid w:val="2C53C878"/>
    <w:rsid w:val="2C658A75"/>
    <w:rsid w:val="2C65D977"/>
    <w:rsid w:val="2C6AE4FB"/>
    <w:rsid w:val="2C6CEAF7"/>
    <w:rsid w:val="2C7C0F20"/>
    <w:rsid w:val="2C809652"/>
    <w:rsid w:val="2C81CD6A"/>
    <w:rsid w:val="2C947C0C"/>
    <w:rsid w:val="2CAB57AF"/>
    <w:rsid w:val="2CC5813E"/>
    <w:rsid w:val="2CC6B0FA"/>
    <w:rsid w:val="2CCBF626"/>
    <w:rsid w:val="2CDD6277"/>
    <w:rsid w:val="2D37AE4A"/>
    <w:rsid w:val="2D591BE7"/>
    <w:rsid w:val="2D6A394E"/>
    <w:rsid w:val="2D8D8DC4"/>
    <w:rsid w:val="2D971385"/>
    <w:rsid w:val="2DB68837"/>
    <w:rsid w:val="2DB7D3F5"/>
    <w:rsid w:val="2DDA2D68"/>
    <w:rsid w:val="2DDA5E86"/>
    <w:rsid w:val="2DEB8117"/>
    <w:rsid w:val="2DF202B6"/>
    <w:rsid w:val="2DFE08DA"/>
    <w:rsid w:val="2E0E5037"/>
    <w:rsid w:val="2E1B9819"/>
    <w:rsid w:val="2E3815E3"/>
    <w:rsid w:val="2E4F6871"/>
    <w:rsid w:val="2E629446"/>
    <w:rsid w:val="2E707196"/>
    <w:rsid w:val="2E7B0C7C"/>
    <w:rsid w:val="2E9CFAC6"/>
    <w:rsid w:val="2EB46BF8"/>
    <w:rsid w:val="2EBBA0F6"/>
    <w:rsid w:val="2ECB51FC"/>
    <w:rsid w:val="2ED73095"/>
    <w:rsid w:val="2EDFA0D1"/>
    <w:rsid w:val="2EF832E9"/>
    <w:rsid w:val="2F0FB365"/>
    <w:rsid w:val="2F1DB65F"/>
    <w:rsid w:val="2F1EAB5D"/>
    <w:rsid w:val="2F2002BD"/>
    <w:rsid w:val="2F32E3E6"/>
    <w:rsid w:val="2F53A770"/>
    <w:rsid w:val="2F5B9050"/>
    <w:rsid w:val="2F743E02"/>
    <w:rsid w:val="2F79D207"/>
    <w:rsid w:val="2F86B72E"/>
    <w:rsid w:val="2F875178"/>
    <w:rsid w:val="2F963CA6"/>
    <w:rsid w:val="2F986176"/>
    <w:rsid w:val="2FF3B695"/>
    <w:rsid w:val="2FF61F43"/>
    <w:rsid w:val="2FFDE557"/>
    <w:rsid w:val="300243FA"/>
    <w:rsid w:val="30024C88"/>
    <w:rsid w:val="30062AA2"/>
    <w:rsid w:val="30112E97"/>
    <w:rsid w:val="301AA39B"/>
    <w:rsid w:val="30278F55"/>
    <w:rsid w:val="305841EC"/>
    <w:rsid w:val="3059F5CB"/>
    <w:rsid w:val="305D02D5"/>
    <w:rsid w:val="3077CCCE"/>
    <w:rsid w:val="3098AEF1"/>
    <w:rsid w:val="30E47A95"/>
    <w:rsid w:val="30FD3D50"/>
    <w:rsid w:val="313220EB"/>
    <w:rsid w:val="313C89EA"/>
    <w:rsid w:val="31516B45"/>
    <w:rsid w:val="31654905"/>
    <w:rsid w:val="3187837B"/>
    <w:rsid w:val="319AF168"/>
    <w:rsid w:val="31C1AB43"/>
    <w:rsid w:val="31F8169B"/>
    <w:rsid w:val="31FF05CA"/>
    <w:rsid w:val="320958CA"/>
    <w:rsid w:val="3232C8DE"/>
    <w:rsid w:val="325B2B76"/>
    <w:rsid w:val="327B140D"/>
    <w:rsid w:val="3282C3A4"/>
    <w:rsid w:val="328B22C5"/>
    <w:rsid w:val="329F513F"/>
    <w:rsid w:val="32A077A0"/>
    <w:rsid w:val="32B87965"/>
    <w:rsid w:val="32BF4205"/>
    <w:rsid w:val="32C1F428"/>
    <w:rsid w:val="32CF97EE"/>
    <w:rsid w:val="32D7DE08"/>
    <w:rsid w:val="32DC27BB"/>
    <w:rsid w:val="32DFFFED"/>
    <w:rsid w:val="32FB02EF"/>
    <w:rsid w:val="33036232"/>
    <w:rsid w:val="33039787"/>
    <w:rsid w:val="3330742C"/>
    <w:rsid w:val="334094BD"/>
    <w:rsid w:val="335408EF"/>
    <w:rsid w:val="335F732A"/>
    <w:rsid w:val="336ABF9D"/>
    <w:rsid w:val="3378D4E6"/>
    <w:rsid w:val="33B604E8"/>
    <w:rsid w:val="33BAD2A2"/>
    <w:rsid w:val="33DAC84A"/>
    <w:rsid w:val="33E386E5"/>
    <w:rsid w:val="33F2A9F1"/>
    <w:rsid w:val="33F8E5F9"/>
    <w:rsid w:val="3424E694"/>
    <w:rsid w:val="34541875"/>
    <w:rsid w:val="3473A233"/>
    <w:rsid w:val="3477F81C"/>
    <w:rsid w:val="349455E3"/>
    <w:rsid w:val="34CA1A2B"/>
    <w:rsid w:val="34F386CF"/>
    <w:rsid w:val="34F8FDA2"/>
    <w:rsid w:val="35001F92"/>
    <w:rsid w:val="353C9181"/>
    <w:rsid w:val="354AF422"/>
    <w:rsid w:val="354C1CB7"/>
    <w:rsid w:val="35777A1D"/>
    <w:rsid w:val="3581796D"/>
    <w:rsid w:val="35912EFC"/>
    <w:rsid w:val="359B7212"/>
    <w:rsid w:val="35A3EFB1"/>
    <w:rsid w:val="35A9C4F6"/>
    <w:rsid w:val="35AD5DD0"/>
    <w:rsid w:val="35AFF1D1"/>
    <w:rsid w:val="35B2A34C"/>
    <w:rsid w:val="35DC100B"/>
    <w:rsid w:val="36111F06"/>
    <w:rsid w:val="362022A4"/>
    <w:rsid w:val="363B3C4A"/>
    <w:rsid w:val="3659CB8D"/>
    <w:rsid w:val="36627D74"/>
    <w:rsid w:val="36648DA2"/>
    <w:rsid w:val="366C5BB1"/>
    <w:rsid w:val="366CE525"/>
    <w:rsid w:val="367C182D"/>
    <w:rsid w:val="368FB2B4"/>
    <w:rsid w:val="36A74841"/>
    <w:rsid w:val="36B6B056"/>
    <w:rsid w:val="36D8FA10"/>
    <w:rsid w:val="36E57226"/>
    <w:rsid w:val="36E64152"/>
    <w:rsid w:val="36FDFFB0"/>
    <w:rsid w:val="37114E65"/>
    <w:rsid w:val="3711E5DD"/>
    <w:rsid w:val="37200B73"/>
    <w:rsid w:val="372B291E"/>
    <w:rsid w:val="374D0AEB"/>
    <w:rsid w:val="3762E8CB"/>
    <w:rsid w:val="3765E4A5"/>
    <w:rsid w:val="376A9AAF"/>
    <w:rsid w:val="3772B73C"/>
    <w:rsid w:val="3777EC4A"/>
    <w:rsid w:val="377B294A"/>
    <w:rsid w:val="37BEC1C7"/>
    <w:rsid w:val="37CCC561"/>
    <w:rsid w:val="37CEC74F"/>
    <w:rsid w:val="37E74044"/>
    <w:rsid w:val="37EDA066"/>
    <w:rsid w:val="37F974B2"/>
    <w:rsid w:val="37FE8FE2"/>
    <w:rsid w:val="38005446"/>
    <w:rsid w:val="3830FDF6"/>
    <w:rsid w:val="383F5857"/>
    <w:rsid w:val="3850581C"/>
    <w:rsid w:val="3856F7A1"/>
    <w:rsid w:val="385A86D3"/>
    <w:rsid w:val="3867E2AF"/>
    <w:rsid w:val="38799305"/>
    <w:rsid w:val="387DE068"/>
    <w:rsid w:val="3887793E"/>
    <w:rsid w:val="388E7DF4"/>
    <w:rsid w:val="38901F93"/>
    <w:rsid w:val="38977E2C"/>
    <w:rsid w:val="3897AFA3"/>
    <w:rsid w:val="38A9669B"/>
    <w:rsid w:val="38BB540D"/>
    <w:rsid w:val="38C96124"/>
    <w:rsid w:val="38CADCAD"/>
    <w:rsid w:val="38CB1014"/>
    <w:rsid w:val="38D20A6B"/>
    <w:rsid w:val="38FD494E"/>
    <w:rsid w:val="3904FFAE"/>
    <w:rsid w:val="39256E51"/>
    <w:rsid w:val="39321537"/>
    <w:rsid w:val="393E2AC9"/>
    <w:rsid w:val="394D2CAB"/>
    <w:rsid w:val="396E1B47"/>
    <w:rsid w:val="3976FFD2"/>
    <w:rsid w:val="397F636C"/>
    <w:rsid w:val="399DF5C5"/>
    <w:rsid w:val="39AF2BC7"/>
    <w:rsid w:val="39B75E4F"/>
    <w:rsid w:val="39C04FD1"/>
    <w:rsid w:val="39C7D3F1"/>
    <w:rsid w:val="39DC9892"/>
    <w:rsid w:val="39DEC67E"/>
    <w:rsid w:val="39EA67BE"/>
    <w:rsid w:val="39EB6696"/>
    <w:rsid w:val="39F1CE17"/>
    <w:rsid w:val="3A0BDDC4"/>
    <w:rsid w:val="3A13429D"/>
    <w:rsid w:val="3A1814F2"/>
    <w:rsid w:val="3A2F0DD6"/>
    <w:rsid w:val="3A322B25"/>
    <w:rsid w:val="3A3C33C4"/>
    <w:rsid w:val="3A42A9B1"/>
    <w:rsid w:val="3A4A7D4F"/>
    <w:rsid w:val="3A4CA55E"/>
    <w:rsid w:val="3A752032"/>
    <w:rsid w:val="3A79A5E5"/>
    <w:rsid w:val="3A8EAB00"/>
    <w:rsid w:val="3A972217"/>
    <w:rsid w:val="3AB86172"/>
    <w:rsid w:val="3AD876B0"/>
    <w:rsid w:val="3AE22619"/>
    <w:rsid w:val="3AEA9411"/>
    <w:rsid w:val="3AEBB03D"/>
    <w:rsid w:val="3AF4A3C1"/>
    <w:rsid w:val="3AF94AA5"/>
    <w:rsid w:val="3AFAABEB"/>
    <w:rsid w:val="3AFBB6B4"/>
    <w:rsid w:val="3B0863B6"/>
    <w:rsid w:val="3B13C313"/>
    <w:rsid w:val="3B2E97E5"/>
    <w:rsid w:val="3B2F0C4B"/>
    <w:rsid w:val="3B41AC34"/>
    <w:rsid w:val="3B4E1AAA"/>
    <w:rsid w:val="3B5A5EE8"/>
    <w:rsid w:val="3B5B15FF"/>
    <w:rsid w:val="3B67C89C"/>
    <w:rsid w:val="3B7EC094"/>
    <w:rsid w:val="3B8AF1EB"/>
    <w:rsid w:val="3B987A01"/>
    <w:rsid w:val="3B9A08AE"/>
    <w:rsid w:val="3BA3CB23"/>
    <w:rsid w:val="3BC4F474"/>
    <w:rsid w:val="3BCD547B"/>
    <w:rsid w:val="3BDFAFE0"/>
    <w:rsid w:val="3BE4B070"/>
    <w:rsid w:val="3BE8A1D8"/>
    <w:rsid w:val="3BEA257C"/>
    <w:rsid w:val="3BEDF44C"/>
    <w:rsid w:val="3BFED550"/>
    <w:rsid w:val="3BFFEFE7"/>
    <w:rsid w:val="3C07753A"/>
    <w:rsid w:val="3C0C96AB"/>
    <w:rsid w:val="3C14A447"/>
    <w:rsid w:val="3C211185"/>
    <w:rsid w:val="3C2D728A"/>
    <w:rsid w:val="3C32364F"/>
    <w:rsid w:val="3C399088"/>
    <w:rsid w:val="3C5AC11B"/>
    <w:rsid w:val="3C73CEBB"/>
    <w:rsid w:val="3C7908D9"/>
    <w:rsid w:val="3C7AE1F4"/>
    <w:rsid w:val="3C960C1B"/>
    <w:rsid w:val="3CA94D3A"/>
    <w:rsid w:val="3CA9CE44"/>
    <w:rsid w:val="3CC11438"/>
    <w:rsid w:val="3CCF802D"/>
    <w:rsid w:val="3CD26469"/>
    <w:rsid w:val="3CF35A1A"/>
    <w:rsid w:val="3CF9F9FA"/>
    <w:rsid w:val="3D29DF61"/>
    <w:rsid w:val="3D36590C"/>
    <w:rsid w:val="3D3AB7BF"/>
    <w:rsid w:val="3D40F526"/>
    <w:rsid w:val="3D4B4023"/>
    <w:rsid w:val="3D4D1EA1"/>
    <w:rsid w:val="3D632356"/>
    <w:rsid w:val="3D658EB9"/>
    <w:rsid w:val="3D6921A4"/>
    <w:rsid w:val="3D762233"/>
    <w:rsid w:val="3D930BBC"/>
    <w:rsid w:val="3D955A43"/>
    <w:rsid w:val="3DA74358"/>
    <w:rsid w:val="3DADCC54"/>
    <w:rsid w:val="3DC32370"/>
    <w:rsid w:val="3DC4D96F"/>
    <w:rsid w:val="3DD882FF"/>
    <w:rsid w:val="3DF5E045"/>
    <w:rsid w:val="3DF8E6FF"/>
    <w:rsid w:val="3DFFA94A"/>
    <w:rsid w:val="3E1EDA62"/>
    <w:rsid w:val="3E41BF40"/>
    <w:rsid w:val="3E6477CE"/>
    <w:rsid w:val="3E6C80AD"/>
    <w:rsid w:val="3E7987D0"/>
    <w:rsid w:val="3E8BCCBB"/>
    <w:rsid w:val="3E8CE432"/>
    <w:rsid w:val="3E8EDB79"/>
    <w:rsid w:val="3E950FA1"/>
    <w:rsid w:val="3EAA1A5C"/>
    <w:rsid w:val="3EAFF538"/>
    <w:rsid w:val="3EB6B91A"/>
    <w:rsid w:val="3EBAC126"/>
    <w:rsid w:val="3EC04757"/>
    <w:rsid w:val="3ED17A40"/>
    <w:rsid w:val="3F46E739"/>
    <w:rsid w:val="3F4FDA63"/>
    <w:rsid w:val="3F530CA2"/>
    <w:rsid w:val="3F5E6462"/>
    <w:rsid w:val="3F63B001"/>
    <w:rsid w:val="3F709D66"/>
    <w:rsid w:val="3F8F0E05"/>
    <w:rsid w:val="3F98C59D"/>
    <w:rsid w:val="3FA17C2C"/>
    <w:rsid w:val="3FB46225"/>
    <w:rsid w:val="3FBE0E6E"/>
    <w:rsid w:val="3FC020E4"/>
    <w:rsid w:val="3FDEF2BE"/>
    <w:rsid w:val="3FEFF774"/>
    <w:rsid w:val="3FFEDD5B"/>
    <w:rsid w:val="4044DF08"/>
    <w:rsid w:val="404E4200"/>
    <w:rsid w:val="40517931"/>
    <w:rsid w:val="405A1DCD"/>
    <w:rsid w:val="407405DB"/>
    <w:rsid w:val="4097F71F"/>
    <w:rsid w:val="40AB1504"/>
    <w:rsid w:val="40F421A1"/>
    <w:rsid w:val="41107908"/>
    <w:rsid w:val="411C9CF3"/>
    <w:rsid w:val="412ADE66"/>
    <w:rsid w:val="4131AC7A"/>
    <w:rsid w:val="41447029"/>
    <w:rsid w:val="4150CB96"/>
    <w:rsid w:val="4150FBB8"/>
    <w:rsid w:val="4158DCAC"/>
    <w:rsid w:val="415A3E1A"/>
    <w:rsid w:val="415AC081"/>
    <w:rsid w:val="415F66AC"/>
    <w:rsid w:val="41688014"/>
    <w:rsid w:val="41779BF1"/>
    <w:rsid w:val="4191EB2B"/>
    <w:rsid w:val="41AFF0E9"/>
    <w:rsid w:val="41C36D7D"/>
    <w:rsid w:val="41E79C41"/>
    <w:rsid w:val="41F18C50"/>
    <w:rsid w:val="422485DC"/>
    <w:rsid w:val="42272865"/>
    <w:rsid w:val="423A0443"/>
    <w:rsid w:val="4255530A"/>
    <w:rsid w:val="42580AEB"/>
    <w:rsid w:val="425BBF92"/>
    <w:rsid w:val="42683D79"/>
    <w:rsid w:val="4270416C"/>
    <w:rsid w:val="42CA55AD"/>
    <w:rsid w:val="42D3F7D1"/>
    <w:rsid w:val="42E3347F"/>
    <w:rsid w:val="42E3F3D6"/>
    <w:rsid w:val="4305D981"/>
    <w:rsid w:val="430983FF"/>
    <w:rsid w:val="4311CD05"/>
    <w:rsid w:val="43626065"/>
    <w:rsid w:val="4364CEF5"/>
    <w:rsid w:val="4372F250"/>
    <w:rsid w:val="43739875"/>
    <w:rsid w:val="437E1648"/>
    <w:rsid w:val="438DAA53"/>
    <w:rsid w:val="438ECB20"/>
    <w:rsid w:val="43ACB1F9"/>
    <w:rsid w:val="43C262EA"/>
    <w:rsid w:val="43C2BBCC"/>
    <w:rsid w:val="43E11AF2"/>
    <w:rsid w:val="43E43529"/>
    <w:rsid w:val="43E77DD2"/>
    <w:rsid w:val="43F6967E"/>
    <w:rsid w:val="4400627B"/>
    <w:rsid w:val="441A9E76"/>
    <w:rsid w:val="441FDB3D"/>
    <w:rsid w:val="44420309"/>
    <w:rsid w:val="444C0F0D"/>
    <w:rsid w:val="4489709D"/>
    <w:rsid w:val="448A9B1F"/>
    <w:rsid w:val="44941329"/>
    <w:rsid w:val="44B243A7"/>
    <w:rsid w:val="44DA5C33"/>
    <w:rsid w:val="44EF6608"/>
    <w:rsid w:val="44F5ED12"/>
    <w:rsid w:val="45033274"/>
    <w:rsid w:val="45120CC6"/>
    <w:rsid w:val="4531D431"/>
    <w:rsid w:val="45415F1D"/>
    <w:rsid w:val="457B57FE"/>
    <w:rsid w:val="45D34C1D"/>
    <w:rsid w:val="45DC5DB7"/>
    <w:rsid w:val="45E9575B"/>
    <w:rsid w:val="45EFB8DC"/>
    <w:rsid w:val="45F7D31F"/>
    <w:rsid w:val="460C19F1"/>
    <w:rsid w:val="460C9084"/>
    <w:rsid w:val="46108C18"/>
    <w:rsid w:val="46160078"/>
    <w:rsid w:val="4619DFF5"/>
    <w:rsid w:val="46211DA1"/>
    <w:rsid w:val="462E9EF9"/>
    <w:rsid w:val="4630BBFD"/>
    <w:rsid w:val="463A16D2"/>
    <w:rsid w:val="466A23F9"/>
    <w:rsid w:val="46783A25"/>
    <w:rsid w:val="4683FBDC"/>
    <w:rsid w:val="46895316"/>
    <w:rsid w:val="46A36EB7"/>
    <w:rsid w:val="46AFE9FB"/>
    <w:rsid w:val="46BA0143"/>
    <w:rsid w:val="46C63700"/>
    <w:rsid w:val="46D692EF"/>
    <w:rsid w:val="4700CF27"/>
    <w:rsid w:val="47069F8C"/>
    <w:rsid w:val="4720A395"/>
    <w:rsid w:val="4725A886"/>
    <w:rsid w:val="47432C2E"/>
    <w:rsid w:val="47494506"/>
    <w:rsid w:val="477FE9C2"/>
    <w:rsid w:val="4780B3A9"/>
    <w:rsid w:val="47967604"/>
    <w:rsid w:val="47A051A2"/>
    <w:rsid w:val="47B1F1C8"/>
    <w:rsid w:val="47B6021F"/>
    <w:rsid w:val="47B95738"/>
    <w:rsid w:val="47C460C0"/>
    <w:rsid w:val="47D668D1"/>
    <w:rsid w:val="47DDF3D0"/>
    <w:rsid w:val="47DE7E7E"/>
    <w:rsid w:val="47E35852"/>
    <w:rsid w:val="48068476"/>
    <w:rsid w:val="4809694E"/>
    <w:rsid w:val="481B554E"/>
    <w:rsid w:val="4834C412"/>
    <w:rsid w:val="48431864"/>
    <w:rsid w:val="4856C0CD"/>
    <w:rsid w:val="485F7B4E"/>
    <w:rsid w:val="48C37A16"/>
    <w:rsid w:val="48ED1587"/>
    <w:rsid w:val="4922F9E9"/>
    <w:rsid w:val="4927DD5E"/>
    <w:rsid w:val="496DC701"/>
    <w:rsid w:val="49939882"/>
    <w:rsid w:val="499DAF56"/>
    <w:rsid w:val="499DD96E"/>
    <w:rsid w:val="49A00418"/>
    <w:rsid w:val="49AF8CBB"/>
    <w:rsid w:val="49C7B7D1"/>
    <w:rsid w:val="49E37208"/>
    <w:rsid w:val="49E513BC"/>
    <w:rsid w:val="49EC53B1"/>
    <w:rsid w:val="49ECF01A"/>
    <w:rsid w:val="4A1578B8"/>
    <w:rsid w:val="4A374141"/>
    <w:rsid w:val="4A619CE9"/>
    <w:rsid w:val="4A6C959D"/>
    <w:rsid w:val="4A7254DD"/>
    <w:rsid w:val="4A7BD1BB"/>
    <w:rsid w:val="4A91C498"/>
    <w:rsid w:val="4ADAEA89"/>
    <w:rsid w:val="4ADE4CA5"/>
    <w:rsid w:val="4AE7D573"/>
    <w:rsid w:val="4B291904"/>
    <w:rsid w:val="4B4654AD"/>
    <w:rsid w:val="4B56C020"/>
    <w:rsid w:val="4B593C91"/>
    <w:rsid w:val="4B845E41"/>
    <w:rsid w:val="4B8DF573"/>
    <w:rsid w:val="4B9C555C"/>
    <w:rsid w:val="4BAC7CEB"/>
    <w:rsid w:val="4BB4F4BE"/>
    <w:rsid w:val="4BB8DCA3"/>
    <w:rsid w:val="4BD794A6"/>
    <w:rsid w:val="4BF6E8B1"/>
    <w:rsid w:val="4BF8D6A5"/>
    <w:rsid w:val="4C02173F"/>
    <w:rsid w:val="4C235795"/>
    <w:rsid w:val="4C2A0017"/>
    <w:rsid w:val="4C4B65C4"/>
    <w:rsid w:val="4C542F69"/>
    <w:rsid w:val="4C77E75F"/>
    <w:rsid w:val="4C81A4EA"/>
    <w:rsid w:val="4C9CC9EC"/>
    <w:rsid w:val="4CAD3AD7"/>
    <w:rsid w:val="4CB71936"/>
    <w:rsid w:val="4CBB10A4"/>
    <w:rsid w:val="4CDC5E50"/>
    <w:rsid w:val="4CDD3EC6"/>
    <w:rsid w:val="4CFE329E"/>
    <w:rsid w:val="4D00448F"/>
    <w:rsid w:val="4D03A13F"/>
    <w:rsid w:val="4D37D77E"/>
    <w:rsid w:val="4D4B3C87"/>
    <w:rsid w:val="4D8CDB6E"/>
    <w:rsid w:val="4D91CED9"/>
    <w:rsid w:val="4D95C34C"/>
    <w:rsid w:val="4DA2199D"/>
    <w:rsid w:val="4DAE54A1"/>
    <w:rsid w:val="4DBF37CC"/>
    <w:rsid w:val="4DC3AF3F"/>
    <w:rsid w:val="4DCF4C11"/>
    <w:rsid w:val="4DEA2A9A"/>
    <w:rsid w:val="4DF4BAF2"/>
    <w:rsid w:val="4DFBDDE2"/>
    <w:rsid w:val="4E2EE2F3"/>
    <w:rsid w:val="4E5545C9"/>
    <w:rsid w:val="4E5D3028"/>
    <w:rsid w:val="4E6203FF"/>
    <w:rsid w:val="4E6A6B77"/>
    <w:rsid w:val="4E860124"/>
    <w:rsid w:val="4EB1E714"/>
    <w:rsid w:val="4EBBFF03"/>
    <w:rsid w:val="4ED1E4A1"/>
    <w:rsid w:val="4EDC7EB8"/>
    <w:rsid w:val="4F174345"/>
    <w:rsid w:val="4F1B0DEC"/>
    <w:rsid w:val="4F1DC7D6"/>
    <w:rsid w:val="4F2B9D6D"/>
    <w:rsid w:val="4F325E3F"/>
    <w:rsid w:val="4F5FAEF8"/>
    <w:rsid w:val="4F7E253A"/>
    <w:rsid w:val="4F801398"/>
    <w:rsid w:val="4F899062"/>
    <w:rsid w:val="4F8F4DAE"/>
    <w:rsid w:val="4F926CC9"/>
    <w:rsid w:val="4FBB902F"/>
    <w:rsid w:val="4FECF72C"/>
    <w:rsid w:val="4FEDB567"/>
    <w:rsid w:val="4FF2508E"/>
    <w:rsid w:val="50087F66"/>
    <w:rsid w:val="500885B7"/>
    <w:rsid w:val="502E853B"/>
    <w:rsid w:val="504C5139"/>
    <w:rsid w:val="50637DD2"/>
    <w:rsid w:val="506D4AA9"/>
    <w:rsid w:val="507CCEB3"/>
    <w:rsid w:val="5081FC5A"/>
    <w:rsid w:val="5096E09F"/>
    <w:rsid w:val="5098F4C2"/>
    <w:rsid w:val="50A89229"/>
    <w:rsid w:val="50B2790F"/>
    <w:rsid w:val="50BE6B3D"/>
    <w:rsid w:val="50C00363"/>
    <w:rsid w:val="50C1E124"/>
    <w:rsid w:val="50C5BAF5"/>
    <w:rsid w:val="50C6F308"/>
    <w:rsid w:val="50CC28DD"/>
    <w:rsid w:val="50D22C97"/>
    <w:rsid w:val="50DA754E"/>
    <w:rsid w:val="50DF09E2"/>
    <w:rsid w:val="50E3A96F"/>
    <w:rsid w:val="50E53815"/>
    <w:rsid w:val="510E215E"/>
    <w:rsid w:val="5133EA37"/>
    <w:rsid w:val="513D5B04"/>
    <w:rsid w:val="514DB0EB"/>
    <w:rsid w:val="515EF1F7"/>
    <w:rsid w:val="516A8D00"/>
    <w:rsid w:val="51936A6B"/>
    <w:rsid w:val="51AB85A2"/>
    <w:rsid w:val="51BE4AC5"/>
    <w:rsid w:val="51C2C8B7"/>
    <w:rsid w:val="51DACB40"/>
    <w:rsid w:val="51DB1F1D"/>
    <w:rsid w:val="51FB0F92"/>
    <w:rsid w:val="52101258"/>
    <w:rsid w:val="5217417C"/>
    <w:rsid w:val="521F69A0"/>
    <w:rsid w:val="5248CF3A"/>
    <w:rsid w:val="52522068"/>
    <w:rsid w:val="52524748"/>
    <w:rsid w:val="525D4347"/>
    <w:rsid w:val="5286DA50"/>
    <w:rsid w:val="529C994B"/>
    <w:rsid w:val="52C0C05D"/>
    <w:rsid w:val="52C9712E"/>
    <w:rsid w:val="52CBEDA5"/>
    <w:rsid w:val="52EAF1CF"/>
    <w:rsid w:val="52EF8FEE"/>
    <w:rsid w:val="5308A220"/>
    <w:rsid w:val="531FDAFA"/>
    <w:rsid w:val="533E15F6"/>
    <w:rsid w:val="5348A1BC"/>
    <w:rsid w:val="53495687"/>
    <w:rsid w:val="535C394B"/>
    <w:rsid w:val="5374A42B"/>
    <w:rsid w:val="53821703"/>
    <w:rsid w:val="53966388"/>
    <w:rsid w:val="53D9D311"/>
    <w:rsid w:val="53DA530F"/>
    <w:rsid w:val="53E63C72"/>
    <w:rsid w:val="53F60BFF"/>
    <w:rsid w:val="5403D281"/>
    <w:rsid w:val="5409CDD4"/>
    <w:rsid w:val="5410FDBA"/>
    <w:rsid w:val="5419FD2D"/>
    <w:rsid w:val="542E35D3"/>
    <w:rsid w:val="543FD355"/>
    <w:rsid w:val="544532E8"/>
    <w:rsid w:val="5448301A"/>
    <w:rsid w:val="544BA6E6"/>
    <w:rsid w:val="5463F645"/>
    <w:rsid w:val="548B604F"/>
    <w:rsid w:val="5494FDF4"/>
    <w:rsid w:val="549959B6"/>
    <w:rsid w:val="54A22DC2"/>
    <w:rsid w:val="54A476F0"/>
    <w:rsid w:val="54A67DA8"/>
    <w:rsid w:val="54D6F70A"/>
    <w:rsid w:val="54E46C72"/>
    <w:rsid w:val="54FD9D89"/>
    <w:rsid w:val="54FDF81D"/>
    <w:rsid w:val="550EBC3F"/>
    <w:rsid w:val="55177965"/>
    <w:rsid w:val="551CD263"/>
    <w:rsid w:val="5556A408"/>
    <w:rsid w:val="556B1A7F"/>
    <w:rsid w:val="558A6292"/>
    <w:rsid w:val="55C5067B"/>
    <w:rsid w:val="55CC0E12"/>
    <w:rsid w:val="55D96E0F"/>
    <w:rsid w:val="55E7B026"/>
    <w:rsid w:val="55EAE3A8"/>
    <w:rsid w:val="55FC4CA3"/>
    <w:rsid w:val="55FD63B9"/>
    <w:rsid w:val="55FDA625"/>
    <w:rsid w:val="55FF0BCD"/>
    <w:rsid w:val="560506ED"/>
    <w:rsid w:val="5622AA19"/>
    <w:rsid w:val="5624D845"/>
    <w:rsid w:val="5627F4D0"/>
    <w:rsid w:val="5637918F"/>
    <w:rsid w:val="5659B325"/>
    <w:rsid w:val="565DA3E9"/>
    <w:rsid w:val="56672E32"/>
    <w:rsid w:val="5674F058"/>
    <w:rsid w:val="5684CD3F"/>
    <w:rsid w:val="56957C31"/>
    <w:rsid w:val="5699BAF6"/>
    <w:rsid w:val="569CBC56"/>
    <w:rsid w:val="56ADD98C"/>
    <w:rsid w:val="56B8FA3D"/>
    <w:rsid w:val="56C2A493"/>
    <w:rsid w:val="56CB81E7"/>
    <w:rsid w:val="56DE21E1"/>
    <w:rsid w:val="56E1073F"/>
    <w:rsid w:val="5721313E"/>
    <w:rsid w:val="572CBBAC"/>
    <w:rsid w:val="57377E02"/>
    <w:rsid w:val="573B8BD6"/>
    <w:rsid w:val="573E9E7A"/>
    <w:rsid w:val="574BEB80"/>
    <w:rsid w:val="5752B276"/>
    <w:rsid w:val="57591C65"/>
    <w:rsid w:val="57637785"/>
    <w:rsid w:val="5771F004"/>
    <w:rsid w:val="57765FC6"/>
    <w:rsid w:val="578BFE53"/>
    <w:rsid w:val="57B20F88"/>
    <w:rsid w:val="57B242B0"/>
    <w:rsid w:val="57C5885B"/>
    <w:rsid w:val="57C6F47A"/>
    <w:rsid w:val="57C82806"/>
    <w:rsid w:val="57DCE123"/>
    <w:rsid w:val="580047E1"/>
    <w:rsid w:val="580509FB"/>
    <w:rsid w:val="5820BBF2"/>
    <w:rsid w:val="58276037"/>
    <w:rsid w:val="5834FC7F"/>
    <w:rsid w:val="5842A640"/>
    <w:rsid w:val="58438304"/>
    <w:rsid w:val="5843C69F"/>
    <w:rsid w:val="584B3069"/>
    <w:rsid w:val="585B87DB"/>
    <w:rsid w:val="5865A4C5"/>
    <w:rsid w:val="5876000F"/>
    <w:rsid w:val="5898600E"/>
    <w:rsid w:val="58A0E93B"/>
    <w:rsid w:val="58A4D271"/>
    <w:rsid w:val="58B01635"/>
    <w:rsid w:val="58B0B363"/>
    <w:rsid w:val="58CD9177"/>
    <w:rsid w:val="58D74AA9"/>
    <w:rsid w:val="58D7DCD5"/>
    <w:rsid w:val="58E1F56A"/>
    <w:rsid w:val="590F3815"/>
    <w:rsid w:val="591E5A41"/>
    <w:rsid w:val="5943F0EA"/>
    <w:rsid w:val="595B9E07"/>
    <w:rsid w:val="59797816"/>
    <w:rsid w:val="59911699"/>
    <w:rsid w:val="599967CB"/>
    <w:rsid w:val="599E19DF"/>
    <w:rsid w:val="59B53053"/>
    <w:rsid w:val="59D0331A"/>
    <w:rsid w:val="59DB7E66"/>
    <w:rsid w:val="59DC5CBF"/>
    <w:rsid w:val="59E23DD9"/>
    <w:rsid w:val="59E2E180"/>
    <w:rsid w:val="5A04B2B8"/>
    <w:rsid w:val="5A208739"/>
    <w:rsid w:val="5A306643"/>
    <w:rsid w:val="5A453FC4"/>
    <w:rsid w:val="5A47C677"/>
    <w:rsid w:val="5A50EBD0"/>
    <w:rsid w:val="5A683AA4"/>
    <w:rsid w:val="5A82FEE0"/>
    <w:rsid w:val="5A9F1AF1"/>
    <w:rsid w:val="5AA57360"/>
    <w:rsid w:val="5ABD6D49"/>
    <w:rsid w:val="5AC1021A"/>
    <w:rsid w:val="5AC17CA2"/>
    <w:rsid w:val="5ACD2673"/>
    <w:rsid w:val="5ACF7F3D"/>
    <w:rsid w:val="5AD0B4B0"/>
    <w:rsid w:val="5AD0B575"/>
    <w:rsid w:val="5AE47AB3"/>
    <w:rsid w:val="5AE64A9B"/>
    <w:rsid w:val="5AF603B4"/>
    <w:rsid w:val="5B300C49"/>
    <w:rsid w:val="5B33BB12"/>
    <w:rsid w:val="5B429EC0"/>
    <w:rsid w:val="5B752D6A"/>
    <w:rsid w:val="5B844D9D"/>
    <w:rsid w:val="5B853DA0"/>
    <w:rsid w:val="5B860417"/>
    <w:rsid w:val="5BA223AE"/>
    <w:rsid w:val="5BA41EF7"/>
    <w:rsid w:val="5BA60E89"/>
    <w:rsid w:val="5BA64B9D"/>
    <w:rsid w:val="5BDFFD11"/>
    <w:rsid w:val="5BE1C28F"/>
    <w:rsid w:val="5BE42A69"/>
    <w:rsid w:val="5BE71F74"/>
    <w:rsid w:val="5BEF7D88"/>
    <w:rsid w:val="5BFDF8D8"/>
    <w:rsid w:val="5C0E2BE2"/>
    <w:rsid w:val="5C0F4200"/>
    <w:rsid w:val="5C1BF6E3"/>
    <w:rsid w:val="5C276745"/>
    <w:rsid w:val="5C40368A"/>
    <w:rsid w:val="5C4BAE31"/>
    <w:rsid w:val="5CE847A0"/>
    <w:rsid w:val="5D1019FB"/>
    <w:rsid w:val="5D1FF6FA"/>
    <w:rsid w:val="5D64A124"/>
    <w:rsid w:val="5D69D1D1"/>
    <w:rsid w:val="5D892411"/>
    <w:rsid w:val="5D8C27C5"/>
    <w:rsid w:val="5D97CB65"/>
    <w:rsid w:val="5D98405B"/>
    <w:rsid w:val="5DA00EB1"/>
    <w:rsid w:val="5DA15E22"/>
    <w:rsid w:val="5DBF76B1"/>
    <w:rsid w:val="5DCA38F7"/>
    <w:rsid w:val="5DD35AE5"/>
    <w:rsid w:val="5DEE18C1"/>
    <w:rsid w:val="5DF8CD8A"/>
    <w:rsid w:val="5E1316F2"/>
    <w:rsid w:val="5E2AD7F4"/>
    <w:rsid w:val="5E5D10B4"/>
    <w:rsid w:val="5E73005E"/>
    <w:rsid w:val="5E811C3D"/>
    <w:rsid w:val="5E89B794"/>
    <w:rsid w:val="5E8EC821"/>
    <w:rsid w:val="5EAFF3E0"/>
    <w:rsid w:val="5EBD9286"/>
    <w:rsid w:val="5EC0E5ED"/>
    <w:rsid w:val="5EC717CD"/>
    <w:rsid w:val="5ECD3537"/>
    <w:rsid w:val="5ED437C4"/>
    <w:rsid w:val="5EDF38BD"/>
    <w:rsid w:val="5EE68B63"/>
    <w:rsid w:val="5EEDC717"/>
    <w:rsid w:val="5EFA1FCE"/>
    <w:rsid w:val="5EFFA26A"/>
    <w:rsid w:val="5F013224"/>
    <w:rsid w:val="5F35DC57"/>
    <w:rsid w:val="5F468135"/>
    <w:rsid w:val="5F4E7D46"/>
    <w:rsid w:val="5F7A6AE4"/>
    <w:rsid w:val="5F8B5CF0"/>
    <w:rsid w:val="5F9117A7"/>
    <w:rsid w:val="5F97C0FF"/>
    <w:rsid w:val="5FACBD63"/>
    <w:rsid w:val="5FB2CA36"/>
    <w:rsid w:val="5FC1F69E"/>
    <w:rsid w:val="5FD4C4B1"/>
    <w:rsid w:val="5FF00CBF"/>
    <w:rsid w:val="5FFBA1C7"/>
    <w:rsid w:val="6021F803"/>
    <w:rsid w:val="603F92AF"/>
    <w:rsid w:val="6042A9D9"/>
    <w:rsid w:val="605AB915"/>
    <w:rsid w:val="605F5EBA"/>
    <w:rsid w:val="60741815"/>
    <w:rsid w:val="60A89A9B"/>
    <w:rsid w:val="60B6594C"/>
    <w:rsid w:val="60BF7AFF"/>
    <w:rsid w:val="60C1243F"/>
    <w:rsid w:val="60D1ACB8"/>
    <w:rsid w:val="60D89EE6"/>
    <w:rsid w:val="60DCF342"/>
    <w:rsid w:val="60DF37AA"/>
    <w:rsid w:val="60F90112"/>
    <w:rsid w:val="610C14CF"/>
    <w:rsid w:val="61181ECD"/>
    <w:rsid w:val="612398F8"/>
    <w:rsid w:val="61302888"/>
    <w:rsid w:val="6132AA68"/>
    <w:rsid w:val="61347238"/>
    <w:rsid w:val="61473B26"/>
    <w:rsid w:val="614A1505"/>
    <w:rsid w:val="61547472"/>
    <w:rsid w:val="618774CC"/>
    <w:rsid w:val="618EA43D"/>
    <w:rsid w:val="61A100C4"/>
    <w:rsid w:val="61CC0F6E"/>
    <w:rsid w:val="61D5899B"/>
    <w:rsid w:val="61DC1EC3"/>
    <w:rsid w:val="61DFA253"/>
    <w:rsid w:val="620F197E"/>
    <w:rsid w:val="622953F8"/>
    <w:rsid w:val="62313D46"/>
    <w:rsid w:val="623D443B"/>
    <w:rsid w:val="6242067D"/>
    <w:rsid w:val="6247EB53"/>
    <w:rsid w:val="6248B763"/>
    <w:rsid w:val="624C79CF"/>
    <w:rsid w:val="6266861B"/>
    <w:rsid w:val="626D7D19"/>
    <w:rsid w:val="627F4027"/>
    <w:rsid w:val="6283E34F"/>
    <w:rsid w:val="6285F4EC"/>
    <w:rsid w:val="628B024A"/>
    <w:rsid w:val="629A32C1"/>
    <w:rsid w:val="62C8EBAE"/>
    <w:rsid w:val="62E23297"/>
    <w:rsid w:val="62FA25EE"/>
    <w:rsid w:val="630DAFC0"/>
    <w:rsid w:val="631B5D0D"/>
    <w:rsid w:val="633B5FE9"/>
    <w:rsid w:val="634E484C"/>
    <w:rsid w:val="63521D1D"/>
    <w:rsid w:val="637345D9"/>
    <w:rsid w:val="638D7F1B"/>
    <w:rsid w:val="639BB89D"/>
    <w:rsid w:val="63B8B4EE"/>
    <w:rsid w:val="63C27BA4"/>
    <w:rsid w:val="63D847AD"/>
    <w:rsid w:val="63E95F53"/>
    <w:rsid w:val="640916F8"/>
    <w:rsid w:val="64285112"/>
    <w:rsid w:val="643053C8"/>
    <w:rsid w:val="6434E9BC"/>
    <w:rsid w:val="64439976"/>
    <w:rsid w:val="645DADE5"/>
    <w:rsid w:val="64888864"/>
    <w:rsid w:val="648DE34F"/>
    <w:rsid w:val="649496FE"/>
    <w:rsid w:val="64AACC77"/>
    <w:rsid w:val="64EADDD0"/>
    <w:rsid w:val="650E526F"/>
    <w:rsid w:val="6518C920"/>
    <w:rsid w:val="652A8EAD"/>
    <w:rsid w:val="652CCE65"/>
    <w:rsid w:val="65464135"/>
    <w:rsid w:val="65533831"/>
    <w:rsid w:val="6569DE54"/>
    <w:rsid w:val="657FB4C6"/>
    <w:rsid w:val="6596CFCF"/>
    <w:rsid w:val="65A3B933"/>
    <w:rsid w:val="65A9581C"/>
    <w:rsid w:val="65AB2C96"/>
    <w:rsid w:val="65CF5BA3"/>
    <w:rsid w:val="65D3313B"/>
    <w:rsid w:val="65E1E395"/>
    <w:rsid w:val="65E3ACC3"/>
    <w:rsid w:val="65E65181"/>
    <w:rsid w:val="65E79279"/>
    <w:rsid w:val="65EC7572"/>
    <w:rsid w:val="65F5F20C"/>
    <w:rsid w:val="6601F069"/>
    <w:rsid w:val="6607A024"/>
    <w:rsid w:val="66206EC4"/>
    <w:rsid w:val="66262A68"/>
    <w:rsid w:val="663451F7"/>
    <w:rsid w:val="66365A34"/>
    <w:rsid w:val="663782C7"/>
    <w:rsid w:val="66412816"/>
    <w:rsid w:val="66621DC9"/>
    <w:rsid w:val="668A976D"/>
    <w:rsid w:val="668B6700"/>
    <w:rsid w:val="6695D88B"/>
    <w:rsid w:val="66978F69"/>
    <w:rsid w:val="66992C63"/>
    <w:rsid w:val="66A63BFF"/>
    <w:rsid w:val="66B17E04"/>
    <w:rsid w:val="66B84D43"/>
    <w:rsid w:val="66BC2984"/>
    <w:rsid w:val="66C62BA7"/>
    <w:rsid w:val="66D2C6D8"/>
    <w:rsid w:val="66DCE39D"/>
    <w:rsid w:val="6704BC4D"/>
    <w:rsid w:val="67070124"/>
    <w:rsid w:val="670E6FCE"/>
    <w:rsid w:val="671D2F75"/>
    <w:rsid w:val="6721C8D9"/>
    <w:rsid w:val="673619A1"/>
    <w:rsid w:val="673A8945"/>
    <w:rsid w:val="673F5CEC"/>
    <w:rsid w:val="67410E02"/>
    <w:rsid w:val="67442322"/>
    <w:rsid w:val="677811E1"/>
    <w:rsid w:val="67832A02"/>
    <w:rsid w:val="67EC20DA"/>
    <w:rsid w:val="68010896"/>
    <w:rsid w:val="68356CA4"/>
    <w:rsid w:val="6835A54F"/>
    <w:rsid w:val="683C9AD3"/>
    <w:rsid w:val="684BAF0F"/>
    <w:rsid w:val="68568BF8"/>
    <w:rsid w:val="686AB600"/>
    <w:rsid w:val="688F2859"/>
    <w:rsid w:val="6892D6AB"/>
    <w:rsid w:val="68A848B3"/>
    <w:rsid w:val="68C892FC"/>
    <w:rsid w:val="68CC66D3"/>
    <w:rsid w:val="68CCD1A3"/>
    <w:rsid w:val="68DB188B"/>
    <w:rsid w:val="68DB601D"/>
    <w:rsid w:val="6907FDC3"/>
    <w:rsid w:val="690CE2F2"/>
    <w:rsid w:val="69180F75"/>
    <w:rsid w:val="69200379"/>
    <w:rsid w:val="69206D8A"/>
    <w:rsid w:val="6923EF7C"/>
    <w:rsid w:val="693AB4E3"/>
    <w:rsid w:val="6946BCFF"/>
    <w:rsid w:val="69539FA9"/>
    <w:rsid w:val="69902F21"/>
    <w:rsid w:val="69A8921D"/>
    <w:rsid w:val="69C7190A"/>
    <w:rsid w:val="69D545F7"/>
    <w:rsid w:val="69E19E99"/>
    <w:rsid w:val="69EDA5AE"/>
    <w:rsid w:val="69F9546A"/>
    <w:rsid w:val="69FE3926"/>
    <w:rsid w:val="6A01BFDF"/>
    <w:rsid w:val="6A060859"/>
    <w:rsid w:val="6A3D9697"/>
    <w:rsid w:val="6A45B47C"/>
    <w:rsid w:val="6A4F7669"/>
    <w:rsid w:val="6A59C9DE"/>
    <w:rsid w:val="6A68A204"/>
    <w:rsid w:val="6A727345"/>
    <w:rsid w:val="6A9CFC1E"/>
    <w:rsid w:val="6AA6590E"/>
    <w:rsid w:val="6AED1288"/>
    <w:rsid w:val="6AFE2A8D"/>
    <w:rsid w:val="6B05EC15"/>
    <w:rsid w:val="6B0C3DFB"/>
    <w:rsid w:val="6B0D1C06"/>
    <w:rsid w:val="6B0D8991"/>
    <w:rsid w:val="6B10E593"/>
    <w:rsid w:val="6B130EDD"/>
    <w:rsid w:val="6B2C28D2"/>
    <w:rsid w:val="6B3108BE"/>
    <w:rsid w:val="6B3A52F3"/>
    <w:rsid w:val="6B3AAB76"/>
    <w:rsid w:val="6B58A1E6"/>
    <w:rsid w:val="6B608154"/>
    <w:rsid w:val="6B72EAB6"/>
    <w:rsid w:val="6B952AAB"/>
    <w:rsid w:val="6BA62563"/>
    <w:rsid w:val="6BAB70DB"/>
    <w:rsid w:val="6BAC21A7"/>
    <w:rsid w:val="6BAEAF2A"/>
    <w:rsid w:val="6BD36272"/>
    <w:rsid w:val="6BEA1E25"/>
    <w:rsid w:val="6C0606D7"/>
    <w:rsid w:val="6C3A2575"/>
    <w:rsid w:val="6C408FB1"/>
    <w:rsid w:val="6C4288EA"/>
    <w:rsid w:val="6C466270"/>
    <w:rsid w:val="6C49C68A"/>
    <w:rsid w:val="6C50D150"/>
    <w:rsid w:val="6C5104CE"/>
    <w:rsid w:val="6C5CC737"/>
    <w:rsid w:val="6C61E4CE"/>
    <w:rsid w:val="6C6305F1"/>
    <w:rsid w:val="6C690826"/>
    <w:rsid w:val="6C7377A9"/>
    <w:rsid w:val="6C79E639"/>
    <w:rsid w:val="6C832EEB"/>
    <w:rsid w:val="6C933348"/>
    <w:rsid w:val="6C964DFB"/>
    <w:rsid w:val="6CB921F5"/>
    <w:rsid w:val="6CE565ED"/>
    <w:rsid w:val="6CFBC9AB"/>
    <w:rsid w:val="6CFC51B5"/>
    <w:rsid w:val="6D1732C7"/>
    <w:rsid w:val="6D203E22"/>
    <w:rsid w:val="6D3772CF"/>
    <w:rsid w:val="6D3C5C2B"/>
    <w:rsid w:val="6D76560F"/>
    <w:rsid w:val="6D76A700"/>
    <w:rsid w:val="6D77BBB1"/>
    <w:rsid w:val="6DB627A1"/>
    <w:rsid w:val="6DCE8975"/>
    <w:rsid w:val="6DD1D443"/>
    <w:rsid w:val="6DD6349A"/>
    <w:rsid w:val="6DDAD0DD"/>
    <w:rsid w:val="6DDBFD30"/>
    <w:rsid w:val="6DEDC99D"/>
    <w:rsid w:val="6DF4EC02"/>
    <w:rsid w:val="6DF509E3"/>
    <w:rsid w:val="6E038CC9"/>
    <w:rsid w:val="6E084E1C"/>
    <w:rsid w:val="6E1297AD"/>
    <w:rsid w:val="6E195700"/>
    <w:rsid w:val="6E1F97A1"/>
    <w:rsid w:val="6E2833FB"/>
    <w:rsid w:val="6E3462BF"/>
    <w:rsid w:val="6E47A6AC"/>
    <w:rsid w:val="6E656290"/>
    <w:rsid w:val="6E806A97"/>
    <w:rsid w:val="6E9E8A62"/>
    <w:rsid w:val="6E9F7CDD"/>
    <w:rsid w:val="6EA1FCDB"/>
    <w:rsid w:val="6EACAF53"/>
    <w:rsid w:val="6EAD11C2"/>
    <w:rsid w:val="6EE56307"/>
    <w:rsid w:val="6EF0D9C1"/>
    <w:rsid w:val="6F0138B6"/>
    <w:rsid w:val="6F196B0A"/>
    <w:rsid w:val="6F2A0F54"/>
    <w:rsid w:val="6F354836"/>
    <w:rsid w:val="6F56A99D"/>
    <w:rsid w:val="6F5AC5EC"/>
    <w:rsid w:val="6F6FAB77"/>
    <w:rsid w:val="6F7C12C3"/>
    <w:rsid w:val="6F80F955"/>
    <w:rsid w:val="6F948EE7"/>
    <w:rsid w:val="6F9991C4"/>
    <w:rsid w:val="6FAF2DB6"/>
    <w:rsid w:val="6FB2BEFC"/>
    <w:rsid w:val="6FD46387"/>
    <w:rsid w:val="6FEF3EE4"/>
    <w:rsid w:val="6FF37F23"/>
    <w:rsid w:val="70026C05"/>
    <w:rsid w:val="700C365A"/>
    <w:rsid w:val="70102039"/>
    <w:rsid w:val="701CE383"/>
    <w:rsid w:val="703B40B4"/>
    <w:rsid w:val="703C6B5A"/>
    <w:rsid w:val="70401AE6"/>
    <w:rsid w:val="70658EFE"/>
    <w:rsid w:val="7070AD4F"/>
    <w:rsid w:val="707F73D5"/>
    <w:rsid w:val="70AE1899"/>
    <w:rsid w:val="70AF13AE"/>
    <w:rsid w:val="70C5C2CC"/>
    <w:rsid w:val="70D367C9"/>
    <w:rsid w:val="70D5F637"/>
    <w:rsid w:val="70E66FE0"/>
    <w:rsid w:val="711C31E2"/>
    <w:rsid w:val="711E4DBD"/>
    <w:rsid w:val="7126B989"/>
    <w:rsid w:val="712C7470"/>
    <w:rsid w:val="7133FDFB"/>
    <w:rsid w:val="7153201C"/>
    <w:rsid w:val="7157E69F"/>
    <w:rsid w:val="7162DE74"/>
    <w:rsid w:val="7191414C"/>
    <w:rsid w:val="7191F964"/>
    <w:rsid w:val="7192CA93"/>
    <w:rsid w:val="71986E89"/>
    <w:rsid w:val="719D0352"/>
    <w:rsid w:val="71A7F11C"/>
    <w:rsid w:val="71ABC4EE"/>
    <w:rsid w:val="71B81DA3"/>
    <w:rsid w:val="71E20D2B"/>
    <w:rsid w:val="71F8CF30"/>
    <w:rsid w:val="720729D1"/>
    <w:rsid w:val="72173AFA"/>
    <w:rsid w:val="72272C65"/>
    <w:rsid w:val="72362DF2"/>
    <w:rsid w:val="723D1376"/>
    <w:rsid w:val="723D7797"/>
    <w:rsid w:val="72505994"/>
    <w:rsid w:val="726890E0"/>
    <w:rsid w:val="7269D7CD"/>
    <w:rsid w:val="726EF3E1"/>
    <w:rsid w:val="72729418"/>
    <w:rsid w:val="728F650C"/>
    <w:rsid w:val="728FB0BB"/>
    <w:rsid w:val="72C51761"/>
    <w:rsid w:val="72D67CDD"/>
    <w:rsid w:val="72DD5F70"/>
    <w:rsid w:val="72E561B2"/>
    <w:rsid w:val="72ED69B5"/>
    <w:rsid w:val="7306AA88"/>
    <w:rsid w:val="7306FB83"/>
    <w:rsid w:val="73287B90"/>
    <w:rsid w:val="73477D9A"/>
    <w:rsid w:val="734EE95C"/>
    <w:rsid w:val="7353DF68"/>
    <w:rsid w:val="737133F5"/>
    <w:rsid w:val="737F0AA5"/>
    <w:rsid w:val="73A82B43"/>
    <w:rsid w:val="73B40194"/>
    <w:rsid w:val="73B504DB"/>
    <w:rsid w:val="73C0A834"/>
    <w:rsid w:val="73F2917C"/>
    <w:rsid w:val="73F8C460"/>
    <w:rsid w:val="73FA8DF4"/>
    <w:rsid w:val="73FBDE73"/>
    <w:rsid w:val="7410CC7C"/>
    <w:rsid w:val="74192EA3"/>
    <w:rsid w:val="741C05A9"/>
    <w:rsid w:val="7426B2B5"/>
    <w:rsid w:val="742DCF77"/>
    <w:rsid w:val="74379436"/>
    <w:rsid w:val="747E2009"/>
    <w:rsid w:val="74846A71"/>
    <w:rsid w:val="74849F4A"/>
    <w:rsid w:val="749AA8D2"/>
    <w:rsid w:val="74AC2642"/>
    <w:rsid w:val="74BBBC47"/>
    <w:rsid w:val="74BEE3ED"/>
    <w:rsid w:val="74C3CDE4"/>
    <w:rsid w:val="74CE6AFE"/>
    <w:rsid w:val="74D676C6"/>
    <w:rsid w:val="751ADB06"/>
    <w:rsid w:val="7535686B"/>
    <w:rsid w:val="75569EFD"/>
    <w:rsid w:val="755A880B"/>
    <w:rsid w:val="755D0BE2"/>
    <w:rsid w:val="756AEEAB"/>
    <w:rsid w:val="75829E34"/>
    <w:rsid w:val="75856AA8"/>
    <w:rsid w:val="758C0463"/>
    <w:rsid w:val="75D5680A"/>
    <w:rsid w:val="75E85B82"/>
    <w:rsid w:val="75EF893D"/>
    <w:rsid w:val="75F3BECB"/>
    <w:rsid w:val="760D8547"/>
    <w:rsid w:val="765A1FB2"/>
    <w:rsid w:val="769C0626"/>
    <w:rsid w:val="76B645C5"/>
    <w:rsid w:val="76C4B9E4"/>
    <w:rsid w:val="76C6E1F9"/>
    <w:rsid w:val="76F05CDA"/>
    <w:rsid w:val="7710AD59"/>
    <w:rsid w:val="7718E89D"/>
    <w:rsid w:val="772A457C"/>
    <w:rsid w:val="773320FF"/>
    <w:rsid w:val="774652B9"/>
    <w:rsid w:val="77547CE7"/>
    <w:rsid w:val="775548B7"/>
    <w:rsid w:val="775F5363"/>
    <w:rsid w:val="777C4A3B"/>
    <w:rsid w:val="77889693"/>
    <w:rsid w:val="778F6372"/>
    <w:rsid w:val="779358A7"/>
    <w:rsid w:val="779EA09B"/>
    <w:rsid w:val="77D377A7"/>
    <w:rsid w:val="77E49FE7"/>
    <w:rsid w:val="77EE9469"/>
    <w:rsid w:val="77EEA6E7"/>
    <w:rsid w:val="780FB483"/>
    <w:rsid w:val="78165930"/>
    <w:rsid w:val="7824AAEC"/>
    <w:rsid w:val="7872F72E"/>
    <w:rsid w:val="78829B4C"/>
    <w:rsid w:val="7882D6F3"/>
    <w:rsid w:val="78A24044"/>
    <w:rsid w:val="78ACB91B"/>
    <w:rsid w:val="78EABFD1"/>
    <w:rsid w:val="78F18A8F"/>
    <w:rsid w:val="791E5AE0"/>
    <w:rsid w:val="792F4453"/>
    <w:rsid w:val="79361682"/>
    <w:rsid w:val="7947D4A8"/>
    <w:rsid w:val="7958FCB5"/>
    <w:rsid w:val="797502A7"/>
    <w:rsid w:val="7975FDC9"/>
    <w:rsid w:val="7981B949"/>
    <w:rsid w:val="7981E808"/>
    <w:rsid w:val="79AAD3F6"/>
    <w:rsid w:val="79AFADE6"/>
    <w:rsid w:val="79CE86F4"/>
    <w:rsid w:val="79D2B8CB"/>
    <w:rsid w:val="79D359B9"/>
    <w:rsid w:val="79E8C86A"/>
    <w:rsid w:val="79EDE687"/>
    <w:rsid w:val="7A0C7749"/>
    <w:rsid w:val="7A1EA754"/>
    <w:rsid w:val="7A44A001"/>
    <w:rsid w:val="7A5EBD07"/>
    <w:rsid w:val="7A950EFE"/>
    <w:rsid w:val="7AB50596"/>
    <w:rsid w:val="7AD30C9D"/>
    <w:rsid w:val="7AE8FD4B"/>
    <w:rsid w:val="7B11CE2A"/>
    <w:rsid w:val="7B3E8924"/>
    <w:rsid w:val="7B4F8F93"/>
    <w:rsid w:val="7B585021"/>
    <w:rsid w:val="7B5B577D"/>
    <w:rsid w:val="7B703AE3"/>
    <w:rsid w:val="7B7AE5D8"/>
    <w:rsid w:val="7B908A54"/>
    <w:rsid w:val="7B9152FE"/>
    <w:rsid w:val="7B9DEC83"/>
    <w:rsid w:val="7BA442EF"/>
    <w:rsid w:val="7BB31AD0"/>
    <w:rsid w:val="7BB58EDF"/>
    <w:rsid w:val="7BBA77B5"/>
    <w:rsid w:val="7BBF1B2A"/>
    <w:rsid w:val="7C169368"/>
    <w:rsid w:val="7C1EBE57"/>
    <w:rsid w:val="7C1F1572"/>
    <w:rsid w:val="7C236437"/>
    <w:rsid w:val="7C281F7E"/>
    <w:rsid w:val="7C36188D"/>
    <w:rsid w:val="7C48AB74"/>
    <w:rsid w:val="7C540C31"/>
    <w:rsid w:val="7C561081"/>
    <w:rsid w:val="7C637659"/>
    <w:rsid w:val="7C793EBB"/>
    <w:rsid w:val="7C88CEA6"/>
    <w:rsid w:val="7C8BA58D"/>
    <w:rsid w:val="7C8D2F5C"/>
    <w:rsid w:val="7C8DA9F3"/>
    <w:rsid w:val="7CA13AA7"/>
    <w:rsid w:val="7CADE09F"/>
    <w:rsid w:val="7CC6BB6D"/>
    <w:rsid w:val="7CCBA1A2"/>
    <w:rsid w:val="7CF55909"/>
    <w:rsid w:val="7CF9FBD2"/>
    <w:rsid w:val="7D0085DC"/>
    <w:rsid w:val="7D1DB2C1"/>
    <w:rsid w:val="7D24CBBF"/>
    <w:rsid w:val="7D3EE98E"/>
    <w:rsid w:val="7D46947D"/>
    <w:rsid w:val="7D4CD32D"/>
    <w:rsid w:val="7D5423F7"/>
    <w:rsid w:val="7D71D31A"/>
    <w:rsid w:val="7D72FF54"/>
    <w:rsid w:val="7D76E1DB"/>
    <w:rsid w:val="7D802A3E"/>
    <w:rsid w:val="7D804995"/>
    <w:rsid w:val="7DA0C252"/>
    <w:rsid w:val="7DA14FA6"/>
    <w:rsid w:val="7DBC0F57"/>
    <w:rsid w:val="7DCE3ECE"/>
    <w:rsid w:val="7DF11EEE"/>
    <w:rsid w:val="7DFF087D"/>
    <w:rsid w:val="7E16A32B"/>
    <w:rsid w:val="7E27E9CA"/>
    <w:rsid w:val="7E4EDC28"/>
    <w:rsid w:val="7E5B87AC"/>
    <w:rsid w:val="7E5D00F6"/>
    <w:rsid w:val="7E6C517A"/>
    <w:rsid w:val="7E7F7825"/>
    <w:rsid w:val="7E84C818"/>
    <w:rsid w:val="7E92BB3C"/>
    <w:rsid w:val="7EAC1A7C"/>
    <w:rsid w:val="7EB5A9E5"/>
    <w:rsid w:val="7EB9F3B3"/>
    <w:rsid w:val="7EC5934E"/>
    <w:rsid w:val="7ECBD43F"/>
    <w:rsid w:val="7EEC5C34"/>
    <w:rsid w:val="7F30126E"/>
    <w:rsid w:val="7F37F8F4"/>
    <w:rsid w:val="7F3C92B3"/>
    <w:rsid w:val="7F3EC443"/>
    <w:rsid w:val="7F5134A9"/>
    <w:rsid w:val="7F68162D"/>
    <w:rsid w:val="7F6A4737"/>
    <w:rsid w:val="7F6B6188"/>
    <w:rsid w:val="7F72BE87"/>
    <w:rsid w:val="7F8F6E6F"/>
    <w:rsid w:val="7FA1319A"/>
    <w:rsid w:val="7FAA81B6"/>
    <w:rsid w:val="7FCCD405"/>
    <w:rsid w:val="7FCE7975"/>
    <w:rsid w:val="7FD0CD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170E"/>
  <w15:docId w15:val="{A55A8FDA-4E52-46A3-917A-C3B3B26C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CE"/>
    <w:pPr>
      <w:spacing w:after="240" w:line="300" w:lineRule="atLeast"/>
    </w:pPr>
    <w:rPr>
      <w:rFonts w:ascii="Arial" w:hAnsi="Arial"/>
      <w:lang w:eastAsia="en-US"/>
    </w:rPr>
  </w:style>
  <w:style w:type="paragraph" w:styleId="Heading1">
    <w:name w:val="heading 1"/>
    <w:next w:val="Normal"/>
    <w:rsid w:val="00413967"/>
    <w:pPr>
      <w:keepNext/>
      <w:spacing w:after="120"/>
      <w:outlineLvl w:val="0"/>
    </w:pPr>
    <w:rPr>
      <w:rFonts w:ascii="Arial Bold" w:hAnsi="Arial Bold"/>
      <w:b/>
      <w:color w:val="0E4E77"/>
      <w:sz w:val="22"/>
      <w:lang w:eastAsia="en-US"/>
    </w:rPr>
  </w:style>
  <w:style w:type="paragraph" w:styleId="Heading2">
    <w:name w:val="heading 2"/>
    <w:aliases w:val="Board Brief - Paragraph Heading 2"/>
    <w:next w:val="Normal"/>
    <w:qFormat/>
    <w:rsid w:val="004162CA"/>
    <w:pPr>
      <w:keepNext/>
      <w:spacing w:after="120"/>
      <w:outlineLvl w:val="1"/>
    </w:pPr>
    <w:rPr>
      <w:rFonts w:ascii="Arial Bold" w:hAnsi="Arial Bold"/>
      <w:b/>
      <w:color w:val="74000E"/>
      <w:sz w:val="22"/>
      <w:lang w:eastAsia="en-US"/>
    </w:rPr>
  </w:style>
  <w:style w:type="paragraph" w:styleId="Heading3">
    <w:name w:val="heading 3"/>
    <w:basedOn w:val="Normal"/>
    <w:next w:val="Normal"/>
    <w:rsid w:val="00506D42"/>
    <w:pPr>
      <w:keepNext/>
      <w:spacing w:after="120"/>
      <w:outlineLvl w:val="2"/>
    </w:pPr>
    <w:rPr>
      <w:color w:val="74000E"/>
    </w:rPr>
  </w:style>
  <w:style w:type="paragraph" w:styleId="Heading4">
    <w:name w:val="heading 4"/>
    <w:basedOn w:val="Normal"/>
    <w:next w:val="Normal"/>
    <w:rsid w:val="001F00FC"/>
    <w:pPr>
      <w:keepNext/>
      <w:spacing w:after="0"/>
      <w:outlineLvl w:val="3"/>
    </w:pPr>
    <w:rPr>
      <w:i/>
      <w:color w:val="0E4E77"/>
    </w:rPr>
  </w:style>
  <w:style w:type="paragraph" w:styleId="Heading5">
    <w:name w:val="heading 5"/>
    <w:next w:val="Normal"/>
    <w:rsid w:val="00133E0E"/>
    <w:pPr>
      <w:spacing w:before="240"/>
      <w:outlineLvl w:val="4"/>
    </w:pPr>
    <w:rPr>
      <w:rFonts w:ascii="Arial" w:hAnsi="Arial"/>
      <w:b/>
      <w:lang w:eastAsia="en-US"/>
    </w:rPr>
  </w:style>
  <w:style w:type="paragraph" w:styleId="Heading6">
    <w:name w:val="heading 6"/>
    <w:basedOn w:val="Normal"/>
    <w:next w:val="Normal"/>
    <w:rsid w:val="00813208"/>
    <w:pPr>
      <w:spacing w:before="240"/>
      <w:outlineLvl w:val="5"/>
    </w:pPr>
    <w:rPr>
      <w:i/>
    </w:rPr>
  </w:style>
  <w:style w:type="paragraph" w:styleId="Heading7">
    <w:name w:val="heading 7"/>
    <w:next w:val="Normal"/>
    <w:rsid w:val="00133E0E"/>
    <w:pPr>
      <w:keepNext/>
      <w:tabs>
        <w:tab w:val="right" w:pos="2835"/>
        <w:tab w:val="center" w:pos="4820"/>
      </w:tabs>
      <w:outlineLvl w:val="6"/>
    </w:pPr>
    <w:rPr>
      <w:rFonts w:ascii="Arial" w:hAnsi="Arial"/>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689A"/>
    <w:pPr>
      <w:tabs>
        <w:tab w:val="center" w:pos="4819"/>
        <w:tab w:val="right" w:pos="9639"/>
      </w:tabs>
      <w:spacing w:after="120" w:line="240" w:lineRule="auto"/>
      <w:ind w:left="-567"/>
    </w:pPr>
    <w:rPr>
      <w:sz w:val="16"/>
      <w:szCs w:val="16"/>
    </w:rPr>
  </w:style>
  <w:style w:type="paragraph" w:styleId="MacroText">
    <w:name w:val="macro"/>
    <w:semiHidden/>
    <w:rsid w:val="00813208"/>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lang w:eastAsia="en-US"/>
    </w:rPr>
  </w:style>
  <w:style w:type="paragraph" w:customStyle="1" w:styleId="SinglePara">
    <w:name w:val="Single Para"/>
    <w:basedOn w:val="Normal"/>
    <w:qFormat/>
    <w:rsid w:val="00672D6E"/>
    <w:pPr>
      <w:spacing w:after="0"/>
    </w:pPr>
  </w:style>
  <w:style w:type="paragraph" w:customStyle="1" w:styleId="Bullet">
    <w:name w:val="Bullet"/>
    <w:basedOn w:val="Normal"/>
    <w:rsid w:val="00FE2D0E"/>
    <w:pPr>
      <w:numPr>
        <w:numId w:val="24"/>
      </w:numPr>
    </w:pPr>
  </w:style>
  <w:style w:type="paragraph" w:customStyle="1" w:styleId="Dash">
    <w:name w:val="Dash"/>
    <w:basedOn w:val="Normal"/>
    <w:rsid w:val="00FE2D0E"/>
    <w:pPr>
      <w:numPr>
        <w:ilvl w:val="1"/>
        <w:numId w:val="24"/>
      </w:numPr>
    </w:pPr>
  </w:style>
  <w:style w:type="paragraph" w:customStyle="1" w:styleId="DoubleDot">
    <w:name w:val="Double Dot"/>
    <w:basedOn w:val="Normal"/>
    <w:rsid w:val="00FE2D0E"/>
    <w:pPr>
      <w:numPr>
        <w:ilvl w:val="2"/>
        <w:numId w:val="24"/>
      </w:numPr>
    </w:pPr>
  </w:style>
  <w:style w:type="character" w:styleId="Hyperlink">
    <w:name w:val="Hyperlink"/>
    <w:basedOn w:val="DefaultParagraphFont"/>
    <w:uiPriority w:val="99"/>
    <w:unhideWhenUsed/>
    <w:rsid w:val="00B65DA4"/>
    <w:rPr>
      <w:color w:val="0000FF"/>
      <w:u w:val="single"/>
    </w:rPr>
  </w:style>
  <w:style w:type="paragraph" w:customStyle="1" w:styleId="AddressBlock">
    <w:name w:val="Address Block"/>
    <w:basedOn w:val="Normal"/>
    <w:qFormat/>
    <w:rsid w:val="00FC0B2D"/>
    <w:pPr>
      <w:spacing w:after="0"/>
    </w:pPr>
  </w:style>
  <w:style w:type="paragraph" w:styleId="Header">
    <w:name w:val="header"/>
    <w:basedOn w:val="Normal"/>
    <w:link w:val="HeaderChar"/>
    <w:uiPriority w:val="99"/>
    <w:unhideWhenUsed/>
    <w:rsid w:val="00440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99"/>
    <w:rPr>
      <w:rFonts w:ascii="Arial" w:hAnsi="Arial"/>
      <w:lang w:eastAsia="en-US"/>
    </w:rPr>
  </w:style>
  <w:style w:type="paragraph" w:styleId="Caption">
    <w:name w:val="caption"/>
    <w:basedOn w:val="Normal"/>
    <w:next w:val="Normal"/>
    <w:uiPriority w:val="35"/>
    <w:rsid w:val="00BE1083"/>
    <w:pPr>
      <w:keepNext/>
      <w:spacing w:after="200"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41931"/>
    <w:rPr>
      <w:color w:val="605E5C"/>
      <w:shd w:val="clear" w:color="auto" w:fill="E1DFDD"/>
    </w:rPr>
  </w:style>
  <w:style w:type="character" w:styleId="FollowedHyperlink">
    <w:name w:val="FollowedHyperlink"/>
    <w:basedOn w:val="DefaultParagraphFont"/>
    <w:uiPriority w:val="99"/>
    <w:semiHidden/>
    <w:unhideWhenUsed/>
    <w:rsid w:val="00741931"/>
    <w:rPr>
      <w:color w:val="800080" w:themeColor="followedHyperlink"/>
      <w:u w:val="single"/>
    </w:rPr>
  </w:style>
  <w:style w:type="paragraph" w:styleId="FootnoteText">
    <w:name w:val="footnote text"/>
    <w:basedOn w:val="Normal"/>
    <w:link w:val="FootnoteTextChar"/>
    <w:uiPriority w:val="99"/>
    <w:semiHidden/>
    <w:unhideWhenUsed/>
    <w:rsid w:val="00E32CE7"/>
    <w:pPr>
      <w:spacing w:after="0" w:line="240" w:lineRule="auto"/>
    </w:pPr>
  </w:style>
  <w:style w:type="character" w:customStyle="1" w:styleId="FootnoteTextChar">
    <w:name w:val="Footnote Text Char"/>
    <w:basedOn w:val="DefaultParagraphFont"/>
    <w:link w:val="FootnoteText"/>
    <w:uiPriority w:val="99"/>
    <w:semiHidden/>
    <w:rsid w:val="00E32CE7"/>
    <w:rPr>
      <w:rFonts w:ascii="Arial" w:hAnsi="Arial"/>
      <w:lang w:eastAsia="en-US"/>
    </w:rPr>
  </w:style>
  <w:style w:type="character" w:styleId="FootnoteReference">
    <w:name w:val="footnote reference"/>
    <w:basedOn w:val="DefaultParagraphFont"/>
    <w:uiPriority w:val="99"/>
    <w:semiHidden/>
    <w:unhideWhenUsed/>
    <w:rsid w:val="00E32CE7"/>
    <w:rPr>
      <w:vertAlign w:val="superscript"/>
    </w:rPr>
  </w:style>
  <w:style w:type="character" w:styleId="CommentReference">
    <w:name w:val="annotation reference"/>
    <w:basedOn w:val="DefaultParagraphFont"/>
    <w:uiPriority w:val="99"/>
    <w:semiHidden/>
    <w:unhideWhenUsed/>
    <w:rsid w:val="003F742F"/>
    <w:rPr>
      <w:sz w:val="16"/>
      <w:szCs w:val="16"/>
    </w:rPr>
  </w:style>
  <w:style w:type="paragraph" w:styleId="CommentText">
    <w:name w:val="annotation text"/>
    <w:basedOn w:val="Normal"/>
    <w:link w:val="CommentTextChar"/>
    <w:uiPriority w:val="99"/>
    <w:unhideWhenUsed/>
    <w:rsid w:val="003F742F"/>
    <w:pPr>
      <w:spacing w:line="240" w:lineRule="auto"/>
    </w:pPr>
  </w:style>
  <w:style w:type="character" w:customStyle="1" w:styleId="CommentTextChar">
    <w:name w:val="Comment Text Char"/>
    <w:basedOn w:val="DefaultParagraphFont"/>
    <w:link w:val="CommentText"/>
    <w:uiPriority w:val="99"/>
    <w:rsid w:val="003F74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F742F"/>
    <w:rPr>
      <w:b/>
      <w:bCs/>
    </w:rPr>
  </w:style>
  <w:style w:type="character" w:customStyle="1" w:styleId="CommentSubjectChar">
    <w:name w:val="Comment Subject Char"/>
    <w:basedOn w:val="CommentTextChar"/>
    <w:link w:val="CommentSubject"/>
    <w:uiPriority w:val="99"/>
    <w:semiHidden/>
    <w:rsid w:val="003F742F"/>
    <w:rPr>
      <w:rFonts w:ascii="Arial" w:hAnsi="Arial"/>
      <w:b/>
      <w:bCs/>
      <w:lang w:eastAsia="en-US"/>
    </w:rPr>
  </w:style>
  <w:style w:type="paragraph" w:styleId="BalloonText">
    <w:name w:val="Balloon Text"/>
    <w:basedOn w:val="Normal"/>
    <w:link w:val="BalloonTextChar"/>
    <w:uiPriority w:val="99"/>
    <w:semiHidden/>
    <w:unhideWhenUsed/>
    <w:rsid w:val="00624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57"/>
    <w:rPr>
      <w:rFonts w:ascii="Segoe UI" w:hAnsi="Segoe UI" w:cs="Segoe UI"/>
      <w:sz w:val="18"/>
      <w:szCs w:val="18"/>
      <w:lang w:eastAsia="en-US"/>
    </w:rPr>
  </w:style>
  <w:style w:type="paragraph" w:customStyle="1" w:styleId="OutlineNumbered1">
    <w:name w:val="Outline Numbered 1"/>
    <w:basedOn w:val="Normal"/>
    <w:link w:val="OutlineNumbered1Char"/>
    <w:rsid w:val="00BC7CBF"/>
    <w:pPr>
      <w:numPr>
        <w:numId w:val="26"/>
      </w:numPr>
      <w:spacing w:after="320"/>
    </w:pPr>
  </w:style>
  <w:style w:type="character" w:customStyle="1" w:styleId="OutlineNumbered1Char">
    <w:name w:val="Outline Numbered 1 Char"/>
    <w:basedOn w:val="DefaultParagraphFont"/>
    <w:link w:val="OutlineNumbered1"/>
    <w:rsid w:val="00BC7CBF"/>
    <w:rPr>
      <w:rFonts w:ascii="Arial" w:hAnsi="Arial"/>
      <w:lang w:eastAsia="en-US"/>
    </w:rPr>
  </w:style>
  <w:style w:type="paragraph" w:customStyle="1" w:styleId="OutlineNumbered2">
    <w:name w:val="Outline Numbered 2"/>
    <w:basedOn w:val="Normal"/>
    <w:link w:val="OutlineNumbered2Char"/>
    <w:rsid w:val="00BC7CBF"/>
    <w:pPr>
      <w:numPr>
        <w:ilvl w:val="1"/>
        <w:numId w:val="26"/>
      </w:numPr>
      <w:spacing w:after="320"/>
    </w:pPr>
  </w:style>
  <w:style w:type="character" w:customStyle="1" w:styleId="OutlineNumbered2Char">
    <w:name w:val="Outline Numbered 2 Char"/>
    <w:basedOn w:val="DefaultParagraphFont"/>
    <w:link w:val="OutlineNumbered2"/>
    <w:rsid w:val="00BC7CBF"/>
    <w:rPr>
      <w:rFonts w:ascii="Arial" w:hAnsi="Arial"/>
      <w:lang w:eastAsia="en-US"/>
    </w:rPr>
  </w:style>
  <w:style w:type="paragraph" w:customStyle="1" w:styleId="OutlineNumbered3">
    <w:name w:val="Outline Numbered 3"/>
    <w:basedOn w:val="Normal"/>
    <w:link w:val="OutlineNumbered3Char"/>
    <w:rsid w:val="00BC7CBF"/>
    <w:pPr>
      <w:numPr>
        <w:ilvl w:val="2"/>
        <w:numId w:val="26"/>
      </w:numPr>
      <w:spacing w:after="320"/>
    </w:pPr>
  </w:style>
  <w:style w:type="character" w:customStyle="1" w:styleId="OutlineNumbered3Char">
    <w:name w:val="Outline Numbered 3 Char"/>
    <w:basedOn w:val="DefaultParagraphFont"/>
    <w:link w:val="OutlineNumbered3"/>
    <w:rsid w:val="00BC7CBF"/>
    <w:rPr>
      <w:rFonts w:ascii="Arial" w:hAnsi="Arial"/>
      <w:lang w:eastAsia="en-US"/>
    </w:rPr>
  </w:style>
  <w:style w:type="table" w:styleId="TableGrid">
    <w:name w:val="Table Grid"/>
    <w:basedOn w:val="TableNormal"/>
    <w:uiPriority w:val="59"/>
    <w:rsid w:val="0025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33382"/>
    <w:rPr>
      <w:rFonts w:ascii="Arial" w:hAnsi="Arial"/>
      <w:lang w:eastAsia="en-US"/>
    </w:rPr>
  </w:style>
  <w:style w:type="paragraph" w:customStyle="1" w:styleId="SecurityClassificationHeader">
    <w:name w:val="Security Classification Header"/>
    <w:link w:val="SecurityClassificationHeaderChar"/>
    <w:rsid w:val="00B34BF8"/>
    <w:pPr>
      <w:tabs>
        <w:tab w:val="left" w:pos="4656"/>
      </w:tabs>
      <w:spacing w:before="360" w:after="60"/>
      <w:jc w:val="center"/>
    </w:pPr>
    <w:rPr>
      <w:rFonts w:ascii="Calibri" w:hAnsi="Calibri" w:cs="Calibri"/>
      <w:b/>
      <w:color w:val="FF0000"/>
      <w:sz w:val="24"/>
      <w:lang w:eastAsia="en-US"/>
    </w:rPr>
  </w:style>
  <w:style w:type="character" w:customStyle="1" w:styleId="SecurityClassificationHeaderChar">
    <w:name w:val="Security Classification Header Char"/>
    <w:basedOn w:val="DefaultParagraphFont"/>
    <w:link w:val="SecurityClassificationHeader"/>
    <w:rsid w:val="00B34BF8"/>
    <w:rPr>
      <w:rFonts w:ascii="Calibri" w:hAnsi="Calibri" w:cs="Calibri"/>
      <w:b/>
      <w:color w:val="FF0000"/>
      <w:sz w:val="24"/>
      <w:lang w:eastAsia="en-US"/>
    </w:rPr>
  </w:style>
  <w:style w:type="paragraph" w:customStyle="1" w:styleId="SecurityClassificationFooter">
    <w:name w:val="Security Classification Footer"/>
    <w:link w:val="SecurityClassificationFooterChar"/>
    <w:rsid w:val="00B34BF8"/>
    <w:pPr>
      <w:tabs>
        <w:tab w:val="left" w:pos="4656"/>
      </w:tabs>
      <w:spacing w:before="240" w:after="60"/>
      <w:jc w:val="center"/>
    </w:pPr>
    <w:rPr>
      <w:rFonts w:ascii="Calibri" w:hAnsi="Calibri" w:cs="Calibri"/>
      <w:b/>
      <w:color w:val="FF0000"/>
      <w:sz w:val="24"/>
      <w:lang w:eastAsia="en-US"/>
    </w:rPr>
  </w:style>
  <w:style w:type="character" w:customStyle="1" w:styleId="SecurityClassificationFooterChar">
    <w:name w:val="Security Classification Footer Char"/>
    <w:basedOn w:val="DefaultParagraphFont"/>
    <w:link w:val="SecurityClassificationFooter"/>
    <w:rsid w:val="00B34BF8"/>
    <w:rPr>
      <w:rFonts w:ascii="Calibri" w:hAnsi="Calibri" w:cs="Calibri"/>
      <w:b/>
      <w:color w:val="FF0000"/>
      <w:sz w:val="24"/>
      <w:lang w:eastAsia="en-US"/>
    </w:rPr>
  </w:style>
  <w:style w:type="paragraph" w:customStyle="1" w:styleId="DLMSecurityHeader">
    <w:name w:val="DLM Security Header"/>
    <w:link w:val="DLMSecurityHeaderChar"/>
    <w:rsid w:val="00B34BF8"/>
    <w:pPr>
      <w:tabs>
        <w:tab w:val="left" w:pos="4656"/>
      </w:tabs>
      <w:spacing w:before="360" w:after="60"/>
      <w:jc w:val="center"/>
    </w:pPr>
    <w:rPr>
      <w:rFonts w:ascii="Calibri" w:hAnsi="Calibri" w:cs="Calibri"/>
      <w:b/>
      <w:color w:val="FF0000"/>
      <w:sz w:val="24"/>
      <w:lang w:eastAsia="en-US"/>
    </w:rPr>
  </w:style>
  <w:style w:type="character" w:customStyle="1" w:styleId="DLMSecurityHeaderChar">
    <w:name w:val="DLM Security Header Char"/>
    <w:basedOn w:val="DefaultParagraphFont"/>
    <w:link w:val="DLMSecurityHeader"/>
    <w:rsid w:val="00B34BF8"/>
    <w:rPr>
      <w:rFonts w:ascii="Calibri" w:hAnsi="Calibri" w:cs="Calibri"/>
      <w:b/>
      <w:color w:val="FF0000"/>
      <w:sz w:val="24"/>
      <w:lang w:eastAsia="en-US"/>
    </w:rPr>
  </w:style>
  <w:style w:type="paragraph" w:customStyle="1" w:styleId="DLMSecurityFooter">
    <w:name w:val="DLM Security Footer"/>
    <w:link w:val="DLMSecurityFooterChar"/>
    <w:rsid w:val="00B34BF8"/>
    <w:pPr>
      <w:tabs>
        <w:tab w:val="left" w:pos="4656"/>
      </w:tabs>
      <w:spacing w:before="360" w:after="60"/>
      <w:jc w:val="center"/>
    </w:pPr>
    <w:rPr>
      <w:rFonts w:ascii="Calibri" w:hAnsi="Calibri" w:cs="Calibri"/>
      <w:b/>
      <w:color w:val="FF0000"/>
      <w:sz w:val="24"/>
      <w:lang w:eastAsia="en-US"/>
    </w:rPr>
  </w:style>
  <w:style w:type="character" w:customStyle="1" w:styleId="DLMSecurityFooterChar">
    <w:name w:val="DLM Security Footer Char"/>
    <w:basedOn w:val="DefaultParagraphFont"/>
    <w:link w:val="DLMSecurityFooter"/>
    <w:rsid w:val="00B34BF8"/>
    <w:rPr>
      <w:rFonts w:ascii="Calibri" w:hAnsi="Calibri" w:cs="Calibri"/>
      <w:b/>
      <w:color w:val="FF0000"/>
      <w:sz w:val="24"/>
      <w:lang w:eastAsia="en-US"/>
    </w:rPr>
  </w:style>
  <w:style w:type="paragraph" w:customStyle="1" w:styleId="ChartGraphic">
    <w:name w:val="Chart Graphic"/>
    <w:basedOn w:val="Normal"/>
    <w:next w:val="Normal"/>
    <w:link w:val="ChartGraphicChar"/>
    <w:rsid w:val="00D6090D"/>
    <w:pPr>
      <w:spacing w:after="0"/>
      <w:jc w:val="center"/>
    </w:pPr>
    <w:rPr>
      <w:rFonts w:ascii="Calibri" w:hAnsi="Calibri" w:cs="Calibri"/>
      <w:noProof/>
    </w:rPr>
  </w:style>
  <w:style w:type="character" w:customStyle="1" w:styleId="ChartGraphicChar">
    <w:name w:val="Chart Graphic Char"/>
    <w:basedOn w:val="DefaultParagraphFont"/>
    <w:link w:val="ChartGraphic"/>
    <w:rsid w:val="00D6090D"/>
    <w:rPr>
      <w:rFonts w:ascii="Calibri" w:hAnsi="Calibri" w:cs="Calibri"/>
      <w:noProof/>
      <w:lang w:eastAsia="en-US"/>
    </w:rPr>
  </w:style>
  <w:style w:type="character" w:styleId="Mention">
    <w:name w:val="Mention"/>
    <w:basedOn w:val="DefaultParagraphFont"/>
    <w:uiPriority w:val="99"/>
    <w:unhideWhenUsed/>
    <w:rsid w:val="00711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8513">
      <w:bodyDiv w:val="1"/>
      <w:marLeft w:val="0"/>
      <w:marRight w:val="0"/>
      <w:marTop w:val="0"/>
      <w:marBottom w:val="0"/>
      <w:divBdr>
        <w:top w:val="none" w:sz="0" w:space="0" w:color="auto"/>
        <w:left w:val="none" w:sz="0" w:space="0" w:color="auto"/>
        <w:bottom w:val="none" w:sz="0" w:space="0" w:color="auto"/>
        <w:right w:val="none" w:sz="0" w:space="0" w:color="auto"/>
      </w:divBdr>
    </w:div>
    <w:div w:id="502015843">
      <w:bodyDiv w:val="1"/>
      <w:marLeft w:val="0"/>
      <w:marRight w:val="0"/>
      <w:marTop w:val="0"/>
      <w:marBottom w:val="0"/>
      <w:divBdr>
        <w:top w:val="none" w:sz="0" w:space="0" w:color="auto"/>
        <w:left w:val="none" w:sz="0" w:space="0" w:color="auto"/>
        <w:bottom w:val="none" w:sz="0" w:space="0" w:color="auto"/>
        <w:right w:val="none" w:sz="0" w:space="0" w:color="auto"/>
      </w:divBdr>
    </w:div>
    <w:div w:id="1648197478">
      <w:bodyDiv w:val="1"/>
      <w:marLeft w:val="0"/>
      <w:marRight w:val="0"/>
      <w:marTop w:val="0"/>
      <w:marBottom w:val="0"/>
      <w:divBdr>
        <w:top w:val="none" w:sz="0" w:space="0" w:color="auto"/>
        <w:left w:val="none" w:sz="0" w:space="0" w:color="auto"/>
        <w:bottom w:val="none" w:sz="0" w:space="0" w:color="auto"/>
        <w:right w:val="none" w:sz="0" w:space="0" w:color="auto"/>
      </w:divBdr>
    </w:div>
    <w:div w:id="1692880346">
      <w:bodyDiv w:val="1"/>
      <w:marLeft w:val="0"/>
      <w:marRight w:val="0"/>
      <w:marTop w:val="0"/>
      <w:marBottom w:val="0"/>
      <w:divBdr>
        <w:top w:val="none" w:sz="0" w:space="0" w:color="auto"/>
        <w:left w:val="none" w:sz="0" w:space="0" w:color="auto"/>
        <w:bottom w:val="none" w:sz="0" w:space="0" w:color="auto"/>
        <w:right w:val="none" w:sz="0" w:space="0" w:color="auto"/>
      </w:divBdr>
      <w:divsChild>
        <w:div w:id="687676804">
          <w:marLeft w:val="0"/>
          <w:marRight w:val="0"/>
          <w:marTop w:val="0"/>
          <w:marBottom w:val="0"/>
          <w:divBdr>
            <w:top w:val="none" w:sz="0" w:space="0" w:color="auto"/>
            <w:left w:val="none" w:sz="0" w:space="0" w:color="auto"/>
            <w:bottom w:val="none" w:sz="0" w:space="0" w:color="auto"/>
            <w:right w:val="none" w:sz="0" w:space="0" w:color="auto"/>
          </w:divBdr>
        </w:div>
        <w:div w:id="1282374200">
          <w:marLeft w:val="0"/>
          <w:marRight w:val="0"/>
          <w:marTop w:val="0"/>
          <w:marBottom w:val="0"/>
          <w:divBdr>
            <w:top w:val="none" w:sz="0" w:space="0" w:color="auto"/>
            <w:left w:val="none" w:sz="0" w:space="0" w:color="auto"/>
            <w:bottom w:val="none" w:sz="0" w:space="0" w:color="auto"/>
            <w:right w:val="none" w:sz="0" w:space="0" w:color="auto"/>
          </w:divBdr>
        </w:div>
        <w:div w:id="1812014952">
          <w:marLeft w:val="0"/>
          <w:marRight w:val="0"/>
          <w:marTop w:val="0"/>
          <w:marBottom w:val="0"/>
          <w:divBdr>
            <w:top w:val="none" w:sz="0" w:space="0" w:color="auto"/>
            <w:left w:val="none" w:sz="0" w:space="0" w:color="auto"/>
            <w:bottom w:val="none" w:sz="0" w:space="0" w:color="auto"/>
            <w:right w:val="none" w:sz="0" w:space="0" w:color="auto"/>
          </w:divBdr>
        </w:div>
      </w:divsChild>
    </w:div>
    <w:div w:id="1741829947">
      <w:bodyDiv w:val="1"/>
      <w:marLeft w:val="0"/>
      <w:marRight w:val="0"/>
      <w:marTop w:val="0"/>
      <w:marBottom w:val="0"/>
      <w:divBdr>
        <w:top w:val="none" w:sz="0" w:space="0" w:color="auto"/>
        <w:left w:val="none" w:sz="0" w:space="0" w:color="auto"/>
        <w:bottom w:val="none" w:sz="0" w:space="0" w:color="auto"/>
        <w:right w:val="none" w:sz="0" w:space="0" w:color="auto"/>
      </w:divBdr>
      <w:divsChild>
        <w:div w:id="725841707">
          <w:marLeft w:val="0"/>
          <w:marRight w:val="0"/>
          <w:marTop w:val="0"/>
          <w:marBottom w:val="0"/>
          <w:divBdr>
            <w:top w:val="none" w:sz="0" w:space="0" w:color="auto"/>
            <w:left w:val="none" w:sz="0" w:space="0" w:color="auto"/>
            <w:bottom w:val="none" w:sz="0" w:space="0" w:color="auto"/>
            <w:right w:val="none" w:sz="0" w:space="0" w:color="auto"/>
          </w:divBdr>
        </w:div>
        <w:div w:id="1428037180">
          <w:marLeft w:val="0"/>
          <w:marRight w:val="0"/>
          <w:marTop w:val="0"/>
          <w:marBottom w:val="0"/>
          <w:divBdr>
            <w:top w:val="none" w:sz="0" w:space="0" w:color="auto"/>
            <w:left w:val="none" w:sz="0" w:space="0" w:color="auto"/>
            <w:bottom w:val="none" w:sz="0" w:space="0" w:color="auto"/>
            <w:right w:val="none" w:sz="0" w:space="0" w:color="auto"/>
          </w:divBdr>
        </w:div>
        <w:div w:id="206833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jp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35"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hyperlink" Target="mailto:aga@aga.gov.au" TargetMode="External"/><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20G%20A\AGA%20Letter_with%20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6a04096-66d6-4d5f-9867-b21bc58e745a">
      <Value>43</Value>
      <Value>129</Value>
      <Value>121</Value>
      <Value>1</Value>
      <Value>42</Value>
    </TaxCatchAll>
    <SharedWithUsers xmlns="b6a04096-66d6-4d5f-9867-b21bc58e745a">
      <UserInfo>
        <DisplayName>Bruhn, Aaron</DisplayName>
        <AccountId>52</AccountId>
        <AccountType/>
      </UserInfo>
      <UserInfo>
        <DisplayName>Thorburn, Guy</DisplayName>
        <AccountId>26</AccountId>
        <AccountType/>
      </UserInfo>
    </SharedWithUsers>
    <lcf76f155ced4ddcb4097134ff3c332f xmlns="598f2c18-e06f-4cdd-b3aa-9527d754e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DEF9E-8E0A-4497-A056-53A07D0F1A1E}"/>
</file>

<file path=customXml/itemProps2.xml><?xml version="1.0" encoding="utf-8"?>
<ds:datastoreItem xmlns:ds="http://schemas.openxmlformats.org/officeDocument/2006/customXml" ds:itemID="{3D2B95A9-14EC-4716-8C55-64D0F3939554}">
  <ds:schemaRefs>
    <ds:schemaRef ds:uri="http://schemas.openxmlformats.org/officeDocument/2006/bibliography"/>
  </ds:schemaRefs>
</ds:datastoreItem>
</file>

<file path=customXml/itemProps3.xml><?xml version="1.0" encoding="utf-8"?>
<ds:datastoreItem xmlns:ds="http://schemas.openxmlformats.org/officeDocument/2006/customXml" ds:itemID="{E39AC14B-83F1-4D69-9A36-1229B94DACF8}">
  <ds:schemaRefs>
    <ds:schemaRef ds:uri="http://schemas.microsoft.com/sharepoint/v3/contenttype/forms"/>
  </ds:schemaRefs>
</ds:datastoreItem>
</file>

<file path=customXml/itemProps4.xml><?xml version="1.0" encoding="utf-8"?>
<ds:datastoreItem xmlns:ds="http://schemas.openxmlformats.org/officeDocument/2006/customXml" ds:itemID="{9C199A52-347A-4C6A-BC8B-5FC81994925F}">
  <ds:schemaRefs>
    <ds:schemaRef ds:uri="http://schemas.microsoft.com/sharepoint/events"/>
  </ds:schemaRefs>
</ds:datastoreItem>
</file>

<file path=customXml/itemProps5.xml><?xml version="1.0" encoding="utf-8"?>
<ds:datastoreItem xmlns:ds="http://schemas.openxmlformats.org/officeDocument/2006/customXml" ds:itemID="{9E71DA85-4B66-4232-891C-979E72B492AF}">
  <ds:schemaRefs>
    <ds:schemaRef ds:uri="http://schemas.microsoft.com/office/2006/metadata/properties"/>
    <ds:schemaRef ds:uri="http://schemas.microsoft.com/office/infopath/2007/PartnerControls"/>
    <ds:schemaRef ds:uri="0983f657-32d9-4f22-8ae7-8acf3ee01c78"/>
    <ds:schemaRef ds:uri="fe39d773-a83d-4623-ae74-f25711a76616"/>
  </ds:schemaRefs>
</ds:datastoreItem>
</file>

<file path=docProps/app.xml><?xml version="1.0" encoding="utf-8"?>
<Properties xmlns="http://schemas.openxmlformats.org/officeDocument/2006/extended-properties" xmlns:vt="http://schemas.openxmlformats.org/officeDocument/2006/docPropsVTypes">
  <Template>AGA Letter_with logo.dotm</Template>
  <TotalTime>4</TotalTime>
  <Pages>28</Pages>
  <Words>8632</Words>
  <Characters>49206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2025.06 FSR</vt:lpstr>
    </vt:vector>
  </TitlesOfParts>
  <Company>Microsoft Corporation</Company>
  <LinksUpToDate>false</LinksUpToDate>
  <CharactersWithSpaces>57723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 FSR</dc:title>
  <dc:subject/>
  <dc:creator>Bean, Samantha</dc:creator>
  <cp:keywords/>
  <dc:description/>
  <cp:lastModifiedBy>Moore, Carmel</cp:lastModifiedBy>
  <cp:revision>3</cp:revision>
  <cp:lastPrinted>2025-10-20T03:16:00Z</cp:lastPrinted>
  <dcterms:created xsi:type="dcterms:W3CDTF">2025-10-23T04:11:00Z</dcterms:created>
  <dcterms:modified xsi:type="dcterms:W3CDTF">2025-12-03T23:03:00Z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eTheme">
    <vt:lpwstr>1</vt:lpwstr>
  </property>
  <property fmtid="{D5CDD505-2E9C-101B-9397-08002B2CF9AE}" pid="4" name="eActivity">
    <vt:lpwstr>42</vt:lpwstr>
  </property>
  <property fmtid="{D5CDD505-2E9C-101B-9397-08002B2CF9AE}" pid="5" name="TSYStatus">
    <vt:lpwstr/>
  </property>
  <property fmtid="{D5CDD505-2E9C-101B-9397-08002B2CF9AE}" pid="6" name="AnnualYear">
    <vt:lpwstr>129;#2025|99ea8a05-45f2-4a4b-9caf-52adb725ea75</vt:lpwstr>
  </property>
  <property fmtid="{D5CDD505-2E9C-101B-9397-08002B2CF9AE}" pid="7" name="eTopic">
    <vt:lpwstr>121;#NDIS|34cd1358-b6d3-4c9a-9713-987e6fe4f79e</vt:lpwstr>
  </property>
  <property fmtid="{D5CDD505-2E9C-101B-9397-08002B2CF9AE}" pid="8" name="DocStatus">
    <vt:lpwstr/>
  </property>
  <property fmtid="{D5CDD505-2E9C-101B-9397-08002B2CF9AE}" pid="9" name="MSIP_Label_2b83f8d7-e91f-4eee-a336-52a8061c0503_Enabled">
    <vt:lpwstr>true</vt:lpwstr>
  </property>
  <property fmtid="{D5CDD505-2E9C-101B-9397-08002B2CF9AE}" pid="10" name="MSIP_Label_2b83f8d7-e91f-4eee-a336-52a8061c0503_SetDate">
    <vt:lpwstr>2024-03-19T22:52:37Z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87da8926-5e1b-4d9b-9024-c41af613cc61</vt:lpwstr>
  </property>
  <property fmtid="{D5CDD505-2E9C-101B-9397-08002B2CF9AE}" pid="15" name="MSIP_Label_2b83f8d7-e91f-4eee-a336-52a8061c0503_ContentBits">
    <vt:lpwstr>0</vt:lpwstr>
  </property>
  <property fmtid="{D5CDD505-2E9C-101B-9397-08002B2CF9AE}" pid="16" name="_docset_NoMedatataSyncRequired">
    <vt:lpwstr>False</vt:lpwstr>
  </property>
  <property fmtid="{D5CDD505-2E9C-101B-9397-08002B2CF9AE}" pid="17" name="MSIP_Label_4f932d64-9ab1-4d9b-81d2-a3a8b82dd47d_Enabled">
    <vt:lpwstr>true</vt:lpwstr>
  </property>
  <property fmtid="{D5CDD505-2E9C-101B-9397-08002B2CF9AE}" pid="18" name="MSIP_Label_4f932d64-9ab1-4d9b-81d2-a3a8b82dd47d_SetDate">
    <vt:lpwstr>2024-08-05T03:07:46Z</vt:lpwstr>
  </property>
  <property fmtid="{D5CDD505-2E9C-101B-9397-08002B2CF9AE}" pid="19" name="MSIP_Label_4f932d64-9ab1-4d9b-81d2-a3a8b82dd47d_Method">
    <vt:lpwstr>Privileged</vt:lpwstr>
  </property>
  <property fmtid="{D5CDD505-2E9C-101B-9397-08002B2CF9AE}" pid="20" name="MSIP_Label_4f932d64-9ab1-4d9b-81d2-a3a8b82dd47d_Name">
    <vt:lpwstr>OFFICIAL No Visual Marking</vt:lpwstr>
  </property>
  <property fmtid="{D5CDD505-2E9C-101B-9397-08002B2CF9AE}" pid="21" name="MSIP_Label_4f932d64-9ab1-4d9b-81d2-a3a8b82dd47d_SiteId">
    <vt:lpwstr>214f1646-2021-47cc-8397-e3d3a7ba7d9d</vt:lpwstr>
  </property>
  <property fmtid="{D5CDD505-2E9C-101B-9397-08002B2CF9AE}" pid="22" name="MSIP_Label_4f932d64-9ab1-4d9b-81d2-a3a8b82dd47d_ActionId">
    <vt:lpwstr>8cc02e36-ddfc-4ff4-85c7-f42fc089d7dd</vt:lpwstr>
  </property>
  <property fmtid="{D5CDD505-2E9C-101B-9397-08002B2CF9AE}" pid="23" name="MSIP_Label_4f932d64-9ab1-4d9b-81d2-a3a8b82dd47d_ContentBits">
    <vt:lpwstr>0</vt:lpwstr>
  </property>
  <property fmtid="{D5CDD505-2E9C-101B-9397-08002B2CF9AE}" pid="24" name="WorkingDocStatus">
    <vt:lpwstr>DRAFT WORKING DOCUMENT</vt:lpwstr>
  </property>
  <property fmtid="{D5CDD505-2E9C-101B-9397-08002B2CF9AE}" pid="25" name="MediaServiceImageTags">
    <vt:lpwstr/>
  </property>
  <property fmtid="{D5CDD505-2E9C-101B-9397-08002B2CF9AE}" pid="26" name="docLang">
    <vt:lpwstr>en</vt:lpwstr>
  </property>
  <property fmtid="{D5CDD505-2E9C-101B-9397-08002B2CF9AE}" pid="27" name="eDocumentType">
    <vt:lpwstr>43;#Paper (Analysis or Research or Report)|6ad78538-b056-4e5b-8c06-e0b6c43f0ffa</vt:lpwstr>
  </property>
  <property fmtid="{D5CDD505-2E9C-101B-9397-08002B2CF9AE}" pid="28" name="_dlc_DocIdItemGuid">
    <vt:lpwstr>51d1d25d-29cc-4003-8ad5-91b2e1a7b218</vt:lpwstr>
  </property>
</Properties>
</file>